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D4CFF" w14:textId="07845DC9" w:rsidR="00C600F2" w:rsidRPr="008C6DCC" w:rsidRDefault="0094062B" w:rsidP="006F112F">
      <w:pPr>
        <w:spacing w:line="360" w:lineRule="auto"/>
        <w:rPr>
          <w:b/>
          <w:bCs/>
          <w:sz w:val="28"/>
          <w:szCs w:val="28"/>
        </w:rPr>
      </w:pPr>
      <w:r w:rsidRPr="00F46025">
        <w:rPr>
          <w:b/>
          <w:bCs/>
          <w:sz w:val="28"/>
          <w:szCs w:val="28"/>
        </w:rPr>
        <w:t>Modified r</w:t>
      </w:r>
      <w:r w:rsidR="00C600F2" w:rsidRPr="00F46025">
        <w:rPr>
          <w:b/>
          <w:bCs/>
          <w:sz w:val="28"/>
          <w:szCs w:val="28"/>
        </w:rPr>
        <w:t>ecombinant</w:t>
      </w:r>
      <w:r w:rsidR="00C600F2" w:rsidRPr="008C6DCC">
        <w:rPr>
          <w:b/>
          <w:bCs/>
          <w:sz w:val="28"/>
          <w:szCs w:val="28"/>
        </w:rPr>
        <w:t xml:space="preserve"> human IgG1-Fc </w:t>
      </w:r>
      <w:r>
        <w:rPr>
          <w:b/>
          <w:bCs/>
          <w:sz w:val="28"/>
          <w:szCs w:val="28"/>
        </w:rPr>
        <w:t>is</w:t>
      </w:r>
      <w:r w:rsidR="00C600F2" w:rsidRPr="008C6DCC">
        <w:rPr>
          <w:b/>
          <w:bCs/>
          <w:sz w:val="28"/>
          <w:szCs w:val="28"/>
        </w:rPr>
        <w:t xml:space="preserve"> superior to natural IVIG </w:t>
      </w:r>
      <w:r w:rsidR="00BE20C6" w:rsidRPr="008C6DCC">
        <w:rPr>
          <w:b/>
          <w:bCs/>
          <w:sz w:val="28"/>
          <w:szCs w:val="28"/>
        </w:rPr>
        <w:t>at</w:t>
      </w:r>
      <w:r w:rsidR="00C600F2" w:rsidRPr="008C6DCC">
        <w:rPr>
          <w:b/>
          <w:bCs/>
          <w:sz w:val="28"/>
          <w:szCs w:val="28"/>
        </w:rPr>
        <w:t xml:space="preserve"> inhibiting </w:t>
      </w:r>
      <w:r w:rsidR="00BE20C6" w:rsidRPr="008C6DCC">
        <w:rPr>
          <w:b/>
          <w:bCs/>
          <w:sz w:val="28"/>
          <w:szCs w:val="28"/>
        </w:rPr>
        <w:t>i</w:t>
      </w:r>
      <w:r w:rsidR="00C600F2" w:rsidRPr="008C6DCC">
        <w:rPr>
          <w:b/>
          <w:bCs/>
          <w:sz w:val="28"/>
          <w:szCs w:val="28"/>
        </w:rPr>
        <w:t>mmune</w:t>
      </w:r>
      <w:r w:rsidR="00BE20C6" w:rsidRPr="008C6DCC">
        <w:rPr>
          <w:b/>
          <w:bCs/>
          <w:sz w:val="28"/>
          <w:szCs w:val="28"/>
        </w:rPr>
        <w:t>-</w:t>
      </w:r>
      <w:r w:rsidR="00C600F2" w:rsidRPr="008C6DCC">
        <w:rPr>
          <w:b/>
          <w:bCs/>
          <w:sz w:val="28"/>
          <w:szCs w:val="28"/>
        </w:rPr>
        <w:t>mediated demyelination</w:t>
      </w:r>
    </w:p>
    <w:p w14:paraId="1E4F73A6" w14:textId="77777777" w:rsidR="00ED08C3" w:rsidRDefault="00ED08C3" w:rsidP="0033672D"/>
    <w:p w14:paraId="6914627F" w14:textId="53DEC971" w:rsidR="00ED08C3" w:rsidRPr="008C6DCC" w:rsidRDefault="00AA1E20">
      <w:pPr>
        <w:rPr>
          <w:b/>
          <w:bCs/>
          <w:lang w:val="de-DE"/>
        </w:rPr>
      </w:pPr>
      <w:r w:rsidRPr="008C6DCC">
        <w:rPr>
          <w:b/>
          <w:bCs/>
          <w:lang w:val="de-DE"/>
        </w:rPr>
        <w:t>Christine Baksmeier</w:t>
      </w:r>
      <w:r w:rsidRPr="008C6DCC">
        <w:rPr>
          <w:b/>
          <w:bCs/>
          <w:vertAlign w:val="superscript"/>
          <w:lang w:val="de-DE"/>
        </w:rPr>
        <w:t>1</w:t>
      </w:r>
      <w:r w:rsidRPr="008C6DCC">
        <w:rPr>
          <w:b/>
          <w:bCs/>
          <w:lang w:val="de-DE"/>
        </w:rPr>
        <w:t>, Pat Blundell</w:t>
      </w:r>
      <w:r w:rsidRPr="008C6DCC">
        <w:rPr>
          <w:b/>
          <w:bCs/>
          <w:vertAlign w:val="superscript"/>
          <w:lang w:val="de-DE"/>
        </w:rPr>
        <w:t>2</w:t>
      </w:r>
      <w:r w:rsidRPr="008C6DCC">
        <w:rPr>
          <w:b/>
          <w:bCs/>
          <w:lang w:val="de-DE"/>
        </w:rPr>
        <w:t>, Julia Steckel</w:t>
      </w:r>
      <w:r w:rsidRPr="008C6DCC">
        <w:rPr>
          <w:b/>
          <w:bCs/>
          <w:vertAlign w:val="superscript"/>
          <w:lang w:val="de-DE"/>
        </w:rPr>
        <w:t>1</w:t>
      </w:r>
      <w:r w:rsidRPr="008C6DCC">
        <w:rPr>
          <w:b/>
          <w:bCs/>
          <w:lang w:val="de-DE"/>
        </w:rPr>
        <w:t>, Verena Schultz</w:t>
      </w:r>
      <w:r w:rsidRPr="008C6DCC">
        <w:rPr>
          <w:b/>
          <w:bCs/>
          <w:vertAlign w:val="superscript"/>
          <w:lang w:val="de-DE"/>
        </w:rPr>
        <w:t>4</w:t>
      </w:r>
      <w:r w:rsidRPr="008C6DCC">
        <w:rPr>
          <w:b/>
          <w:bCs/>
          <w:lang w:val="de-DE"/>
        </w:rPr>
        <w:t xml:space="preserve">, </w:t>
      </w:r>
      <w:r w:rsidR="00726CF9" w:rsidRPr="008C6DCC">
        <w:rPr>
          <w:b/>
          <w:bCs/>
          <w:lang w:val="de-DE"/>
        </w:rPr>
        <w:t>Quan Gu</w:t>
      </w:r>
      <w:r w:rsidR="00726CF9" w:rsidRPr="008C6DCC">
        <w:rPr>
          <w:b/>
          <w:bCs/>
          <w:vertAlign w:val="superscript"/>
          <w:lang w:val="de-DE"/>
        </w:rPr>
        <w:t>4</w:t>
      </w:r>
      <w:r w:rsidR="00726CF9" w:rsidRPr="008C6DCC">
        <w:rPr>
          <w:b/>
          <w:bCs/>
          <w:lang w:val="de-DE"/>
        </w:rPr>
        <w:t xml:space="preserve">, </w:t>
      </w:r>
      <w:r w:rsidR="00064F8E">
        <w:rPr>
          <w:b/>
          <w:bCs/>
          <w:lang w:val="de-DE"/>
        </w:rPr>
        <w:t>Ana Da Silva Filipe</w:t>
      </w:r>
      <w:r w:rsidR="00064F8E" w:rsidRPr="00064F8E">
        <w:rPr>
          <w:b/>
          <w:bCs/>
          <w:vertAlign w:val="superscript"/>
          <w:lang w:val="de-DE"/>
        </w:rPr>
        <w:t>4</w:t>
      </w:r>
      <w:r w:rsidR="00064F8E">
        <w:rPr>
          <w:b/>
          <w:bCs/>
          <w:lang w:val="de-DE"/>
        </w:rPr>
        <w:t xml:space="preserve">, </w:t>
      </w:r>
      <w:r w:rsidR="00C504AA" w:rsidRPr="008C6DCC">
        <w:rPr>
          <w:b/>
          <w:bCs/>
          <w:lang w:val="de-DE"/>
        </w:rPr>
        <w:t>Alain Kohl</w:t>
      </w:r>
      <w:r w:rsidR="00C504AA" w:rsidRPr="008C6DCC">
        <w:rPr>
          <w:b/>
          <w:bCs/>
          <w:vertAlign w:val="superscript"/>
          <w:lang w:val="de-DE"/>
        </w:rPr>
        <w:t>4</w:t>
      </w:r>
      <w:r w:rsidR="00C504AA" w:rsidRPr="008C6DCC">
        <w:rPr>
          <w:b/>
          <w:bCs/>
          <w:lang w:val="de-DE"/>
        </w:rPr>
        <w:t>, Chris Linnington</w:t>
      </w:r>
      <w:r w:rsidR="00C504AA" w:rsidRPr="008C6DCC">
        <w:rPr>
          <w:b/>
          <w:bCs/>
          <w:vertAlign w:val="superscript"/>
          <w:lang w:val="de-DE"/>
        </w:rPr>
        <w:t>4</w:t>
      </w:r>
      <w:r w:rsidR="00C504AA" w:rsidRPr="008C6DCC">
        <w:rPr>
          <w:b/>
          <w:bCs/>
          <w:lang w:val="de-DE"/>
        </w:rPr>
        <w:t xml:space="preserve">, </w:t>
      </w:r>
      <w:r w:rsidR="00914D88" w:rsidRPr="008C6DCC">
        <w:rPr>
          <w:b/>
          <w:bCs/>
          <w:lang w:val="de-DE"/>
        </w:rPr>
        <w:t>Dongli Lu</w:t>
      </w:r>
      <w:r w:rsidR="00914D88" w:rsidRPr="008C6DCC">
        <w:rPr>
          <w:b/>
          <w:bCs/>
          <w:vertAlign w:val="superscript"/>
          <w:lang w:val="de-DE"/>
        </w:rPr>
        <w:t>3</w:t>
      </w:r>
      <w:r w:rsidR="00914D88" w:rsidRPr="008C6DCC">
        <w:rPr>
          <w:b/>
          <w:bCs/>
          <w:lang w:val="de-DE"/>
        </w:rPr>
        <w:t xml:space="preserve">, </w:t>
      </w:r>
      <w:r w:rsidRPr="008C6DCC">
        <w:rPr>
          <w:b/>
          <w:bCs/>
          <w:lang w:val="de-DE"/>
        </w:rPr>
        <w:t>Anne Dell</w:t>
      </w:r>
      <w:r w:rsidRPr="008C6DCC">
        <w:rPr>
          <w:b/>
          <w:bCs/>
          <w:vertAlign w:val="superscript"/>
          <w:lang w:val="de-DE"/>
        </w:rPr>
        <w:t>3</w:t>
      </w:r>
      <w:r w:rsidRPr="008C6DCC">
        <w:rPr>
          <w:b/>
          <w:bCs/>
          <w:lang w:val="de-DE"/>
        </w:rPr>
        <w:t>, Stuart Haslam</w:t>
      </w:r>
      <w:r w:rsidRPr="008C6DCC">
        <w:rPr>
          <w:b/>
          <w:bCs/>
          <w:vertAlign w:val="superscript"/>
          <w:lang w:val="de-DE"/>
        </w:rPr>
        <w:t>3</w:t>
      </w:r>
      <w:r w:rsidRPr="008C6DCC">
        <w:rPr>
          <w:b/>
          <w:bCs/>
          <w:lang w:val="de-DE"/>
        </w:rPr>
        <w:t xml:space="preserve">, </w:t>
      </w:r>
      <w:r w:rsidR="0011728C" w:rsidRPr="008C6DCC">
        <w:rPr>
          <w:b/>
          <w:bCs/>
          <w:lang w:val="de-DE"/>
        </w:rPr>
        <w:t>Jiabin Wang</w:t>
      </w:r>
      <w:r w:rsidR="0011728C" w:rsidRPr="008C6DCC">
        <w:rPr>
          <w:b/>
          <w:bCs/>
          <w:vertAlign w:val="superscript"/>
          <w:lang w:val="de-DE"/>
        </w:rPr>
        <w:t>5</w:t>
      </w:r>
      <w:r w:rsidR="0011728C" w:rsidRPr="008C6DCC">
        <w:rPr>
          <w:b/>
          <w:bCs/>
          <w:lang w:val="de-DE"/>
        </w:rPr>
        <w:t xml:space="preserve">, </w:t>
      </w:r>
      <w:r w:rsidR="0037040D" w:rsidRPr="008C6DCC">
        <w:rPr>
          <w:b/>
          <w:bCs/>
          <w:color w:val="000000" w:themeColor="text1"/>
          <w:lang w:val="de-DE"/>
        </w:rPr>
        <w:t>Dan Czajkowsky</w:t>
      </w:r>
      <w:r w:rsidR="0011728C" w:rsidRPr="008C6DCC">
        <w:rPr>
          <w:b/>
          <w:bCs/>
          <w:color w:val="000000" w:themeColor="text1"/>
          <w:vertAlign w:val="superscript"/>
          <w:lang w:val="de-DE"/>
        </w:rPr>
        <w:t>6</w:t>
      </w:r>
      <w:r w:rsidR="0037040D" w:rsidRPr="008C6DCC">
        <w:rPr>
          <w:b/>
          <w:bCs/>
          <w:color w:val="000000" w:themeColor="text1"/>
          <w:lang w:val="de-DE"/>
        </w:rPr>
        <w:t xml:space="preserve">, </w:t>
      </w:r>
      <w:r w:rsidRPr="008C6DCC">
        <w:rPr>
          <w:b/>
          <w:bCs/>
          <w:lang w:val="de-DE"/>
        </w:rPr>
        <w:t>Norbert Goebels</w:t>
      </w:r>
      <w:r w:rsidRPr="008C6DCC">
        <w:rPr>
          <w:b/>
          <w:bCs/>
          <w:vertAlign w:val="superscript"/>
          <w:lang w:val="de-DE"/>
        </w:rPr>
        <w:t>1</w:t>
      </w:r>
      <w:r w:rsidR="007B5923" w:rsidRPr="008C6DCC">
        <w:rPr>
          <w:b/>
          <w:bCs/>
          <w:vertAlign w:val="superscript"/>
          <w:lang w:val="de-DE"/>
        </w:rPr>
        <w:t xml:space="preserve"> </w:t>
      </w:r>
      <w:r w:rsidR="007B5923" w:rsidRPr="005D039D">
        <w:rPr>
          <w:b/>
          <w:bCs/>
          <w:lang w:val="de-DE"/>
        </w:rPr>
        <w:t xml:space="preserve">&amp; Richard </w:t>
      </w:r>
      <w:r w:rsidR="00077311" w:rsidRPr="005D039D">
        <w:rPr>
          <w:b/>
          <w:bCs/>
          <w:lang w:val="de-DE"/>
        </w:rPr>
        <w:t xml:space="preserve">J </w:t>
      </w:r>
      <w:r w:rsidR="007B5923" w:rsidRPr="005D039D">
        <w:rPr>
          <w:b/>
          <w:bCs/>
          <w:lang w:val="de-DE"/>
        </w:rPr>
        <w:t>Pleass</w:t>
      </w:r>
      <w:r w:rsidR="007B5923" w:rsidRPr="005D039D">
        <w:rPr>
          <w:b/>
          <w:bCs/>
          <w:vertAlign w:val="superscript"/>
          <w:lang w:val="de-DE"/>
        </w:rPr>
        <w:t>2</w:t>
      </w:r>
    </w:p>
    <w:p w14:paraId="4E138F02" w14:textId="77777777" w:rsidR="00ED08C3" w:rsidRPr="006F112F" w:rsidRDefault="00ED08C3">
      <w:pPr>
        <w:rPr>
          <w:vertAlign w:val="superscript"/>
          <w:lang w:val="de-DE"/>
        </w:rPr>
      </w:pPr>
    </w:p>
    <w:p w14:paraId="5F6216A4" w14:textId="18579357" w:rsidR="00ED08C3" w:rsidRPr="00186A81" w:rsidRDefault="00ED08C3">
      <w:pPr>
        <w:rPr>
          <w:rFonts w:cstheme="minorHAnsi"/>
        </w:rPr>
      </w:pPr>
      <w:r w:rsidRPr="00186A81">
        <w:rPr>
          <w:rFonts w:cstheme="minorHAnsi"/>
          <w:vertAlign w:val="superscript"/>
        </w:rPr>
        <w:t>1</w:t>
      </w:r>
      <w:r w:rsidRPr="00186A81">
        <w:rPr>
          <w:rFonts w:cstheme="minorHAnsi"/>
        </w:rPr>
        <w:t xml:space="preserve">Department of Neurology, Medical Faculty, Heinrich-Heine-University Duesseldorf, </w:t>
      </w:r>
      <w:proofErr w:type="spellStart"/>
      <w:r w:rsidRPr="00186A81">
        <w:rPr>
          <w:rFonts w:cstheme="minorHAnsi"/>
        </w:rPr>
        <w:t>Moorenstr</w:t>
      </w:r>
      <w:proofErr w:type="spellEnd"/>
      <w:r w:rsidR="00075267">
        <w:rPr>
          <w:rFonts w:cstheme="minorHAnsi"/>
        </w:rPr>
        <w:t>.</w:t>
      </w:r>
      <w:r w:rsidRPr="00186A81">
        <w:rPr>
          <w:rFonts w:cstheme="minorHAnsi"/>
        </w:rPr>
        <w:t xml:space="preserve"> 5, D-40225 Duesseldorf, Germany</w:t>
      </w:r>
      <w:r w:rsidR="0037040D">
        <w:rPr>
          <w:rFonts w:cstheme="minorHAnsi"/>
        </w:rPr>
        <w:t>.</w:t>
      </w:r>
    </w:p>
    <w:p w14:paraId="510B8664" w14:textId="442FA16D" w:rsidR="00ED08C3" w:rsidRPr="00186A81" w:rsidRDefault="00ED08C3">
      <w:pPr>
        <w:rPr>
          <w:rFonts w:cstheme="minorHAnsi"/>
        </w:rPr>
      </w:pPr>
      <w:r w:rsidRPr="00186A81">
        <w:rPr>
          <w:rFonts w:cstheme="minorHAnsi"/>
          <w:vertAlign w:val="superscript"/>
        </w:rPr>
        <w:t>2</w:t>
      </w:r>
      <w:r w:rsidRPr="00186A81">
        <w:rPr>
          <w:rFonts w:cstheme="minorHAnsi"/>
        </w:rPr>
        <w:t>Department of Tropical Disease Biology, Liverpool School of Tropical Medicine, Liverpool, L3 5QA, United Kingdom</w:t>
      </w:r>
      <w:r w:rsidR="0037040D">
        <w:rPr>
          <w:rFonts w:cstheme="minorHAnsi"/>
        </w:rPr>
        <w:t>.</w:t>
      </w:r>
    </w:p>
    <w:p w14:paraId="422F8AFC" w14:textId="4473336B" w:rsidR="00E171F4" w:rsidRPr="00186A81" w:rsidRDefault="00E171F4">
      <w:pPr>
        <w:rPr>
          <w:rFonts w:cstheme="minorHAnsi"/>
        </w:rPr>
      </w:pPr>
      <w:r w:rsidRPr="00186A81">
        <w:rPr>
          <w:rFonts w:cstheme="minorHAnsi"/>
          <w:vertAlign w:val="superscript"/>
        </w:rPr>
        <w:t>3</w:t>
      </w:r>
      <w:r w:rsidRPr="00186A81">
        <w:rPr>
          <w:rFonts w:cstheme="minorHAnsi"/>
        </w:rPr>
        <w:t>Department of Life Sciences, Imperial College London, London SW7 2AZ, United Kingdom</w:t>
      </w:r>
      <w:r w:rsidR="0037040D">
        <w:rPr>
          <w:rFonts w:cstheme="minorHAnsi"/>
        </w:rPr>
        <w:t>.</w:t>
      </w:r>
    </w:p>
    <w:p w14:paraId="34F3CB86" w14:textId="1893F559" w:rsidR="00186A81" w:rsidRPr="00186A81" w:rsidRDefault="00186A81">
      <w:pPr>
        <w:rPr>
          <w:rFonts w:eastAsia="Times New Roman" w:cstheme="minorHAnsi"/>
          <w:lang w:eastAsia="en-GB"/>
        </w:rPr>
      </w:pPr>
      <w:r w:rsidRPr="00186A81">
        <w:rPr>
          <w:rFonts w:cstheme="minorHAnsi"/>
          <w:vertAlign w:val="superscript"/>
        </w:rPr>
        <w:t>4</w:t>
      </w:r>
      <w:r w:rsidRPr="00186A81">
        <w:rPr>
          <w:rFonts w:eastAsia="Times New Roman" w:cstheme="minorHAnsi"/>
          <w:color w:val="000000"/>
          <w:shd w:val="clear" w:color="auto" w:fill="FFFFFF"/>
          <w:lang w:eastAsia="en-GB"/>
        </w:rPr>
        <w:t>Institute of Infection, Immunity and Inflammation, College of Medical Veterinary and Life Sciences, University of Glasgow, G12 8TA, U</w:t>
      </w:r>
      <w:r>
        <w:rPr>
          <w:rFonts w:eastAsia="Times New Roman" w:cstheme="minorHAnsi"/>
          <w:color w:val="000000"/>
          <w:shd w:val="clear" w:color="auto" w:fill="FFFFFF"/>
          <w:lang w:eastAsia="en-GB"/>
        </w:rPr>
        <w:t>nited Kingdom</w:t>
      </w:r>
      <w:r w:rsidR="0037040D">
        <w:rPr>
          <w:rFonts w:eastAsia="Times New Roman" w:cstheme="minorHAnsi"/>
          <w:color w:val="000000"/>
          <w:shd w:val="clear" w:color="auto" w:fill="FFFFFF"/>
          <w:lang w:eastAsia="en-GB"/>
        </w:rPr>
        <w:t>.</w:t>
      </w:r>
    </w:p>
    <w:p w14:paraId="07DF5AC8" w14:textId="77777777" w:rsidR="0011728C" w:rsidRDefault="0011728C" w:rsidP="0011728C">
      <w:pPr>
        <w:rPr>
          <w:rFonts w:eastAsia="Times New Roman" w:cstheme="minorHAnsi"/>
          <w:color w:val="000000"/>
          <w:shd w:val="clear" w:color="auto" w:fill="FFFFFF"/>
          <w:lang w:eastAsia="en-GB"/>
        </w:rPr>
      </w:pPr>
      <w:r>
        <w:rPr>
          <w:rFonts w:eastAsia="Times New Roman" w:cstheme="minorHAnsi"/>
          <w:color w:val="000000"/>
          <w:shd w:val="clear" w:color="auto" w:fill="FFFFFF"/>
          <w:vertAlign w:val="superscript"/>
          <w:lang w:eastAsia="en-GB"/>
        </w:rPr>
        <w:t>5</w:t>
      </w:r>
      <w:r>
        <w:rPr>
          <w:rFonts w:eastAsia="Times New Roman" w:cstheme="minorHAnsi"/>
          <w:color w:val="000000"/>
          <w:shd w:val="clear" w:color="auto" w:fill="FFFFFF"/>
          <w:lang w:eastAsia="en-GB"/>
        </w:rPr>
        <w:t>Shanghai Center for Systems Biomedicine, Key Laboratory of Systems Biomedicine (Ministry of Education), Shanghai Jiao Tong University, Shanghai 200240, China.</w:t>
      </w:r>
    </w:p>
    <w:p w14:paraId="1EAA71B1" w14:textId="77777777" w:rsidR="0011728C" w:rsidRPr="00142658" w:rsidRDefault="0011728C" w:rsidP="0011728C">
      <w:pPr>
        <w:rPr>
          <w:rFonts w:eastAsia="Times New Roman" w:cstheme="minorHAnsi"/>
          <w:lang w:eastAsia="en-GB"/>
        </w:rPr>
      </w:pPr>
      <w:r w:rsidRPr="00DF253C">
        <w:rPr>
          <w:rFonts w:eastAsia="Times New Roman" w:cstheme="minorHAnsi"/>
          <w:color w:val="000000"/>
          <w:shd w:val="clear" w:color="auto" w:fill="FFFFFF"/>
          <w:vertAlign w:val="superscript"/>
          <w:lang w:eastAsia="en-GB"/>
        </w:rPr>
        <w:t>6</w:t>
      </w:r>
      <w:r>
        <w:rPr>
          <w:rFonts w:eastAsia="Times New Roman" w:cstheme="minorHAnsi"/>
          <w:color w:val="000000"/>
          <w:shd w:val="clear" w:color="auto" w:fill="FFFFFF"/>
          <w:lang w:eastAsia="en-GB"/>
        </w:rPr>
        <w:t>State Key Laboratory for Oncogenes and Related Genes and Bio-ID Center, School of Biomedical Engineering, Shanghai Jiao Tong University, Shanghai 200240, China</w:t>
      </w:r>
    </w:p>
    <w:p w14:paraId="6C912E7F" w14:textId="77777777" w:rsidR="00E171F4" w:rsidRDefault="00E171F4" w:rsidP="006F112F">
      <w:pPr>
        <w:spacing w:line="360" w:lineRule="auto"/>
        <w:rPr>
          <w:b/>
        </w:rPr>
      </w:pPr>
    </w:p>
    <w:p w14:paraId="7669DB24" w14:textId="37181814" w:rsidR="00E171F4" w:rsidRDefault="00E171F4" w:rsidP="006F112F">
      <w:pPr>
        <w:spacing w:line="360" w:lineRule="auto"/>
      </w:pPr>
      <w:r w:rsidRPr="005254CF">
        <w:rPr>
          <w:b/>
        </w:rPr>
        <w:t>Running title</w:t>
      </w:r>
      <w:r>
        <w:t>: Inhibition of demyelination by Fc</w:t>
      </w:r>
      <w:r w:rsidR="008C2A6F">
        <w:t xml:space="preserve"> </w:t>
      </w:r>
      <w:r>
        <w:t>fragments</w:t>
      </w:r>
    </w:p>
    <w:p w14:paraId="1CE91643" w14:textId="77777777" w:rsidR="00AF5AFD" w:rsidRDefault="00AF5AFD" w:rsidP="006F112F">
      <w:pPr>
        <w:spacing w:line="360" w:lineRule="auto"/>
        <w:rPr>
          <w:b/>
        </w:rPr>
      </w:pPr>
    </w:p>
    <w:p w14:paraId="4232B3B6" w14:textId="0DE81E8F" w:rsidR="00E00F1A" w:rsidRDefault="00E171F4" w:rsidP="006F112F">
      <w:pPr>
        <w:spacing w:line="360" w:lineRule="auto"/>
      </w:pPr>
      <w:r w:rsidRPr="005254CF">
        <w:rPr>
          <w:b/>
        </w:rPr>
        <w:t>Key words</w:t>
      </w:r>
      <w:r>
        <w:t>: IgG, immunoglobulin, Fc</w:t>
      </w:r>
      <w:r w:rsidR="008C2A6F">
        <w:t xml:space="preserve"> </w:t>
      </w:r>
      <w:r>
        <w:t>multimers, Fc</w:t>
      </w:r>
      <w:r w:rsidR="008C2A6F">
        <w:t xml:space="preserve"> </w:t>
      </w:r>
      <w:r>
        <w:t>monomers, IVIG, demyelination</w:t>
      </w:r>
    </w:p>
    <w:p w14:paraId="3D4A4275" w14:textId="75847E3E" w:rsidR="00AF5AFD" w:rsidRDefault="00AF5AFD" w:rsidP="0084460D"/>
    <w:p w14:paraId="76EC0363" w14:textId="067FE52E" w:rsidR="0069710E" w:rsidRPr="0069710E" w:rsidRDefault="0069710E" w:rsidP="0084460D">
      <w:r w:rsidRPr="0069710E">
        <w:rPr>
          <w:b/>
          <w:bCs/>
        </w:rPr>
        <w:t xml:space="preserve">Abbreviations: </w:t>
      </w:r>
      <w:r w:rsidRPr="0069710E">
        <w:t xml:space="preserve">AFM, atomic force microscopy; </w:t>
      </w:r>
      <w:r>
        <w:t xml:space="preserve">CNS, central nervous system; </w:t>
      </w:r>
      <w:r w:rsidRPr="0069710E">
        <w:t>F</w:t>
      </w:r>
      <w:r>
        <w:t xml:space="preserve">c, fragment crystallizable; GFP, green fluorescent protein; </w:t>
      </w:r>
      <w:r w:rsidR="000F2966">
        <w:t>IVIG, intravenous immunoglobulin.</w:t>
      </w:r>
    </w:p>
    <w:p w14:paraId="7746C235" w14:textId="50490BAA" w:rsidR="0069710E" w:rsidRDefault="0069710E" w:rsidP="0084460D"/>
    <w:p w14:paraId="1D516269" w14:textId="3F710E15" w:rsidR="0069710E" w:rsidRDefault="0069710E" w:rsidP="0084460D"/>
    <w:p w14:paraId="6F360A00" w14:textId="77777777" w:rsidR="0069710E" w:rsidRDefault="0069710E" w:rsidP="0084460D"/>
    <w:p w14:paraId="5BDA8BC7" w14:textId="08BFB332" w:rsidR="007508A6" w:rsidRPr="0084460D" w:rsidRDefault="0084460D" w:rsidP="0084460D">
      <w:r w:rsidRPr="0084460D">
        <w:t>Corresponding author:</w:t>
      </w:r>
    </w:p>
    <w:p w14:paraId="3E51FB09" w14:textId="14B361D2" w:rsidR="0084460D" w:rsidRPr="0084460D" w:rsidRDefault="0084460D" w:rsidP="0084460D">
      <w:r w:rsidRPr="0084460D">
        <w:t>Professor Richard J Pleass</w:t>
      </w:r>
    </w:p>
    <w:p w14:paraId="40BC6E29" w14:textId="37030F0B" w:rsidR="0084460D" w:rsidRPr="0084460D" w:rsidRDefault="00091998" w:rsidP="0084460D">
      <w:hyperlink r:id="rId8" w:history="1">
        <w:r w:rsidR="0084460D" w:rsidRPr="0084460D">
          <w:rPr>
            <w:rStyle w:val="Hyperlink"/>
          </w:rPr>
          <w:t>richard.pleass@lstmed.ac.uk</w:t>
        </w:r>
      </w:hyperlink>
    </w:p>
    <w:p w14:paraId="4B24974E" w14:textId="6F7AD6BC" w:rsidR="0084460D" w:rsidRPr="0084460D" w:rsidRDefault="0084460D" w:rsidP="0084460D">
      <w:r w:rsidRPr="0084460D">
        <w:t>mobile +44 (0) 7946478766</w:t>
      </w:r>
    </w:p>
    <w:p w14:paraId="735F70FC" w14:textId="5488C84B" w:rsidR="0084460D" w:rsidRPr="0084460D" w:rsidRDefault="0084460D" w:rsidP="0084460D">
      <w:pPr>
        <w:rPr>
          <w:rFonts w:eastAsia="Times New Roman" w:cs="Times New Roman"/>
          <w:lang w:eastAsia="en-GB"/>
        </w:rPr>
      </w:pPr>
      <w:r w:rsidRPr="0084460D">
        <w:rPr>
          <w:rFonts w:eastAsia="Times New Roman" w:cs="Arial"/>
          <w:color w:val="343434"/>
          <w:lang w:eastAsia="en-GB"/>
        </w:rPr>
        <w:t>Fax: +44(0)151 705 3370 </w:t>
      </w:r>
    </w:p>
    <w:p w14:paraId="2E4F4E36" w14:textId="77777777" w:rsidR="007508A6" w:rsidRDefault="007508A6" w:rsidP="006F112F">
      <w:pPr>
        <w:spacing w:line="360" w:lineRule="auto"/>
        <w:rPr>
          <w:rFonts w:cs="Arial"/>
          <w:b/>
          <w:bCs/>
        </w:rPr>
      </w:pPr>
    </w:p>
    <w:p w14:paraId="6574EA6E" w14:textId="77777777" w:rsidR="00AF5AFD" w:rsidRPr="00A478A2" w:rsidRDefault="00AF5AFD" w:rsidP="00AF5AFD">
      <w:pPr>
        <w:spacing w:line="360" w:lineRule="auto"/>
        <w:rPr>
          <w:rFonts w:cstheme="minorHAnsi"/>
          <w:b/>
          <w:bCs/>
        </w:rPr>
      </w:pPr>
      <w:r w:rsidRPr="00A478A2">
        <w:rPr>
          <w:rFonts w:cstheme="minorHAnsi"/>
          <w:b/>
          <w:bCs/>
        </w:rPr>
        <w:t>Acknowledgements</w:t>
      </w:r>
    </w:p>
    <w:p w14:paraId="51526270" w14:textId="77777777" w:rsidR="00AF5AFD" w:rsidRPr="00726CF9" w:rsidRDefault="00AF5AFD" w:rsidP="00AF5AFD">
      <w:pPr>
        <w:rPr>
          <w:rFonts w:ascii="Times New Roman" w:eastAsia="Times New Roman" w:hAnsi="Times New Roman" w:cs="Times New Roman"/>
          <w:lang w:eastAsia="en-GB"/>
        </w:rPr>
      </w:pPr>
      <w:r w:rsidRPr="00726CF9">
        <w:t xml:space="preserve">This work was supported by an Innovator Grant from the Wellcome Trust </w:t>
      </w:r>
      <w:r>
        <w:t xml:space="preserve">to RP and NG </w:t>
      </w:r>
      <w:r w:rsidRPr="00726CF9">
        <w:t xml:space="preserve">(208938/Z/17/Z) and an institutional MRC Confidence in Concepts award </w:t>
      </w:r>
      <w:r w:rsidRPr="00726CF9">
        <w:rPr>
          <w:rFonts w:ascii="Calibri" w:eastAsia="Times New Roman" w:hAnsi="Calibri" w:cs="Calibri"/>
          <w:color w:val="000000"/>
          <w:lang w:eastAsia="en-GB"/>
        </w:rPr>
        <w:t>2017-18 MM9 MC_PC_17167</w:t>
      </w:r>
      <w:r w:rsidRPr="00726CF9">
        <w:rPr>
          <w:rFonts w:cs="Arial"/>
        </w:rPr>
        <w:t xml:space="preserve">. Also, by the Biotechnology and Biological Sciences Research Council grant BBF0083091 (A. Dell and S.M. Haslam), MRC MC UU 12014/8 and </w:t>
      </w:r>
      <w:r w:rsidRPr="00726CF9">
        <w:rPr>
          <w:rFonts w:ascii="Calibri" w:eastAsia="Times New Roman" w:hAnsi="Calibri" w:cs="Calibri"/>
          <w:color w:val="000000"/>
          <w:lang w:eastAsia="en-GB"/>
        </w:rPr>
        <w:t>MC</w:t>
      </w:r>
      <w:r>
        <w:rPr>
          <w:rFonts w:ascii="Calibri" w:eastAsia="Times New Roman" w:hAnsi="Calibri" w:cs="Calibri"/>
          <w:color w:val="000000"/>
          <w:lang w:eastAsia="en-GB"/>
        </w:rPr>
        <w:t xml:space="preserve"> </w:t>
      </w:r>
      <w:r w:rsidRPr="00726CF9">
        <w:rPr>
          <w:rFonts w:ascii="Calibri" w:eastAsia="Times New Roman" w:hAnsi="Calibri" w:cs="Calibri"/>
          <w:color w:val="000000"/>
          <w:lang w:eastAsia="en-GB"/>
        </w:rPr>
        <w:t>UU</w:t>
      </w:r>
      <w:r>
        <w:rPr>
          <w:rFonts w:ascii="Calibri" w:eastAsia="Times New Roman" w:hAnsi="Calibri" w:cs="Calibri"/>
          <w:color w:val="000000"/>
          <w:lang w:eastAsia="en-GB"/>
        </w:rPr>
        <w:t xml:space="preserve"> </w:t>
      </w:r>
      <w:r w:rsidRPr="00726CF9">
        <w:rPr>
          <w:rFonts w:ascii="Calibri" w:eastAsia="Times New Roman" w:hAnsi="Calibri" w:cs="Calibri"/>
          <w:color w:val="000000"/>
          <w:lang w:eastAsia="en-GB"/>
        </w:rPr>
        <w:t>12014/12</w:t>
      </w:r>
      <w:r w:rsidRPr="00726CF9">
        <w:rPr>
          <w:rFonts w:ascii="Times New Roman" w:eastAsia="Times New Roman" w:hAnsi="Times New Roman" w:cs="Times New Roman"/>
          <w:lang w:eastAsia="en-GB"/>
        </w:rPr>
        <w:t xml:space="preserve"> </w:t>
      </w:r>
      <w:r w:rsidRPr="00726CF9">
        <w:rPr>
          <w:rFonts w:cs="Arial"/>
        </w:rPr>
        <w:t>(A. Kohl</w:t>
      </w:r>
      <w:r>
        <w:rPr>
          <w:rFonts w:cs="Arial"/>
        </w:rPr>
        <w:t xml:space="preserve"> and</w:t>
      </w:r>
      <w:r w:rsidRPr="00726CF9">
        <w:rPr>
          <w:rFonts w:cs="Arial"/>
        </w:rPr>
        <w:t xml:space="preserve"> Q. Gu</w:t>
      </w:r>
      <w:r>
        <w:rPr>
          <w:rFonts w:cs="Arial"/>
        </w:rPr>
        <w:t>, A. Filipe.</w:t>
      </w:r>
      <w:r w:rsidRPr="00726CF9">
        <w:rPr>
          <w:rFonts w:cs="Arial"/>
        </w:rPr>
        <w:t xml:space="preserve"> respectively) and by grants (31670722, 31971151, and 81627801) from the National Science Foundation of China (D.M.C). </w:t>
      </w:r>
      <w:r w:rsidRPr="00726CF9">
        <w:rPr>
          <w:rFonts w:cstheme="minorHAnsi"/>
        </w:rPr>
        <w:t xml:space="preserve">We thank Abzena PLC for manufacturing the molecules described and for providing the data shown in Fig. S1. </w:t>
      </w:r>
    </w:p>
    <w:p w14:paraId="2846E11A" w14:textId="77777777" w:rsidR="00AF5AFD" w:rsidRDefault="00AF5AFD" w:rsidP="006F112F">
      <w:pPr>
        <w:spacing w:line="360" w:lineRule="auto"/>
        <w:rPr>
          <w:rFonts w:cs="Arial"/>
          <w:b/>
          <w:bCs/>
        </w:rPr>
      </w:pPr>
    </w:p>
    <w:p w14:paraId="7A928AAA" w14:textId="66E63332" w:rsidR="00E171F4" w:rsidRPr="00E171F4" w:rsidRDefault="00E171F4" w:rsidP="006F112F">
      <w:pPr>
        <w:spacing w:line="360" w:lineRule="auto"/>
        <w:rPr>
          <w:rFonts w:cs="Arial"/>
          <w:b/>
          <w:bCs/>
        </w:rPr>
      </w:pPr>
      <w:r w:rsidRPr="00E171F4">
        <w:rPr>
          <w:rFonts w:cs="Arial"/>
          <w:b/>
          <w:bCs/>
        </w:rPr>
        <w:lastRenderedPageBreak/>
        <w:t>Abstract</w:t>
      </w:r>
    </w:p>
    <w:p w14:paraId="12E3A92B" w14:textId="421249AB" w:rsidR="00E171F4" w:rsidRDefault="00E171F4" w:rsidP="006F112F">
      <w:pPr>
        <w:spacing w:line="360" w:lineRule="auto"/>
        <w:rPr>
          <w:rFonts w:cs="Arial"/>
        </w:rPr>
      </w:pPr>
      <w:r>
        <w:rPr>
          <w:rFonts w:cs="Arial"/>
        </w:rPr>
        <w:t xml:space="preserve">Intravenous </w:t>
      </w:r>
      <w:r w:rsidR="00160F2A" w:rsidRPr="00160F2A">
        <w:rPr>
          <w:rFonts w:cs="Arial"/>
        </w:rPr>
        <w:t>immunoglobulin</w:t>
      </w:r>
      <w:r w:rsidR="00D74019">
        <w:rPr>
          <w:rFonts w:cs="Arial"/>
        </w:rPr>
        <w:t xml:space="preserve"> (IVIG)</w:t>
      </w:r>
      <w:r w:rsidR="00160F2A">
        <w:rPr>
          <w:rFonts w:cs="Arial"/>
        </w:rPr>
        <w:t xml:space="preserve"> </w:t>
      </w:r>
      <w:r>
        <w:rPr>
          <w:rFonts w:cs="Arial"/>
        </w:rPr>
        <w:t>is an established treatment for numerous autoimmune conditions. Although Fc</w:t>
      </w:r>
      <w:r w:rsidR="008C2A6F">
        <w:rPr>
          <w:rFonts w:cs="Arial"/>
        </w:rPr>
        <w:t xml:space="preserve"> </w:t>
      </w:r>
      <w:r>
        <w:rPr>
          <w:rFonts w:cs="Arial"/>
        </w:rPr>
        <w:t xml:space="preserve">fragments derived from IVIG have shown efficacy in controlling </w:t>
      </w:r>
      <w:r w:rsidR="00D74019">
        <w:rPr>
          <w:rFonts w:cs="Arial"/>
        </w:rPr>
        <w:t>immune thrombocytopenia (</w:t>
      </w:r>
      <w:r>
        <w:rPr>
          <w:rFonts w:cs="Arial"/>
        </w:rPr>
        <w:t>ITP</w:t>
      </w:r>
      <w:r w:rsidR="00D74019">
        <w:rPr>
          <w:rFonts w:cs="Arial"/>
        </w:rPr>
        <w:t>)</w:t>
      </w:r>
      <w:r>
        <w:rPr>
          <w:rFonts w:cs="Arial"/>
        </w:rPr>
        <w:t xml:space="preserve"> in children, the mechanisms of action are</w:t>
      </w:r>
      <w:r w:rsidR="00002EA7">
        <w:rPr>
          <w:rFonts w:cs="Arial"/>
        </w:rPr>
        <w:t xml:space="preserve"> unclear and controversial. The aim of this study is to dissect IVIG effector mechanisms </w:t>
      </w:r>
      <w:r w:rsidR="00002EA7" w:rsidRPr="00863330">
        <w:rPr>
          <w:rFonts w:cs="Arial"/>
        </w:rPr>
        <w:t xml:space="preserve">using </w:t>
      </w:r>
      <w:r w:rsidR="0022057E" w:rsidRPr="00F46025">
        <w:rPr>
          <w:rFonts w:cs="Arial"/>
        </w:rPr>
        <w:t>further adapted</w:t>
      </w:r>
      <w:r w:rsidR="0022057E">
        <w:rPr>
          <w:rFonts w:cs="Arial"/>
        </w:rPr>
        <w:t xml:space="preserve"> </w:t>
      </w:r>
      <w:r w:rsidR="00002EA7" w:rsidRPr="00863330">
        <w:rPr>
          <w:rFonts w:cs="Arial"/>
        </w:rPr>
        <w:t>Fc</w:t>
      </w:r>
      <w:r w:rsidR="008C2A6F">
        <w:rPr>
          <w:rFonts w:cs="Arial"/>
        </w:rPr>
        <w:t xml:space="preserve"> </w:t>
      </w:r>
      <w:r w:rsidR="00002EA7" w:rsidRPr="00863330">
        <w:rPr>
          <w:rFonts w:cs="Arial"/>
        </w:rPr>
        <w:t xml:space="preserve">fragments on demyelination in an </w:t>
      </w:r>
      <w:r w:rsidR="00002EA7" w:rsidRPr="00D74019">
        <w:rPr>
          <w:rFonts w:cs="Arial"/>
          <w:i/>
          <w:iCs/>
        </w:rPr>
        <w:t xml:space="preserve">ex vivo </w:t>
      </w:r>
      <w:r w:rsidR="00002EA7" w:rsidRPr="00863330">
        <w:rPr>
          <w:rFonts w:cs="Arial"/>
        </w:rPr>
        <w:t>model of the central nervous system (CNS)-immune interface.</w:t>
      </w:r>
      <w:r w:rsidR="00863330">
        <w:rPr>
          <w:rFonts w:cs="Arial"/>
        </w:rPr>
        <w:t xml:space="preserve"> </w:t>
      </w:r>
      <w:r w:rsidR="00863330" w:rsidRPr="00863330">
        <w:rPr>
          <w:rFonts w:eastAsia="Times New Roman" w:cstheme="minorHAnsi"/>
          <w:color w:val="000000"/>
          <w:shd w:val="clear" w:color="auto" w:fill="FFFFFF"/>
          <w:lang w:eastAsia="en-GB"/>
        </w:rPr>
        <w:t xml:space="preserve">Using organotypic cerebellar slice cultures (OSC) from transgenic mice we induced extensive immune-mediated demyelination and oligodendrocyte loss with an antibody specific for myelin oligodendrocyte glycoprotein (MOG) and complement. Protective effects </w:t>
      </w:r>
      <w:r w:rsidR="00863330" w:rsidRPr="00F46025">
        <w:rPr>
          <w:rFonts w:eastAsia="Times New Roman" w:cstheme="minorHAnsi"/>
          <w:color w:val="000000"/>
          <w:shd w:val="clear" w:color="auto" w:fill="FFFFFF"/>
          <w:lang w:eastAsia="en-GB"/>
        </w:rPr>
        <w:t xml:space="preserve">of </w:t>
      </w:r>
      <w:r w:rsidR="0022057E" w:rsidRPr="00F46025">
        <w:rPr>
          <w:rFonts w:eastAsia="Times New Roman" w:cstheme="minorHAnsi"/>
          <w:color w:val="000000"/>
          <w:shd w:val="clear" w:color="auto" w:fill="FFFFFF"/>
          <w:lang w:eastAsia="en-GB"/>
        </w:rPr>
        <w:t xml:space="preserve">adapted </w:t>
      </w:r>
      <w:r w:rsidR="00863330" w:rsidRPr="00F46025">
        <w:rPr>
          <w:rFonts w:eastAsia="Times New Roman" w:cstheme="minorHAnsi"/>
          <w:color w:val="000000"/>
          <w:shd w:val="clear" w:color="auto" w:fill="FFFFFF"/>
          <w:lang w:eastAsia="en-GB"/>
        </w:rPr>
        <w:t>Fc</w:t>
      </w:r>
      <w:r w:rsidR="008C2A6F">
        <w:rPr>
          <w:rFonts w:eastAsia="Times New Roman" w:cstheme="minorHAnsi"/>
          <w:color w:val="000000"/>
          <w:shd w:val="clear" w:color="auto" w:fill="FFFFFF"/>
          <w:lang w:eastAsia="en-GB"/>
        </w:rPr>
        <w:t xml:space="preserve"> </w:t>
      </w:r>
      <w:r w:rsidR="00863330">
        <w:rPr>
          <w:rFonts w:eastAsia="Times New Roman" w:cstheme="minorHAnsi"/>
          <w:color w:val="000000"/>
          <w:shd w:val="clear" w:color="auto" w:fill="FFFFFF"/>
          <w:lang w:eastAsia="en-GB"/>
        </w:rPr>
        <w:t xml:space="preserve">fragments </w:t>
      </w:r>
      <w:r w:rsidR="00863330" w:rsidRPr="00863330">
        <w:rPr>
          <w:rFonts w:eastAsia="Times New Roman" w:cstheme="minorHAnsi"/>
          <w:color w:val="000000"/>
          <w:shd w:val="clear" w:color="auto" w:fill="FFFFFF"/>
          <w:lang w:eastAsia="en-GB"/>
        </w:rPr>
        <w:t>were assessed by live imaging of GFP expression, immunohistochemistry</w:t>
      </w:r>
      <w:r w:rsidR="00B16095">
        <w:rPr>
          <w:rFonts w:eastAsia="Times New Roman" w:cstheme="minorHAnsi"/>
          <w:color w:val="000000"/>
          <w:shd w:val="clear" w:color="auto" w:fill="FFFFFF"/>
          <w:lang w:eastAsia="en-GB"/>
        </w:rPr>
        <w:t xml:space="preserve"> and confocal microscopy</w:t>
      </w:r>
      <w:r w:rsidR="00863330" w:rsidRPr="00863330">
        <w:rPr>
          <w:rFonts w:eastAsia="Times New Roman" w:cstheme="minorHAnsi"/>
          <w:color w:val="000000"/>
          <w:shd w:val="clear" w:color="auto" w:fill="FFFFFF"/>
          <w:lang w:eastAsia="en-GB"/>
        </w:rPr>
        <w:t>.</w:t>
      </w:r>
      <w:r w:rsidR="008C6DCC">
        <w:rPr>
          <w:rFonts w:cs="Arial"/>
        </w:rPr>
        <w:t xml:space="preserve"> </w:t>
      </w:r>
      <w:r w:rsidR="005464B7">
        <w:rPr>
          <w:rFonts w:cs="Arial"/>
        </w:rPr>
        <w:t xml:space="preserve"> </w:t>
      </w:r>
      <w:r w:rsidR="0022057E">
        <w:rPr>
          <w:rFonts w:cs="Arial"/>
        </w:rPr>
        <w:t xml:space="preserve">Cysteine and glycan adapted </w:t>
      </w:r>
      <w:r w:rsidR="005464B7">
        <w:rPr>
          <w:rFonts w:cs="Arial"/>
        </w:rPr>
        <w:t>Fc</w:t>
      </w:r>
      <w:r w:rsidR="008C2A6F">
        <w:rPr>
          <w:rFonts w:cs="Arial"/>
        </w:rPr>
        <w:t xml:space="preserve"> </w:t>
      </w:r>
      <w:r w:rsidR="005464B7">
        <w:rPr>
          <w:rFonts w:cs="Arial"/>
        </w:rPr>
        <w:t>fragments</w:t>
      </w:r>
      <w:r w:rsidR="0022057E">
        <w:rPr>
          <w:rFonts w:cs="Arial"/>
        </w:rPr>
        <w:t xml:space="preserve"> </w:t>
      </w:r>
      <w:r w:rsidR="005464B7">
        <w:rPr>
          <w:rFonts w:cs="Arial"/>
        </w:rPr>
        <w:t xml:space="preserve">protected OSC from demyelination in a dose-dependent manner where equimolar concentrations of either IVIG or control Fc were ineffective. </w:t>
      </w:r>
      <w:r w:rsidR="00794A3A">
        <w:rPr>
          <w:rFonts w:cs="Arial"/>
        </w:rPr>
        <w:t>The p</w:t>
      </w:r>
      <w:r w:rsidR="005464B7">
        <w:rPr>
          <w:rFonts w:cs="Arial"/>
        </w:rPr>
        <w:t xml:space="preserve">rotective effects of </w:t>
      </w:r>
      <w:r w:rsidR="0022057E">
        <w:rPr>
          <w:rFonts w:cs="Arial"/>
        </w:rPr>
        <w:t xml:space="preserve">the adapted </w:t>
      </w:r>
      <w:r w:rsidR="00794A3A">
        <w:rPr>
          <w:rFonts w:cs="Arial"/>
        </w:rPr>
        <w:t>Fc</w:t>
      </w:r>
      <w:r w:rsidR="008C2A6F">
        <w:rPr>
          <w:rFonts w:cs="Arial"/>
        </w:rPr>
        <w:t xml:space="preserve"> </w:t>
      </w:r>
      <w:r w:rsidR="00794A3A">
        <w:rPr>
          <w:rFonts w:cs="Arial"/>
        </w:rPr>
        <w:t>fragments are partly attributed to interference with complement-mediated olig</w:t>
      </w:r>
      <w:r w:rsidR="00F02349">
        <w:rPr>
          <w:rFonts w:cs="Arial"/>
        </w:rPr>
        <w:t>o</w:t>
      </w:r>
      <w:r w:rsidR="00794A3A">
        <w:rPr>
          <w:rFonts w:cs="Arial"/>
        </w:rPr>
        <w:t>dendroglia damage</w:t>
      </w:r>
      <w:r w:rsidR="00794A3A" w:rsidRPr="00F62FB0">
        <w:rPr>
          <w:rFonts w:cs="Arial"/>
          <w:color w:val="000000" w:themeColor="text1"/>
        </w:rPr>
        <w:t xml:space="preserve">. </w:t>
      </w:r>
      <w:r w:rsidR="00CF0606" w:rsidRPr="00E9018E">
        <w:rPr>
          <w:rFonts w:cs="Arial"/>
          <w:color w:val="000000" w:themeColor="text1"/>
        </w:rPr>
        <w:t>Transcriptome</w:t>
      </w:r>
      <w:r w:rsidR="00CF0606" w:rsidRPr="00F62FB0">
        <w:rPr>
          <w:rFonts w:cs="Arial"/>
          <w:color w:val="000000" w:themeColor="text1"/>
        </w:rPr>
        <w:t xml:space="preserve"> analysis ruled out signatures associated with inflammatory or innate immune responses</w:t>
      </w:r>
      <w:r w:rsidR="00CF0606">
        <w:rPr>
          <w:rFonts w:cs="Arial"/>
        </w:rPr>
        <w:t>.</w:t>
      </w:r>
      <w:r w:rsidR="008C6DCC">
        <w:rPr>
          <w:rFonts w:cs="Arial"/>
        </w:rPr>
        <w:t xml:space="preserve"> </w:t>
      </w:r>
      <w:r w:rsidR="0011728C">
        <w:rPr>
          <w:rFonts w:cs="Arial"/>
        </w:rPr>
        <w:t xml:space="preserve">Taken together </w:t>
      </w:r>
      <w:r w:rsidR="00794A3A">
        <w:rPr>
          <w:rFonts w:cs="Arial"/>
        </w:rPr>
        <w:t xml:space="preserve">our findings </w:t>
      </w:r>
      <w:r w:rsidR="0011728C">
        <w:rPr>
          <w:rFonts w:cs="Arial"/>
        </w:rPr>
        <w:t>show that recombinant biomimetics can be made that are at least</w:t>
      </w:r>
      <w:r w:rsidR="00E00F1A">
        <w:rPr>
          <w:rFonts w:cs="Arial"/>
        </w:rPr>
        <w:t xml:space="preserve"> </w:t>
      </w:r>
      <w:r w:rsidR="00B16095">
        <w:rPr>
          <w:rFonts w:cs="Arial"/>
        </w:rPr>
        <w:t>two</w:t>
      </w:r>
      <w:r w:rsidR="00610665">
        <w:rPr>
          <w:rFonts w:cs="Arial"/>
        </w:rPr>
        <w:t xml:space="preserve"> </w:t>
      </w:r>
      <w:r w:rsidR="0011728C">
        <w:rPr>
          <w:rFonts w:cs="Arial"/>
        </w:rPr>
        <w:t>hundred</w:t>
      </w:r>
      <w:r w:rsidR="00610665">
        <w:rPr>
          <w:rFonts w:cs="Arial"/>
        </w:rPr>
        <w:t>-</w:t>
      </w:r>
      <w:r w:rsidR="0011728C">
        <w:rPr>
          <w:rFonts w:cs="Arial"/>
        </w:rPr>
        <w:t>fold more effective than IVIG in controlling demyelination by anti-MOG antibodies</w:t>
      </w:r>
      <w:r w:rsidR="00794A3A">
        <w:rPr>
          <w:rFonts w:cs="Arial"/>
        </w:rPr>
        <w:t>.</w:t>
      </w:r>
    </w:p>
    <w:p w14:paraId="42DD812E" w14:textId="77777777" w:rsidR="00794A3A" w:rsidRDefault="00794A3A" w:rsidP="006F112F">
      <w:pPr>
        <w:spacing w:line="360" w:lineRule="auto"/>
        <w:rPr>
          <w:rFonts w:cs="Arial"/>
        </w:rPr>
      </w:pPr>
    </w:p>
    <w:p w14:paraId="46B1A225" w14:textId="77777777" w:rsidR="00794A3A" w:rsidRDefault="00794A3A" w:rsidP="006F112F">
      <w:pPr>
        <w:spacing w:line="360" w:lineRule="auto"/>
        <w:rPr>
          <w:rFonts w:cs="Arial"/>
        </w:rPr>
      </w:pPr>
    </w:p>
    <w:p w14:paraId="27A63684" w14:textId="77777777" w:rsidR="00794A3A" w:rsidRDefault="00794A3A" w:rsidP="006F112F">
      <w:pPr>
        <w:spacing w:line="360" w:lineRule="auto"/>
        <w:rPr>
          <w:rFonts w:cs="Arial"/>
        </w:rPr>
      </w:pPr>
    </w:p>
    <w:p w14:paraId="2E862DF6" w14:textId="77777777" w:rsidR="00794A3A" w:rsidRDefault="00794A3A" w:rsidP="006F112F">
      <w:pPr>
        <w:spacing w:line="360" w:lineRule="auto"/>
        <w:rPr>
          <w:rFonts w:cs="Arial"/>
        </w:rPr>
      </w:pPr>
    </w:p>
    <w:p w14:paraId="6C9DFF32" w14:textId="77777777" w:rsidR="00794A3A" w:rsidRDefault="00794A3A" w:rsidP="006F112F">
      <w:pPr>
        <w:spacing w:line="360" w:lineRule="auto"/>
        <w:rPr>
          <w:rFonts w:cs="Arial"/>
        </w:rPr>
      </w:pPr>
    </w:p>
    <w:p w14:paraId="04541049" w14:textId="77777777" w:rsidR="00794A3A" w:rsidRDefault="00794A3A" w:rsidP="006F112F">
      <w:pPr>
        <w:spacing w:line="360" w:lineRule="auto"/>
        <w:rPr>
          <w:rFonts w:cs="Arial"/>
        </w:rPr>
      </w:pPr>
    </w:p>
    <w:p w14:paraId="28018262" w14:textId="77777777" w:rsidR="00794A3A" w:rsidRDefault="00794A3A" w:rsidP="006F112F">
      <w:pPr>
        <w:spacing w:line="360" w:lineRule="auto"/>
        <w:rPr>
          <w:rFonts w:cs="Arial"/>
        </w:rPr>
      </w:pPr>
    </w:p>
    <w:p w14:paraId="5CF3B67A" w14:textId="77777777" w:rsidR="00794A3A" w:rsidRDefault="00794A3A" w:rsidP="006F112F">
      <w:pPr>
        <w:spacing w:line="360" w:lineRule="auto"/>
        <w:rPr>
          <w:rFonts w:cs="Arial"/>
        </w:rPr>
      </w:pPr>
    </w:p>
    <w:p w14:paraId="0CAC4E19" w14:textId="77777777" w:rsidR="00794A3A" w:rsidRDefault="00794A3A" w:rsidP="006F112F">
      <w:pPr>
        <w:spacing w:line="360" w:lineRule="auto"/>
        <w:rPr>
          <w:rFonts w:cs="Arial"/>
        </w:rPr>
      </w:pPr>
    </w:p>
    <w:p w14:paraId="493CDE83" w14:textId="77777777" w:rsidR="00794A3A" w:rsidRDefault="00794A3A" w:rsidP="006F112F">
      <w:pPr>
        <w:spacing w:line="360" w:lineRule="auto"/>
        <w:rPr>
          <w:rFonts w:cs="Arial"/>
        </w:rPr>
      </w:pPr>
    </w:p>
    <w:p w14:paraId="3F3121BB" w14:textId="77777777" w:rsidR="00794A3A" w:rsidRDefault="00794A3A" w:rsidP="006F112F">
      <w:pPr>
        <w:spacing w:line="360" w:lineRule="auto"/>
        <w:rPr>
          <w:rFonts w:cs="Arial"/>
        </w:rPr>
      </w:pPr>
    </w:p>
    <w:p w14:paraId="6A22B1C7" w14:textId="3EA1F69D" w:rsidR="00B16095" w:rsidRDefault="00B16095" w:rsidP="006F112F">
      <w:pPr>
        <w:spacing w:line="360" w:lineRule="auto"/>
        <w:rPr>
          <w:rFonts w:cstheme="minorHAnsi"/>
          <w:b/>
          <w:bCs/>
        </w:rPr>
      </w:pPr>
    </w:p>
    <w:p w14:paraId="667ECBAF" w14:textId="5949D70D" w:rsidR="000F2966" w:rsidRDefault="000F2966" w:rsidP="006F112F">
      <w:pPr>
        <w:spacing w:line="360" w:lineRule="auto"/>
        <w:rPr>
          <w:rFonts w:cstheme="minorHAnsi"/>
          <w:b/>
          <w:bCs/>
        </w:rPr>
      </w:pPr>
    </w:p>
    <w:p w14:paraId="00CBE1DF" w14:textId="1963A407" w:rsidR="000F2966" w:rsidRDefault="000F2966" w:rsidP="006F112F">
      <w:pPr>
        <w:spacing w:line="360" w:lineRule="auto"/>
        <w:rPr>
          <w:rFonts w:cstheme="minorHAnsi"/>
          <w:b/>
          <w:bCs/>
        </w:rPr>
      </w:pPr>
    </w:p>
    <w:p w14:paraId="1E9850B9" w14:textId="77777777" w:rsidR="000F2966" w:rsidRDefault="000F2966" w:rsidP="006F112F">
      <w:pPr>
        <w:spacing w:line="360" w:lineRule="auto"/>
        <w:rPr>
          <w:rFonts w:cstheme="minorHAnsi"/>
          <w:b/>
          <w:bCs/>
        </w:rPr>
      </w:pPr>
    </w:p>
    <w:p w14:paraId="1014CD9B" w14:textId="374E283E" w:rsidR="00E171F4" w:rsidRPr="00403721" w:rsidRDefault="00794A3A" w:rsidP="006F112F">
      <w:pPr>
        <w:spacing w:line="360" w:lineRule="auto"/>
        <w:rPr>
          <w:rFonts w:cstheme="minorHAnsi"/>
          <w:b/>
          <w:bCs/>
        </w:rPr>
      </w:pPr>
      <w:r w:rsidRPr="00A92B5B">
        <w:rPr>
          <w:rFonts w:cstheme="minorHAnsi"/>
          <w:b/>
          <w:bCs/>
        </w:rPr>
        <w:lastRenderedPageBreak/>
        <w:t>Introduction</w:t>
      </w:r>
    </w:p>
    <w:p w14:paraId="092067B0" w14:textId="0BE5DE8E" w:rsidR="0062055E" w:rsidRDefault="00F02349" w:rsidP="00B959D7">
      <w:pPr>
        <w:pStyle w:val="NormalWeb"/>
        <w:spacing w:before="75" w:beforeAutospacing="0" w:after="240" w:afterAutospacing="0" w:line="360" w:lineRule="auto"/>
        <w:rPr>
          <w:rFonts w:asciiTheme="minorHAnsi" w:hAnsiTheme="minorHAnsi" w:cstheme="minorHAnsi"/>
          <w:color w:val="1C1D1E"/>
        </w:rPr>
      </w:pPr>
      <w:r w:rsidRPr="00F02349">
        <w:rPr>
          <w:rFonts w:asciiTheme="minorHAnsi" w:hAnsiTheme="minorHAnsi" w:cstheme="minorHAnsi"/>
          <w:color w:val="1C1D1E"/>
        </w:rPr>
        <w:t xml:space="preserve">Clinical trials have established </w:t>
      </w:r>
      <w:r w:rsidR="00CE4794">
        <w:rPr>
          <w:rFonts w:asciiTheme="minorHAnsi" w:hAnsiTheme="minorHAnsi" w:cstheme="minorHAnsi"/>
          <w:color w:val="1C1D1E"/>
        </w:rPr>
        <w:t>i</w:t>
      </w:r>
      <w:r w:rsidRPr="00F02349">
        <w:rPr>
          <w:rFonts w:asciiTheme="minorHAnsi" w:hAnsiTheme="minorHAnsi" w:cstheme="minorHAnsi"/>
          <w:color w:val="1C1D1E"/>
        </w:rPr>
        <w:t>ntravenous immunoglobulin (IVIG) as a well‐tolerated, effective drug for the treatment of a wide variety of diseases, ranging from immunodeficiency to autoimmunity</w:t>
      </w:r>
      <w:r w:rsidR="00A92B5B">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{"citationItems":[{"id":"ITEM-1","itemData":{"DOI":"10.1016/j.jaci.2006.01.015","ISBN":"0091-6749","ISSN":"00916749","PMID":"16580469","abstract":"Human immunoglobulin prepared for intravenous administration (IGIV) has a number of important uses in the treatment of disease. Some of these are in diseases for which acceptable treatment alternatives do not exist. In this review we have evaluated the evidence underlying a wide variety of IGIV uses and make specific recommendations on the basis of these data. Given the potential risks and inherent scarcity of IGIV, careful consideration of the indications for and administration of IGIV is warranted.","author":[{"dropping-particle":"","family":"Orange","given":"Jordan S.","non-dropping-particle":"","parse-names":false,"suffix":""},{"dropping-particle":"","family":"Hossny","given":"Elham M.","non-dropping-particle":"","parse-names":false,"suffix":""},{"dropping-particle":"","family":"Weiler","given":"Catherine R.","non-dropping-particle":"","parse-names":false,"suffix":""},{"dropping-particle":"","family":"Ballow","given":"Mark","non-dropping-particle":"","parse-names":false,"suffix":""},{"dropping-particle":"","family":"Berger","given":"Melvin","non-dropping-particle":"","parse-names":false,"suffix":""},{"dropping-particle":"","family":"Bonilla","given":"Francisco a.","non-dropping-particle":"","parse-names":false,"suffix":""},{"dropping-particle":"","family":"Buckley","given":"Rebecca","non-dropping-particle":"","parse-names":false,"suffix":""},{"dropping-particle":"","family":"Chinen","given":"Javier","non-dropping-particle":"","parse-names":false,"suffix":""},{"dropping-particle":"","family":"El-Gamal","given":"Yehia","non-dropping-particle":"","parse-names":false,"suffix":""},{"dropping-particle":"","family":"Mazer","given":"Bruce D.","non-dropping-particle":"","parse-names":false,"suffix":""},{"dropping-particle":"","family":"Nelson","given":"Robert P.","non-dropping-particle":"","parse-names":false,"suffix":""},{"dropping-particle":"","family":"Patel","given":"Dhavalkumar D.","non-dropping-particle":"","parse-names":false,"suffix":""},{"dropping-particle":"","family":"Secord","given":"Elizabeth","non-dropping-particle":"","parse-names":false,"suffix":""},{"dropping-particle":"","family":"Sorensen","given":"Ricardo U.","non-dropping-particle":"","parse-names":false,"suffix":""},{"dropping-particle":"","family":"Wasserman","given":"Richard L.","non-dropping-particle":"","parse-names":false,"suffix":""},{"dropping-particle":"","family":"Cunningham-Rundles","given":"Charlotte","non-dropping-particle":"","parse-names":false,"suffix":""}],"container-title":"Journal of Allergy and Clinical Immunology","id":"ITEM-1","issue":"4 SUPPL.","issued":{"date-parts":[["2006"]]},"page":"525-553","title":"Use of intravenous immunoglobulin in human disease: A review of evidence by members of the Primary Immunodeficiency Committee of the American Academy of Allergy, Asthma and Immunology","type":"article-journal","volume":"117"},"uris":["http://www.mendeley.com/documents/?uuid=d4d6448f-b1ee-45d8-9af1-2fc8991d6e63"]},{"id":"ITEM-2","itemData":{"DOI":"10.1038/nrneurol.2014.253","ISBN":"1759-4758","ISSN":"1759-4766","PMID":"25561275","abstract":"Intravenous immunoglobulin (IVIg)-a preparation of polyclonal serum IgG pooled from thousands of blood donors-has been used for nearly three decades, and is proving to be an efficient anti-inflammatory and immunomodulatory treatment for a growing number of neurological diseases. Evidence from controlled clinical trials has established IVIg as a first-line therapy for Guillain-Barré syndrome, chronic inflammatory demyelinating polyneuropathy and multifocal motor neuropathy. IVIg is also an effective rescue therapy in some patients with worsening myasthenia gravis, and is beneficial as a second-line therapy for dermatomyositis and stiff-person syndrome. IVIg has been tested in some neurodegenerative disorders, but a controlled study in Alzheimer disease yielded disappointing results. Despite its widespread use and therapeutic success, the mechanisms of action of IVIg are poorly understood. Several hypotheses, based on the function of either the variable or constant IgG fragments, have been proposed to explain IVIg's immunomodulatory activity. This Review highlights emerging data on the mechanisms of action of IVIg related to its anti-inflammatory activity, especially that involving the cellular Fcγ receptors and Fc glycosylation. We also summarize recent trials in neurological diseases, discuss potential biomarkers of efficacy, offer practical guidelines on administration, and provide a rationale for experimental trials in neuroinflammatory disorders.","author":[{"dropping-particle":"","family":"Lünemann","given":"Jan D","non-dropping-particle":"","parse-names":false,"suffix":""},{"dropping-particle":"","family":"Nimmerjahn","given":"Falk","non-dropping-particle":"","parse-names":false,"suffix":""},{"dropping-particle":"","family":"Dalakas","given":"Marinos C","non-dropping-particle":"","parse-names":false,"suffix":""}],"container-title":"Nature reviews. Neurology","id":"ITEM-2","issue":"2","issued":{"date-parts":[["2015"]]},"page":"80-9","title":"Intravenous immunoglobulin in neurology--mode of action and clinical efficacy.","type":"article-journal","volume":"11"},"uris":["http://www.mendeley.com/documents/?uuid=5ca4f3d1-6051-4f8a-bac7-6799203730c0"]},{"id":"ITEM-3","itemData":{"DOI":"10.1016/j.autrev.2016.03.018","ISSN":"15689972","author":[{"dropping-particle":"","family":"Zuercher","given":"Adrian W.","non-dropping-particle":"","parse-names":false,"suffix":""},{"dropping-particle":"","family":"Spirig","given":"Rolf","non-dropping-particle":"","parse-names":false,"suffix":""},{"dropping-particle":"","family":"Baz Morelli","given":"Adriana","non-dropping-particle":"","parse-names":false,"suffix":""},{"dropping-particle":"","family":"Käsermann","given":"Fabian","non-dropping-particle":"","parse-names":false,"suffix":""}],"container-title":"Autoimmunity Reviews","id":"ITEM-3","issued":{"date-parts":[["2016"]]},"publisher":"Elsevier B.V.","title":"IVIG in autoimmune disease — Potential next generation biologics","type":"article-journal"},"uris":["http://www.mendeley.com/documents/?uuid=f5695157-f19f-4199-bb1c-ef2d23308910"]}],"mendeley":{"formattedCitation":"(1–3)","plainTextFormattedCitation":"(1–3)","previouslyFormattedCitation":"(1–3)"},"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(1–3)</w:t>
      </w:r>
      <w:r w:rsidR="00AA1E20">
        <w:rPr>
          <w:rFonts w:asciiTheme="minorHAnsi" w:hAnsiTheme="minorHAnsi" w:cstheme="minorHAnsi"/>
          <w:color w:val="1C1D1E"/>
        </w:rPr>
        <w:fldChar w:fldCharType="end"/>
      </w:r>
      <w:r w:rsidRPr="00F02349">
        <w:rPr>
          <w:rFonts w:asciiTheme="minorHAnsi" w:hAnsiTheme="minorHAnsi" w:cstheme="minorHAnsi"/>
          <w:color w:val="1C1D1E"/>
        </w:rPr>
        <w:t xml:space="preserve">. In neurology, </w:t>
      </w:r>
      <w:r w:rsidR="00CE4794">
        <w:rPr>
          <w:rFonts w:asciiTheme="minorHAnsi" w:hAnsiTheme="minorHAnsi" w:cstheme="minorHAnsi"/>
          <w:color w:val="1C1D1E"/>
        </w:rPr>
        <w:t xml:space="preserve">high dose </w:t>
      </w:r>
      <w:r w:rsidRPr="00F02349">
        <w:rPr>
          <w:rFonts w:asciiTheme="minorHAnsi" w:hAnsiTheme="minorHAnsi" w:cstheme="minorHAnsi"/>
          <w:color w:val="1C1D1E"/>
        </w:rPr>
        <w:t>IVIG</w:t>
      </w:r>
      <w:r w:rsidR="00CE4794">
        <w:rPr>
          <w:rFonts w:asciiTheme="minorHAnsi" w:hAnsiTheme="minorHAnsi" w:cstheme="minorHAnsi"/>
          <w:color w:val="1C1D1E"/>
        </w:rPr>
        <w:t xml:space="preserve"> (1-2 g/kg)</w:t>
      </w:r>
      <w:r w:rsidRPr="00F02349">
        <w:rPr>
          <w:rFonts w:asciiTheme="minorHAnsi" w:hAnsiTheme="minorHAnsi" w:cstheme="minorHAnsi"/>
          <w:color w:val="1C1D1E"/>
        </w:rPr>
        <w:t xml:space="preserve"> serves as a mainstay therapy in immune‐mediated neuropathies</w:t>
      </w:r>
      <w:r w:rsidRPr="00F02349">
        <w:rPr>
          <w:rStyle w:val="apple-converted-space"/>
          <w:rFonts w:asciiTheme="minorHAnsi" w:hAnsiTheme="minorHAnsi" w:cstheme="minorHAnsi"/>
          <w:color w:val="1C1D1E"/>
        </w:rPr>
        <w:t> </w:t>
      </w:r>
      <w:r w:rsidRPr="00F02349">
        <w:rPr>
          <w:rFonts w:asciiTheme="minorHAnsi" w:hAnsiTheme="minorHAnsi" w:cstheme="minorHAnsi"/>
          <w:color w:val="1C1D1E"/>
        </w:rPr>
        <w:t>and has been shown to be equally effective as plasmapheresis in Guillain‐Barré Syndrome</w:t>
      </w:r>
      <w:r w:rsidRPr="00F02349">
        <w:rPr>
          <w:rStyle w:val="apple-converted-space"/>
          <w:rFonts w:asciiTheme="minorHAnsi" w:hAnsiTheme="minorHAnsi" w:cstheme="minorHAnsi"/>
          <w:color w:val="1C1D1E"/>
        </w:rPr>
        <w:t> </w:t>
      </w:r>
      <w:r w:rsidRPr="00F02349">
        <w:rPr>
          <w:rFonts w:asciiTheme="minorHAnsi" w:hAnsiTheme="minorHAnsi" w:cstheme="minorHAnsi"/>
          <w:color w:val="1C1D1E"/>
        </w:rPr>
        <w:t>and myasthenic crisis</w:t>
      </w:r>
      <w:r w:rsidR="00A92B5B">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{"citationItems":[{"id":"ITEM-1","itemData":{"DOI":"10.1038/nrneurol.2016.172","ISSN":"17594766","PMID":"27857121","abstract":"In 1916, Guillain, Barré and Strohl reported on two cases of acute flaccid paralysis with high cerebrospinal fluid protein levels and normal cell counts-novel findings that identified the disease we now know as Guillain-Barré syndrome (GBS). 100 years on, we have made great progress with the clinical and pathological characterization of GBS. Early clinicopathological and animal studies indicated that GBS was an immune-mediated demyelinating disorder, and that severe GBS could result in secondary axonal injury; the current treatments of plasma exchange and intravenous immunoglobulin, which were developed in the 1980s, are based on this premise. Subsequent work has, however, shown that primary axonal injury can be the underlying disease. The association of Campylobacter jejuni strains has led to confirmation that anti-ganglioside antibodies are pathogenic and that axonal GBS involves an antibody and complement-mediated disruption of nodes of Ranvier, neuromuscular junctions and other neuronal and glial membranes. Now, ongoing clinical trials of the complement inhibitor eculizumab are the first targeted immunotherapy in GBS.","author":[{"dropping-particle":"","family":"Goodfellow","given":"John A.","non-dropping-particle":"","parse-names":false,"suffix":""},{"dropping-particle":"","family":"Willison","given":"Hugh J.","non-dropping-particle":"","parse-names":false,"suffix":""}],"container-title":"Nature Reviews Neurology","id":"ITEM-1","issued":{"date-parts":[["2016"]]},"page":"723-731","title":"Guillain-Barré syndrome: A century of progress","type":"article-journal","volume":"12"},"uris":["http://www.mendeley.com/documents/?uuid=f3117c9f-351e-481a-be55-2d5f4a9e7f28"]}],"mendeley":{"formattedCitation":"(4)","plainTextFormattedCitation":"(4)","previouslyFormattedCitation":"(4)"},"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(4)</w:t>
      </w:r>
      <w:r w:rsidR="00AA1E20">
        <w:rPr>
          <w:rFonts w:asciiTheme="minorHAnsi" w:hAnsiTheme="minorHAnsi" w:cstheme="minorHAnsi"/>
          <w:color w:val="1C1D1E"/>
        </w:rPr>
        <w:fldChar w:fldCharType="end"/>
      </w:r>
      <w:r w:rsidRPr="00F02349">
        <w:rPr>
          <w:rFonts w:asciiTheme="minorHAnsi" w:hAnsiTheme="minorHAnsi" w:cstheme="minorHAnsi"/>
          <w:color w:val="1C1D1E"/>
        </w:rPr>
        <w:t xml:space="preserve">. More recently, IVIG has gained some attention as a treatment option for special forms of inflammatory CNS conditions, which are characterized by pathognomonic autoantibody signatures such as neuromyelitis </w:t>
      </w:r>
      <w:proofErr w:type="spellStart"/>
      <w:r w:rsidRPr="00F02349">
        <w:rPr>
          <w:rFonts w:asciiTheme="minorHAnsi" w:hAnsiTheme="minorHAnsi" w:cstheme="minorHAnsi"/>
          <w:color w:val="1C1D1E"/>
        </w:rPr>
        <w:t>optica</w:t>
      </w:r>
      <w:proofErr w:type="spellEnd"/>
      <w:r w:rsidR="00B70BBD">
        <w:rPr>
          <w:rFonts w:asciiTheme="minorHAnsi" w:hAnsiTheme="minorHAnsi" w:cstheme="minorHAnsi"/>
          <w:color w:val="1C1D1E"/>
        </w:rPr>
        <w:t xml:space="preserve"> and chronic inflammatory demyelinating polyneuropathy</w:t>
      </w:r>
      <w:r w:rsidR="00A92B5B">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{"citationItems":[{"id":"ITEM-1","itemData":{"DOI":"10.1177/1352458513495938","ISSN":"14770970","abstract":"Prompt treatment of neuromyelitis optica (NMO) relapses with steroids or plasma exchange (PLEX) often prevents irreversible disability. The objective of this study is to report the use of intravenous immunoglobulins (IVIG) as treatment for acute relapses in NMO. A retrospective review of 10 patients treated with IVIG for acute relapses was conducted. IVIG was used in the majority of cases because of lack of response to steroids with/without PLEX. Improvement was noted in five of 11 (45.5%) events; the remaining had no further worsening. One patient, a 79-year-old woman, had a myocardial infarction seven days after IVIG. IVIG may have a role in treating acute NMO relapses. © The Author(s) 2013.","author":[{"dropping-particle":"","family":"Elsone","given":"Liene","non-dropping-particle":"","parse-names":false,"suffix":""},{"dropping-particle":"","family":"Panicker","given":"Jay","non-dropping-particle":"","parse-names":false,"suffix":""},{"dropping-particle":"","family":"Mutch","given":"Kerry","non-dropping-particle":"","parse-names":false,"suffix":""},{"dropping-particle":"","family":"Boggild","given":"Mike","non-dropping-particle":"","parse-names":false,"suffix":""},{"dropping-particle":"","family":"Appleton","given":"Richard","non-dropping-particle":"","parse-names":false,"suffix":""},{"dropping-particle":"","family":"Jacob","given":"Anu","non-dropping-particle":"","parse-names":false,"suffix":""}],"container-title":"Multiple Sclerosis Journal","id":"ITEM-1","issued":{"date-parts":[["2014"]]},"page":"501-504","title":"Role of intravenous immunoglobulin in the treatment of acute relapses of neuromyelitis optica: Experience in 10 patients","type":"article-journal","volume":"20"},"uris":["http://www.mendeley.com/documents/?uuid=dcb80f30-0cac-47e5-aee2-86f76a09cee9"]}],"mendeley":{"formattedCitation":"(5)","plainTextFormattedCitation":"(5)","previouslyFormattedCitation":"(5)"},"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(5)</w:t>
      </w:r>
      <w:r w:rsidR="00AA1E20">
        <w:rPr>
          <w:rFonts w:asciiTheme="minorHAnsi" w:hAnsiTheme="minorHAnsi" w:cstheme="minorHAnsi"/>
          <w:color w:val="1C1D1E"/>
        </w:rPr>
        <w:fldChar w:fldCharType="end"/>
      </w:r>
      <w:r w:rsidRPr="00F02349">
        <w:rPr>
          <w:rFonts w:asciiTheme="minorHAnsi" w:hAnsiTheme="minorHAnsi" w:cstheme="minorHAnsi"/>
          <w:color w:val="1C1D1E"/>
        </w:rPr>
        <w:t>.</w:t>
      </w:r>
    </w:p>
    <w:p w14:paraId="3B367D24" w14:textId="21C02182" w:rsidR="00F02349" w:rsidRPr="00F02349" w:rsidRDefault="00F02349" w:rsidP="00453FAC">
      <w:pPr>
        <w:pStyle w:val="NormalWeb"/>
        <w:spacing w:before="75" w:beforeAutospacing="0" w:after="240" w:afterAutospacing="0" w:line="360" w:lineRule="auto"/>
        <w:ind w:firstLine="720"/>
        <w:rPr>
          <w:rFonts w:asciiTheme="minorHAnsi" w:hAnsiTheme="minorHAnsi" w:cstheme="minorHAnsi"/>
          <w:color w:val="1C1D1E"/>
        </w:rPr>
      </w:pPr>
      <w:r w:rsidRPr="00F02349">
        <w:rPr>
          <w:rFonts w:asciiTheme="minorHAnsi" w:hAnsiTheme="minorHAnsi" w:cstheme="minorHAnsi"/>
          <w:color w:val="1C1D1E"/>
        </w:rPr>
        <w:t xml:space="preserve">Mechanistically, </w:t>
      </w:r>
      <w:r w:rsidR="00AE0988">
        <w:rPr>
          <w:rFonts w:asciiTheme="minorHAnsi" w:hAnsiTheme="minorHAnsi" w:cstheme="minorHAnsi"/>
          <w:color w:val="1C1D1E"/>
        </w:rPr>
        <w:t>many</w:t>
      </w:r>
      <w:r w:rsidRPr="00F02349">
        <w:rPr>
          <w:rFonts w:asciiTheme="minorHAnsi" w:hAnsiTheme="minorHAnsi" w:cstheme="minorHAnsi"/>
          <w:color w:val="1C1D1E"/>
        </w:rPr>
        <w:t xml:space="preserve"> therapeutic modes of action have been attributed to IVIG</w:t>
      </w:r>
      <w:r w:rsidR="00114E66">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{"citationItems":[{"id":"ITEM-1","itemData":{"DOI":"10.1016/j.jaci.2010.10.030","ISBN":"1097-6825 (Electronic)\\r0091-6749 (Linking)","ISSN":"00916749","PMID":"21185071","abstract":"Intravenous immune globulin (IVIG) is an important treatment modality in patients with humoral or B-cell immune deficiency as replacement therapy. Soon after its introduction in the early 1980s for the treatment of patients with immune deficiency, IVIG was used in the treatment of children with idiopathic thrombocytopenia purpura. Presently, more commercial IVIG is used for the treatment of autoimmune and inflammatory disorders than as replacement therapy in patients with immune deficiency. Understanding the mechanisms of action of IVIG in these autoimmune and inflammatory disorders has occupied investigators over the past 3 decades. A number of mechanisms for the immune modulation and anti-inflammatory actions of IVIG have been described, including Fc receptor blockade, inhibition of complement deposition, enhancement of regulatory T cells, inhibition or neutralization of cytokines and growth factors, accelerated clearance of autoantibodies, modulation of adhesion molecules and cell receptors, and activation of regulatory macrophages through the Fc??RIIb receptor. It can now be appreciated that IVIG affects many different pathways to modulate the immune and inflammatory response. Further delineation of these pathways might lead to new treatment strategies. ?? 2010 American Academy of Allergy, Asthma &amp; Immunology.","author":[{"dropping-particle":"","family":"Ballow","given":"Mark","non-dropping-particle":"","parse-names":false,"suffix":""}],"container-title":"Journal of Allergy and Clinical Immunology","id":"ITEM-1","issue":"2","issued":{"date-parts":[["2011"]]},"page":"315-323","title":"The IgG molecule as a biological immune response modifier: Mechanisms of action of intravenous immune serum globulin in autoimmune and inflammatory disorders","type":"article-journal","volume":"127"},"uris":["http://www.mendeley.com/documents/?uuid=d7abc6a4-7c04-4f43-8e50-d5ffa9e0b061"]},{"id":"ITEM-2","itemData":{"DOI":"10.1038/nri3401","ISBN":"1474-1733","ISSN":"1474-1741","PMID":"23411799","abstract":"Nature Reviews Immunology 13, 176 (2013). doi:10.1038/nri3401","author":[{"dropping-particle":"","family":"Schwab","given":"Inessa","non-dropping-particle":"","parse-names":false,"suffix":""},{"dropping-particle":"","family":"Nimmerjahn","given":"Falk","non-dropping-particle":"","parse-names":false,"suffix":""}],"container-title":"Nature Reviews Immunology","id":"ITEM-2","issue":"3","issued":{"date-parts":[["2013"]]},"page":"176-189","title":"Intravenous immunoglobulin therapy: how does IgG modulate the immune system?","type":"article-journal","volume":"13"},"uris":["http://www.mendeley.com/documents/?uuid=9271fcd5-7564-4997-86c7-fddb1b0e7dc5"]}],"mendeley":{"formattedCitation":"(6,7)","plainTextFormattedCitation":"(6,7)","previouslyFormattedCitation":"(6,7)"},"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(6,7)</w:t>
      </w:r>
      <w:r w:rsidR="00AA1E20">
        <w:rPr>
          <w:rFonts w:asciiTheme="minorHAnsi" w:hAnsiTheme="minorHAnsi" w:cstheme="minorHAnsi"/>
          <w:color w:val="1C1D1E"/>
        </w:rPr>
        <w:fldChar w:fldCharType="end"/>
      </w:r>
      <w:r w:rsidRPr="00F02349">
        <w:rPr>
          <w:rFonts w:asciiTheme="minorHAnsi" w:hAnsiTheme="minorHAnsi" w:cstheme="minorHAnsi"/>
          <w:color w:val="1C1D1E"/>
        </w:rPr>
        <w:t xml:space="preserve">. </w:t>
      </w:r>
      <w:r w:rsidRPr="007C0060">
        <w:rPr>
          <w:rFonts w:asciiTheme="minorHAnsi" w:hAnsiTheme="minorHAnsi" w:cstheme="minorHAnsi"/>
          <w:color w:val="1C1D1E"/>
        </w:rPr>
        <w:t>While</w:t>
      </w:r>
      <w:r w:rsidRPr="00F02349">
        <w:rPr>
          <w:rFonts w:asciiTheme="minorHAnsi" w:hAnsiTheme="minorHAnsi" w:cstheme="minorHAnsi"/>
          <w:color w:val="1C1D1E"/>
        </w:rPr>
        <w:t xml:space="preserve"> a number of reports described effects of IVIG on various cellular immune components, ranging from T cells</w:t>
      </w:r>
      <w:r w:rsidR="00114E66">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{"citationItems":[{"id":"ITEM-1","itemData":{"DOI":"10.1016/j.jneuroim.2006.04.023","ISSN":"01655728","abstract":"Beneficial effects of intravenous immunoglobulin (IVIg) in relapsing-remitting multiple sclerosis (MS) have been described, including a decrease of brain atrophy. We have previously shown that activated T cells kill neurons in culture. In this manuscript, we show that the pretreatment of activated T cells with IVIg attenuates T cell neurotoxicity. This is attributed to the ability of IVIg to decrease the adhesion of T cells onto neurons, possibly through an effect on LFA-1, and by lowering the levels of Fas and FasL on T cells. Our results are relevant to understanding how therapies affect the MS disease process. © 2006 Elsevier B.V. All rights reserved.","author":[{"dropping-particle":"","family":"Janke","given":"Angela D.","non-dropping-particle":"","parse-names":false,"suffix":""},{"dropping-particle":"","family":"Giuliani","given":"Fabrizio","non-dropping-particle":"","parse-names":false,"suffix":""},{"dropping-particle":"","family":"Yong","given":"V. Wee","non-dropping-particle":"","parse-names":false,"suffix":""}],"container-title":"Journal of Neuroimmunology","id":"ITEM-1","issued":{"date-parts":[["2006"]]},"page":"181-188","title":"IVIg attenuates T cell-mediated killing of human neurons","type":"article-journal","volume":"177"},"uris":["http://www.mendeley.com/documents/?uuid=727129b2-b1de-4726-9fec-aefef94a1d4e"]}],"mendeley":{"formattedCitation":"(8)","plainTextFormattedCitation":"(8)","previouslyFormattedCitation":"(8)"},"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(8)</w:t>
      </w:r>
      <w:r w:rsidR="00AA1E20">
        <w:rPr>
          <w:rFonts w:asciiTheme="minorHAnsi" w:hAnsiTheme="minorHAnsi" w:cstheme="minorHAnsi"/>
          <w:color w:val="1C1D1E"/>
        </w:rPr>
        <w:fldChar w:fldCharType="end"/>
      </w:r>
      <w:r w:rsidRPr="00F02349">
        <w:rPr>
          <w:rFonts w:asciiTheme="minorHAnsi" w:hAnsiTheme="minorHAnsi" w:cstheme="minorHAnsi"/>
          <w:color w:val="1C1D1E"/>
        </w:rPr>
        <w:t>,</w:t>
      </w:r>
      <w:r w:rsidRPr="00F02349">
        <w:rPr>
          <w:rStyle w:val="apple-converted-space"/>
          <w:rFonts w:asciiTheme="minorHAnsi" w:hAnsiTheme="minorHAnsi" w:cstheme="minorHAnsi"/>
          <w:color w:val="1C1D1E"/>
        </w:rPr>
        <w:t> </w:t>
      </w:r>
      <w:r w:rsidRPr="00F02349">
        <w:rPr>
          <w:rFonts w:asciiTheme="minorHAnsi" w:hAnsiTheme="minorHAnsi" w:cstheme="minorHAnsi"/>
          <w:color w:val="1C1D1E"/>
        </w:rPr>
        <w:t>B cells</w:t>
      </w:r>
      <w:r w:rsidR="00114E66">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{"citationItems":[{"id":"ITEM-1","itemData":{"DOI":"10.1007/s10875-010-9469-3","ISSN":"02719142","abstract":"Introduction: Toll-like receptor-9 (TLR-9) plays an important role in the pathogenesis of systemic lupus erythematosus (SLE). The aim of this study was to evaluate the influence of intravenous immunoglobulin (IVIg) on CpG oligodeoxynucleotides (ODN-CpG) activated B cells from SLE patients. Methods: Peripheral blood B cells were isolated from 16 SLE patients and 21 healthy age-matched controls. B cells were cultured with ODN-CpG 1μM alone or IVIg (10mg/ml) together with ODN-CpG. After 24-h incubation, B cells and supernatants were collected and analyzed for interleukin (IL)-10, IL-6 secretion, and TLR-9 expression. Results: IVIg decreased the secretion of IL-10 from ODN-CpG-activated B cells isolated from both SLE patients and healthy controls (194±46.2 to 103.2±27.13 pg/ml, p&lt;0.016, 153.2±19 vs 84.6±7.5, p&lt;0.0001, respectively). Similarly, IVIg decreased the secretion of IL-6 from ODN-CpG-activated B cell isolated from both SLE patients and healthy controls (431.2±83 to 307.6±94.3 pg/ml, p&lt;0.0008, 319.5±31 vs 193.3±22.8, p&lt;0.0001, respectively). The decrement of IL-10 and IL-6 secretion was associated with a significant decrease in TLR-9 expression in memory B cells from SLE patients and healthy controls (11.47±1.2 vs 13.29±1.2, p=0.005, 11±0.8 vs 12.8±0.98, p=0.0016, respectively). Conclusions: IVIg attenuates the activation of TLR-9 in B cells from SLE patients, suggesting a novel additional mechanism of IVIg mode of action in these patients. © 2010 Springer Science+Business Media, LLC.","author":[{"dropping-particle":"","family":"Kessel","given":"Aharon","non-dropping-particle":"","parse-names":false,"suffix":""},{"dropping-particle":"","family":"Peri","given":"Regina","non-dropping-particle":"","parse-names":false,"suffix":""},{"dropping-particle":"","family":"Haj","given":"Tharwat","non-dropping-particle":"","parse-names":false,"suffix":""},{"dropping-particle":"","family":"Snir","given":"Ayelet","non-dropping-particle":"","parse-names":false,"suffix":""},{"dropping-particle":"","family":"Slobodin","given":"Gleb","non-dropping-particle":"","parse-names":false,"suffix":""},{"dropping-particle":"","family":"Sabo","given":"Edmond","non-dropping-particle":"","parse-names":false,"suffix":""},{"dropping-particle":"","family":"Rosner","given":"Itzhak","non-dropping-particle":"","parse-names":false,"suffix":""},{"dropping-particle":"","family":"Shoenfeld","given":"Yehuda","non-dropping-particle":"","parse-names":false,"suffix":""},{"dropping-particle":"","family":"Toubi","given":"Elias","non-dropping-particle":"","parse-names":false,"suffix":""}],"container-title":"Journal of Clinical Immunology","id":"ITEM-1","issued":{"date-parts":[["2011"]]},"page":"30-38","title":"IVIg attenuates TLR-9 activation in B cells from SLE patients","type":"article-journal","volume":"31"},"uris":["http://www.mendeley.com/documents/?uuid=4f444291-91ed-46f3-8c39-097dc07c2e73"]}],"mendeley":{"formattedCitation":"(9)","plainTextFormattedCitation":"(9)","previouslyFormattedCitation":"(9)"},"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(9)</w:t>
      </w:r>
      <w:r w:rsidR="00AA1E20">
        <w:rPr>
          <w:rFonts w:asciiTheme="minorHAnsi" w:hAnsiTheme="minorHAnsi" w:cstheme="minorHAnsi"/>
          <w:color w:val="1C1D1E"/>
        </w:rPr>
        <w:fldChar w:fldCharType="end"/>
      </w:r>
      <w:r w:rsidRPr="00F02349">
        <w:rPr>
          <w:rFonts w:asciiTheme="minorHAnsi" w:hAnsiTheme="minorHAnsi" w:cstheme="minorHAnsi"/>
          <w:color w:val="1C1D1E"/>
        </w:rPr>
        <w:t>,</w:t>
      </w:r>
      <w:r w:rsidRPr="00F02349">
        <w:rPr>
          <w:rStyle w:val="apple-converted-space"/>
          <w:rFonts w:asciiTheme="minorHAnsi" w:hAnsiTheme="minorHAnsi" w:cstheme="minorHAnsi"/>
          <w:color w:val="1C1D1E"/>
        </w:rPr>
        <w:t> </w:t>
      </w:r>
      <w:r w:rsidRPr="00F02349">
        <w:rPr>
          <w:rFonts w:asciiTheme="minorHAnsi" w:hAnsiTheme="minorHAnsi" w:cstheme="minorHAnsi"/>
          <w:color w:val="1C1D1E"/>
        </w:rPr>
        <w:t>NK cells</w:t>
      </w:r>
      <w:r w:rsidR="00114E66">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{"citationItems":[{"id":"ITEM-1","itemData":{"DOI":"10.1016/j.clim.2009.09.006","ISSN":"15216616","abstract":"The mechanisms underlying the modulation of Natural Killer (NK) cell functions by intravenous immunoglobulin (IVIg) are poorly understood. Using an ex vivo whole blood assay system we demonstrate that IVIg suppresses NK cell cytotoxicity. This was paralleled by IVIg-induced degranulation of CD56bright, CD16positive NK cells, reduced expression of CD16 and elevated IFNγ release. To assess whether these findings also occur in vivo we analyzed whole blood before and after IVIg therapy of patients. Following IVIg treatment the number of NK cells in peripheral blood dropped significantly. We observed reduced CD16 expression, elevated IFNγ-amounts in plasma, reduced NK cell cytotoxicity, and granzyme B release into the plasma, confirming our in vitro data. These effects on the functions of NK cells describe a novel immunomodulatory effect of IVIg. The in vitro assays employed here could represent informative test systems to monitor effects of in vivo IVIg treatment at an individual level. © 2009 Elsevier Inc. All rights reserved.","author":[{"dropping-particle":"","family":"Jacobi","given":"Christian","non-dropping-particle":"","parse-names":false,"suffix":""},{"dropping-particle":"","family":"Claus","given":"Maren","non-dropping-particle":"","parse-names":false,"suffix":""},{"dropping-particle":"","family":"Wildemann","given":"Brigitte","non-dropping-particle":"","parse-names":false,"suffix":""},{"dropping-particle":"","family":"Wingert","given":"Sabine","non-dropping-particle":"","parse-names":false,"suffix":""},{"dropping-particle":"","family":"Korporal","given":"Mirjam","non-dropping-particle":"","parse-names":false,"suffix":""},{"dropping-particle":"","family":"Römisch","given":"Jürgen","non-dropping-particle":"","parse-names":false,"suffix":""},{"dropping-particle":"","family":"Meuer","given":"Stefan","non-dropping-particle":"","parse-names":false,"suffix":""},{"dropping-particle":"","family":"Watzl","given":"Carsten","non-dropping-particle":"","parse-names":false,"suffix":""},{"dropping-particle":"","family":"Giese","given":"Thomas","non-dropping-particle":"","parse-names":false,"suffix":""}],"container-title":"Clinical Immunology","id":"ITEM-1","issued":{"date-parts":[["2009"]]},"page":"393-401","title":"Exposure of NK cells to intravenous immunoglobulin induces IFNγ release and degranulation but inhibits their cytotoxic activity","type":"article-journal","volume":"133"},"uris":["http://www.mendeley.com/documents/?uuid=f0805cd0-ad0a-475a-a57f-026a967b9f57"]}],"mendeley":{"formattedCitation":"(10)","plainTextFormattedCitation":"(10)","previouslyFormattedCitation":"(10)"},"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(10)</w:t>
      </w:r>
      <w:r w:rsidR="00AA1E20">
        <w:rPr>
          <w:rFonts w:asciiTheme="minorHAnsi" w:hAnsiTheme="minorHAnsi" w:cstheme="minorHAnsi"/>
          <w:color w:val="1C1D1E"/>
        </w:rPr>
        <w:fldChar w:fldCharType="end"/>
      </w:r>
      <w:r w:rsidRPr="00F02349">
        <w:rPr>
          <w:rStyle w:val="apple-converted-space"/>
          <w:rFonts w:asciiTheme="minorHAnsi" w:hAnsiTheme="minorHAnsi" w:cstheme="minorHAnsi"/>
          <w:color w:val="1C1D1E"/>
        </w:rPr>
        <w:t> </w:t>
      </w:r>
      <w:r w:rsidRPr="00F02349">
        <w:rPr>
          <w:rFonts w:asciiTheme="minorHAnsi" w:hAnsiTheme="minorHAnsi" w:cstheme="minorHAnsi"/>
          <w:color w:val="1C1D1E"/>
        </w:rPr>
        <w:t>and dendritic cells</w:t>
      </w:r>
      <w:r w:rsidR="0025320E">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{"citationItems":[{"id":"ITEM-1","itemData":{"DOI":"10.1111/j.1538-7836.2009.03420.x","ISSN":"15387933","abstract":"Intravenous immunoglobulin (IVIg) is used to treat an ever-increasing number of autoimmune diseases. While the exact mechanism of action of IVIg has remained elusive, many theories have been suggested, including mononuclear phagocytic system blockade, autoantibody neutralization by anti-idiotype antibodies, accelerated pathogenic autoantibody clearance by saturation of the neonatal Fc receptor, cytokine modulation and complement neutralization. More recently, a key role for dendritic cells (DC) in the amelioration of autoimmunity by IVIg has been suggested. Here we will focus on the role that DC may play in IVIg function using data from both mouse and human studies. © 2009 International Society on Thrombosis and Haemostasis.","author":[{"dropping-particle":"","family":"Crow","given":"A. R.","non-dropping-particle":"","parse-names":false,"suffix":""},{"dropping-particle":"","family":"Brinc","given":"D.","non-dropping-particle":"","parse-names":false,"suffix":""},{"dropping-particle":"","family":"Lazarus","given":"Alan H.","non-dropping-particle":"","parse-names":false,"suffix":""}],"container-title":"Journal of Thrombosis and Haemostasis","id":"ITEM-1","issued":{"date-parts":[["2009"]]},"page":"S245-S248","title":"New insight into the mechanism of action of IVIg: The role of dendritic cells","type":"article-journal","volume":"7"},"uris":["http://www.mendeley.com/documents/?uuid=664269e1-29dc-457f-be76-2503842e9ecc"]}],"mendeley":{"formattedCitation":"(11)","plainTextFormattedCitation":"(11)","previouslyFormattedCitation":"(11)"},"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(11)</w:t>
      </w:r>
      <w:r w:rsidR="00AA1E20">
        <w:rPr>
          <w:rFonts w:asciiTheme="minorHAnsi" w:hAnsiTheme="minorHAnsi" w:cstheme="minorHAnsi"/>
          <w:color w:val="1C1D1E"/>
        </w:rPr>
        <w:fldChar w:fldCharType="end"/>
      </w:r>
      <w:r w:rsidRPr="00F02349">
        <w:rPr>
          <w:rFonts w:asciiTheme="minorHAnsi" w:hAnsiTheme="minorHAnsi" w:cstheme="minorHAnsi"/>
          <w:color w:val="1C1D1E"/>
        </w:rPr>
        <w:t>,</w:t>
      </w:r>
      <w:r w:rsidRPr="00F02349">
        <w:rPr>
          <w:rStyle w:val="apple-converted-space"/>
          <w:rFonts w:asciiTheme="minorHAnsi" w:hAnsiTheme="minorHAnsi" w:cstheme="minorHAnsi"/>
          <w:color w:val="1C1D1E"/>
        </w:rPr>
        <w:t> </w:t>
      </w:r>
      <w:r w:rsidRPr="00F02349">
        <w:rPr>
          <w:rFonts w:asciiTheme="minorHAnsi" w:hAnsiTheme="minorHAnsi" w:cstheme="minorHAnsi"/>
          <w:color w:val="1C1D1E"/>
        </w:rPr>
        <w:t>other authors stress the influence of IVIG on humoral autoimmunity, suggesting anti‐idiotypic antibodies in IVIG</w:t>
      </w:r>
      <w:r w:rsidR="00C230D3">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{"citationItems":[{"id":"ITEM-1","itemData":{"DOI":"10.1002/jnr.22330","ISSN":"03604012","abstract":"Campylobacteriosis is a frequent antecedent event in Guillain-Barré syndrome (GBS), inducing high-titer serum antibodies for ganglioside antigens in the peripheral nervous system (PNS). Molecular mimicry between the lipooligosaccharide (LOS) component of Campylobacter jejuni and human peripheral nerve gangliosides is believed to play an important role in the pathogenesis of GBS. Conventional treatment strategies for patients with GBS include plasmapheresis, intravenous immunoglobulin (IVIG), and immunosuppression, which are invasive or relatively ineffective. In this study, we used our animal model of GBS, in which Lewis rats were immunized with GD3-like LOS isolated from C. jejuni. The animals developed anti-GD3 ganglioside antibodies and manifested neuromuscular dysfunction. To develop novel therapeutic strategies, we treated the animals by intraperitoneal administration of an anti-GD3 antiidiotype monoclonal antibody (BEC2) that specifically interacts with the pathogenic antibody. The treated animals had a remarkable reduction of anti-GD3 antibody titers and improvement of motor nerve functions. The results suggest that ganglioside mimics, such as antiidiotype antibodies, may be powerful reagents for therapeutic intervention in GBS by neutralizing specific pathogenic antiganglioside antibodies. © 2010 Wiley-Liss, Inc.","author":[{"dropping-particle":"","family":"Usuki","given":"S.","non-dropping-particle":"","parse-names":false,"suffix":""},{"dropping-particle":"","family":"Taguchi","given":"K.","non-dropping-particle":"","parse-names":false,"suffix":""},{"dropping-particle":"","family":"Thompson","given":"S. A.","non-dropping-particle":"","parse-names":false,"suffix":""},{"dropping-particle":"","family":"Chapman","given":"P. B.","non-dropping-particle":"","parse-names":false,"suffix":""},{"dropping-particle":"","family":"Yu","given":"Robert K.","non-dropping-particle":"","parse-names":false,"suffix":""}],"container-title":"Journal of Neuroscience Research","id":"ITEM-1","issued":{"date-parts":[["2010"]]},"page":"1651-1663","title":"Novel anti-idiotype antibody therapy for lipooligosaccharide-induced experimental autoimmune neuritis: Use relevant to Guillain-Barré syndrome","type":"article-journal","volume":"88"},"uris":["http://www.mendeley.com/documents/?uuid=7f988460-9db1-4766-8c33-bcd54abc3caa"]}],"mendeley":{"formattedCitation":"(12)","plainTextFormattedCitation":"(12)","previouslyFormattedCitation":"(12)"},"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(12)</w:t>
      </w:r>
      <w:r w:rsidR="00AA1E20">
        <w:rPr>
          <w:rFonts w:asciiTheme="minorHAnsi" w:hAnsiTheme="minorHAnsi" w:cstheme="minorHAnsi"/>
          <w:color w:val="1C1D1E"/>
        </w:rPr>
        <w:fldChar w:fldCharType="end"/>
      </w:r>
      <w:r w:rsidRPr="00F02349">
        <w:rPr>
          <w:rFonts w:asciiTheme="minorHAnsi" w:hAnsiTheme="minorHAnsi" w:cstheme="minorHAnsi"/>
          <w:color w:val="1C1D1E"/>
        </w:rPr>
        <w:t xml:space="preserve">, </w:t>
      </w:r>
      <w:proofErr w:type="spellStart"/>
      <w:r w:rsidRPr="00F02349">
        <w:rPr>
          <w:rFonts w:asciiTheme="minorHAnsi" w:hAnsiTheme="minorHAnsi" w:cstheme="minorHAnsi"/>
          <w:color w:val="1C1D1E"/>
        </w:rPr>
        <w:t>FcR</w:t>
      </w:r>
      <w:proofErr w:type="spellEnd"/>
      <w:r w:rsidRPr="00F02349">
        <w:rPr>
          <w:rFonts w:asciiTheme="minorHAnsi" w:hAnsiTheme="minorHAnsi" w:cstheme="minorHAnsi"/>
          <w:color w:val="1C1D1E"/>
        </w:rPr>
        <w:t xml:space="preserve"> engagement</w:t>
      </w:r>
      <w:r w:rsidR="0025320E">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{"citationItems":[{"id":"ITEM-1","itemData":{"DOI":"10.1038/nrneurol.2014.253","ISBN":"1759-4758","ISSN":"1759-4766","PMID":"25561275","abstract":"Intravenous immunoglobulin (IVIg)-a preparation of polyclonal serum IgG pooled from thousands of blood donors-has been used for nearly three decades, and is proving to be an efficient anti-inflammatory and immunomodulatory treatment for a growing number of neurological diseases. Evidence from controlled clinical trials has established IVIg as a first-line therapy for Guillain-Barré syndrome, chronic inflammatory demyelinating polyneuropathy and multifocal motor neuropathy. IVIg is also an effective rescue therapy in some patients with worsening myasthenia gravis, and is beneficial as a second-line therapy for dermatomyositis and stiff-person syndrome. IVIg has been tested in some neurodegenerative disorders, but a controlled study in Alzheimer disease yielded disappointing results. Despite its widespread use and therapeutic success, the mechanisms of action of IVIg are poorly understood. Several hypotheses, based on the function of either the variable or constant IgG fragments, have been proposed to explain IVIg's immunomodulatory activity. This Review highlights emerging data on the mechanisms of action of IVIg related to its anti-inflammatory activity, especially that involving the cellular Fcγ receptors and Fc glycosylation. We also summarize recent trials in neurological diseases, discuss potential biomarkers of efficacy, offer practical guidelines on administration, and provide a rationale for experimental trials in neuroinflammatory disorders.","author":[{"dropping-particle":"","family":"Lünemann","given":"Jan D","non-dropping-particle":"","parse-names":false,"suffix":""},{"dropping-particle":"","family":"Nimmerjahn","given":"Falk","non-dropping-particle":"","parse-names":false,"suffix":""},{"dropping-particle":"","family":"Dalakas","given":"Marinos C","non-dropping-particle":"","parse-names":false,"suffix":""}],"container-title":"Nature reviews. Neurology","id":"ITEM-1","issue":"2","issued":{"date-parts":[["2015"]]},"page":"80-9","title":"Intravenous immunoglobulin in neurology--mode of action and clinical efficacy.","type":"article-journal","volume":"11"},"uris":["http://www.mendeley.com/documents/?uuid=5ca4f3d1-6051-4f8a-bac7-6799203730c0"]},{"id":"ITEM-2","itemData":{"DOI":"10.1038/ni.2939","ISBN":"1529-2916 (Electronic)\\n1529-2908 (Linking)","ISSN":"1529-2916","PMID":"25045879","abstract":"Antibodies produced in response to a foreign antigen are characterized by polyclonality, not only in the diverse epitopes to which their variable domains bind but also in the various effector molecules to which their constant regions (Fc domains) engage. Thus, the antibody's Fc domain mediates diverse effector activities by engaging two distinct classes of Fc receptors (type I and type II) on the basis of the two dominant conformational states that the Fc domain may adopt. These conformational states are regulated by the differences among antibody subclasses in their amino acid sequence and by the complex, biantennary Fc-associated N-linked glycan. Here we discuss the diverse downstream proinflammatory, anti-inflammatory and immunomodulatory consequences of the engagement of type I and type II Fc receptors in the context of infectious, autoimmune, and neoplastic disorders.","author":[{"dropping-particle":"","family":"Pincetic","given":"Andrew","non-dropping-particle":"","parse-names":false,"suffix":""},{"dropping-particle":"","family":"Bournazos","given":"Stylianos","non-dropping-particle":"","parse-names":false,"suffix":""},{"dropping-particle":"","family":"DiLillo","given":"David J","non-dropping-particle":"","parse-names":false,"suffix":""},{"dropping-particle":"","family":"Maamary","given":"Jad","non-dropping-particle":"","parse-names":false,"suffix":""},{"dropping-particle":"","family":"Wang","given":"Taia T","non-dropping-particle":"","parse-names":false,"suffix":""},{"dropping-particle":"","family":"Dahan","given":"Rony","non-dropping-particle":"","parse-names":false,"suffix":""},{"dropping-particle":"","family":"Fiebiger","given":"Benjamin-Maximillian","non-dropping-particle":"","parse-names":false,"suffix":""},{"dropping-particle":"V","family":"Ravetch","given":"Jeffrey","non-dropping-particle":"","parse-names":false,"suffix":""}],"container-title":"Nature immunology","id":"ITEM-2","issue":"8","issued":{"date-parts":[["2014"]]},"page":"707-716","title":"Type I and type II Fc receptors regulate innate and adaptive immunity.","type":"article-journal","volume":"15"},"uris":["http://www.mendeley.com/documents/?uuid=8de67d6d-115e-4131-b54d-2b7fe1a7567a"]}],"mendeley":{"formattedCitation":"(2,13)","plainTextFormattedCitation":"(2,13)","previouslyFormattedCitation":"(2,13)"},"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(2,13)</w:t>
      </w:r>
      <w:r w:rsidR="00AA1E20">
        <w:rPr>
          <w:rFonts w:asciiTheme="minorHAnsi" w:hAnsiTheme="minorHAnsi" w:cstheme="minorHAnsi"/>
          <w:color w:val="1C1D1E"/>
        </w:rPr>
        <w:fldChar w:fldCharType="end"/>
      </w:r>
      <w:r w:rsidRPr="00F02349">
        <w:rPr>
          <w:rFonts w:asciiTheme="minorHAnsi" w:hAnsiTheme="minorHAnsi" w:cstheme="minorHAnsi"/>
          <w:color w:val="1C1D1E"/>
        </w:rPr>
        <w:t xml:space="preserve">, </w:t>
      </w:r>
      <w:r w:rsidR="00DA1BB9">
        <w:rPr>
          <w:rFonts w:asciiTheme="minorHAnsi" w:hAnsiTheme="minorHAnsi" w:cstheme="minorHAnsi"/>
          <w:color w:val="1C1D1E"/>
        </w:rPr>
        <w:t xml:space="preserve">and </w:t>
      </w:r>
      <w:r w:rsidRPr="00F02349">
        <w:rPr>
          <w:rFonts w:asciiTheme="minorHAnsi" w:hAnsiTheme="minorHAnsi" w:cstheme="minorHAnsi"/>
          <w:color w:val="1C1D1E"/>
        </w:rPr>
        <w:t>inhibition of complement deposition</w:t>
      </w:r>
      <w:r w:rsidR="0025320E">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{"citationItems":[{"id":"ITEM-1","itemData":{"DOI":"10.1016/j.jneuroim.2010.08.023","ISSN":"01655728","abstract":"The effects of intravenous immunoglobulins (IVIg) on anti-GM1 IgM titer and function, classical complement pathway activity, and antibody-complement interaction were investigated in 62 patients with multifocal motor neuropathy (MMN). In vitro, IVIg decreased complement deposition by anti-GM1 IgM antibodies. First IVIg treatment (2. g/kg) decreased C1q and C4 concentrations and classical pathway activity in serum. In sera from patients receiving IVIg maintenance therapy (0.4 g/kg) C4 concentrations and classical pathway activity were generally lower at higher IgG concentrations. The beneficial effects of IVIg in MMN may be explained by reduced antibody-mediated complement deposition in nerves amplified by a systemically attenuated classical pathway. © 2010 Elsevier B.V.","author":[{"dropping-particle":"","family":"Piepers","given":"Sanne","non-dropping-particle":"","parse-names":false,"suffix":""},{"dropping-particle":"","family":"Jansen","given":"Marc D.","non-dropping-particle":"","parse-names":false,"suffix":""},{"dropping-particle":"","family":"Cats","given":"Elisabeth A.","non-dropping-particle":"","parse-names":false,"suffix":""},{"dropping-particle":"","family":"Sorge","given":"Nina M.","non-dropping-particle":"van","parse-names":false,"suffix":""},{"dropping-particle":"","family":"Berg","given":"Leonard H.","non-dropping-particle":"van den","parse-names":false,"suffix":""},{"dropping-particle":"","family":"Pol","given":"W. Ludo","non-dropping-particle":"van der","parse-names":false,"suffix":""}],"container-title":"Journal of Neuroimmunology","id":"ITEM-1","issued":{"date-parts":[["2010"]]},"page":"256-262","title":"IVIg inhibits classical pathway activity and anti-GM1 IgM-mediated complement deposition in MMN","type":"article-journal","volume":"229"},"uris":["http://www.mendeley.com/documents/?uuid=0c4f9849-69f9-4b04-90fc-43331cc10210"]}],"mendeley":{"formattedCitation":"(14)","plainTextFormattedCitation":"(14)","previouslyFormattedCitation":"(14)"},"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(14)</w:t>
      </w:r>
      <w:r w:rsidR="00AA1E20">
        <w:rPr>
          <w:rFonts w:asciiTheme="minorHAnsi" w:hAnsiTheme="minorHAnsi" w:cstheme="minorHAnsi"/>
          <w:color w:val="1C1D1E"/>
        </w:rPr>
        <w:fldChar w:fldCharType="end"/>
      </w:r>
      <w:r w:rsidRPr="00F02349">
        <w:rPr>
          <w:rFonts w:asciiTheme="minorHAnsi" w:hAnsiTheme="minorHAnsi" w:cstheme="minorHAnsi"/>
          <w:color w:val="1C1D1E"/>
        </w:rPr>
        <w:t>.</w:t>
      </w:r>
    </w:p>
    <w:p w14:paraId="346B9C61" w14:textId="44DD3BCE" w:rsidR="00F02349" w:rsidRPr="00F02349" w:rsidRDefault="00F02349" w:rsidP="00453FAC">
      <w:pPr>
        <w:pStyle w:val="NormalWeb"/>
        <w:spacing w:before="75" w:beforeAutospacing="0" w:after="240" w:afterAutospacing="0" w:line="360" w:lineRule="auto"/>
        <w:ind w:firstLine="720"/>
        <w:rPr>
          <w:rFonts w:asciiTheme="minorHAnsi" w:hAnsiTheme="minorHAnsi" w:cstheme="minorHAnsi"/>
          <w:color w:val="1C1D1E"/>
        </w:rPr>
      </w:pPr>
      <w:r w:rsidRPr="00F02349">
        <w:rPr>
          <w:rFonts w:asciiTheme="minorHAnsi" w:hAnsiTheme="minorHAnsi" w:cstheme="minorHAnsi"/>
          <w:color w:val="1C1D1E"/>
        </w:rPr>
        <w:t xml:space="preserve">This study focused on </w:t>
      </w:r>
      <w:r w:rsidRPr="00FE1D7E">
        <w:rPr>
          <w:rFonts w:asciiTheme="minorHAnsi" w:hAnsiTheme="minorHAnsi" w:cstheme="minorHAnsi"/>
          <w:color w:val="1C1D1E"/>
        </w:rPr>
        <w:t>IVIG effects</w:t>
      </w:r>
      <w:r w:rsidRPr="00F02349">
        <w:rPr>
          <w:rFonts w:asciiTheme="minorHAnsi" w:hAnsiTheme="minorHAnsi" w:cstheme="minorHAnsi"/>
          <w:color w:val="1C1D1E"/>
        </w:rPr>
        <w:t xml:space="preserve"> on antibody‐mediated immune mechanisms. We utilized murine organotypic cerebellar slice cultures (OSC) as an</w:t>
      </w:r>
      <w:r w:rsidRPr="00F02349">
        <w:rPr>
          <w:rStyle w:val="apple-converted-space"/>
          <w:rFonts w:asciiTheme="minorHAnsi" w:hAnsiTheme="minorHAnsi" w:cstheme="minorHAnsi"/>
          <w:color w:val="1C1D1E"/>
        </w:rPr>
        <w:t> </w:t>
      </w:r>
      <w:r w:rsidRPr="00F02349">
        <w:rPr>
          <w:rFonts w:asciiTheme="minorHAnsi" w:hAnsiTheme="minorHAnsi" w:cstheme="minorHAnsi"/>
          <w:i/>
          <w:iCs/>
          <w:color w:val="1C1D1E"/>
        </w:rPr>
        <w:t>ex vivo</w:t>
      </w:r>
      <w:r w:rsidRPr="00F02349">
        <w:rPr>
          <w:rStyle w:val="apple-converted-space"/>
          <w:rFonts w:asciiTheme="minorHAnsi" w:hAnsiTheme="minorHAnsi" w:cstheme="minorHAnsi"/>
          <w:color w:val="1C1D1E"/>
        </w:rPr>
        <w:t> </w:t>
      </w:r>
      <w:r w:rsidRPr="00F02349">
        <w:rPr>
          <w:rFonts w:asciiTheme="minorHAnsi" w:hAnsiTheme="minorHAnsi" w:cstheme="minorHAnsi"/>
          <w:color w:val="1C1D1E"/>
        </w:rPr>
        <w:t>model of the immune‐CNS interface. As compared to primary cell cultures on the one hand</w:t>
      </w:r>
      <w:r w:rsidR="00B70BBD">
        <w:rPr>
          <w:rFonts w:asciiTheme="minorHAnsi" w:hAnsiTheme="minorHAnsi" w:cstheme="minorHAnsi"/>
          <w:color w:val="1C1D1E"/>
        </w:rPr>
        <w:t>,</w:t>
      </w:r>
      <w:r w:rsidRPr="00F02349">
        <w:rPr>
          <w:rFonts w:asciiTheme="minorHAnsi" w:hAnsiTheme="minorHAnsi" w:cstheme="minorHAnsi"/>
          <w:color w:val="1C1D1E"/>
        </w:rPr>
        <w:t xml:space="preserve"> and animal models on the other, the use of OSC has the advantage that the complex spatial microarchitecture of the CNS is maintained and effector mechanisms of CNS damage can be clearly defined, unobscured by the blood‐brain barrier (BBB) and peripheral immune components</w:t>
      </w:r>
      <w:r w:rsidR="002E23F8">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{"citationItems":[{"id":"ITEM-1","itemData":{"DOI":"10.1016/j.expneurol.2008.12.027","ISBN":"1090-2430; 0014-4886","ISSN":"00144886","PMID":"19320002","abstract":"Mononuclear cell infiltrates, deposits of immunoglobulin and complement as well as demyelination and axonal damage are neuropathological hallmarks of Multiple Sclerosis (MS) lesions. An involvement of antibodies is further suggested by the presence of oligoclonal immunoglobulins in the cerebrospinal fluid of almost all MS patients. However, which mechanisms are most relevant for de- and remyelination and axonal loss in MS lesions is poorly understood. To characterize the regenerative abilities of demyelinated CNS tissue, we utilized murine organotypic cerebellar slice cultures expressing GFP in oligodendrocytes. The addition of a demyelinating monoclonal antibody specific for myelin oligodendrocyte glycoprotein and complement induced complete myelin destruction and oligodendrocyte loss, as demonstrated by confocal live imaging and staining for different myelin proteins. After removal of antibodies and complement we visualized the stages of remyelination, presumably originating from proliferating oligodendrocyte precursor cells and guided by morphologically intact appearing axons. Allowing for the detailed live imaging of de- and remyelination in an ex vivo situation closely resembling the three dimensional cytoarchitecture of the CNS, we provide a useful experimental system for the evaluation of new therapeutic strategies to enhance remyelination and repair in MS. © 2009 Elsevier Inc. All rights reserved.","author":[{"dropping-particle":"","family":"Harrer","given":"Melanie D.","non-dropping-particle":"","parse-names":false,"suffix":""},{"dropping-particle":"","family":"Büdingen","given":"Hans Christian","non-dropping-particle":"von","parse-names":false,"suffix":""},{"dropping-particle":"","family":"Stoppini","given":"Luc","non-dropping-particle":"","parse-names":false,"suffix":""},{"dropping-particle":"","family":"Alliod","given":"Chantal","non-dropping-particle":"","parse-names":false,"suffix":""},{"dropping-particle":"","family":"Pouly","given":"Sandrine","non-dropping-particle":"","parse-names":false,"suffix":""},{"dropping-particle":"","family":"Fischer","given":"Katja","non-dropping-particle":"","parse-names":false,"suffix":""},{"dropping-particle":"","family":"Goebels","given":"Norbert","non-dropping-particle":"","parse-names":false,"suffix":""}],"container-title":"Experimental Neurology","id":"ITEM-1","issue":"2","issued":{"date-parts":[["2009"]]},"page":"431-438","title":"Live imaging of remyelination after antibody-mediated demyelination in an ex-vivo model for immune mediated CNS damage","type":"article-journal","volume":"216"},"uris":["http://www.mendeley.com/documents/?uuid=e6d51893-553e-44c6-aab5-e7b8559e6de3"]},{"id":"ITEM-2","itemData":{"DOI":"10.2353/ajpath.2009.090340","ISBN":"1525-2191 (Electronic)\\r0002-9440 (Linking)","ISSN":"1525-2191","PMID":"19700745","abstract":"Permanent disability of patients suffering from central nervous system (CNS) inflammation such as multiple sclerosis, the most common chronic inflammatory disorder of the CNS, originates mainly from demyelination and axonal damage. Although many studies in the past focused on the role of CD4(+) T cells, several recent findings postulate the relevance of autoaggressive, cytotoxic CD8(+) T cells in the effector phase of multiple sclerosis. Yet, it remains unresolved whether axonal injury is the result of a CD8(+) T cell-targeted hit against the axon itself or the consequence of an attack against the myelin structure. To address this issue of CD8-mediated tissue damage in CNS inflammation, we performed continuous confocal imaging of autoaggressive, cytotoxic CD8(+) T cells in living organotypic cerebellar brain slices. We observed that loading brain slices with the cognate peptide antigen caused CD8-mediated damage of myelinated axons. To exclude the possibility that the cognate peptide loaded onto the brain slices was presented by axons directly, we restricted the cognate antigen expression exclusively to the cytosol of oligodendrocytes. Aside from vast myelin damage, extensive axonal bystander injury occurred. Using this model system of inflammatory CNS injury, we visualize that axonal loss can be the consequence from \"collateral bystander damage\" by autoaggressive, cytotoxic CD8(+) T cells, targeting their cognate antigen processed and presented by oligodendrocytes.","author":[{"dropping-particle":"","family":"Sobottka","given":"Bettina","non-dropping-particle":"","parse-names":false,"suffix":""},{"dropping-particle":"","family":"Harrer","given":"Melanie Denise","non-dropping-particle":"","parse-names":false,"suffix":""},{"dropping-particle":"","family":"Ziegler","given":"Urs","non-dropping-particle":"","parse-names":false,"suffix":""},{"dropping-particle":"","family":"Fischer","given":"Katja","non-dropping-particle":"","parse-names":false,"suffix":""},{"dropping-particle":"","family":"Wiendl","given":"Heinz","non-dropping-particle":"","parse-names":false,"suffix":""},{"dropping-particle":"","family":"Hünig","given":"Thomas","non-dropping-particle":"","parse-names":false,"suffix":""},{"dropping-particle":"","family":"Becher","given":"Burkhard","non-dropping-particle":"","parse-names":false,"suffix":""},{"dropping-particle":"","family":"Goebels","given":"Norbert","non-dropping-particle":"","parse-names":false,"suffix":""}],"container-title":"The American journal of pathology","id":"ITEM-2","issue":"3","issued":{"date-parts":[["2009"]]},"page":"1160-6","title":"Collateral bystander damage by myelin-directed CD8+ T cells causes axonal loss.","type":"article-journal","volume":"175"},"uris":["http://www.mendeley.com/documents/?uuid=3e705659-7a12-40bd-ad3a-71aaf3947e42"]},{"id":"ITEM-3","itemData":{"DOI":"10.1002/glia.21228","ISBN":"1098-1136","ISSN":"08941491","PMID":"21887712","abstract":"The overall morphology and with it associated the formation of myelin is generally thought to be resolved. Based on electron microscopic findings more than half a century ago, the current model of myelination describes all myelin membranes to run in parallel with the longitudinal axis of the axon and to form a smooth surface, reminiscent of a rolled up carpet. However, different studies in the past demonstrated a distinct myelin morphology with an uneven myelin surface contour that challenges the established concept. Even though the current model of myelination has since been recognized as insufficient, CNS myelin formation has not yet been investigated in real-time with the requisite technique and resolution. We therefore traced myelin growth in murine organotypic cerebellar slice cultures using high-resolution confocal live imaging, light and electron microscopy and assessed myelin morphology in young and adult mice by confocal microscopy. Our data verify that the myelin surface is indeed not smooth but runs in a bidirectional, regularly spaced coil along the axon in both young and adult mice. Time-lapse imaging revealed that the growth of coiled myelin turns emerges during myelin formation. We therefore propose the \"liquid croissant\" model as a new concept of myelination that overcomes not only some of the incongruences of previous myelination theories, but potentially also explains the development of certain myelin pathologies observed in remyelination and axonopathies.","author":[{"dropping-particle":"","family":"Sobottka","given":"Bettina","non-dropping-particle":"","parse-names":false,"suffix":""},{"dropping-particle":"","family":"Ziegler","given":"Urs","non-dropping-particle":"","parse-names":false,"suffix":""},{"dropping-particle":"","family":"Kaech","given":"Andres","non-dropping-particle":"","parse-names":false,"suffix":""},{"dropping-particle":"","family":"Becher","given":"Burkhard","non-dropping-particle":"","parse-names":false,"suffix":""},{"dropping-particle":"","family":"Goebels","given":"Norbert","non-dropping-particle":"","parse-names":false,"suffix":""}],"container-title":"GLIA","id":"ITEM-3","issue":"12","issued":{"date-parts":[["2011"]]},"page":"1841-1849","title":"CNS live imaging reveals a new mechanism of myelination: The liquid croissant model","type":"article-journal","volume":"59"},"uris":["http://www.mendeley.com/documents/?uuid=3a1ee724-936f-4fff-9385-f7ff11fe82b1"]}],"mendeley":{"formattedCitation":"(15–17)","plainTextFormattedCitation":"(15–17)","previouslyFormattedCitation":"(15–17)"},"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(15–17)</w:t>
      </w:r>
      <w:r w:rsidR="00AA1E20">
        <w:rPr>
          <w:rFonts w:asciiTheme="minorHAnsi" w:hAnsiTheme="minorHAnsi" w:cstheme="minorHAnsi"/>
          <w:color w:val="1C1D1E"/>
        </w:rPr>
        <w:fldChar w:fldCharType="end"/>
      </w:r>
      <w:r w:rsidRPr="00F02349">
        <w:rPr>
          <w:rFonts w:asciiTheme="minorHAnsi" w:hAnsiTheme="minorHAnsi" w:cstheme="minorHAnsi"/>
          <w:color w:val="1C1D1E"/>
        </w:rPr>
        <w:t>.</w:t>
      </w:r>
    </w:p>
    <w:p w14:paraId="1F5B07F6" w14:textId="15B803D8" w:rsidR="001B098B" w:rsidRDefault="00F02349" w:rsidP="00453FAC">
      <w:pPr>
        <w:pStyle w:val="NormalWeb"/>
        <w:spacing w:before="75" w:beforeAutospacing="0" w:after="240" w:afterAutospacing="0" w:line="360" w:lineRule="auto"/>
        <w:ind w:firstLine="720"/>
        <w:rPr>
          <w:rFonts w:asciiTheme="minorHAnsi" w:hAnsiTheme="minorHAnsi" w:cstheme="minorHAnsi"/>
          <w:color w:val="1C1D1E"/>
        </w:rPr>
      </w:pPr>
      <w:r w:rsidRPr="00F02349">
        <w:rPr>
          <w:rFonts w:asciiTheme="minorHAnsi" w:hAnsiTheme="minorHAnsi" w:cstheme="minorHAnsi"/>
          <w:color w:val="1C1D1E"/>
        </w:rPr>
        <w:t>Using transgenic mice, which express green fluorescent protein (GFP) in oligodendrocytes and myelin, allowed us to directly monitor demyelination in living OSC. Previously, we had demonstrated that the addition of IVIG efficiently inhibits antibody‐mediated demyelination and microglia activation in OSC of the CNS</w:t>
      </w:r>
      <w:r w:rsidR="002E23F8">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10.1002/acn3.326","ISSN":"23289503","PMID":"27844029","author":[{"dropping-particle":"","family":"Winter","given":"Meike","non-dropping-particle":"","parse-names":false,"suffix":""},{"dropping-particle":"","family":"Baksmeier","given":"Christine","non-dropping-particle":"","parse-names":false,"suffix":""},{"dropping-particle":"","family":"Steckel","given":"Julia","non-dropping-particle":"","parse-names":false,"suffix":""},{"dropping-particle":"","family":"Barman","given":"Sumanta","non-dropping-particle":"","parse-names":false,"suffix":""},{"dropping-particle":"","family":"Malviya","given":"Manish","non-dropping-particle":"","parse-names":false,"suffix":""},{"dropping-particle":"","family":"Harrer-Kuster","given":"Melanie","non-dropping-particle":"","parse-names":false,"suffix":""},{"dropping-particle":"","family":"Hartung","given":"Hans-Peter","non-dropping-particle":"","parse-names":false,"suffix":""},{"dropping-particle":"","family":"Goebels","given":"Norbert","non-dropping-particle":"","parse-names":false,"suffix":""}],"container-title":"Annals of Clinical and Translational Neurology","id":"ITEM-1","issue":"11","issued":{"date-parts":[["2016"]]},"page":"828-843","title":"Dose-dependent inhibition of demyelination and microglia activation by IVIG","type":"article-journal","volume":"3"},"uris":["http://www.mendeley.com/documents/?uuid=26923f6d-94a0-476e-b9b7-67d87f7e67a2"]}],"mendeley":{"formattedCitation":"(18)","plainTextFormattedCitation":"(18)","previouslyFormattedCitation":"(18)"},"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(18)</w:t>
      </w:r>
      <w:r w:rsidR="00AA1E20">
        <w:rPr>
          <w:rFonts w:asciiTheme="minorHAnsi" w:hAnsiTheme="minorHAnsi" w:cstheme="minorHAnsi"/>
          <w:color w:val="1C1D1E"/>
        </w:rPr>
        <w:fldChar w:fldCharType="end"/>
      </w:r>
      <w:r w:rsidRPr="00F02349">
        <w:rPr>
          <w:rFonts w:asciiTheme="minorHAnsi" w:hAnsiTheme="minorHAnsi" w:cstheme="minorHAnsi"/>
          <w:color w:val="1C1D1E"/>
        </w:rPr>
        <w:t>. This effect clearly depen</w:t>
      </w:r>
      <w:r w:rsidR="00FC696E">
        <w:rPr>
          <w:rFonts w:asciiTheme="minorHAnsi" w:hAnsiTheme="minorHAnsi" w:cstheme="minorHAnsi"/>
          <w:color w:val="1C1D1E"/>
        </w:rPr>
        <w:t>ds</w:t>
      </w:r>
      <w:r w:rsidRPr="00F02349">
        <w:rPr>
          <w:rFonts w:asciiTheme="minorHAnsi" w:hAnsiTheme="minorHAnsi" w:cstheme="minorHAnsi"/>
          <w:color w:val="1C1D1E"/>
        </w:rPr>
        <w:t xml:space="preserve"> on the Fc part rather than the antigen‐binding Fab fragment, since IVIG‐derived Fab fragments could neither protect OSC from demyelination nor prevent microglia activation, suggesting a possible direct effect on microglia</w:t>
      </w:r>
      <w:r w:rsidR="002E23F8">
        <w:rPr>
          <w:rFonts w:asciiTheme="minorHAnsi" w:hAnsiTheme="minorHAnsi" w:cstheme="minorHAnsi"/>
          <w:color w:val="1C1D1E"/>
        </w:rPr>
        <w:t xml:space="preserve">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10.1002/acn3.326","ISSN":"23289503","PMID":"27844029","author":[{"dropping-particle":"","family":"Winter","given":"Meike","non-dropping-particle":"","parse-names":false,"suffix":""},{"dropping-particle":"","family":"Baksmeier","given":"Christine","non-dropping-particle":"","parse-names":false,"suffix":""},{"dropping-particle":"","family":"Steckel","given":"Julia","non-dropping-particle":"","parse-names":false,"suffix":""},{"dropping-particle":"","family":"Barman","given":"Sumanta","non-dropping-particle":"","parse-names":false,"suffix":""},{"dropping-particle":"","family":"Malviya","given":"Manish","non-dropping-particle":"","parse-names":false,"suffix":""},{"dropping-particle":"","family":"Harrer-Kuster","given":"Melanie","non-dropping-particle":"","parse-names":false,"suffix":""},{"dropping-particle":"","family":"Hartung","given":"Hans-Peter","non-dropping-particle":"","parse-names":false,"suffix":""},{"dropping-particle":"","family":"Goebels","given":"Norbert","non-dropping-particle":"","parse-names":false,"suffix":""}],"container-title":"Annals of Clinical and Translational Neurology","id":"ITEM-1","issue":"11","issued":{"date-parts":[["2016"]]},"page":"828-843","title":"Dose-dependent inhibition of demyelination and microglia activation by IVIG","type":"article-journal","volume":"3"},"uris":["http://www.mendeley.com/documents/?uuid=26923f6d-94a0-476e-b9b7-67d87f7e67a2"]}],"mendeley":{"formattedCitation":"(18)","plainTextFormattedCitation":"(18)","previouslyFormattedCitation":"(18)"},"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(18)</w:t>
      </w:r>
      <w:r w:rsidR="00AA1E20">
        <w:rPr>
          <w:rFonts w:asciiTheme="minorHAnsi" w:hAnsiTheme="minorHAnsi" w:cstheme="minorHAnsi"/>
          <w:color w:val="1C1D1E"/>
        </w:rPr>
        <w:fldChar w:fldCharType="end"/>
      </w:r>
      <w:r w:rsidRPr="00F02349">
        <w:rPr>
          <w:rFonts w:asciiTheme="minorHAnsi" w:hAnsiTheme="minorHAnsi" w:cstheme="minorHAnsi"/>
          <w:color w:val="1C1D1E"/>
        </w:rPr>
        <w:t xml:space="preserve">. While IVIG did not substantially inhibit the binding of </w:t>
      </w:r>
      <w:r w:rsidR="004D6382">
        <w:rPr>
          <w:rFonts w:asciiTheme="minorHAnsi" w:hAnsiTheme="minorHAnsi" w:cstheme="minorHAnsi"/>
          <w:color w:val="1C1D1E"/>
        </w:rPr>
        <w:t xml:space="preserve">the demyelinating antibody to target structures, IVIG-mediated protection could be prevented with saturating concentrations of complement </w:t>
      </w:r>
      <w:r w:rsidR="00AA1E20">
        <w:rPr>
          <w:rFonts w:asciiTheme="minorHAnsi" w:hAnsiTheme="minorHAnsi" w:cstheme="minorHAnsi"/>
          <w:color w:val="1C1D1E"/>
        </w:rPr>
        <w:fldChar w:fldCharType="begin" w:fldLock="1"/>
      </w:r>
      <w:r w:rsidR="00DC4AAC">
        <w:rPr>
          <w:rFonts w:asciiTheme="minorHAnsi" w:hAnsiTheme="minorHAnsi" w:cstheme="minorHAnsi"/>
          <w:color w:val="1C1D1E"/>
        </w:rPr>
        <w:instrText>ADDIN CSL_CITATION {"citationItems":[{"id":"ITEM-1","itemData":{"DOI":"10.1002/acn3.326","ISSN":"23289503","PMID":"27844029","author":[{"dropping-particle":"","family":"Winter","given":"Meike","non-dropping-particle":"","parse-names":false,"suffix":""},{"dropping-particle":"","family":"Baksmeier","given":"Christine","non-dropping-particle":"","parse-names":false,"suffix":""},{"dropping-particle":"","family":"Steckel","given":"Julia","non-dropping-particle":"","parse-names":false,"suffix":""},{"dropping-particle":"","family":"Barman","given":"Sumanta","non-dropping-particle":"","parse-names":false,"suffix":""},{"dropping-particle":"","family":"Malviya","given":"Manish","non-dropping-particle":"","parse-names":false,"suffix":""},{"dropping-particle":"","family":"Harrer-Kuster","given":"Melanie","non-dropping-particle":"","parse-names":false,"suffix":""},{"dropping-particle":"","family":"Hartung","given":"Hans-Peter","non-dropping-particle":"","parse-names":false,"suffix":""},{"dropping-particle":"","family":"Goebels","given":"Norbert","non-dropping-particle":"","parse-names":false,"suffix":""}],"container-title":"Annals of Clinical and Translational Neurology","id":"ITEM-1","issue":"11","issued":{"date-parts":[["2016"]]},"page":"828-843","title":"Dose-dependent inhibition of demyelination and microglia activation by IVIG","type":"article-journal","volume":"3"},"uris":["http://www.mendeley.com/documents/?uuid=26923f6d-94a0-476e-b9b7-67d87f7e67a2"]}],"mendeley":{"formattedCitation":"(18)","plainTextFormattedCitation":"(18)","previouslyFormattedCitation":"(18)"},"properties":{"noteIndex":0},"schema":"https://github.com/citation-style-language/schema/raw/master/csl-citation.json"}</w:instrText>
      </w:r>
      <w:r w:rsidR="00AA1E20">
        <w:rPr>
          <w:rFonts w:asciiTheme="minorHAnsi" w:hAnsiTheme="minorHAnsi" w:cstheme="minorHAnsi"/>
          <w:color w:val="1C1D1E"/>
        </w:rPr>
        <w:fldChar w:fldCharType="separate"/>
      </w:r>
      <w:r w:rsidR="000F2966" w:rsidRPr="000F2966">
        <w:rPr>
          <w:rFonts w:asciiTheme="minorHAnsi" w:hAnsiTheme="minorHAnsi" w:cstheme="minorHAnsi"/>
          <w:noProof/>
          <w:color w:val="1C1D1E"/>
        </w:rPr>
        <w:t>(18)</w:t>
      </w:r>
      <w:r w:rsidR="00AA1E20">
        <w:rPr>
          <w:rFonts w:asciiTheme="minorHAnsi" w:hAnsiTheme="minorHAnsi" w:cstheme="minorHAnsi"/>
          <w:color w:val="1C1D1E"/>
        </w:rPr>
        <w:fldChar w:fldCharType="end"/>
      </w:r>
      <w:r w:rsidRPr="00F02349">
        <w:rPr>
          <w:rFonts w:asciiTheme="minorHAnsi" w:hAnsiTheme="minorHAnsi" w:cstheme="minorHAnsi"/>
          <w:color w:val="1C1D1E"/>
        </w:rPr>
        <w:t>.</w:t>
      </w:r>
      <w:r w:rsidR="0038098C">
        <w:rPr>
          <w:rFonts w:asciiTheme="minorHAnsi" w:hAnsiTheme="minorHAnsi" w:cstheme="minorHAnsi"/>
          <w:color w:val="1C1D1E"/>
        </w:rPr>
        <w:t xml:space="preserve"> This suggest</w:t>
      </w:r>
      <w:r w:rsidR="00A2649F">
        <w:rPr>
          <w:rFonts w:asciiTheme="minorHAnsi" w:hAnsiTheme="minorHAnsi" w:cstheme="minorHAnsi"/>
          <w:color w:val="1C1D1E"/>
        </w:rPr>
        <w:t>s</w:t>
      </w:r>
      <w:r w:rsidR="001B098B">
        <w:rPr>
          <w:rFonts w:asciiTheme="minorHAnsi" w:hAnsiTheme="minorHAnsi" w:cstheme="minorHAnsi"/>
          <w:color w:val="1C1D1E"/>
        </w:rPr>
        <w:t xml:space="preserve"> that IVIG may sequester complement making it unavailable to the demyelinating antibody. </w:t>
      </w:r>
    </w:p>
    <w:p w14:paraId="024D303A" w14:textId="1ADEADF8" w:rsidR="00754EA4" w:rsidRDefault="006D049F" w:rsidP="00453FAC">
      <w:pPr>
        <w:spacing w:line="360" w:lineRule="auto"/>
        <w:ind w:firstLine="720"/>
      </w:pPr>
      <w:r>
        <w:lastRenderedPageBreak/>
        <w:t xml:space="preserve">The ability of IgG antibodies to bind and activate complement pathways is </w:t>
      </w:r>
      <w:r w:rsidR="00A258B0">
        <w:t xml:space="preserve">dependent on </w:t>
      </w:r>
      <w:r w:rsidR="004D6382">
        <w:t xml:space="preserve">both </w:t>
      </w:r>
      <w:r w:rsidR="00A258B0">
        <w:t>the presence of an attached carbohydrate in the Fc</w:t>
      </w:r>
      <w:r w:rsidR="00045DCF">
        <w:t xml:space="preserve"> </w:t>
      </w:r>
      <w:r w:rsidR="00AA1E20">
        <w:fldChar w:fldCharType="begin" w:fldLock="1"/>
      </w:r>
      <w:r w:rsidR="00DC4AAC">
        <w:instrText>ADDIN CSL_CITATION {"citationItems":[{"id":"ITEM-1","itemData":{"DOI":"10.1084/jem.180.3.1087","ISBN":"0022-1007 (Print)\\r0022-1007","ISSN":"0022-1007","PMID":"8064227","abstract":"Immunoglobulin G (IgG) molecules are glycosylated in CH2 at Asn297; the N-linked carbohydrates attached there have been shown to contribute to antibody (Ab) stability and various effector functions. The carbohydrate attached to the IgG constant region is a complex biantennary structure. Alterations in the structure of oligosaccharide have been associated with human diseases such as rheumatoid arthritis and osteoarthritis. To study the effects of altered carbohydrate structure on Ab effector function, we have used gene transfection techniques to produce mouse-human chimeric IgG1 Abs in the Chinese hamster ovary (CHO) cell line Lec 1, which is incapable of processing the high-mannose intermediate through the terminal glycosylation steps. We also produced IgG1 Abs in Pro-5, the wild-type CHO cell line that is the parent of Lec 1. The Pro-5-produced Ab (IgG1-Pro-5) was similar to IgG1-My 1, a myeloma-produced IgG1 Ab of the same specificity, in its biologic properties such as serum half-life, ability to effect complement-mediated cytolysis, and affinity for Fc gamma RI. Although the Lec 1-produced Ab, IgG1-Lec 1, was properly assembled and retained antigen specificity, it was incapable of complement-mediated hemolysis and was substantially deficient in complement consumption, C1q binding, and C1 activation. IgG1-Lec 1 also showed reduced but significant affinity for Fc gamma R1 receptors. The in vivo half-life of IgG1-Lec 1 was shorter than that of either the myeloma- or Pro-5-produced counterpart, with more being cleared during the alpha-phase and with more rapid clearance during the beta-phase. Clearance of IgG1-Lec 1 could be inhibited by the administration of yeast-derived mannan. Thus the uptake of IgG1-Lec 1 appears to be accelerated by the presence of terminally mannosylated oligosaccharide. Therefore, certain Ab functions as well as the in vivo fate of the protein are dramatically affected by altered carbohydrate structure. Expression of Igs in cell lines with defined glycosylation mutations is shown to be a useful technique for investigating the contribution of carbohydrate structure to Ab function.","author":[{"dropping-particle":"","family":"Wright","given":"Ann","non-dropping-particle":"","parse-names":false,"suffix":""},{"dropping-particle":"","family":"Morrison","given":"Sherie L","non-dropping-particle":"","parse-names":false,"suffix":""}],"container-title":"The Journal of Experimental Medicine","id":"ITEM-1","issue":"3","issued":{"date-parts":[["1994"]]},"page":"1087-1096","title":"Effect of altered CH2-associated carbohydrate structure on the functional properties and in vivo fate of chimeric mouse-human immunoglobulin G1.","type":"article-journal","volume":"180"},"uris":["http://www.mendeley.com/documents/?uuid=a4249953-55a2-4f72-91cf-37f763e836d9"]}],"mendeley":{"formattedCitation":"(19)","plainTextFormattedCitation":"(19)","previouslyFormattedCitation":"(19)"},"properties":{"noteIndex":0},"schema":"https://github.com/citation-style-language/schema/raw/master/csl-citation.json"}</w:instrText>
      </w:r>
      <w:r w:rsidR="00AA1E20">
        <w:fldChar w:fldCharType="separate"/>
      </w:r>
      <w:r w:rsidR="000F2966" w:rsidRPr="000F2966">
        <w:rPr>
          <w:noProof/>
        </w:rPr>
        <w:t>(19)</w:t>
      </w:r>
      <w:r w:rsidR="00AA1E20">
        <w:fldChar w:fldCharType="end"/>
      </w:r>
      <w:r w:rsidR="00A258B0">
        <w:t xml:space="preserve"> and on the ability of IgG to</w:t>
      </w:r>
      <w:r w:rsidR="00CE4794">
        <w:t xml:space="preserve"> multimerise</w:t>
      </w:r>
      <w:r w:rsidR="00A2649F">
        <w:t xml:space="preserve"> </w:t>
      </w:r>
      <w:r w:rsidR="00AA1E20">
        <w:fldChar w:fldCharType="begin" w:fldLock="1"/>
      </w:r>
      <w:r w:rsidR="00DC4AAC">
        <w:instrText>ADDIN CSL_CITATION {"citationItems":[{"id":"ITEM-1","itemData":{"DOI":"10.1126/science.1248943","ISSN":"1095-9203","PMID":"24626930","abstract":"Complement activation by antibodies bound to pathogens, tumors, and self antigens is a critical feature of natural immune defense, a number of disease processes, and immunotherapies. How antibodies activate the complement cascade, however, is poorly understood. We found that specific noncovalent interactions between Fc segments of immunoglobulin G (IgG) antibodies resulted in the formation of ordered antibody hexamers after antigen binding on cells. These hexamers recruited and activated C1, the first component of complement, thereby triggering the complement cascade. The interactions between neighboring Fc segments could be manipulated to block, reconstitute, and enhance complement activation and killing of target cells, using all four human IgG subclasses. We offer a general model for understanding antibody-mediated complement activation and the design of antibody therapeutics with enhanced efficacy.","author":[{"dropping-particle":"","family":"Diebolder","given":"Christoph A","non-dropping-particle":"","parse-names":false,"suffix":""},{"dropping-particle":"","family":"Beurskens","given":"Frank J","non-dropping-particle":"","parse-names":false,"suffix":""},{"dropping-particle":"","family":"Jong","given":"Rob N","non-dropping-particle":"de","parse-names":false,"suffix":""},{"dropping-particle":"","family":"Koning","given":"Roman I","non-dropping-particle":"","parse-names":false,"suffix":""},{"dropping-particle":"","family":"Strumane","given":"Kristin","non-dropping-particle":"","parse-names":false,"suffix":""},{"dropping-particle":"","family":"Lindorfer","given":"Margaret A","non-dropping-particle":"","parse-names":false,"suffix":""},{"dropping-particle":"","family":"Voorhorst","given":"Marleen","non-dropping-particle":"","parse-names":false,"suffix":""},{"dropping-particle":"","family":"Ugurlar","given":"Deniz","non-dropping-particle":"","parse-names":false,"suffix":""},{"dropping-particle":"","family":"Rosati","given":"Sara","non-dropping-particle":"","parse-names":false,"suffix":""},{"dropping-particle":"","family":"Heck","given":"Albert J R","non-dropping-particle":"","parse-names":false,"suffix":""},{"dropping-particle":"","family":"Winkel","given":"Jan G J","non-dropping-particle":"van de","parse-names":false,"suffix":""},{"dropping-particle":"","family":"Wilson","given":"Ian A","non-dropping-particle":"","parse-names":false,"suffix":""},{"dropping-particle":"","family":"Koster","given":"Abraham J","non-dropping-particle":"","parse-names":false,"suffix":""},{"dropping-particle":"","family":"Taylor","given":"Ronald P","non-dropping-particle":"","parse-names":false,"suffix":""},{"dropping-particle":"","family":"Saphire","given":"Erica Ollmann","non-dropping-particle":"","parse-names":false,"suffix":""},{"dropping-particle":"","family":"Burton","given":"Dennis R","non-dropping-particle":"","parse-names":false,"suffix":""},{"dropping-particle":"","family":"Schuurman","given":"Janine","non-dropping-particle":"","parse-names":false,"suffix":""},{"dropping-particle":"","family":"Gros","given":"Piet","non-dropping-particle":"","parse-names":false,"suffix":""},{"dropping-particle":"","family":"Parren","given":"Paul W H I","non-dropping-particle":"","parse-names":false,"suffix":""}],"container-title":"Science (New York, N.Y.)","id":"ITEM-1","issue":"6176","issued":{"date-parts":[["2014","3","14"]]},"page":"1260-3","title":"Complement is activated by IgG hexamers assembled at the cell surface.","type":"article-journal","volume":"343"},"uris":["http://www.mendeley.com/documents/?uuid=3c0aa43d-8808-467a-b5b3-a0f4f1f43952"]}],"mendeley":{"formattedCitation":"(20)","plainTextFormattedCitation":"(20)","previouslyFormattedCitation":"(20)"},"properties":{"noteIndex":0},"schema":"https://github.com/citation-style-language/schema/raw/master/csl-citation.json"}</w:instrText>
      </w:r>
      <w:r w:rsidR="00AA1E20">
        <w:fldChar w:fldCharType="separate"/>
      </w:r>
      <w:r w:rsidR="000F2966" w:rsidRPr="000F2966">
        <w:rPr>
          <w:noProof/>
        </w:rPr>
        <w:t>(20)</w:t>
      </w:r>
      <w:r w:rsidR="00AA1E20">
        <w:fldChar w:fldCharType="end"/>
      </w:r>
      <w:r w:rsidR="00A258B0">
        <w:t xml:space="preserve">. </w:t>
      </w:r>
      <w:r w:rsidR="00CE4794">
        <w:t>Multimerization</w:t>
      </w:r>
      <w:r w:rsidR="00A258B0">
        <w:t xml:space="preserve"> </w:t>
      </w:r>
      <w:r w:rsidR="00067F35">
        <w:t xml:space="preserve">of </w:t>
      </w:r>
      <w:r w:rsidR="00CE4794">
        <w:t xml:space="preserve">injected </w:t>
      </w:r>
      <w:r w:rsidR="00A258B0">
        <w:t xml:space="preserve">IVIG may arise through </w:t>
      </w:r>
      <w:r w:rsidR="00540DCE">
        <w:t xml:space="preserve">multiple mechanisms </w:t>
      </w:r>
      <w:r w:rsidR="00A258B0">
        <w:t xml:space="preserve">that allow </w:t>
      </w:r>
      <w:r w:rsidR="0092787C">
        <w:t xml:space="preserve">a small fraction of injected </w:t>
      </w:r>
      <w:r w:rsidR="00A258B0">
        <w:t xml:space="preserve">IVIG </w:t>
      </w:r>
      <w:r w:rsidR="00CE4794">
        <w:t xml:space="preserve">to </w:t>
      </w:r>
      <w:r w:rsidR="0092787C">
        <w:t xml:space="preserve">be </w:t>
      </w:r>
      <w:r w:rsidR="00067F35">
        <w:t>protective in Guillain-Barr</w:t>
      </w:r>
      <w:r w:rsidR="00067F35">
        <w:rPr>
          <w:rFonts w:ascii="Calibri" w:hAnsi="Calibri" w:cs="Calibri"/>
        </w:rPr>
        <w:t>é</w:t>
      </w:r>
      <w:r w:rsidR="00067F35">
        <w:t xml:space="preserve"> syndrome patients </w:t>
      </w:r>
      <w:r w:rsidR="00AA1E20">
        <w:fldChar w:fldCharType="begin" w:fldLock="1"/>
      </w:r>
      <w:r w:rsidR="00DC4AAC">
        <w:instrText>ADDIN CSL_CITATION {"citationItems":[{"id":"ITEM-1","itemData":{"ISSN":"0022-1767","PMID":"2303712","abstract":"It has previously been reported that up to 40% of the molecules of human IgG from pooled plasma (100,000 donations) spontaneously dimerize, whereas IgG prepared from a single donor contains only trace quantities of dimer. We have conducted immunoelectron microscopic analyses on such samples and have verified that the majority of dimers are composed of complexes in which two arms of each molecule are bound in a reciprocal fashion at or near the distal tips of their respective arms as previously seen in bona fide Id-anti-Id complexes. A significant role for Fc was ruled out by showing the formation of dimeric ring structures in purified F(ab')2 samples. Spontaneous dimerization was also observed in pooled bovine or mouse IgG, but not in that from single animals. Radiolabeled monomeric, single donor human IgG was used as a probe to investigate dimer formation; this material readily codimerized with IgG from other donors or from pooled plasma (either human or bovine), but did not dimerize with IgG from the same donor. Subclass analysis of multiple donor human IgG revealed that the most flexible subclass (IgG3) was overrepresented in the dimer fraction, whereas one of the less flexible subclasses (IgG2) was underrepresented. Although IgG2 could dimerize to some extent with IgG of other subclasses, it could not self-dimerize. These data suggest that structural constraints (hinge flexibility) may play a role in limiting dimerization. This suspicion was confirmed by showing that an additional 15.5% of the monomeric IgG fraction from a multidonor sample could dimerize after a chemically induced increase in hinge flexibility. Our results are interpreted to show that, although the number of functionally distinct Id produced by a species is immense, it is nontheless finite. Moreover, the Id repertoire of an individual is much smaller than that of the species. Pooling the IgG from a number of individuals increases the Id diversity, which increases the chance that any given Id-bearing molecular will encounter a complementary partner.","author":[{"dropping-particle":"","family":"Roux","given":"K H","non-dropping-particle":"","parse-names":false,"suffix":""},{"dropping-particle":"","family":"Tankersley","given":"D L","non-dropping-particle":"","parse-names":false,"suffix":""}],"container-title":"Journal of immunology (Baltimore, Md. : 1950)","id":"ITEM-1","issued":{"date-parts":[["1990"]]},"page":"1387-1395","title":"A view of the human idiotypic repertoire. Electron microscopic and immunologic analyses of spontaneous idiotype-anti-idiotype dimers in pooled human IgG.","type":"article-journal","volume":"144"},"uris":["http://www.mendeley.com/documents/?uuid=e9438952-d572-43ac-b31b-3d6cc10169b3"]},{"id":"ITEM-2","itemData":{"DOI":"10.1007/s11481-019-09871-0","ISSN":"15571904","abstract":"Intravenous immunoglobulins (IVIg) are standard treatment for Guillain-Barré syndrome (GBS). Their exact mechanisms of action are versatile and not fully understood. One possible mechanism is neutralization of circulating autoantibodies via binding to anti- idiotypic antibodies forming idiotype-anti-idiotype dimeric IgG immune complexes. To examine the role of immune complex formation as mechanism of action for IVIg in GBS, 34 C57Bl/6 mice were either treated with anti-ganglioside antibodies and IVIg or IVIg and PBS alone, whereas eight additional mice were treated either with anti-ganglioside autoantibodies and IVIg or anti-ganglioside autoantibodies alone. Subsequently IgG dimer formation was assessed by high performance liquid chromatography (HPLC) and enzyme- linked immunosorbent assay (ELISA). In addition, IgG dimer formation was measured in sera of eight GBS patients who were treated with IVIg. In mice, a significant increase of dimeric IgG after administration of anti-ganglioside antibodies and IVIg could be observed. Re-monomerized IgG dimers showed immunoreactivity against gangliosides and serum immunoreactivity was significantly reduced after IVIg infusion. Likewise also in GBS patients, IgG dimer formation could be detected after IVIg treatment. Our data indicate that dimeric IgG immune complexes contain anti-idiotypic antibodies and provide proof of concept that IVIg treatment in GBS results in measurable amounts of IgG dimers. Larger patient cohorts are needed to evaluate serum IgG dimer increase as a possible marker for treatment response in GBS. [Figure not available: see fulltext.].","author":[{"dropping-particle":"","family":"Svačina","given":"Martin K.R.","non-dropping-particle":"","parse-names":false,"suffix":""},{"dropping-particle":"","family":"Röth","given":"Philip","non-dropping-particle":"","parse-names":false,"suffix":""},{"dropping-particle":"","family":"Bobylev","given":"Ilja","non-dropping-particle":"","parse-names":false,"suffix":""},{"dropping-particle":"","family":"Sprenger","given":"Alina","non-dropping-particle":"","parse-names":false,"suffix":""},{"dropping-particle":"","family":"Zhang","given":"Gang","non-dropping-particle":"","parse-names":false,"suffix":""},{"dropping-particle":"","family":"Sheikh","given":"Kazim A.","non-dropping-particle":"","parse-names":false,"suffix":""},{"dropping-particle":"","family":"Lehmann","given":"Helmar C.","non-dropping-particle":"","parse-names":false,"suffix":""}],"container-title":"Journal of Neuroimmune Pharmacology","id":"ITEM-2","issued":{"date-parts":[["2019"]]},"page":"642-648","title":"Changes of Serum IgG Dimer Levels after Treatment with IVIg in Guillain-Barré Syndrome","type":"article-journal","volume":"14"},"uris":["http://www.mendeley.com/documents/?uuid=d87ae358-aa85-455e-9ebd-d83486ec104a"]},{"id":"ITEM-3","itemData":{"DOI":"10.1126/science.1248943","ISSN":"1095-9203","PMID":"24626930","abstract":"Complement activation by antibodies bound to pathogens, tumors, and self antigens is a critical feature of natural immune defense, a number of disease processes, and immunotherapies. How antibodies activate the complement cascade, however, is poorly understood. We found that specific noncovalent interactions between Fc segments of immunoglobulin G (IgG) antibodies resulted in the formation of ordered antibody hexamers after antigen binding on cells. These hexamers recruited and activated C1, the first component of complement, thereby triggering the complement cascade. The interactions between neighboring Fc segments could be manipulated to block, reconstitute, and enhance complement activation and killing of target cells, using all four human IgG subclasses. We offer a general model for understanding antibody-mediated complement activation and the design of antibody therapeutics with enhanced efficacy.","author":[{"dropping-particle":"","family":"Diebolder","given":"Christoph A","non-dropping-particle":"","parse-names":false,"suffix":""},{"dropping-particle":"","family":"Beurskens","given":"Frank J","non-dropping-particle":"","parse-names":false,"suffix":""},{"dropping-particle":"","family":"Jong","given":"Rob N","non-dropping-particle":"de","parse-names":false,"suffix":""},{"dropping-particle":"","family":"Koning","given":"Roman I","non-dropping-particle":"","parse-names":false,"suffix":""},{"dropping-particle":"","family":"Strumane","given":"Kristin","non-dropping-particle":"","parse-names":false,"suffix":""},{"dropping-particle":"","family":"Lindorfer","given":"Margaret A","non-dropping-particle":"","parse-names":false,"suffix":""},{"dropping-particle":"","family":"Voorhorst","given":"Marleen","non-dropping-particle":"","parse-names":false,"suffix":""},{"dropping-particle":"","family":"Ugurlar","given":"Deniz","non-dropping-particle":"","parse-names":false,"suffix":""},{"dropping-particle":"","family":"Rosati","given":"Sara","non-dropping-particle":"","parse-names":false,"suffix":""},{"dropping-particle":"","family":"Heck","given":"Albert J R","non-dropping-particle":"","parse-names":false,"suffix":""},{"dropping-particle":"","family":"Winkel","given":"Jan G J","non-dropping-particle":"van de","parse-names":false,"suffix":""},{"dropping-particle":"","family":"Wilson","given":"Ian A","non-dropping-particle":"","parse-names":false,"suffix":""},{"dropping-particle":"","family":"Koster","given":"Abraham J","non-dropping-particle":"","parse-names":false,"suffix":""},{"dropping-particle":"","family":"Taylor","given":"Ronald P","non-dropping-particle":"","parse-names":false,"suffix":""},{"dropping-particle":"","family":"Saphire","given":"Erica Ollmann","non-dropping-particle":"","parse-names":false,"suffix":""},{"dropping-particle":"","family":"Burton","given":"Dennis R","non-dropping-particle":"","parse-names":false,"suffix":""},{"dropping-particle":"","family":"Schuurman","given":"Janine","non-dropping-particle":"","parse-names":false,"suffix":""},{"dropping-particle":"","family":"Gros","given":"Piet","non-dropping-particle":"","parse-names":false,"suffix":""},{"dropping-particle":"","family":"Parren","given":"Paul W H I","non-dropping-particle":"","parse-names":false,"suffix":""}],"container-title":"Science (New York, N.Y.)","id":"ITEM-3","issue":"6176","issued":{"date-parts":[["2014","3","14"]]},"page":"1260-3","title":"Complement is activated by IgG hexamers assembled at the cell surface.","type":"article-journal","volume":"343"},"uris":["http://www.mendeley.com/documents/?uuid=3c0aa43d-8808-467a-b5b3-a0f4f1f43952"]}],"mendeley":{"formattedCitation":"(20–22)","plainTextFormattedCitation":"(20–22)","previouslyFormattedCitation":"(20–22)"},"properties":{"noteIndex":0},"schema":"https://github.com/citation-style-language/schema/raw/master/csl-citation.json"}</w:instrText>
      </w:r>
      <w:r w:rsidR="00AA1E20">
        <w:fldChar w:fldCharType="separate"/>
      </w:r>
      <w:r w:rsidR="000F2966" w:rsidRPr="000F2966">
        <w:rPr>
          <w:noProof/>
        </w:rPr>
        <w:t>(20–22)</w:t>
      </w:r>
      <w:r w:rsidR="00AA1E20">
        <w:fldChar w:fldCharType="end"/>
      </w:r>
      <w:r w:rsidR="00A258B0">
        <w:t>.</w:t>
      </w:r>
      <w:r w:rsidR="00754EA4">
        <w:t xml:space="preserve"> Th</w:t>
      </w:r>
      <w:r w:rsidR="005112CB">
        <w:t>ese mechanisms</w:t>
      </w:r>
      <w:r w:rsidR="00754EA4">
        <w:t xml:space="preserve"> </w:t>
      </w:r>
      <w:r w:rsidR="005112CB">
        <w:t>can</w:t>
      </w:r>
      <w:r w:rsidR="00754EA4">
        <w:t xml:space="preserve"> </w:t>
      </w:r>
      <w:r w:rsidR="0092787C">
        <w:t>explain why high</w:t>
      </w:r>
      <w:r w:rsidR="00CE4794">
        <w:t xml:space="preserve"> </w:t>
      </w:r>
      <w:r w:rsidR="0092787C">
        <w:t>dose</w:t>
      </w:r>
      <w:r w:rsidR="00CE4794">
        <w:t>s</w:t>
      </w:r>
      <w:r w:rsidR="0092787C">
        <w:t xml:space="preserve"> of IVIG </w:t>
      </w:r>
      <w:r w:rsidR="00CE4794">
        <w:t>are</w:t>
      </w:r>
      <w:r w:rsidR="0092787C">
        <w:t xml:space="preserve"> required for protection </w:t>
      </w:r>
      <w:r w:rsidR="0092787C" w:rsidRPr="00D74019">
        <w:rPr>
          <w:i/>
          <w:iCs/>
        </w:rPr>
        <w:t>in vivo</w:t>
      </w:r>
      <w:r w:rsidR="0092787C">
        <w:t xml:space="preserve"> and </w:t>
      </w:r>
      <w:r w:rsidR="00754EA4">
        <w:t xml:space="preserve">why monoclonal IgG (Rituximab) </w:t>
      </w:r>
      <w:r w:rsidR="005112CB">
        <w:t>is</w:t>
      </w:r>
      <w:r w:rsidR="00754EA4">
        <w:t xml:space="preserve"> incapable of exerting protection </w:t>
      </w:r>
      <w:r w:rsidR="0092787C">
        <w:t>from demyelination</w:t>
      </w:r>
      <w:r w:rsidR="00754EA4">
        <w:t xml:space="preserve"> </w:t>
      </w:r>
      <w:r w:rsidR="00AA1E20">
        <w:fldChar w:fldCharType="begin" w:fldLock="1"/>
      </w:r>
      <w:r w:rsidR="00DC4AAC">
        <w:instrText>ADDIN CSL_CITATION {"citationItems":[{"id":"ITEM-1","itemData":{"DOI":"10.1002/acn3.326","ISSN":"23289503","PMID":"27844029","author":[{"dropping-particle":"","family":"Winter","given":"Meike","non-dropping-particle":"","parse-names":false,"suffix":""},{"dropping-particle":"","family":"Baksmeier","given":"Christine","non-dropping-particle":"","parse-names":false,"suffix":""},{"dropping-particle":"","family":"Steckel","given":"Julia","non-dropping-particle":"","parse-names":false,"suffix":""},{"dropping-particle":"","family":"Barman","given":"Sumanta","non-dropping-particle":"","parse-names":false,"suffix":""},{"dropping-particle":"","family":"Malviya","given":"Manish","non-dropping-particle":"","parse-names":false,"suffix":""},{"dropping-particle":"","family":"Harrer-Kuster","given":"Melanie","non-dropping-particle":"","parse-names":false,"suffix":""},{"dropping-particle":"","family":"Hartung","given":"Hans-Peter","non-dropping-particle":"","parse-names":false,"suffix":""},{"dropping-particle":"","family":"Goebels","given":"Norbert","non-dropping-particle":"","parse-names":false,"suffix":""}],"container-title":"Annals of Clinical and Translational Neurology","id":"ITEM-1","issue":"11","issued":{"date-parts":[["2016"]]},"page":"828-843","title":"Dose-dependent inhibition of demyelination and microglia activation by IVIG","type":"article-journal","volume":"3"},"uris":["http://www.mendeley.com/documents/?uuid=26923f6d-94a0-476e-b9b7-67d87f7e67a2"]}],"mendeley":{"formattedCitation":"(18)","plainTextFormattedCitation":"(18)","previouslyFormattedCitation":"(18)"},"properties":{"noteIndex":0},"schema":"https://github.com/citation-style-language/schema/raw/master/csl-citation.json"}</w:instrText>
      </w:r>
      <w:r w:rsidR="00AA1E20">
        <w:fldChar w:fldCharType="separate"/>
      </w:r>
      <w:r w:rsidR="000F2966" w:rsidRPr="000F2966">
        <w:rPr>
          <w:noProof/>
        </w:rPr>
        <w:t>(18)</w:t>
      </w:r>
      <w:r w:rsidR="00AA1E20">
        <w:fldChar w:fldCharType="end"/>
      </w:r>
      <w:r w:rsidR="00754EA4">
        <w:t xml:space="preserve">. </w:t>
      </w:r>
    </w:p>
    <w:p w14:paraId="56687F46" w14:textId="0E14DDC4" w:rsidR="002C2C44" w:rsidRPr="00F46025" w:rsidRDefault="003C5E82" w:rsidP="00DF1EC2">
      <w:pPr>
        <w:spacing w:line="360" w:lineRule="auto"/>
        <w:ind w:firstLine="720"/>
      </w:pPr>
      <w:r w:rsidRPr="00F46025">
        <w:t xml:space="preserve">The success of </w:t>
      </w:r>
      <w:r w:rsidR="003C6203" w:rsidRPr="00F46025">
        <w:t>Fc fragments</w:t>
      </w:r>
      <w:r w:rsidRPr="00F46025">
        <w:t xml:space="preserve"> </w:t>
      </w:r>
      <w:r w:rsidR="00CD27B8" w:rsidRPr="00F46025">
        <w:t xml:space="preserve">derived from IVIG </w:t>
      </w:r>
      <w:r w:rsidRPr="00F46025">
        <w:t xml:space="preserve">in treating </w:t>
      </w:r>
      <w:r w:rsidR="00234320" w:rsidRPr="00F46025">
        <w:t xml:space="preserve">autoimmune </w:t>
      </w:r>
      <w:r w:rsidRPr="00F46025">
        <w:t>disease</w:t>
      </w:r>
      <w:r w:rsidR="003C6203" w:rsidRPr="00F46025">
        <w:t xml:space="preserve"> in childre</w:t>
      </w:r>
      <w:r w:rsidR="00234320" w:rsidRPr="00F46025">
        <w:t xml:space="preserve">n </w:t>
      </w:r>
      <w:r w:rsidRPr="00F46025">
        <w:t xml:space="preserve">has motivated the development of </w:t>
      </w:r>
      <w:r w:rsidR="003C6203" w:rsidRPr="00F46025">
        <w:t>recombinant</w:t>
      </w:r>
      <w:r w:rsidR="00234320" w:rsidRPr="00F46025">
        <w:t xml:space="preserve"> Fc-based therapeutics </w:t>
      </w:r>
      <w:r w:rsidR="003C6203" w:rsidRPr="00F46025">
        <w:fldChar w:fldCharType="begin" w:fldLock="1"/>
      </w:r>
      <w:r w:rsidR="00DC4AAC">
        <w:instrText>ADDIN CSL_CITATION {"citationItems":[{"id":"ITEM-1","itemData":{"DOI":"10.1002/emmm.201201379","ISSN":"17574676","PMID":"22837174","abstract":"Since the first description in 1989 of CD4-Fc-fusion antagonists that inhibit human immune deficiency virus entry into T cells, Fc-fusion proteins have been intensely investigated for their effectiveness to curb a range of pathologies, with several notable recent successes coming to market. These promising outcomes have stimulated the development of novel approaches to improve their efficacy and safety, while also broadening their clinical remit to other uses such as vaccines and intravenous immunoglobulin therapy. This increased attention has also led to non-clinical applications of Fc-fusions, such as affinity reagents in microarray devices. Here we discuss recent results and more generally applicable strategies to improve Fc-fusion proteins for each application, with particular attention to the newer, less charted areas.","author":[{"dropping-particle":"","family":"Czajkowsky","given":"Daniel M.","non-dropping-particle":"","parse-names":false,"suffix":""},{"dropping-particle":"","family":"Hu","given":"Jun","non-dropping-particle":"","parse-names":false,"suffix":""},{"dropping-particle":"","family":"Shao","given":"Zhifeng","non-dropping-particle":"","parse-names":false,"suffix":""},{"dropping-particle":"","family":"Pleass","given":"Richard J.","non-dropping-particle":"","parse-names":false,"suffix":""}],"container-title":"EMBO Molecular Medicine","id":"ITEM-1","issue":"10","issued":{"date-parts":[["2012"]]},"page":"1015-1028","title":"Fc-fusion proteins: New developments and future perspectives","type":"article","volume":"4"},"uris":["http://www.mendeley.com/documents/?uuid=8a74f1b3-82bb-357e-a814-6a6a7727b49b"]},{"id":"ITEM-2","itemData":{"DOI":"10.1038/srep09526","ISSN":"2045-2322","author":[{"dropping-particle":"","family":"Czajkowsky","given":"Daniel M.","non-dropping-particle":"","parse-names":false,"suffix":""},{"dropping-particle":"","family":"Andersen","given":"Jan Terje","non-dropping-particle":"","parse-names":false,"suffix":""},{"dropping-particle":"","family":"Fuchs","given":"Anja","non-dropping-particle":"","parse-names":false,"suffix":""},{"dropping-particle":"","family":"Wilson","given":"Timothy J.","non-dropping-particle":"","parse-names":false,"suffix":""},{"dropping-particle":"","family":"Mekhaiel","given":"David","non-dropping-particle":"","parse-names":false,"suffix":""},{"dropping-particle":"","family":"Colonna","given":"Marco","non-dropping-particle":"","parse-names":false,"suffix":""},{"dropping-particle":"","family":"He","given":"Jianfeng","non-dropping-particle":"","parse-names":false,"suffix":""},{"dropping-particle":"","family":"Shao","given":"Zhifeng","non-dropping-particle":"","parse-names":false,"suffix":""},{"dropping-particle":"","family":"Mitchell","given":"Daniel A.","non-dropping-particle":"","parse-names":false,"suffix":""},{"dropping-particle":"","family":"Wu","given":"Gang","non-dropping-particle":"","parse-names":false,"suffix":""},{"dropping-particle":"","family":"Dell","given":"Anne","non-dropping-particle":"","parse-names":false,"suffix":""},{"dropping-particle":"","family":"Haslam","given":"Stuart","non-dropping-particle":"","parse-names":false,"suffix":""},{"dropping-particle":"","family":"Lloyd","given":"Katy a.","non-dropping-particle":"","parse-names":false,"suffix":""},{"dropping-particle":"","family":"Moore","given":"Shona C.","non-dropping-particle":"","parse-names":false,"suffix":""},{"dropping-particle":"","family":"Sandlie","given":"Inger","non-dropping-particle":"","parse-names":false,"suffix":""},{"dropping-particle":"","family":"Blundell","given":"Patricia A.","non-dropping-particle":"","parse-names":false,"suffix":""},{"dropping-particle":"","family":"Pleass","given":"Richard J.","non-dropping-particle":"","parse-names":false,"suffix":""}],"container-title":"Scientific Reports","id":"ITEM-2","issued":{"date-parts":[["2015"]]},"page":"9526","title":"Developing the IVIG biomimetic, Hexa-Fc, for drug and vaccine applications","type":"article-journal","volume":"5"},"uris":["http://www.mendeley.com/documents/?uuid=cc901e6d-1e45-453f-9381-253618dedafd"]},{"id":"ITEM-3","itemData":{"DOI":"10.1016/S0140-6736(81)92400-4","ISBN":"0140-6736 (Print)\\r0140-6736 (Linking)","ISSN":"01406736","PMID":"6112565","abstract":"Seven children with chronic or intermittent and six with acute idiopathic thrombocytopenic purpura (ITP) were treated with large intravenous doses of polyvalent, intact immunoglobulin (Ig). In all patients the platelet count rose sharply within 5 days, but the initial response and the subsequent course varied from patient to patient. Among children with chronic ITP the initial response was more marked in splenectomised than in non-splenectomised patients. Among those with acute ITP the two who remained Ig dependent had a smaller initial response than the four patients who required no maintenance treatment. During the 90-110 days of observation five of six patients with chronic ITP could be maintained with Ig alone. No untoward effects of Ig therapy were observed.","author":[{"dropping-particle":"","family":"Imbach","given":"P.","non-dropping-particle":"","parse-names":false,"suffix":""},{"dropping-particle":"","family":"D'Apuzzo","given":"V.","non-dropping-particle":"","parse-names":false,"suffix":""},{"dropping-particle":"","family":"Hirt","given":"A.","non-dropping-particle":"","parse-names":false,"suffix":""}],"container-title":"Lancet","id":"ITEM-3","issue":"8232","issued":{"date-parts":[["1981"]]},"page":"1228-1230","title":"High-dose intravenous gammaglobulin for idiopathic thrombocytopenic purpura in childhood","type":"article-journal","volume":"1"},"uris":["http://www.mendeley.com/documents/?uuid=433e492b-d683-4ac6-a813-b15763c3b8e4"]}],"mendeley":{"formattedCitation":"(23–25)","plainTextFormattedCitation":"(23–25)","previouslyFormattedCitation":"(23–25)"},"properties":{"noteIndex":0},"schema":"https://github.com/citation-style-language/schema/raw/master/csl-citation.json"}</w:instrText>
      </w:r>
      <w:r w:rsidR="003C6203" w:rsidRPr="00F46025">
        <w:fldChar w:fldCharType="separate"/>
      </w:r>
      <w:r w:rsidR="000F2966" w:rsidRPr="000F2966">
        <w:rPr>
          <w:noProof/>
        </w:rPr>
        <w:t>(23–25)</w:t>
      </w:r>
      <w:r w:rsidR="003C6203" w:rsidRPr="00F46025">
        <w:fldChar w:fldCharType="end"/>
      </w:r>
      <w:r w:rsidRPr="00F46025">
        <w:t>.</w:t>
      </w:r>
      <w:r w:rsidR="00945D85" w:rsidRPr="00F46025">
        <w:t xml:space="preserve"> One approac</w:t>
      </w:r>
      <w:r w:rsidR="00234320" w:rsidRPr="00F46025">
        <w:t xml:space="preserve">h </w:t>
      </w:r>
      <w:r w:rsidR="003C6203" w:rsidRPr="00F46025">
        <w:t xml:space="preserve">we developed </w:t>
      </w:r>
      <w:r w:rsidR="00234320" w:rsidRPr="00F46025">
        <w:t xml:space="preserve">was </w:t>
      </w:r>
      <w:r w:rsidR="007A5070" w:rsidRPr="00F46025">
        <w:t xml:space="preserve">to </w:t>
      </w:r>
      <w:r w:rsidR="00234320" w:rsidRPr="00F46025">
        <w:t>creat</w:t>
      </w:r>
      <w:r w:rsidR="007A5070" w:rsidRPr="00F46025">
        <w:t>e</w:t>
      </w:r>
      <w:r w:rsidR="00234320" w:rsidRPr="00F46025">
        <w:t xml:space="preserve"> recombinant IgG1-Fc hexamers by fusing the IgM </w:t>
      </w:r>
      <w:r w:rsidR="00234320" w:rsidRPr="00F46025">
        <w:rPr>
          <w:rFonts w:ascii="Symbol" w:hAnsi="Symbol"/>
        </w:rPr>
        <w:t>m</w:t>
      </w:r>
      <w:r w:rsidR="00234320" w:rsidRPr="00F46025">
        <w:t xml:space="preserve">-tailpiece to the Fc </w:t>
      </w:r>
      <w:r w:rsidR="0094062B" w:rsidRPr="00F46025">
        <w:t>fragment</w:t>
      </w:r>
      <w:r w:rsidR="00234320" w:rsidRPr="00F46025">
        <w:t xml:space="preserve"> of human IgG1</w:t>
      </w:r>
      <w:r w:rsidR="007A5070" w:rsidRPr="00F46025">
        <w:t xml:space="preserve"> </w:t>
      </w:r>
      <w:r w:rsidR="00D97588" w:rsidRPr="00F46025">
        <w:fldChar w:fldCharType="begin" w:fldLock="1"/>
      </w:r>
      <w:r w:rsidR="00DC4AAC">
        <w:instrText>ADDIN CSL_CITATION {"citationItems":[{"id":"ITEM-1","itemData":{"DOI":"10.1038/srep00124","ISSN":"20452322","PMID":"22355641","abstract":"The success of Fc-fusion bio-therapeutics has spurred the development of other Fc-fusion products for treating and/or vaccinating against a range of diseases. We describe a method to modulate their function by converting them into well-defined stable polymers. This strategy resulted in cylindrical hexameric structures revealed by tapping mode atomic force microscopy (AFM). Polymeric Fc-fusions were significantly less immunogenic than their dimeric or monomeric counterparts, a result partly owing to their reduced ability to interact with critical Fc-receptors. However, in the absence of the fusion partner, polymeric IgG1-Fc molecules were capable of binding selectively to FcγRs, with significantly increased affinity owing to their increased valency, suggesting that these reagents may prove of immediate utility in the development of well-defined replacements for intravenous immunoglobulin (IVIG) therapy. Overall, these findings establish an effective IgG Fc-fusion based polymeric platform with which the therapeutic and vaccination applications of Fc-fusion immune-complexes can now be explored.","author":[{"dropping-particle":"","family":"Mekhaiel","given":"David N.A.","non-dropping-particle":"","parse-names":false,"suffix":""},{"dropping-particle":"","family":"Czajkowsky","given":"Daniel M.","non-dropping-particle":"","parse-names":false,"suffix":""},{"dropping-particle":"","family":"Andersen","given":"Jan Terje","non-dropping-particle":"","parse-names":false,"suffix":""},{"dropping-particle":"","family":"Shi","given":"Jianguo","non-dropping-particle":"","parse-names":false,"suffix":""},{"dropping-particle":"","family":"El-Faham","given":"Marwa","non-dropping-particle":"","parse-names":false,"suffix":""},{"dropping-particle":"","family":"Doenhoff","given":"Michael","non-dropping-particle":"","parse-names":false,"suffix":""},{"dropping-particle":"","family":"McIntosh","given":"Richard S.","non-dropping-particle":"","parse-names":false,"suffix":""},{"dropping-particle":"","family":"Sandlie","given":"Inger","non-dropping-particle":"","parse-names":false,"suffix":""},{"dropping-particle":"","family":"He","given":"Jianfeng","non-dropping-particle":"","parse-names":false,"suffix":""},{"dropping-particle":"","family":"Hu","given":"Jun","non-dropping-particle":"","parse-names":false,"suffix":""},{"dropping-particle":"","family":"Shao","given":"Zhifeng","non-dropping-particle":"","parse-names":false,"suffix":""},{"dropping-particle":"","family":"Pleass","given":"Richard J.","non-dropping-particle":"","parse-names":false,"suffix":""}],"container-title":"Scientific Reports","id":"ITEM-1","issue":"124","issued":{"date-parts":[["2011"]]},"title":"Polymeric human Fc-fusion proteins with modified effector functions","type":"article-journal","volume":"1"},"uris":["http://www.mendeley.com/documents/?uuid=7e48bb35-4bb0-4a0d-81f2-28d14f371776"]},{"id":"ITEM-2","itemData":{"DOI":"10.1038/srep09526","ISSN":"2045-2322","author":[{"dropping-particle":"","family":"Czajkowsky","given":"Daniel M.","non-dropping-particle":"","parse-names":false,"suffix":""},{"dropping-particle":"","family":"Andersen","given":"Jan Terje","non-dropping-particle":"","parse-names":false,"suffix":""},{"dropping-particle":"","family":"Fuchs","given":"Anja","non-dropping-particle":"","parse-names":false,"suffix":""},{"dropping-particle":"","family":"Wilson","given":"Timothy J.","non-dropping-particle":"","parse-names":false,"suffix":""},{"dropping-particle":"","family":"Mekhaiel","given":"David","non-dropping-particle":"","parse-names":false,"suffix":""},{"dropping-particle":"","family":"Colonna","given":"Marco","non-dropping-particle":"","parse-names":false,"suffix":""},{"dropping-particle":"","family":"He","given":"Jianfeng","non-dropping-particle":"","parse-names":false,"suffix":""},{"dropping-particle":"","family":"Shao","given":"Zhifeng","non-dropping-particle":"","parse-names":false,"suffix":""},{"dropping-particle":"","family":"Mitchell","given":"Daniel A.","non-dropping-particle":"","parse-names":false,"suffix":""},{"dropping-particle":"","family":"Wu","given":"Gang","non-dropping-particle":"","parse-names":false,"suffix":""},{"dropping-particle":"","family":"Dell","given":"Anne","non-dropping-particle":"","parse-names":false,"suffix":""},{"dropping-particle":"","family":"Haslam","given":"Stuart","non-dropping-particle":"","parse-names":false,"suffix":""},{"dropping-particle":"","family":"Lloyd","given":"Katy a.","non-dropping-particle":"","parse-names":false,"suffix":""},{"dropping-particle":"","family":"Moore","given":"Shona C.","non-dropping-particle":"","parse-names":false,"suffix":""},{"dropping-particle":"","family":"Sandlie","given":"Inger","non-dropping-particle":"","parse-names":false,"suffix":""},{"dropping-particle":"","family":"Blundell","given":"Patricia A.","non-dropping-particle":"","parse-names":false,"suffix":""},{"dropping-particle":"","family":"Pleass","given":"Richard J.","non-dropping-particle":"","parse-names":false,"suffix":""}],"container-title":"Scientific Reports","id":"ITEM-2","issued":{"date-parts":[["2015"]]},"page":"9526","title":"Developing the IVIG biomimetic, Hexa-Fc, for drug and vaccine applications","type":"article-journal","volume":"5"},"uris":["http://www.mendeley.com/documents/?uuid=cc901e6d-1e45-453f-9381-253618dedafd"]}],"mendeley":{"formattedCitation":"(24,26)","plainTextFormattedCitation":"(24,26)","previouslyFormattedCitation":"(24,26)"},"properties":{"noteIndex":0},"schema":"https://github.com/citation-style-language/schema/raw/master/csl-citation.json"}</w:instrText>
      </w:r>
      <w:r w:rsidR="00D97588" w:rsidRPr="00F46025">
        <w:fldChar w:fldCharType="separate"/>
      </w:r>
      <w:r w:rsidR="000F2966" w:rsidRPr="000F2966">
        <w:rPr>
          <w:noProof/>
        </w:rPr>
        <w:t>(24,26)</w:t>
      </w:r>
      <w:r w:rsidR="00D97588" w:rsidRPr="00F46025">
        <w:fldChar w:fldCharType="end"/>
      </w:r>
      <w:r w:rsidR="00945D85" w:rsidRPr="00F46025">
        <w:t>.</w:t>
      </w:r>
      <w:r w:rsidR="00D57941" w:rsidRPr="00F46025">
        <w:t xml:space="preserve"> </w:t>
      </w:r>
      <w:r w:rsidR="005112CB">
        <w:t>The hexamers multimerise</w:t>
      </w:r>
      <w:r w:rsidR="00345575">
        <w:t xml:space="preserve"> by</w:t>
      </w:r>
      <w:r w:rsidR="005112CB">
        <w:t xml:space="preserve"> </w:t>
      </w:r>
      <w:proofErr w:type="spellStart"/>
      <w:r w:rsidR="005112CB">
        <w:t>disulfide</w:t>
      </w:r>
      <w:proofErr w:type="spellEnd"/>
      <w:r w:rsidR="005112CB">
        <w:t xml:space="preserve"> bond formation</w:t>
      </w:r>
      <w:r w:rsidR="00345575">
        <w:t xml:space="preserve"> at</w:t>
      </w:r>
      <w:r w:rsidR="005112CB">
        <w:t xml:space="preserve"> two cysteine residues (Cys-309 &amp; Cys575) that come from IgM. The molecules also contain an extra N-linked glycan </w:t>
      </w:r>
      <w:r w:rsidR="00345575">
        <w:t xml:space="preserve">at Asn-563 in the </w:t>
      </w:r>
      <w:r w:rsidR="00345575" w:rsidRPr="00F46025">
        <w:t xml:space="preserve">IgM </w:t>
      </w:r>
      <w:r w:rsidR="00345575" w:rsidRPr="00F46025">
        <w:rPr>
          <w:rFonts w:ascii="Symbol" w:hAnsi="Symbol"/>
        </w:rPr>
        <w:t>m</w:t>
      </w:r>
      <w:r w:rsidR="00345575" w:rsidRPr="00F46025">
        <w:t>-tailpiece</w:t>
      </w:r>
      <w:r w:rsidR="00345575">
        <w:t xml:space="preserve">. </w:t>
      </w:r>
      <w:r w:rsidR="0035088D" w:rsidRPr="00F46025">
        <w:t xml:space="preserve">The hexamers </w:t>
      </w:r>
      <w:r w:rsidR="00A139ED" w:rsidRPr="00F46025">
        <w:t xml:space="preserve">are </w:t>
      </w:r>
      <w:r w:rsidR="00345575">
        <w:t xml:space="preserve">currently </w:t>
      </w:r>
      <w:r w:rsidR="00A139ED" w:rsidRPr="00F46025">
        <w:t xml:space="preserve">in clinical development as they have been shown to </w:t>
      </w:r>
      <w:r w:rsidR="0035088D" w:rsidRPr="00F46025">
        <w:t xml:space="preserve">block cytotoxicity and pathological changes in experimental in vitro and rat models of neuromyelitis </w:t>
      </w:r>
      <w:proofErr w:type="spellStart"/>
      <w:r w:rsidR="0035088D" w:rsidRPr="00F46025">
        <w:t>optica</w:t>
      </w:r>
      <w:proofErr w:type="spellEnd"/>
      <w:r w:rsidR="0035088D" w:rsidRPr="00F46025">
        <w:t xml:space="preserve"> through mechanisms that </w:t>
      </w:r>
      <w:r w:rsidR="00191BA8" w:rsidRPr="00F46025">
        <w:t xml:space="preserve">involve </w:t>
      </w:r>
      <w:r w:rsidR="002C2C44" w:rsidRPr="00F46025">
        <w:t>interfere</w:t>
      </w:r>
      <w:r w:rsidR="00191BA8" w:rsidRPr="00F46025">
        <w:t>nce</w:t>
      </w:r>
      <w:r w:rsidR="002C2C44" w:rsidRPr="00F46025">
        <w:t xml:space="preserve"> with </w:t>
      </w:r>
      <w:r w:rsidR="0035088D" w:rsidRPr="00F46025">
        <w:t>complement activation</w:t>
      </w:r>
      <w:r w:rsidR="00A139ED" w:rsidRPr="00F46025">
        <w:t xml:space="preserve"> </w:t>
      </w:r>
      <w:r w:rsidR="00CD27B8" w:rsidRPr="00F46025">
        <w:fldChar w:fldCharType="begin" w:fldLock="1"/>
      </w:r>
      <w:r w:rsidR="00DC4AAC">
        <w:instrText>ADDIN CSL_CITATION {"citationItems":[{"id":"ITEM-1","itemData":{"DOI":"10.1016/j.neuropharm.2018.02.002","ISSN":"18737064","PMID":"29428821","abstract":"Intravenous human immunoglobulin G (IVIG) may have therapeutic benefit in neuromyelitis optica spectrum disorders (herein called NMO), in part because of the anti-inflammatory properties of the IgG Fc region. Here, we evaluated recombinant Fc hexamers consisting of the IgM μ-tailpiece fused with the Fc region of human IgG1. In vitro, the Fc hexamers prevented cytotoxicity in aquaporin-4 (AQP4) expressing cells and in rat spinal cord slice cultures exposed to NMO anti-AQP4 autoantibody (AQP4-IgG) and complement, with &gt;500-fold greater potency than IVIG or monomeric Fc fragments. Fc hexamers at low concentration also prevented antibody-dependent cellular cytotoxicity produced by AQP4-IgG and natural killer cells. Serum from rats administered a single intravenous dose of Fc hexamers at 50 mg/kg taken at 8 h did not produce complement-dependent cytotoxicity when added to AQP4-IgG-treated AQP4-expressing cell cultures. In an experimental rat model of NMO produced by intracerebral injection of AQP4-IgG, Fc hexamers at 50 mg/kg administered before and at 12 h after AQP4-IgG fully prevented astrocyte injury, complement activation, inflammation and demyelination. These results support the potential therapeutic utility of recombinant IgG1 Fc hexamers in AQP4-IgG seropositive NMO.","author":[{"dropping-particle":"","family":"Tradtrantip","given":"Lukmanee","non-dropping-particle":"","parse-names":false,"suffix":""},{"dropping-particle":"","family":"Felix","given":"Christian M.","non-dropping-particle":"","parse-names":false,"suffix":""},{"dropping-particle":"","family":"Spirig","given":"Rolf","non-dropping-particle":"","parse-names":false,"suffix":""},{"dropping-particle":"","family":"Morelli","given":"Adriana Baz","non-dropping-particle":"","parse-names":false,"suffix":""},{"dropping-particle":"","family":"Verkman","given":"A. S.","non-dropping-particle":"","parse-names":false,"suffix":""}],"container-title":"Neuropharmacology","id":"ITEM-1","issued":{"date-parts":[["2018"]]},"page":"345-353","publisher":"Elsevier Ltd","title":"Recombinant IgG1 Fc hexamers block cytotoxicity and pathological changes in experimental in vitro and rat models of neuromyelitis optica","type":"article-journal","volume":"133"},"uris":["http://www.mendeley.com/documents/?uuid=879f81db-f8bc-4137-9905-09947c1207cf"]},{"id":"ITEM-2","itemData":{"DOI":"10.4049/jimmunol.1701171","ISBN":"0000000319478","ISSN":"0022-1767","PMID":"29531170","abstract":"Activation of Fc receptors and complement by immune complexes is a common important pathogenic trigger in many autoimmune diseases and so blockade of these innate immune pathways may be an attractive target for treatment of immune complex-mediated pathomechanisms. High-dose IVIG is used to treat autoimmune and inflammatory diseases, and several studies demonstrate that the therapeutic effects of IVIG can be recapitulated with the Fc portion. Further, recent data indicate that recombinant multimerized Fc molecules exhibit potent anti-inflammatory properties. In this study, we investigated the biochemical and biological properties of an rFc hexamer (termed Fc-μTP-L309C) generated by fusion of the IgM μ-tailpiece to the C terminus of human IgG1 Fc. Fc-μTP-L309C bound FcγRs with high avidity and inhibited FcγR-mediated effector functions (Ab-dependent cell-mediated cytotoxicity, phagocytosis, respiratory burst) in vitro. In addition, Fc-μTP-L309C prevented full activation of the classical complement pathway by blocking C2 cleavage, avoiding generation of inflammatory downstream products (C5a or sC5b-9). In vivo, Fc-μTP-L309C suppressed inflammatory arthritis in mice when given therapeutically at approximately a 10-fold lower dose than IVIG, which was associated with reduced inflammatory cytokine production and complement activation. Likewise, administration of Fc-μTP-L309C restored platelet counts in a mouse model of immune thrombocytopenia. Our data demonstrate a potent anti-inflammatory effect of Fc-μTP-L309C in vitro and in vivo, likely mediated by blockade of FcγRs and its unique inhibition of complement activation.","author":[{"dropping-particle":"","family":"Spirig","given":"Rolf","non-dropping-particle":"","parse-names":false,"suffix":""},{"dropping-particle":"","family":"Campbell","given":"Ian K.","non-dropping-particle":"","parse-names":false,"suffix":""},{"dropping-particle":"","family":"Koernig","given":"Sandra","non-dropping-particle":"","parse-names":false,"suffix":""},{"dropping-particle":"","family":"Chen","given":"Chao-Guang","non-dropping-particle":"","parse-names":false,"suffix":""},{"dropping-particle":"","family":"Lewis","given":"Bonnie J. B.","non-dropping-particle":"","parse-names":false,"suffix":""},{"dropping-particle":"","family":"Butcher","given":"Rebecca","non-dropping-particle":"","parse-names":false,"suffix":""},{"dropping-particle":"","family":"Muir","given":"Ineke","non-dropping-particle":"","parse-names":false,"suffix":""},{"dropping-particle":"","family":"Taylor","given":"Shirley","non-dropping-particle":"","parse-names":false,"suffix":""},{"dropping-particle":"","family":"Chia","given":"Jenny","non-dropping-particle":"","parse-names":false,"suffix":""},{"dropping-particle":"","family":"Leong","given":"David","non-dropping-particle":"","parse-names":false,"suffix":""},{"dropping-particle":"","family":"Simmonds","given":"Jason","non-dropping-particle":"","parse-names":false,"suffix":""},{"dropping-particle":"","family":"Scotney","given":"Pierre","non-dropping-particle":"","parse-names":false,"suffix":""},{"dropping-particle":"","family":"Schmidt","given":"Peter","non-dropping-particle":"","parse-names":false,"suffix":""},{"dropping-particle":"","family":"Fabri","given":"Louis","non-dropping-particle":"","parse-names":false,"suffix":""},{"dropping-particle":"","family":"Hofmann","given":"Andreas","non-dropping-particle":"","parse-names":false,"suffix":""},{"dropping-particle":"","family":"Jordi","given":"Monika","non-dropping-particle":"","parse-names":false,"suffix":""},{"dropping-particle":"","family":"Spycher","given":"Martin O.","non-dropping-particle":"","parse-names":false,"suffix":""},{"dropping-particle":"","family":"Cattepoel","given":"Susann","non-dropping-particle":"","parse-names":false,"suffix":""},{"dropping-particle":"","family":"Brasseit","given":"Jennifer","non-dropping-particle":"","parse-names":false,"suffix":""},{"dropping-particle":"","family":"Panousis","given":"Con","non-dropping-particle":"","parse-names":false,"suffix":""},{"dropping-particle":"","family":"Rowe","given":"Tony","non-dropping-particle":"","parse-names":false,"suffix":""},{"dropping-particle":"","family":"Branch","given":"Donald R.","non-dropping-particle":"","parse-names":false,"suffix":""},{"dropping-particle":"","family":"Baz Morelli","given":"Adriana","non-dropping-particle":"","parse-names":false,"suffix":""},{"dropping-particle":"","family":"Käsermann","given":"Fabian","non-dropping-particle":"","parse-names":false,"suffix":""},{"dropping-particle":"","family":"Zuercher","given":"Adrian W.","non-dropping-particle":"","parse-names":false,"suffix":""}],"container-title":"The Journal of Immunology","id":"ITEM-2","issued":{"date-parts":[["2018"]]},"page":"2542-2553","title":"rIgG1 Fc Hexamer Inhibits Antibody-Mediated Autoimmune Disease via Effects on Complement and FcγRs","type":"article-journal","volume":"200"},"uris":["http://www.mendeley.com/documents/?uuid=e90dac84-583d-4157-9c7f-da0799af5ec3"]}],"mendeley":{"formattedCitation":"(27,28)","plainTextFormattedCitation":"(27,28)","previouslyFormattedCitation":"(27,28)"},"properties":{"noteIndex":0},"schema":"https://github.com/citation-style-language/schema/raw/master/csl-citation.json"}</w:instrText>
      </w:r>
      <w:r w:rsidR="00CD27B8" w:rsidRPr="00F46025">
        <w:fldChar w:fldCharType="separate"/>
      </w:r>
      <w:r w:rsidR="000F2966" w:rsidRPr="000F2966">
        <w:rPr>
          <w:noProof/>
        </w:rPr>
        <w:t>(27,28)</w:t>
      </w:r>
      <w:r w:rsidR="00CD27B8" w:rsidRPr="00F46025">
        <w:fldChar w:fldCharType="end"/>
      </w:r>
      <w:r w:rsidR="0035088D" w:rsidRPr="00F46025">
        <w:t>.</w:t>
      </w:r>
      <w:r w:rsidR="00CD27B8" w:rsidRPr="00F46025">
        <w:t xml:space="preserve"> </w:t>
      </w:r>
    </w:p>
    <w:p w14:paraId="3AE663BB" w14:textId="036EE4A7" w:rsidR="00A7392C" w:rsidRDefault="00345575" w:rsidP="00DF1EC2">
      <w:pPr>
        <w:spacing w:line="360" w:lineRule="auto"/>
        <w:ind w:firstLine="720"/>
      </w:pPr>
      <w:r w:rsidRPr="00345575">
        <w:t xml:space="preserve">However, potential drawbacks to the </w:t>
      </w:r>
      <w:r w:rsidR="00504FA8">
        <w:t xml:space="preserve">clinical </w:t>
      </w:r>
      <w:r w:rsidRPr="00345575">
        <w:t xml:space="preserve">use of hexamers include their large size (~ 350 </w:t>
      </w:r>
      <w:proofErr w:type="spellStart"/>
      <w:r w:rsidRPr="00345575">
        <w:t>kDa</w:t>
      </w:r>
      <w:proofErr w:type="spellEnd"/>
      <w:r w:rsidRPr="00345575">
        <w:t>), presence of multiple</w:t>
      </w:r>
      <w:r>
        <w:rPr>
          <w:color w:val="000000" w:themeColor="text1"/>
        </w:rPr>
        <w:t xml:space="preserve"> </w:t>
      </w:r>
      <w:proofErr w:type="spellStart"/>
      <w:r>
        <w:rPr>
          <w:color w:val="000000" w:themeColor="text1"/>
        </w:rPr>
        <w:t>disulfide</w:t>
      </w:r>
      <w:proofErr w:type="spellEnd"/>
      <w:r>
        <w:rPr>
          <w:color w:val="000000" w:themeColor="text1"/>
        </w:rPr>
        <w:t xml:space="preserve"> </w:t>
      </w:r>
      <w:r w:rsidRPr="00345575">
        <w:t xml:space="preserve">bonds, and a </w:t>
      </w:r>
      <w:r w:rsidRPr="00345575">
        <w:rPr>
          <w:rFonts w:ascii="Symbol" w:hAnsi="Symbol"/>
        </w:rPr>
        <w:t></w:t>
      </w:r>
      <w:r w:rsidRPr="00345575">
        <w:t xml:space="preserve">-tailpiece N-glycosylation site that may </w:t>
      </w:r>
      <w:r>
        <w:t xml:space="preserve">all combine to </w:t>
      </w:r>
      <w:r w:rsidRPr="00345575">
        <w:t xml:space="preserve">limit manufacture </w:t>
      </w:r>
      <w:r w:rsidR="00FC0445">
        <w:t xml:space="preserve">to scale </w:t>
      </w:r>
      <w:r w:rsidRPr="00345575">
        <w:t xml:space="preserve">by commercially available cell lines </w:t>
      </w:r>
      <w:r w:rsidR="00DF1EC2" w:rsidRPr="00F46025">
        <w:fldChar w:fldCharType="begin" w:fldLock="1"/>
      </w:r>
      <w:r w:rsidR="00DC4AAC">
        <w:instrText>ADDIN CSL_CITATION {"citationItems":[{"id":"ITEM-1","itemData":{"DOI":"10.1021/bi972217k","ISSN":"00062960","PMID":"9578569","abstract":"Many eukaryotic proteins are modified by Asn-linked (N-linked) glycosylation. The number and position of oligosaccharides added to a protein by the enzyme oligosaccharyltransferase can influence its expression and function. N-Linked glycosylation usually occurs at Asn residues in Asn-X- Ser/Thr sequons where X (+) Pro. However, many Asn-X-Ser/Thr sequons are not glycosylated or are glycosylated inefficiently. Inefficient glycosylation at one or more Asn-X-Ser/Thr sequons in a protein results in the production of heterogeneous glycoprotein products. These glycoforms may differ from one another in their level of expression, stability, antigenicity, or function. The signals which control the efficiency of N-linked glycosylation at individual Asn residues have not been fully defined. In this report, we use a site-directed mutagenesis approach to investigate the influence of the amino acid at the position following a sequon (the Y position, Asn-X-Ser/Thr-Y). Variants of rabies virus glycoprotein containing a single Asn-X-Ser/Thr sequon at Asn37 were generated. Variants were designed with each of the twenty common amino acids at the Y position, with either Set or Thr at the hydroxy (Ser/Thr) position. The core glycosylation efficiency of each variant was quantified using a cell-free translation/glycosylation system. These studies reveal that the amino acid at the Y position is an important determinant of core glycosylation efficiency.","author":[{"dropping-particle":"","family":"Mellquist","given":"J. L.","non-dropping-particle":"","parse-names":false,"suffix":""},{"dropping-particle":"","family":"Kasturi","given":"L.","non-dropping-particle":"","parse-names":false,"suffix":""},{"dropping-particle":"","family":"Spitalnik","given":"S. L.","non-dropping-particle":"","parse-names":false,"suffix":""},{"dropping-particle":"","family":"Shakin-Eshleman","given":"S. H.","non-dropping-particle":"","parse-names":false,"suffix":""}],"container-title":"Biochemistry","id":"ITEM-1","issue":"19","issued":{"date-parts":[["1998"]]},"page":"6833-6837","title":"The amino acid following an Asn-X-Ser/Thr sequon is an important determinant of N-linked core glycosylation efficiency","type":"article-journal","volume":"37"},"uris":["http://www.mendeley.com/documents/?uuid=50c0c571-b51c-4576-824b-ce33e6400f2d"]}],"mendeley":{"formattedCitation":"(29)","plainTextFormattedCitation":"(29)","previouslyFormattedCitation":"(29)"},"properties":{"noteIndex":0},"schema":"https://github.com/citation-style-language/schema/raw/master/csl-citation.json"}</w:instrText>
      </w:r>
      <w:r w:rsidR="00DF1EC2" w:rsidRPr="00F46025">
        <w:fldChar w:fldCharType="separate"/>
      </w:r>
      <w:r w:rsidR="000F2966" w:rsidRPr="000F2966">
        <w:rPr>
          <w:noProof/>
        </w:rPr>
        <w:t>(29)</w:t>
      </w:r>
      <w:r w:rsidR="00DF1EC2" w:rsidRPr="00F46025">
        <w:fldChar w:fldCharType="end"/>
      </w:r>
      <w:r w:rsidR="006A620A" w:rsidRPr="00F46025">
        <w:t>.</w:t>
      </w:r>
      <w:r w:rsidR="00831B27" w:rsidRPr="00F46025">
        <w:t xml:space="preserve"> We therefore created a </w:t>
      </w:r>
      <w:r w:rsidR="002A7245" w:rsidRPr="00F46025">
        <w:t xml:space="preserve">large </w:t>
      </w:r>
      <w:r w:rsidR="00831B27" w:rsidRPr="00F46025">
        <w:t>panel of cysteine</w:t>
      </w:r>
      <w:r w:rsidR="0022057E" w:rsidRPr="00F46025">
        <w:t>-</w:t>
      </w:r>
      <w:r w:rsidR="00831B27" w:rsidRPr="00F46025">
        <w:t xml:space="preserve"> and N-glycan</w:t>
      </w:r>
      <w:r w:rsidR="0022057E" w:rsidRPr="00F46025">
        <w:t xml:space="preserve">-adapted </w:t>
      </w:r>
      <w:r w:rsidR="00831B27" w:rsidRPr="00F46025">
        <w:t>mutants from the parent hexamer</w:t>
      </w:r>
      <w:r w:rsidR="002C2C44" w:rsidRPr="00F46025">
        <w:t xml:space="preserve"> </w:t>
      </w:r>
      <w:r w:rsidR="002C2C44" w:rsidRPr="00F46025">
        <w:fldChar w:fldCharType="begin" w:fldLock="1"/>
      </w:r>
      <w:r w:rsidR="00DC4AAC">
        <w:instrText>ADDIN CSL_CITATION {"citationItems":[{"id":"ITEM-1","itemData":{"DOI":"10.1074/jbc.M117.795047","ISSN":"0021-9258","author":[{"dropping-particle":"","family":"Blundell","given":"Patricia A","non-dropping-particle":"","parse-names":false,"suffix":""},{"dropping-particle":"","family":"Le","given":"Ngoc Phuong Lan","non-dropping-particle":"","parse-names":false,"suffix":""},{"dropping-particle":"","family":"Allen","given":"Joel","non-dropping-particle":"","parse-names":false,"suffix":""},{"dropping-particle":"","family":"Watanabe","given":"Yasunori","non-dropping-particle":"","parse-names":false,"suffix":""},{"dropping-particle":"","family":"Pleass","given":"Richard J","non-dropping-particle":"","parse-names":false,"suffix":""}],"container-title":"Journal of Biological Chemistry","id":"ITEM-1","issued":{"date-parts":[["2017"]]},"page":"12994-13007","title":"Engineering the fragment crystallizable (Fc) region of human IgG1 multimers and monomers to fine-tune interactions with sialic acid-dependent receptors","type":"article-journal","volume":"292"},"uris":["http://www.mendeley.com/documents/?uuid=0a129f04-7d3c-4fde-8bb7-6ab517a0b7a2"]},{"id":"ITEM-2","itemData":{"DOI":"10.4049/jimmunol.1901145","ISSN":"0022-1767","PMID":"31907284","abstract":"Antibodies are glycoproteins that carry a conserved N-linked carbohydrate attached to the Fc, whose presence and fine structure profoundly impacts on their in vivo immunogenicity, pharmacokinetics and functional attributes. The host cell line used to produce IgG has a major impact on this glycosylation, as different systems express different glycosylation enzymes and transporters that contribute to the specificity and heterogeneity of the final IgG-Fc glycosylation profile. Here we compare two panels of glycan-adapted IgG1-Fc mutants expressed in either the HEK 293-F or CHO-K1 systems. We show that the types of N-linked glycans between matched pairs of Fc mutants vary significantly, and in particular with respect to sialylation. These cell line effects on glycosylation profoundly influence the ability of the engineered Fcs to interact with either human or pathogen receptors. For example, we describe Fc mutants that potently disrupted influenza B-mediated agglutination of human erythrocytes when expressed in CHO-K1 but not in HEK 293-F cells. * Abbreviations: Fc : Fragment crystallizable IVIG : Intravenous Immunoglobulin ITP : Idiopathic Thrombocytopenic Purpura tp : tailpiece Siglec : Sialic acid-binding immunoglobulin-type lectin CD : Cluster Designation CHO : Chinese Hamster Ovary DC-SIGN : Dendritic Cell-Specific Intercellular Adhesion Molecule-3-grabbing Non-Integrin DCIR : C-type Lectin Dendritic Cell Immunoreceptor CLEC : C-type Lectin HA : Hemagglutinin HIA : Hemagglutination Inhibition Assay HEK 293-F : Human Endothelial Kidney MBL : Mannose-Binding Lectin MMR : Macrophage Mannose Receptor mAbs : monoclonal Antibody MALDI : matrix-assisted laser desorption ionisation TOF : time-of-flight SE-HPLC : Size Exclusion-High Performance Liquid Chromatography","author":[{"dropping-particle":"","family":"Blundell","given":"Patricia A.","non-dropping-particle":"","parse-names":false,"suffix":""},{"dropping-particle":"","family":"Lu","given":"Dongli","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Immunology","id":"ITEM-2","issue":"4","issued":{"date-parts":[["2020"]]},"page":"1022-1034","title":"Choice of Host Cell Line Is Essential for the Functional Glycosylation of the Fc Region of Human IgG1 Inhibitors of Influenza B Viruses","type":"article-journal","volume":"204"},"uris":["http://www.mendeley.com/documents/?uuid=fe984b0a-b0f9-4576-a7c5-77c70633286d"]},{"id":"ITEM-3","itemData":{"DOI":"10.4049/jimmunol.1801337","ISSN":"0022-1767","abstract":"In therapeutic applications in which the Fc of IgG is critically important, the receptor binding and functional properties of the Fc are lost after deglycosylation or removal of the unique Asn297 N-X-(T/S) sequon. A population of Fcs bearing sialylated glycans has been identified as contributing to this functionality, and high levels of sialylation also lead to longer serum retention times advantageous for therapy. The efficacy of sialylated Fc has generated an incentive to modify the unique N-linked glycosylation site at Asn297, either through chemical and enzymatic methods or by mutagenesis of the Fc, that disrupts the protein-Asn297 carbohydrate interface. In this study, we took an alternative approach by inserting or deleting N-linked attachment sites into the body of the Fc to generate a portfolio of mutants with tailored effector functions. For example, we describe mutants with enhanced binding to low-affinity inhibitory human Fcγ and glycan receptors that may be usefully incorporated into existing Ab engineering approaches to treat or vaccinate against disease. The IgG1 Fc fragments containing complex sialylated glycans attached to the N-terminal Asn221 sequon bound influenza virus hemagglutinin and disrupted influenza A-mediated agglutination of human erythrocytes.","author":[{"dropping-particle":"","family":"Blundell","given":"Patricia A.","non-dropping-particle":"","parse-names":false,"suffix":""},{"dropping-particle":"","family":"Lu","given":"Dongli","non-dropping-particle":"","parse-names":false,"suffix":""},{"dropping-particle":"","family":"Wilkinson","given":"Mark.","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Immunology","id":"ITEM-3","issued":{"date-parts":[["2019"]]},"page":"1595-1611","title":"Insertion of N-Terminal Hinge Glycosylation Enhances Interactions of the Fc Region of Human IgG1 Monomers with Glycan-Dependent Receptors and Blocks Hemagglutination by the Influenza Virus","type":"article-journal","volume":"202"},"uris":["http://www.mendeley.com/documents/?uuid=ef264cf2-4739-4de3-8887-dc3a5dbd6881"]}],"mendeley":{"formattedCitation":"(30–32)","plainTextFormattedCitation":"(30–32)","previouslyFormattedCitation":"(30–32)"},"properties":{"noteIndex":0},"schema":"https://github.com/citation-style-language/schema/raw/master/csl-citation.json"}</w:instrText>
      </w:r>
      <w:r w:rsidR="002C2C44" w:rsidRPr="00F46025">
        <w:fldChar w:fldCharType="separate"/>
      </w:r>
      <w:r w:rsidR="000F2966" w:rsidRPr="000F2966">
        <w:rPr>
          <w:noProof/>
        </w:rPr>
        <w:t>(30–32)</w:t>
      </w:r>
      <w:r w:rsidR="002C2C44" w:rsidRPr="00F46025">
        <w:fldChar w:fldCharType="end"/>
      </w:r>
      <w:r w:rsidR="00FB6ABB" w:rsidRPr="00F46025">
        <w:t xml:space="preserve">. </w:t>
      </w:r>
      <w:r w:rsidR="002A7245" w:rsidRPr="00F46025">
        <w:t>Here we selected f</w:t>
      </w:r>
      <w:r w:rsidR="00486321" w:rsidRPr="00F46025">
        <w:t xml:space="preserve">ive </w:t>
      </w:r>
      <w:r w:rsidR="002A7245" w:rsidRPr="00F46025">
        <w:t xml:space="preserve">of these </w:t>
      </w:r>
      <w:r w:rsidR="0022057E" w:rsidRPr="00F46025">
        <w:t xml:space="preserve">adapted </w:t>
      </w:r>
      <w:r w:rsidR="002A7245" w:rsidRPr="00F46025">
        <w:t>molecules for further study based on their diverse structural and functional properties (Table 1)</w:t>
      </w:r>
      <w:r w:rsidR="00C301E9" w:rsidRPr="00F46025">
        <w:t xml:space="preserve">. </w:t>
      </w:r>
      <w:r w:rsidR="0094062B" w:rsidRPr="00F46025">
        <w:t>W</w:t>
      </w:r>
      <w:r w:rsidR="00C301E9" w:rsidRPr="00F46025">
        <w:t xml:space="preserve">e </w:t>
      </w:r>
      <w:r w:rsidR="002A7245" w:rsidRPr="00F46025">
        <w:t xml:space="preserve">show that three </w:t>
      </w:r>
      <w:r w:rsidR="009A4A7B" w:rsidRPr="00F46025">
        <w:t xml:space="preserve">of the </w:t>
      </w:r>
      <w:r w:rsidR="0022057E" w:rsidRPr="00F46025">
        <w:t xml:space="preserve">Fc-adapted </w:t>
      </w:r>
      <w:r w:rsidR="009A4A7B" w:rsidRPr="00F46025">
        <w:t>molecules</w:t>
      </w:r>
      <w:r w:rsidR="002A7245" w:rsidRPr="00F46025">
        <w:t xml:space="preserve"> are</w:t>
      </w:r>
      <w:r w:rsidR="00C301E9" w:rsidRPr="00F46025">
        <w:t xml:space="preserve"> readily manufactured </w:t>
      </w:r>
      <w:r w:rsidR="00486321" w:rsidRPr="00F46025">
        <w:t xml:space="preserve">to scale </w:t>
      </w:r>
      <w:r w:rsidR="00C301E9" w:rsidRPr="00F46025">
        <w:t>by CHO-S cells and are</w:t>
      </w:r>
      <w:r w:rsidR="002A7245" w:rsidRPr="00F46025">
        <w:t xml:space="preserve"> </w:t>
      </w:r>
      <w:r w:rsidR="00CE4794" w:rsidRPr="00F46025">
        <w:t xml:space="preserve">superior to </w:t>
      </w:r>
      <w:r w:rsidR="00831B27" w:rsidRPr="00F46025">
        <w:t xml:space="preserve">IVIG </w:t>
      </w:r>
      <w:r w:rsidR="00486321" w:rsidRPr="00F46025">
        <w:t xml:space="preserve">and wildtype Fc </w:t>
      </w:r>
      <w:r w:rsidR="008E72B0" w:rsidRPr="00F46025">
        <w:t>at controlling demyelination in the OSC model.</w:t>
      </w:r>
      <w:r w:rsidR="008E72B0">
        <w:t xml:space="preserve"> </w:t>
      </w:r>
    </w:p>
    <w:p w14:paraId="20CD7ABA" w14:textId="77777777" w:rsidR="006A7851" w:rsidRDefault="006A7851" w:rsidP="00BC0647">
      <w:pPr>
        <w:spacing w:line="360" w:lineRule="auto"/>
        <w:rPr>
          <w:b/>
          <w:bCs/>
        </w:rPr>
      </w:pPr>
    </w:p>
    <w:p w14:paraId="1693CC67" w14:textId="77777777" w:rsidR="00DC4AAC" w:rsidRDefault="00DC4AAC" w:rsidP="00BC0647">
      <w:pPr>
        <w:spacing w:line="360" w:lineRule="auto"/>
        <w:rPr>
          <w:b/>
          <w:bCs/>
        </w:rPr>
      </w:pPr>
    </w:p>
    <w:p w14:paraId="7730127B" w14:textId="77777777" w:rsidR="00DC4AAC" w:rsidRDefault="00DC4AAC" w:rsidP="00BC0647">
      <w:pPr>
        <w:spacing w:line="360" w:lineRule="auto"/>
        <w:rPr>
          <w:b/>
          <w:bCs/>
        </w:rPr>
      </w:pPr>
    </w:p>
    <w:p w14:paraId="0912E70A" w14:textId="77777777" w:rsidR="00DC4AAC" w:rsidRDefault="00DC4AAC" w:rsidP="00BC0647">
      <w:pPr>
        <w:spacing w:line="360" w:lineRule="auto"/>
        <w:rPr>
          <w:b/>
          <w:bCs/>
        </w:rPr>
      </w:pPr>
    </w:p>
    <w:p w14:paraId="1F69D464" w14:textId="77777777" w:rsidR="00DC4AAC" w:rsidRDefault="00DC4AAC" w:rsidP="00BC0647">
      <w:pPr>
        <w:spacing w:line="360" w:lineRule="auto"/>
        <w:rPr>
          <w:b/>
          <w:bCs/>
        </w:rPr>
      </w:pPr>
    </w:p>
    <w:p w14:paraId="082D905C" w14:textId="77777777" w:rsidR="00DC4AAC" w:rsidRDefault="00DC4AAC" w:rsidP="00BC0647">
      <w:pPr>
        <w:spacing w:line="360" w:lineRule="auto"/>
        <w:rPr>
          <w:b/>
          <w:bCs/>
        </w:rPr>
      </w:pPr>
    </w:p>
    <w:p w14:paraId="5A1699ED" w14:textId="77777777" w:rsidR="00DC4AAC" w:rsidRDefault="00DC4AAC" w:rsidP="00BC0647">
      <w:pPr>
        <w:spacing w:line="360" w:lineRule="auto"/>
        <w:rPr>
          <w:b/>
          <w:bCs/>
        </w:rPr>
      </w:pPr>
    </w:p>
    <w:p w14:paraId="6543E0E5" w14:textId="77777777" w:rsidR="00DC4AAC" w:rsidRDefault="00DC4AAC" w:rsidP="00BC0647">
      <w:pPr>
        <w:spacing w:line="360" w:lineRule="auto"/>
        <w:rPr>
          <w:b/>
          <w:bCs/>
        </w:rPr>
      </w:pPr>
    </w:p>
    <w:p w14:paraId="3CD33EB5" w14:textId="61145D15" w:rsidR="004D6382" w:rsidRDefault="004D6382" w:rsidP="00BC0647">
      <w:pPr>
        <w:spacing w:line="360" w:lineRule="auto"/>
        <w:rPr>
          <w:b/>
          <w:bCs/>
        </w:rPr>
      </w:pPr>
      <w:r w:rsidRPr="004D6382">
        <w:rPr>
          <w:b/>
          <w:bCs/>
        </w:rPr>
        <w:lastRenderedPageBreak/>
        <w:t>Material and Methods</w:t>
      </w:r>
    </w:p>
    <w:p w14:paraId="0F196EF6" w14:textId="77777777" w:rsidR="00163CA0" w:rsidRPr="004D6382" w:rsidRDefault="00163CA0" w:rsidP="00BC0647">
      <w:pPr>
        <w:spacing w:line="360" w:lineRule="auto"/>
        <w:rPr>
          <w:b/>
          <w:bCs/>
        </w:rPr>
      </w:pPr>
    </w:p>
    <w:p w14:paraId="5DC29899" w14:textId="255AA8B6" w:rsidR="000A0E7F" w:rsidRDefault="000A0E7F" w:rsidP="005A29F8">
      <w:pPr>
        <w:spacing w:line="360" w:lineRule="auto"/>
        <w:rPr>
          <w:b/>
          <w:bCs/>
        </w:rPr>
      </w:pPr>
      <w:r w:rsidRPr="000A0E7F">
        <w:rPr>
          <w:b/>
          <w:bCs/>
        </w:rPr>
        <w:t xml:space="preserve">Generation of </w:t>
      </w:r>
      <w:r w:rsidR="00343B87">
        <w:rPr>
          <w:b/>
          <w:bCs/>
        </w:rPr>
        <w:t>de-glycos</w:t>
      </w:r>
      <w:r w:rsidRPr="000A0E7F">
        <w:rPr>
          <w:b/>
          <w:bCs/>
        </w:rPr>
        <w:t>ylated IVIG</w:t>
      </w:r>
    </w:p>
    <w:p w14:paraId="0A49064A" w14:textId="25D87D29" w:rsidR="007D2C89" w:rsidRPr="000F5E5D" w:rsidRDefault="007D2C89" w:rsidP="005A29F8">
      <w:pPr>
        <w:spacing w:line="360" w:lineRule="auto"/>
        <w:rPr>
          <w:bCs/>
        </w:rPr>
      </w:pPr>
      <w:r>
        <w:rPr>
          <w:bCs/>
        </w:rPr>
        <w:t xml:space="preserve">To avoid endotoxin contamination, </w:t>
      </w:r>
      <w:proofErr w:type="spellStart"/>
      <w:r>
        <w:rPr>
          <w:bCs/>
        </w:rPr>
        <w:t>PNGaseF</w:t>
      </w:r>
      <w:proofErr w:type="spellEnd"/>
      <w:r>
        <w:rPr>
          <w:bCs/>
        </w:rPr>
        <w:t xml:space="preserve"> was expressed in </w:t>
      </w:r>
      <w:proofErr w:type="spellStart"/>
      <w:r>
        <w:t>ClearColi</w:t>
      </w:r>
      <w:proofErr w:type="spellEnd"/>
      <w:r>
        <w:t>® BL21(DE3) electrocompetent c</w:t>
      </w:r>
      <w:r w:rsidRPr="00B953C3">
        <w:t>ells</w:t>
      </w:r>
      <w:r>
        <w:t xml:space="preserve"> (</w:t>
      </w:r>
      <w:proofErr w:type="spellStart"/>
      <w:r>
        <w:t>Lucigen</w:t>
      </w:r>
      <w:proofErr w:type="spellEnd"/>
      <w:r>
        <w:t xml:space="preserve">, </w:t>
      </w:r>
      <w:proofErr w:type="spellStart"/>
      <w:r>
        <w:t>Middelton</w:t>
      </w:r>
      <w:proofErr w:type="spellEnd"/>
      <w:r>
        <w:t>, WI, USA). Shortly,</w:t>
      </w:r>
      <w:r w:rsidRPr="0088280C">
        <w:t xml:space="preserve"> </w:t>
      </w:r>
      <w:proofErr w:type="spellStart"/>
      <w:r>
        <w:t>ClearColi</w:t>
      </w:r>
      <w:proofErr w:type="spellEnd"/>
      <w:r>
        <w:t xml:space="preserve"> cells were electroporated with </w:t>
      </w:r>
      <w:proofErr w:type="spellStart"/>
      <w:r>
        <w:rPr>
          <w:bCs/>
        </w:rPr>
        <w:t>PNGase</w:t>
      </w:r>
      <w:proofErr w:type="spellEnd"/>
      <w:r w:rsidR="00BC6705">
        <w:rPr>
          <w:bCs/>
        </w:rPr>
        <w:t xml:space="preserve"> </w:t>
      </w:r>
      <w:r>
        <w:rPr>
          <w:bCs/>
        </w:rPr>
        <w:t>F plasmid pOPH6</w:t>
      </w:r>
      <w:r w:rsidR="00453FAC">
        <w:rPr>
          <w:bCs/>
        </w:rPr>
        <w:t xml:space="preserve"> </w:t>
      </w:r>
      <w:r w:rsidR="00453FAC">
        <w:rPr>
          <w:bCs/>
        </w:rPr>
        <w:fldChar w:fldCharType="begin" w:fldLock="1"/>
      </w:r>
      <w:r w:rsidR="00DC4AAC">
        <w:rPr>
          <w:bCs/>
        </w:rPr>
        <w:instrText>ADDIN CSL_CITATION {"citationItems":[{"id":"ITEM-1","itemData":{"DOI":"10.1006/prep.2001.1555","ISSN":"1046-5928 (Print)","PMID":"11812228","abstract":"PNGase F is a widely used deglycosidase, secreted in small amounts by the  gram-negative bacterium Flavobacterium meningosepticum. We have designed a T7 promoter-based Escherichia coli expression system to provide a high-yield source of recombinant enzyme. When expressed intracellularly, the enzyme was produced in a largely insoluble state. However, when expressed as a fusion with the leader sequence from the ompA gene, hexahistidine-tagged PNGase F was efficiently processed and exported to the E. coli periplasm. Single-step purification using immobilized metal affinity chromatography yielded 8 mg of pure enzyme per liter of culture, which is fully active on a range of protein and peptide substrates.","author":[{"dropping-particle":"","family":"Loo","given":"Trevor","non-dropping-particle":"","parse-names":false,"suffix":""},{"dropping-particle":"","family":"Patchett","given":"Mark L","non-dropping-particle":"","parse-names":false,"suffix":""},{"dropping-particle":"","family":"Norris","given":"Gillian E","non-dropping-particle":"","parse-names":false,"suffix":""},{"dropping-particle":"","family":"Lott","given":"J Shaun","non-dropping-particle":"","parse-names":false,"suffix":""}],"container-title":"Protein expression and purification","id":"ITEM-1","issue":"1","issued":{"date-parts":[["2002","2"]]},"language":"eng","page":"90-98","publisher-place":"United States","title":"Using secretion to solve a solubility problem: high-yield expression in Escherichia  coli and purification of the bacterial glycoamidase PNGase F.","type":"article-journal","volume":"24"},"uris":["http://www.mendeley.com/documents/?uuid=00115a54-f7cc-41c8-bb39-9c1c7e32c1ba"]}],"mendeley":{"formattedCitation":"(33)","plainTextFormattedCitation":"(33)","previouslyFormattedCitation":"(33)"},"properties":{"noteIndex":0},"schema":"https://github.com/citation-style-language/schema/raw/master/csl-citation.json"}</w:instrText>
      </w:r>
      <w:r w:rsidR="00453FAC">
        <w:rPr>
          <w:bCs/>
        </w:rPr>
        <w:fldChar w:fldCharType="separate"/>
      </w:r>
      <w:r w:rsidR="000F2966" w:rsidRPr="000F2966">
        <w:rPr>
          <w:bCs/>
          <w:noProof/>
        </w:rPr>
        <w:t>(33)</w:t>
      </w:r>
      <w:r w:rsidR="00453FAC">
        <w:rPr>
          <w:bCs/>
        </w:rPr>
        <w:fldChar w:fldCharType="end"/>
      </w:r>
      <w:r w:rsidR="00453FAC">
        <w:rPr>
          <w:b/>
          <w:lang w:val="en-US"/>
        </w:rPr>
        <w:t xml:space="preserve"> </w:t>
      </w:r>
      <w:r w:rsidR="00453FAC" w:rsidRPr="006F112F">
        <w:rPr>
          <w:bCs/>
          <w:lang w:val="en-US"/>
        </w:rPr>
        <w:t>(</w:t>
      </w:r>
      <w:r>
        <w:t xml:space="preserve">kindly provided by </w:t>
      </w:r>
      <w:r w:rsidR="00FE64B9">
        <w:t xml:space="preserve">Prof. </w:t>
      </w:r>
      <w:r>
        <w:t>Max Crispin</w:t>
      </w:r>
      <w:r w:rsidR="00AE0988">
        <w:t>, University of Southampton, UK</w:t>
      </w:r>
      <w:r>
        <w:t>) and expanded in LB-Miller medium (</w:t>
      </w:r>
      <w:r w:rsidRPr="00BA4381">
        <w:t>Sigma-Aldrich</w:t>
      </w:r>
      <w:r>
        <w:t xml:space="preserve">, Hamburg, Germany) with Ampicillin (final concentration 100 µg/ml; </w:t>
      </w:r>
      <w:r w:rsidRPr="00BA4381">
        <w:t>Sigma-Aldrich</w:t>
      </w:r>
      <w:r>
        <w:t xml:space="preserve">, Hamburg, Germany). </w:t>
      </w:r>
      <w:proofErr w:type="spellStart"/>
      <w:r>
        <w:t>PNGase</w:t>
      </w:r>
      <w:proofErr w:type="spellEnd"/>
      <w:r w:rsidR="00BC6705">
        <w:t xml:space="preserve"> </w:t>
      </w:r>
      <w:r>
        <w:t xml:space="preserve">F expression was induced by addition of </w:t>
      </w:r>
      <w:r w:rsidRPr="009A5FC1">
        <w:t>Isopropyl β-D-1-thiogalactopyranoside</w:t>
      </w:r>
      <w:r>
        <w:t xml:space="preserve"> (final concentration 1mM) at OD</w:t>
      </w:r>
      <w:r w:rsidRPr="009A5FC1">
        <w:rPr>
          <w:vertAlign w:val="subscript"/>
        </w:rPr>
        <w:t>600</w:t>
      </w:r>
      <w:r>
        <w:rPr>
          <w:vertAlign w:val="subscript"/>
        </w:rPr>
        <w:t> </w:t>
      </w:r>
      <w:r w:rsidRPr="00BA4381">
        <w:t>=</w:t>
      </w:r>
      <w:r>
        <w:t> </w:t>
      </w:r>
      <w:r w:rsidRPr="00BA4381">
        <w:t>0.6. Harvested</w:t>
      </w:r>
      <w:r>
        <w:t xml:space="preserve"> bacteria</w:t>
      </w:r>
      <w:r w:rsidR="00FE64B9">
        <w:t xml:space="preserve"> underwent</w:t>
      </w:r>
      <w:r>
        <w:t xml:space="preserve"> enzymatic and mechanical lysis and were purified </w:t>
      </w:r>
      <w:r>
        <w:rPr>
          <w:bCs/>
        </w:rPr>
        <w:t xml:space="preserve">using </w:t>
      </w:r>
      <w:r w:rsidRPr="000F5E5D">
        <w:rPr>
          <w:bCs/>
        </w:rPr>
        <w:t xml:space="preserve">His </w:t>
      </w:r>
      <w:proofErr w:type="spellStart"/>
      <w:r w:rsidRPr="000F5E5D">
        <w:rPr>
          <w:bCs/>
        </w:rPr>
        <w:t>GraviTrap</w:t>
      </w:r>
      <w:proofErr w:type="spellEnd"/>
      <w:r w:rsidRPr="000F5E5D">
        <w:rPr>
          <w:bCs/>
        </w:rPr>
        <w:t>™</w:t>
      </w:r>
      <w:r>
        <w:rPr>
          <w:bCs/>
        </w:rPr>
        <w:t xml:space="preserve"> columns </w:t>
      </w:r>
      <w:r w:rsidRPr="0040007D">
        <w:rPr>
          <w:bCs/>
        </w:rPr>
        <w:t>(GE Healthcare, Uppsala, Sweden)</w:t>
      </w:r>
      <w:r>
        <w:rPr>
          <w:bCs/>
        </w:rPr>
        <w:t xml:space="preserve"> according to the manufacturer’s </w:t>
      </w:r>
      <w:r w:rsidRPr="00BA4381">
        <w:rPr>
          <w:bCs/>
        </w:rPr>
        <w:t>instructions.</w:t>
      </w:r>
      <w:r>
        <w:rPr>
          <w:bCs/>
        </w:rPr>
        <w:t xml:space="preserve"> For</w:t>
      </w:r>
      <w:r w:rsidRPr="00653220">
        <w:rPr>
          <w:bCs/>
        </w:rPr>
        <w:t xml:space="preserve"> </w:t>
      </w:r>
      <w:r w:rsidR="00343B87">
        <w:rPr>
          <w:bCs/>
        </w:rPr>
        <w:t>de-glycos</w:t>
      </w:r>
      <w:r w:rsidRPr="00653220">
        <w:rPr>
          <w:bCs/>
        </w:rPr>
        <w:t>ylation u</w:t>
      </w:r>
      <w:r>
        <w:rPr>
          <w:bCs/>
        </w:rPr>
        <w:t>nder non-denaturing conditions 15</w:t>
      </w:r>
      <w:r w:rsidRPr="00653220">
        <w:rPr>
          <w:bCs/>
        </w:rPr>
        <w:t xml:space="preserve"> mg of IVIG </w:t>
      </w:r>
      <w:r w:rsidRPr="00653220">
        <w:t>(</w:t>
      </w:r>
      <w:proofErr w:type="spellStart"/>
      <w:r w:rsidRPr="00653220">
        <w:t>Privigen</w:t>
      </w:r>
      <w:proofErr w:type="spellEnd"/>
      <w:r w:rsidRPr="00653220">
        <w:t xml:space="preserve">®, CSL-Behring, </w:t>
      </w:r>
      <w:proofErr w:type="spellStart"/>
      <w:r w:rsidRPr="00653220">
        <w:t>Hattersheim</w:t>
      </w:r>
      <w:proofErr w:type="spellEnd"/>
      <w:r w:rsidRPr="00653220">
        <w:t>, Germany)</w:t>
      </w:r>
      <w:r>
        <w:t xml:space="preserve"> </w:t>
      </w:r>
      <w:r w:rsidRPr="00653220">
        <w:rPr>
          <w:bCs/>
        </w:rPr>
        <w:t>w</w:t>
      </w:r>
      <w:r w:rsidR="0020603C">
        <w:rPr>
          <w:bCs/>
        </w:rPr>
        <w:t xml:space="preserve">as </w:t>
      </w:r>
      <w:r w:rsidRPr="00653220">
        <w:rPr>
          <w:bCs/>
        </w:rPr>
        <w:t xml:space="preserve">incubated </w:t>
      </w:r>
      <w:r>
        <w:rPr>
          <w:bCs/>
        </w:rPr>
        <w:t>with 60</w:t>
      </w:r>
      <w:r w:rsidRPr="00653220">
        <w:rPr>
          <w:bCs/>
        </w:rPr>
        <w:t xml:space="preserve"> µg of</w:t>
      </w:r>
      <w:r>
        <w:rPr>
          <w:bCs/>
        </w:rPr>
        <w:t xml:space="preserve"> </w:t>
      </w:r>
      <w:proofErr w:type="spellStart"/>
      <w:r w:rsidRPr="00653220">
        <w:rPr>
          <w:bCs/>
        </w:rPr>
        <w:t>PNGase</w:t>
      </w:r>
      <w:r>
        <w:rPr>
          <w:bCs/>
        </w:rPr>
        <w:t>F</w:t>
      </w:r>
      <w:proofErr w:type="spellEnd"/>
      <w:r w:rsidRPr="00653220">
        <w:rPr>
          <w:bCs/>
        </w:rPr>
        <w:t xml:space="preserve"> in 1x </w:t>
      </w:r>
      <w:proofErr w:type="spellStart"/>
      <w:r w:rsidRPr="00653220">
        <w:rPr>
          <w:bCs/>
        </w:rPr>
        <w:t>GlycoBuffer</w:t>
      </w:r>
      <w:proofErr w:type="spellEnd"/>
      <w:r w:rsidRPr="00653220">
        <w:rPr>
          <w:bCs/>
        </w:rPr>
        <w:t xml:space="preserve"> (NEB</w:t>
      </w:r>
      <w:r>
        <w:rPr>
          <w:bCs/>
        </w:rPr>
        <w:t>,</w:t>
      </w:r>
      <w:r w:rsidRPr="0040007D">
        <w:t xml:space="preserve"> </w:t>
      </w:r>
      <w:r w:rsidRPr="0040007D">
        <w:rPr>
          <w:bCs/>
        </w:rPr>
        <w:t xml:space="preserve">Ipswich, </w:t>
      </w:r>
      <w:r>
        <w:rPr>
          <w:bCs/>
        </w:rPr>
        <w:t xml:space="preserve">MA, </w:t>
      </w:r>
      <w:r w:rsidRPr="0040007D">
        <w:rPr>
          <w:bCs/>
        </w:rPr>
        <w:t>USA</w:t>
      </w:r>
      <w:r w:rsidRPr="00653220">
        <w:rPr>
          <w:bCs/>
        </w:rPr>
        <w:t>) at 37°C for 24 hours.</w:t>
      </w:r>
      <w:r>
        <w:rPr>
          <w:bCs/>
        </w:rPr>
        <w:t xml:space="preserve"> </w:t>
      </w:r>
      <w:r w:rsidR="00343B87">
        <w:rPr>
          <w:bCs/>
        </w:rPr>
        <w:t>De-glycos</w:t>
      </w:r>
      <w:r>
        <w:rPr>
          <w:bCs/>
        </w:rPr>
        <w:t xml:space="preserve">ylated IVIG was purified </w:t>
      </w:r>
      <w:r w:rsidRPr="00653220">
        <w:t xml:space="preserve">over a protein G </w:t>
      </w:r>
      <w:r w:rsidRPr="0040007D">
        <w:rPr>
          <w:bCs/>
        </w:rPr>
        <w:t xml:space="preserve">column (GE Healthcare, Uppsala, Sweden), dialysed against PBS </w:t>
      </w:r>
      <w:r>
        <w:rPr>
          <w:bCs/>
        </w:rPr>
        <w:t xml:space="preserve">and concentrated using </w:t>
      </w:r>
      <w:proofErr w:type="spellStart"/>
      <w:r w:rsidRPr="000F5E5D">
        <w:rPr>
          <w:bCs/>
        </w:rPr>
        <w:t>Amicon</w:t>
      </w:r>
      <w:proofErr w:type="spellEnd"/>
      <w:r w:rsidRPr="000F5E5D">
        <w:rPr>
          <w:bCs/>
        </w:rPr>
        <w:t>® Ultra-15 Centrifugal Filter Units</w:t>
      </w:r>
      <w:r>
        <w:rPr>
          <w:bCs/>
        </w:rPr>
        <w:t xml:space="preserve"> (Merck Millipore, MA, </w:t>
      </w:r>
      <w:r w:rsidRPr="000F5E5D">
        <w:rPr>
          <w:bCs/>
        </w:rPr>
        <w:t>Billerica</w:t>
      </w:r>
      <w:r>
        <w:rPr>
          <w:bCs/>
        </w:rPr>
        <w:t>, USA)</w:t>
      </w:r>
      <w:r w:rsidR="00EC2957">
        <w:t>.</w:t>
      </w:r>
    </w:p>
    <w:p w14:paraId="7B75EC8D" w14:textId="77777777" w:rsidR="00A51D60" w:rsidRPr="000A0E7F" w:rsidRDefault="00A51D60" w:rsidP="005A29F8">
      <w:pPr>
        <w:spacing w:line="360" w:lineRule="auto"/>
        <w:rPr>
          <w:b/>
          <w:bCs/>
        </w:rPr>
      </w:pPr>
    </w:p>
    <w:p w14:paraId="7600DDDF" w14:textId="77777777" w:rsidR="000A0E7F" w:rsidRDefault="000A0E7F" w:rsidP="0038519A">
      <w:pPr>
        <w:spacing w:line="360" w:lineRule="auto"/>
        <w:rPr>
          <w:b/>
          <w:bCs/>
        </w:rPr>
      </w:pPr>
      <w:r w:rsidRPr="000A0E7F">
        <w:rPr>
          <w:b/>
          <w:bCs/>
        </w:rPr>
        <w:t>Generation of Fc</w:t>
      </w:r>
      <w:r w:rsidR="008C2A6F">
        <w:rPr>
          <w:b/>
          <w:bCs/>
        </w:rPr>
        <w:t xml:space="preserve"> </w:t>
      </w:r>
      <w:r w:rsidRPr="000A0E7F">
        <w:rPr>
          <w:b/>
          <w:bCs/>
        </w:rPr>
        <w:t>fragments</w:t>
      </w:r>
    </w:p>
    <w:p w14:paraId="1A4CAF92" w14:textId="1F7F2571" w:rsidR="004323E2" w:rsidRPr="004323E2" w:rsidRDefault="009B3118" w:rsidP="0038519A">
      <w:pPr>
        <w:spacing w:line="36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Adapted </w:t>
      </w:r>
      <w:r w:rsidR="004323E2" w:rsidRPr="004323E2">
        <w:rPr>
          <w:rFonts w:ascii="Calibri" w:eastAsia="Times New Roman" w:hAnsi="Calibri" w:cs="Calibri"/>
          <w:color w:val="000000"/>
          <w:lang w:eastAsia="en-GB"/>
        </w:rPr>
        <w:t>Fc constructs manufactured in CHO-K1 or HEK 293-F cells ha</w:t>
      </w:r>
      <w:r>
        <w:rPr>
          <w:rFonts w:ascii="Calibri" w:eastAsia="Times New Roman" w:hAnsi="Calibri" w:cs="Calibri"/>
          <w:color w:val="000000"/>
          <w:lang w:eastAsia="en-GB"/>
        </w:rPr>
        <w:t>ve</w:t>
      </w:r>
      <w:r w:rsidR="004323E2" w:rsidRPr="004323E2">
        <w:rPr>
          <w:rFonts w:ascii="Calibri" w:eastAsia="Times New Roman" w:hAnsi="Calibri" w:cs="Calibri"/>
          <w:color w:val="000000"/>
          <w:lang w:eastAsia="en-GB"/>
        </w:rPr>
        <w:t xml:space="preserve"> previously been described</w:t>
      </w:r>
      <w:r w:rsidR="00C077C6">
        <w:rPr>
          <w:rFonts w:ascii="Calibri" w:eastAsia="Times New Roman" w:hAnsi="Calibri" w:cs="Calibri"/>
          <w:color w:val="000000"/>
          <w:lang w:eastAsia="en-GB"/>
        </w:rPr>
        <w:t xml:space="preserve"> </w:t>
      </w:r>
      <w:r w:rsidR="00C077C6">
        <w:rPr>
          <w:rFonts w:ascii="Calibri" w:eastAsia="Times New Roman" w:hAnsi="Calibri" w:cs="Calibri"/>
          <w:color w:val="000000"/>
          <w:lang w:eastAsia="en-GB"/>
        </w:rPr>
        <w:fldChar w:fldCharType="begin" w:fldLock="1"/>
      </w:r>
      <w:r w:rsidR="00DC4AAC">
        <w:rPr>
          <w:rFonts w:ascii="Calibri" w:eastAsia="Times New Roman" w:hAnsi="Calibri" w:cs="Calibri"/>
          <w:color w:val="000000"/>
          <w:lang w:eastAsia="en-GB"/>
        </w:rPr>
        <w:instrText>ADDIN CSL_CITATION {"citationItems":[{"id":"ITEM-1","itemData":{"DOI":"10.1074/jbc.M117.795047","ISSN":"0021-9258","author":[{"dropping-particle":"","family":"Blundell","given":"Patricia A","non-dropping-particle":"","parse-names":false,"suffix":""},{"dropping-particle":"","family":"Le","given":"Ngoc Phuong Lan","non-dropping-particle":"","parse-names":false,"suffix":""},{"dropping-particle":"","family":"Allen","given":"Joel","non-dropping-particle":"","parse-names":false,"suffix":""},{"dropping-particle":"","family":"Watanabe","given":"Yasunori","non-dropping-particle":"","parse-names":false,"suffix":""},{"dropping-particle":"","family":"Pleass","given":"Richard J","non-dropping-particle":"","parse-names":false,"suffix":""}],"container-title":"Journal of Biological Chemistry","id":"ITEM-1","issued":{"date-parts":[["2017"]]},"page":"12994-13007","title":"Engineering the fragment crystallizable (Fc) region of human IgG1 multimers and monomers to fine-tune interactions with sialic acid-dependent receptors","type":"article-journal","volume":"292"},"uris":["http://www.mendeley.com/documents/?uuid=0a129f04-7d3c-4fde-8bb7-6ab517a0b7a2"]},{"id":"ITEM-2","itemData":{"DOI":"10.4049/jimmunol.1801337","ISSN":"0022-1767","abstract":"In therapeutic applications in which the Fc of IgG is critically important, the receptor binding and functional properties of the Fc are lost after deglycosylation or removal of the unique Asn297 N-X-(T/S) sequon. A population of Fcs bearing sialylated glycans has been identified as contributing to this functionality, and high levels of sialylation also lead to longer serum retention times advantageous for therapy. The efficacy of sialylated Fc has generated an incentive to modify the unique N-linked glycosylation site at Asn297, either through chemical and enzymatic methods or by mutagenesis of the Fc, that disrupts the protein-Asn297 carbohydrate interface. In this study, we took an alternative approach by inserting or deleting N-linked attachment sites into the body of the Fc to generate a portfolio of mutants with tailored effector functions. For example, we describe mutants with enhanced binding to low-affinity inhibitory human Fcγ and glycan receptors that may be usefully incorporated into existing Ab engineering approaches to treat or vaccinate against disease. The IgG1 Fc fragments containing complex sialylated glycans attached to the N-terminal Asn221 sequon bound influenza virus hemagglutinin and disrupted influenza A-mediated agglutination of human erythrocytes.","author":[{"dropping-particle":"","family":"Blundell","given":"Patricia A.","non-dropping-particle":"","parse-names":false,"suffix":""},{"dropping-particle":"","family":"Lu","given":"Dongli","non-dropping-particle":"","parse-names":false,"suffix":""},{"dropping-particle":"","family":"Wilkinson","given":"Mark.","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Immunology","id":"ITEM-2","issued":{"date-parts":[["2019"]]},"page":"1595-1611","title":"Insertion of N-Terminal Hinge Glycosylation Enhances Interactions of the Fc Region of Human IgG1 Monomers with Glycan-Dependent Receptors and Blocks Hemagglutination by the Influenza Virus","type":"article-journal","volume":"202"},"uris":["http://www.mendeley.com/documents/?uuid=ef264cf2-4739-4de3-8887-dc3a5dbd6881"]},{"id":"ITEM-3","itemData":{"DOI":"10.4049/jimmunol.1901145","ISSN":"0022-1767","PMID":"31907284","abstract":"Antibodies are glycoproteins that carry a conserved N-linked carbohydrate attached to the Fc, whose presence and fine structure profoundly impacts on their in vivo immunogenicity, pharmacokinetics and functional attributes. The host cell line used to produce IgG has a major impact on this glycosylation, as different systems express different glycosylation enzymes and transporters that contribute to the specificity and heterogeneity of the final IgG-Fc glycosylation profile. Here we compare two panels of glycan-adapted IgG1-Fc mutants expressed in either the HEK 293-F or CHO-K1 systems. We show that the types of N-linked glycans between matched pairs of Fc mutants vary significantly, and in particular with respect to sialylation. These cell line effects on glycosylation profoundly influence the ability of the engineered Fcs to interact with either human or pathogen receptors. For example, we describe Fc mutants that potently disrupted influenza B-mediated agglutination of human erythrocytes when expressed in CHO-K1 but not in HEK 293-F cells. * Abbreviations: Fc : Fragment crystallizable IVIG : Intravenous Immunoglobulin ITP : Idiopathic Thrombocytopenic Purpura tp : tailpiece Siglec : Sialic acid-binding immunoglobulin-type lectin CD : Cluster Designation CHO : Chinese Hamster Ovary DC-SIGN : Dendritic Cell-Specific Intercellular Adhesion Molecule-3-grabbing Non-Integrin DCIR : C-type Lectin Dendritic Cell Immunoreceptor CLEC : C-type Lectin HA : Hemagglutinin HIA : Hemagglutination Inhibition Assay HEK 293-F : Human Endothelial Kidney MBL : Mannose-Binding Lectin MMR : Macrophage Mannose Receptor mAbs : monoclonal Antibody MALDI : matrix-assisted laser desorption ionisation TOF : time-of-flight SE-HPLC : Size Exclusion-High Performance Liquid Chromatography","author":[{"dropping-particle":"","family":"Blundell","given":"Patricia A.","non-dropping-particle":"","parse-names":false,"suffix":""},{"dropping-particle":"","family":"Lu","given":"Dongli","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Immunology","id":"ITEM-3","issue":"4","issued":{"date-parts":[["2020"]]},"page":"1022-1034","title":"Choice of Host Cell Line Is Essential for the Functional Glycosylation of the Fc Region of Human IgG1 Inhibitors of Influenza B Viruses","type":"article-journal","volume":"204"},"uris":["http://www.mendeley.com/documents/?uuid=fe984b0a-b0f9-4576-a7c5-77c70633286d"]}],"mendeley":{"formattedCitation":"(30–32)","plainTextFormattedCitation":"(30–32)","previouslyFormattedCitation":"(30–32)"},"properties":{"noteIndex":0},"schema":"https://github.com/citation-style-language/schema/raw/master/csl-citation.json"}</w:instrText>
      </w:r>
      <w:r w:rsidR="00C077C6">
        <w:rPr>
          <w:rFonts w:ascii="Calibri" w:eastAsia="Times New Roman" w:hAnsi="Calibri" w:cs="Calibri"/>
          <w:color w:val="000000"/>
          <w:lang w:eastAsia="en-GB"/>
        </w:rPr>
        <w:fldChar w:fldCharType="separate"/>
      </w:r>
      <w:r w:rsidR="000F2966" w:rsidRPr="000F2966">
        <w:rPr>
          <w:rFonts w:ascii="Calibri" w:eastAsia="Times New Roman" w:hAnsi="Calibri" w:cs="Calibri"/>
          <w:noProof/>
          <w:color w:val="000000"/>
          <w:lang w:eastAsia="en-GB"/>
        </w:rPr>
        <w:t>(30–32)</w:t>
      </w:r>
      <w:r w:rsidR="00C077C6">
        <w:rPr>
          <w:rFonts w:ascii="Calibri" w:eastAsia="Times New Roman" w:hAnsi="Calibri" w:cs="Calibri"/>
          <w:color w:val="000000"/>
          <w:lang w:eastAsia="en-GB"/>
        </w:rPr>
        <w:fldChar w:fldCharType="end"/>
      </w:r>
      <w:r w:rsidR="004323E2" w:rsidRPr="004323E2">
        <w:rPr>
          <w:rFonts w:ascii="Calibri" w:eastAsia="Times New Roman" w:hAnsi="Calibri" w:cs="Calibri"/>
          <w:color w:val="000000"/>
          <w:lang w:eastAsia="en-GB"/>
        </w:rPr>
        <w:t xml:space="preserve">. To generate the quantities of Fc fragments required for this study manufacture of selected leads </w:t>
      </w:r>
      <w:r w:rsidR="00F92CB0" w:rsidRPr="00F92CB0">
        <w:rPr>
          <w:rFonts w:ascii="Calibri" w:eastAsia="Times New Roman" w:hAnsi="Calibri" w:cs="Calibri"/>
          <w:color w:val="000000"/>
          <w:lang w:eastAsia="en-GB"/>
        </w:rPr>
        <w:t xml:space="preserve">(defined in Table 1) </w:t>
      </w:r>
      <w:r w:rsidR="004323E2" w:rsidRPr="004323E2">
        <w:rPr>
          <w:rFonts w:ascii="Calibri" w:eastAsia="Times New Roman" w:hAnsi="Calibri" w:cs="Calibri"/>
          <w:color w:val="000000"/>
          <w:lang w:eastAsia="en-GB"/>
        </w:rPr>
        <w:t xml:space="preserve">was outsourced to Abzena Ltd for </w:t>
      </w:r>
      <w:r>
        <w:rPr>
          <w:rFonts w:ascii="Calibri" w:eastAsia="Times New Roman" w:hAnsi="Calibri" w:cs="Calibri"/>
          <w:color w:val="000000"/>
          <w:lang w:eastAsia="en-GB"/>
        </w:rPr>
        <w:t>synthesis</w:t>
      </w:r>
      <w:r w:rsidR="004323E2" w:rsidRPr="004323E2">
        <w:rPr>
          <w:rFonts w:ascii="Calibri" w:eastAsia="Times New Roman" w:hAnsi="Calibri" w:cs="Calibri"/>
          <w:color w:val="000000"/>
          <w:lang w:eastAsia="en-GB"/>
        </w:rPr>
        <w:t xml:space="preserve"> in </w:t>
      </w:r>
      <w:r>
        <w:rPr>
          <w:rFonts w:ascii="Calibri" w:eastAsia="Times New Roman" w:hAnsi="Calibri" w:cs="Calibri"/>
          <w:color w:val="000000"/>
          <w:lang w:eastAsia="en-GB"/>
        </w:rPr>
        <w:t xml:space="preserve">their </w:t>
      </w:r>
      <w:r w:rsidR="00F92CB0">
        <w:rPr>
          <w:rFonts w:ascii="Calibri" w:eastAsia="Times New Roman" w:hAnsi="Calibri" w:cs="Calibri"/>
          <w:color w:val="000000"/>
          <w:lang w:eastAsia="en-GB"/>
        </w:rPr>
        <w:t xml:space="preserve">suspension-adapted CHO-K1 cells (originally received from ATCC and adapted to serum-free growth in suspension culture). Constructs were gene synthesised and cloned into the proprietary expression vector, pEVI-5, using conventional (non-PCR based) methods. Plasmid DNA was prepared, cells were transfected with </w:t>
      </w:r>
      <w:proofErr w:type="spellStart"/>
      <w:r w:rsidR="00F92CB0">
        <w:rPr>
          <w:rFonts w:ascii="Calibri" w:eastAsia="Times New Roman" w:hAnsi="Calibri" w:cs="Calibri"/>
          <w:color w:val="000000"/>
          <w:lang w:eastAsia="en-GB"/>
        </w:rPr>
        <w:t>eviFect</w:t>
      </w:r>
      <w:proofErr w:type="spellEnd"/>
      <w:r w:rsidR="00F92CB0">
        <w:rPr>
          <w:rFonts w:ascii="Calibri" w:eastAsia="Times New Roman" w:hAnsi="Calibri" w:cs="Calibri"/>
          <w:color w:val="000000"/>
          <w:lang w:eastAsia="en-GB"/>
        </w:rPr>
        <w:t xml:space="preserve">, a proprietary transfection reagent, and cells were grown after transfection in </w:t>
      </w:r>
      <w:proofErr w:type="spellStart"/>
      <w:r w:rsidR="00F92CB0">
        <w:rPr>
          <w:rFonts w:ascii="Calibri" w:eastAsia="Times New Roman" w:hAnsi="Calibri" w:cs="Calibri"/>
          <w:color w:val="000000"/>
          <w:lang w:eastAsia="en-GB"/>
        </w:rPr>
        <w:t>eviMake</w:t>
      </w:r>
      <w:proofErr w:type="spellEnd"/>
      <w:r w:rsidR="00F92CB0">
        <w:rPr>
          <w:rFonts w:ascii="Calibri" w:eastAsia="Times New Roman" w:hAnsi="Calibri" w:cs="Calibri"/>
          <w:color w:val="000000"/>
          <w:lang w:eastAsia="en-GB"/>
        </w:rPr>
        <w:t xml:space="preserve">, an animal-component free, serum-free medium.  </w:t>
      </w:r>
      <w:r w:rsidR="004323E2" w:rsidRPr="004323E2">
        <w:rPr>
          <w:rFonts w:ascii="Calibri" w:eastAsia="Times New Roman" w:hAnsi="Calibri" w:cs="Calibri"/>
          <w:color w:val="000000"/>
          <w:lang w:eastAsia="en-GB"/>
        </w:rPr>
        <w:t xml:space="preserve">Supernatants were harvested by centrifugation and subsequent filtration (0.2 </w:t>
      </w:r>
      <w:proofErr w:type="spellStart"/>
      <w:r w:rsidR="004323E2" w:rsidRPr="004323E2">
        <w:rPr>
          <w:rFonts w:ascii="Calibri" w:eastAsia="Times New Roman" w:hAnsi="Calibri" w:cs="Calibri"/>
          <w:color w:val="000000"/>
          <w:lang w:eastAsia="en-GB"/>
        </w:rPr>
        <w:t>μm</w:t>
      </w:r>
      <w:proofErr w:type="spellEnd"/>
      <w:r w:rsidR="004323E2" w:rsidRPr="004323E2">
        <w:rPr>
          <w:rFonts w:ascii="Calibri" w:eastAsia="Times New Roman" w:hAnsi="Calibri" w:cs="Calibri"/>
          <w:color w:val="000000"/>
          <w:lang w:eastAsia="en-GB"/>
        </w:rPr>
        <w:t xml:space="preserve"> filter).</w:t>
      </w:r>
    </w:p>
    <w:p w14:paraId="0AF83BC0" w14:textId="727B874A" w:rsidR="004323E2" w:rsidRPr="004323E2" w:rsidRDefault="004323E2" w:rsidP="00502694">
      <w:pPr>
        <w:spacing w:line="360" w:lineRule="auto"/>
        <w:ind w:firstLine="720"/>
        <w:rPr>
          <w:rFonts w:ascii="Calibri" w:eastAsia="Times New Roman" w:hAnsi="Calibri" w:cs="Calibri"/>
          <w:color w:val="000000"/>
          <w:lang w:eastAsia="en-GB"/>
        </w:rPr>
      </w:pPr>
      <w:r w:rsidRPr="004323E2">
        <w:rPr>
          <w:rFonts w:ascii="Calibri" w:eastAsia="Times New Roman" w:hAnsi="Calibri" w:cs="Calibri"/>
          <w:color w:val="000000"/>
          <w:lang w:eastAsia="en-GB"/>
        </w:rPr>
        <w:t>Fc</w:t>
      </w:r>
      <w:r w:rsidR="008C2A6F">
        <w:rPr>
          <w:rFonts w:ascii="Calibri" w:eastAsia="Times New Roman" w:hAnsi="Calibri" w:cs="Calibri"/>
          <w:color w:val="000000"/>
          <w:lang w:eastAsia="en-GB"/>
        </w:rPr>
        <w:t xml:space="preserve"> </w:t>
      </w:r>
      <w:r w:rsidRPr="004323E2">
        <w:rPr>
          <w:rFonts w:ascii="Calibri" w:eastAsia="Times New Roman" w:hAnsi="Calibri" w:cs="Calibri"/>
          <w:color w:val="000000"/>
          <w:lang w:eastAsia="en-GB"/>
        </w:rPr>
        <w:t xml:space="preserve">fragments were purified from cell culture supernatant using a 5 mL </w:t>
      </w:r>
      <w:proofErr w:type="spellStart"/>
      <w:r w:rsidRPr="004323E2">
        <w:rPr>
          <w:rFonts w:ascii="Calibri" w:eastAsia="Times New Roman" w:hAnsi="Calibri" w:cs="Calibri"/>
          <w:color w:val="000000"/>
          <w:lang w:eastAsia="en-GB"/>
        </w:rPr>
        <w:t>HiTrap</w:t>
      </w:r>
      <w:proofErr w:type="spellEnd"/>
      <w:r w:rsidRPr="004323E2">
        <w:rPr>
          <w:rFonts w:ascii="Calibri" w:eastAsia="Times New Roman" w:hAnsi="Calibri" w:cs="Calibri"/>
          <w:color w:val="000000"/>
          <w:lang w:eastAsia="en-GB"/>
        </w:rPr>
        <w:t xml:space="preserve"> Protein G HP column (GE Healthcare, Uppsala, Sweden). The supernatants for each mutant w</w:t>
      </w:r>
      <w:r w:rsidR="00AE0988">
        <w:rPr>
          <w:rFonts w:ascii="Calibri" w:eastAsia="Times New Roman" w:hAnsi="Calibri" w:cs="Calibri"/>
          <w:color w:val="000000"/>
          <w:lang w:eastAsia="en-GB"/>
        </w:rPr>
        <w:t>ere</w:t>
      </w:r>
      <w:r w:rsidRPr="004323E2">
        <w:rPr>
          <w:rFonts w:ascii="Calibri" w:eastAsia="Times New Roman" w:hAnsi="Calibri" w:cs="Calibri"/>
          <w:color w:val="000000"/>
          <w:lang w:eastAsia="en-GB"/>
        </w:rPr>
        <w:t xml:space="preserve"> processed as two separate batches. Each time, the column was washed using 20 mM sodium phosphate pH 7.2 containing 150 mM NaCl and protein eluted using 0.1 M glycine pH 2.7. Collected fractions were neutralised using 1 M Tris pH 9.0 and then buffer-exchanged using </w:t>
      </w:r>
      <w:proofErr w:type="spellStart"/>
      <w:r w:rsidRPr="004323E2">
        <w:rPr>
          <w:rFonts w:ascii="Calibri" w:eastAsia="Times New Roman" w:hAnsi="Calibri" w:cs="Calibri"/>
          <w:color w:val="000000"/>
          <w:lang w:eastAsia="en-GB"/>
        </w:rPr>
        <w:t>Zeba</w:t>
      </w:r>
      <w:proofErr w:type="spellEnd"/>
      <w:r w:rsidRPr="004323E2">
        <w:rPr>
          <w:rFonts w:ascii="Calibri" w:eastAsia="Times New Roman" w:hAnsi="Calibri" w:cs="Calibri"/>
          <w:color w:val="000000"/>
          <w:lang w:eastAsia="en-GB"/>
        </w:rPr>
        <w:t xml:space="preserve">™ Spin 7K MWCO, 10 mL </w:t>
      </w:r>
      <w:r w:rsidRPr="004323E2">
        <w:rPr>
          <w:rFonts w:ascii="Calibri" w:eastAsia="Times New Roman" w:hAnsi="Calibri" w:cs="Calibri"/>
          <w:color w:val="000000"/>
          <w:lang w:eastAsia="en-GB"/>
        </w:rPr>
        <w:lastRenderedPageBreak/>
        <w:t>Desalting Columns (</w:t>
      </w:r>
      <w:proofErr w:type="spellStart"/>
      <w:r w:rsidRPr="004323E2">
        <w:rPr>
          <w:rFonts w:ascii="Calibri" w:eastAsia="Times New Roman" w:hAnsi="Calibri" w:cs="Calibri"/>
          <w:color w:val="000000"/>
          <w:lang w:eastAsia="en-GB"/>
        </w:rPr>
        <w:t>ThermoFisher</w:t>
      </w:r>
      <w:proofErr w:type="spellEnd"/>
      <w:r w:rsidRPr="004323E2">
        <w:rPr>
          <w:rFonts w:ascii="Calibri" w:eastAsia="Times New Roman" w:hAnsi="Calibri" w:cs="Calibri"/>
          <w:color w:val="000000"/>
          <w:lang w:eastAsia="en-GB"/>
        </w:rPr>
        <w:t xml:space="preserve">, Loughborough, UK), into 10 mM sodium acetate pH 5.6 buffer containing 100 mM NaCl. The final samples were then filter sterilised before quantification by A280nm using an extinction </w:t>
      </w:r>
      <w:r w:rsidRPr="00A73367">
        <w:rPr>
          <w:rFonts w:ascii="Calibri" w:eastAsia="Times New Roman" w:hAnsi="Calibri" w:cs="Calibri"/>
          <w:color w:val="000000"/>
          <w:lang w:eastAsia="en-GB"/>
        </w:rPr>
        <w:t xml:space="preserve">coefficient </w:t>
      </w:r>
      <w:proofErr w:type="spellStart"/>
      <w:r w:rsidRPr="00A73367">
        <w:rPr>
          <w:rFonts w:ascii="Calibri" w:eastAsia="Times New Roman" w:hAnsi="Calibri" w:cs="Calibri"/>
          <w:color w:val="000000"/>
          <w:lang w:eastAsia="en-GB"/>
        </w:rPr>
        <w:t>Ec</w:t>
      </w:r>
      <w:proofErr w:type="spellEnd"/>
      <w:r w:rsidR="007E5E16">
        <w:rPr>
          <w:rFonts w:ascii="Calibri" w:eastAsia="Times New Roman" w:hAnsi="Calibri" w:cs="Calibri"/>
          <w:color w:val="000000"/>
          <w:lang w:eastAsia="en-GB"/>
        </w:rPr>
        <w:t xml:space="preserve"> </w:t>
      </w:r>
      <w:r w:rsidRPr="00A73367">
        <w:rPr>
          <w:rFonts w:ascii="Calibri" w:eastAsia="Times New Roman" w:hAnsi="Calibri" w:cs="Calibri"/>
          <w:color w:val="000000"/>
          <w:lang w:eastAsia="en-GB"/>
        </w:rPr>
        <w:t>(0.1%) based</w:t>
      </w:r>
      <w:r w:rsidRPr="004323E2">
        <w:rPr>
          <w:rFonts w:ascii="Calibri" w:eastAsia="Times New Roman" w:hAnsi="Calibri" w:cs="Calibri"/>
          <w:color w:val="000000"/>
          <w:lang w:eastAsia="en-GB"/>
        </w:rPr>
        <w:t xml:space="preserve"> on the predicted amino acid sequence. Purified proteins were then analysed by SDS-PAGE (Fig. </w:t>
      </w:r>
      <w:r w:rsidR="00FE1EE9">
        <w:rPr>
          <w:rFonts w:ascii="Calibri" w:eastAsia="Times New Roman" w:hAnsi="Calibri" w:cs="Calibri"/>
          <w:color w:val="000000"/>
          <w:lang w:eastAsia="en-GB"/>
        </w:rPr>
        <w:t>S</w:t>
      </w:r>
      <w:r w:rsidR="00453FAC">
        <w:rPr>
          <w:rFonts w:ascii="Calibri" w:eastAsia="Times New Roman" w:hAnsi="Calibri" w:cs="Calibri"/>
          <w:color w:val="000000"/>
          <w:lang w:eastAsia="en-GB"/>
        </w:rPr>
        <w:t>1A</w:t>
      </w:r>
      <w:r w:rsidRPr="004323E2">
        <w:rPr>
          <w:rFonts w:ascii="Calibri" w:eastAsia="Times New Roman" w:hAnsi="Calibri" w:cs="Calibri"/>
          <w:color w:val="000000"/>
          <w:lang w:eastAsia="en-GB"/>
        </w:rPr>
        <w:t xml:space="preserve">) and </w:t>
      </w:r>
      <w:r w:rsidRPr="00E439A1">
        <w:rPr>
          <w:rFonts w:ascii="Calibri" w:eastAsia="Times New Roman" w:hAnsi="Calibri" w:cs="Calibri"/>
          <w:color w:val="000000"/>
          <w:lang w:eastAsia="en-GB"/>
        </w:rPr>
        <w:t xml:space="preserve">analytical SEC-HPLC (Fig. </w:t>
      </w:r>
      <w:r w:rsidR="00FE1EE9">
        <w:rPr>
          <w:rFonts w:ascii="Calibri" w:eastAsia="Times New Roman" w:hAnsi="Calibri" w:cs="Calibri"/>
          <w:color w:val="000000"/>
          <w:lang w:eastAsia="en-GB"/>
        </w:rPr>
        <w:t>S</w:t>
      </w:r>
      <w:r w:rsidR="00453FAC">
        <w:rPr>
          <w:rFonts w:ascii="Calibri" w:eastAsia="Times New Roman" w:hAnsi="Calibri" w:cs="Calibri"/>
          <w:color w:val="000000"/>
          <w:lang w:eastAsia="en-GB"/>
        </w:rPr>
        <w:t>1B</w:t>
      </w:r>
      <w:r w:rsidRPr="00E439A1">
        <w:rPr>
          <w:rFonts w:ascii="Calibri" w:eastAsia="Times New Roman" w:hAnsi="Calibri" w:cs="Calibri"/>
          <w:color w:val="000000"/>
          <w:lang w:eastAsia="en-GB"/>
        </w:rPr>
        <w:t>).</w:t>
      </w:r>
      <w:r w:rsidR="009E5D30" w:rsidRPr="00E439A1">
        <w:rPr>
          <w:rFonts w:ascii="Calibri" w:eastAsia="Times New Roman" w:hAnsi="Calibri" w:cs="Calibri"/>
          <w:color w:val="000000"/>
          <w:lang w:eastAsia="en-GB"/>
        </w:rPr>
        <w:t xml:space="preserve"> All the glycan-adapted Fcs, with the exception of the </w:t>
      </w:r>
      <w:r w:rsidR="009E5D30" w:rsidRPr="00E439A1">
        <w:rPr>
          <w:rFonts w:cstheme="minorHAnsi"/>
        </w:rPr>
        <w:t>D221N/C309L/N297A/N563A/C575A mutant, could be made</w:t>
      </w:r>
      <w:r w:rsidR="00B74F85">
        <w:rPr>
          <w:rFonts w:cstheme="minorHAnsi"/>
        </w:rPr>
        <w:t xml:space="preserve"> by Abzena</w:t>
      </w:r>
      <w:r w:rsidR="009E5D30" w:rsidRPr="00E439A1">
        <w:rPr>
          <w:rFonts w:cstheme="minorHAnsi"/>
        </w:rPr>
        <w:t xml:space="preserve"> to the </w:t>
      </w:r>
      <w:r w:rsidR="00E439A1" w:rsidRPr="00E439A1">
        <w:rPr>
          <w:rFonts w:cstheme="minorHAnsi"/>
        </w:rPr>
        <w:t xml:space="preserve">g/L </w:t>
      </w:r>
      <w:r w:rsidR="009E5D30" w:rsidRPr="00E439A1">
        <w:rPr>
          <w:rFonts w:cstheme="minorHAnsi"/>
        </w:rPr>
        <w:t xml:space="preserve">yields required for translating to </w:t>
      </w:r>
      <w:r w:rsidR="006817D5" w:rsidRPr="001443EC">
        <w:rPr>
          <w:rFonts w:cstheme="minorHAnsi"/>
          <w:i/>
          <w:iCs/>
        </w:rPr>
        <w:t>in vivo</w:t>
      </w:r>
      <w:r w:rsidR="009E5D30" w:rsidRPr="00E439A1">
        <w:rPr>
          <w:rFonts w:cstheme="minorHAnsi"/>
        </w:rPr>
        <w:t xml:space="preserve"> studies.</w:t>
      </w:r>
      <w:r w:rsidR="006212CA">
        <w:rPr>
          <w:rFonts w:cstheme="minorHAnsi"/>
        </w:rPr>
        <w:t xml:space="preserve"> </w:t>
      </w:r>
      <w:r w:rsidR="001443EC">
        <w:rPr>
          <w:rFonts w:cstheme="minorHAnsi"/>
        </w:rPr>
        <w:t>Consequently</w:t>
      </w:r>
      <w:r w:rsidR="000B5654">
        <w:rPr>
          <w:rFonts w:cstheme="minorHAnsi"/>
        </w:rPr>
        <w:t>,</w:t>
      </w:r>
      <w:r w:rsidR="001443EC">
        <w:rPr>
          <w:rFonts w:cstheme="minorHAnsi"/>
        </w:rPr>
        <w:t xml:space="preserve"> w</w:t>
      </w:r>
      <w:r w:rsidR="006212CA">
        <w:rPr>
          <w:rFonts w:cstheme="minorHAnsi"/>
        </w:rPr>
        <w:t xml:space="preserve">e were unable to test </w:t>
      </w:r>
      <w:r w:rsidR="006212CA" w:rsidRPr="00E439A1">
        <w:rPr>
          <w:rFonts w:ascii="Calibri" w:eastAsia="Times New Roman" w:hAnsi="Calibri" w:cs="Calibri"/>
          <w:color w:val="000000"/>
          <w:lang w:eastAsia="en-GB"/>
        </w:rPr>
        <w:t xml:space="preserve">the </w:t>
      </w:r>
      <w:r w:rsidR="006212CA" w:rsidRPr="00E439A1">
        <w:rPr>
          <w:rFonts w:cstheme="minorHAnsi"/>
        </w:rPr>
        <w:t>D221N/C309L/N297A/N563A/C575A mutant</w:t>
      </w:r>
      <w:r w:rsidR="006212CA">
        <w:rPr>
          <w:rFonts w:cstheme="minorHAnsi"/>
        </w:rPr>
        <w:t xml:space="preserve"> in the OSC model.</w:t>
      </w:r>
    </w:p>
    <w:p w14:paraId="7018E1B4" w14:textId="77777777" w:rsidR="00203FFB" w:rsidRDefault="00203FFB" w:rsidP="00502694">
      <w:pPr>
        <w:spacing w:line="360" w:lineRule="auto"/>
        <w:rPr>
          <w:b/>
          <w:bCs/>
        </w:rPr>
      </w:pPr>
    </w:p>
    <w:p w14:paraId="0597B5FF" w14:textId="72C61E64" w:rsidR="008E72B0" w:rsidRPr="000A0E7F" w:rsidRDefault="00B51D64" w:rsidP="007B05C2">
      <w:pPr>
        <w:spacing w:line="360" w:lineRule="auto"/>
        <w:rPr>
          <w:b/>
          <w:bCs/>
        </w:rPr>
      </w:pPr>
      <w:r w:rsidRPr="000A0E7F">
        <w:rPr>
          <w:b/>
          <w:bCs/>
        </w:rPr>
        <w:t>Animal</w:t>
      </w:r>
      <w:r w:rsidR="00542121">
        <w:rPr>
          <w:b/>
          <w:bCs/>
        </w:rPr>
        <w:t>s</w:t>
      </w:r>
    </w:p>
    <w:p w14:paraId="2507ADA2" w14:textId="1F2B26DD" w:rsidR="00402E1A" w:rsidRPr="00542121" w:rsidRDefault="00697591" w:rsidP="00402E1A">
      <w:pPr>
        <w:spacing w:line="360" w:lineRule="auto"/>
      </w:pPr>
      <w:r w:rsidRPr="005D039D">
        <w:rPr>
          <w:color w:val="000000" w:themeColor="text1"/>
        </w:rPr>
        <w:t>C57Bl6 were used to generate CNS myelinating cultures for binding studies as described previously</w:t>
      </w:r>
      <w:r w:rsidR="00065597" w:rsidRPr="005D039D">
        <w:rPr>
          <w:color w:val="000000" w:themeColor="text1"/>
        </w:rPr>
        <w:t xml:space="preserve"> </w:t>
      </w:r>
      <w:r w:rsidR="00065597" w:rsidRPr="005D039D">
        <w:rPr>
          <w:color w:val="000000" w:themeColor="text1"/>
        </w:rPr>
        <w:fldChar w:fldCharType="begin" w:fldLock="1"/>
      </w:r>
      <w:r w:rsidR="00DC4AAC">
        <w:rPr>
          <w:color w:val="000000" w:themeColor="text1"/>
        </w:rPr>
        <w:instrText>ADDIN CSL_CITATION {"citationItems":[{"id":"ITEM-1","itemData":{"DOI":"10.1002/jnr","author":[{"dropping-particle":"","family":"Christine E. Thomson, Anne M. Hunter, Ian R. Griffiths, Julia M. Edgar","given":"and Mailis C. McCulloch","non-dropping-particle":"","parse-names":false,"suffix":""}],"container-title":"Journal of Neuroscience Research","id":"ITEM-1","issued":{"date-parts":[["2007"]]},"page":"3244-3253","title":"Murine Spinal Cord Explants: A Model For Evaluating Axonal Growth and Myelination In Vitro","type":"article-journal","volume":"3253"},"uris":["http://www.mendeley.com/documents/?uuid=1a71908b-3aab-4216-8dd5-b0e48d207bc1"]}],"mendeley":{"formattedCitation":"(34)","plainTextFormattedCitation":"(34)","previouslyFormattedCitation":"(34)"},"properties":{"noteIndex":0},"schema":"https://github.com/citation-style-language/schema/raw/master/csl-citation.json"}</w:instrText>
      </w:r>
      <w:r w:rsidR="00065597" w:rsidRPr="005D039D">
        <w:rPr>
          <w:color w:val="000000" w:themeColor="text1"/>
        </w:rPr>
        <w:fldChar w:fldCharType="separate"/>
      </w:r>
      <w:r w:rsidR="000F2966" w:rsidRPr="000F2966">
        <w:rPr>
          <w:noProof/>
          <w:color w:val="000000" w:themeColor="text1"/>
        </w:rPr>
        <w:t>(34)</w:t>
      </w:r>
      <w:r w:rsidR="00065597" w:rsidRPr="005D039D">
        <w:rPr>
          <w:color w:val="000000" w:themeColor="text1"/>
        </w:rPr>
        <w:fldChar w:fldCharType="end"/>
      </w:r>
      <w:r w:rsidR="00065597">
        <w:rPr>
          <w:color w:val="000000" w:themeColor="text1"/>
        </w:rPr>
        <w:t>.</w:t>
      </w:r>
      <w:r w:rsidRPr="00697591">
        <w:rPr>
          <w:color w:val="000000" w:themeColor="text1"/>
        </w:rPr>
        <w:t xml:space="preserve">  All animal studies were approved by the Ethical Committee of the University of Glasgow and licensed by the UK Home Office</w:t>
      </w:r>
      <w:r w:rsidR="00CE1499">
        <w:rPr>
          <w:color w:val="000000" w:themeColor="text1"/>
        </w:rPr>
        <w:t xml:space="preserve"> </w:t>
      </w:r>
      <w:r w:rsidR="00CE1499">
        <w:rPr>
          <w:color w:val="000000" w:themeColor="text1"/>
        </w:rPr>
        <w:fldChar w:fldCharType="begin" w:fldLock="1"/>
      </w:r>
      <w:r w:rsidR="00DC4AAC">
        <w:rPr>
          <w:color w:val="000000" w:themeColor="text1"/>
        </w:rPr>
        <w:instrText>ADDIN CSL_CITATION {"citationItems":[{"id":"ITEM-1","itemData":{"DOI":"10.1002/jnr","author":[{"dropping-particle":"","family":"Christine E. Thomson, Anne M. Hunter, Ian R. Griffiths, Julia M. Edgar","given":"and Mailis C. McCulloch","non-dropping-particle":"","parse-names":false,"suffix":""}],"container-title":"Journal of Neuroscience Research","id":"ITEM-1","issued":{"date-parts":[["2007"]]},"page":"3244-3253","title":"Murine Spinal Cord Explants: A Model For Evaluating Axonal Growth and Myelination In Vitro","type":"article-journal","volume":"3253"},"uris":["http://www.mendeley.com/documents/?uuid=1a71908b-3aab-4216-8dd5-b0e48d207bc1"]},{"id":"ITEM-2","itemData":{"DOI":"10.1111/j.1460-9568.2008.06415.x","ISSN":"0953816X","PMID":"18793322","abstract":"Research in central nervous system (CNS) biology and pathology requires in vitro models, which, to recapitulate the CNS in vivo, must have extensive myelin and synapse formation under serum-free (defined) conditions. However, finding such a model has proven difficult. The technique described here produces dense cultures of myelinated axons, with abundant synapses and nodes of Ranvier, that are suitable for both morphological and biochemical analysis. Cellular and molecular events were easily visualised using conventional microscopy. Ultrastructurally, myelin sheaths were of the appropriate thickness relative to axonal diameter (G-ratio). Production of myelinated axons in these cultures was consistent and repeatable, as shown by statistical analysis of multiple experimental repeats. Myelinated axons were so abundant that from one litter of embryonic mice, myelin was produced in amounts sufficient for bulk biochemical analysis. This culture method was assessed for its ability to generate an in vitro model of the CNS that could be used for both neurobiological and neuropathological research. Myelin protein kinetics were investigated using a myelin fraction isolated from the cultures. This fraction was found to be superior, quantitatively and qualitatively, to the fraction recovered from standard cultures of dissociated oligodendrocytes, or from brain slices. The model was also used to investigate the roles of specific molecules in the pathogenesis of inflammatory CNS diseases. Using the defined conditions offered by this culture system, dose-specific, inhibitory effects of inflammatory cytokines on myelin formation were demonstrated, unequivocally. The method is technically quick, easy and reliable, and should have wide application to CNS research. © The Authors (2008).","author":[{"dropping-particle":"","family":"Thomson","given":"C. E.","non-dropping-particle":"","parse-names":false,"suffix":""},{"dropping-particle":"","family":"McCulloch","given":"M.","non-dropping-particle":"","parse-names":false,"suffix":""},{"dropping-particle":"","family":"Sorenson","given":"A.","non-dropping-particle":"","parse-names":false,"suffix":""},{"dropping-particle":"","family":"Barnett","given":"S. C.","non-dropping-particle":"","parse-names":false,"suffix":""},{"dropping-particle":"V.","family":"Seed","given":"B.","non-dropping-particle":"","parse-names":false,"suffix":""},{"dropping-particle":"","family":"Griffiths","given":"I. R.","non-dropping-particle":"","parse-names":false,"suffix":""},{"dropping-particle":"","family":"McLaughlin","given":"M.","non-dropping-particle":"","parse-names":false,"suffix":""}],"container-title":"European Journal of Neuroscience","id":"ITEM-2","issued":{"date-parts":[["2008"]]},"page":"1518-1535","title":"Myelinated, synapsing cultures of murine spinal cord - Validation as an in vitro model of the central nervous system","type":"article-journal","volume":"28"},"uris":["http://www.mendeley.com/documents/?uuid=aaf0f4dd-955f-4515-a8be-0dd4db1db056"]},{"id":"ITEM-3","itemData":{"DOI":"10.1002/glia.20650","ISSN":"08941491","PMID":"18293402","abstract":"We have examined the interaction between olfactory ensheathing cells (OECs), Schwann cells (SC), oligodendrocytes, and CNS axons using cultures generated from embryonic rat spinal cord. Oligodendrocyte process extension and myelination in these cultures was poor if the cells were plated on OECs or SCs. Myelin internodes and nodes of Ranvier formed frequently if these cultures were plated onto monolayers of neurosphere-derived astrocytes (NsAs). In the myelinated fibers generated on NsAs, Nav channels, caspr, and neurofascin molecules were correctly assembled at the nodes of Ranvier. The density of neurites, survival, and antigenic differentiation of oligodendrocytes was similar on OEC and NsAs monolayers. However, on OEC monolayers, despite a transient increase in the number of endogenous oligodendrocytes, there was a decrease in oligodendrocyte process extension and axonal ensheathment when compared with cultures plated on NsAs monolayers. To determine if these changes were due to axonal or glial factors, spinal cord oligodendrocytes were plated onto monolayers of OECs, NsAs, and Poly-L-lysine in the absence of neurons. In these cultures, process extension and myelin-like membrane formation by oligodendrocytes was improved on monolayers of OEC. This suggests that inhibition of process extension is mediated via cross-talk between OECs and neurites. In cultures containing axons plated on OEC monolayers, oligodendrocyte process formation, axonal ensheathment, and myelination occurred albeit lower if the cultures were supplemented with NsAs conditioned medium. These data suggest OECs can permit neurite extension and oligodendrocyte proliferation, but lack secreted factor(s) and possible cell-cell contact that is necessary for oligodendrocyte process extension and myelination. © 2008 Wiley-Liss, Inc.","author":[{"dropping-particle":"","family":"Sorensen","given":"Annette","non-dropping-particle":"","parse-names":false,"suffix":""},{"dropping-particle":"","family":"Moffat","given":"Keith","non-dropping-particle":"","parse-names":false,"suffix":""},{"dropping-particle":"","family":"Thomson","given":"Christine","non-dropping-particle":"","parse-names":false,"suffix":""},{"dropping-particle":"","family":"Barnett","given":"Susan C.","non-dropping-particle":"","parse-names":false,"suffix":""}],"container-title":"GLIA","id":"ITEM-3","issued":{"date-parts":[["2008"]]},"page":"750-763","title":"Astrocytes, but not olfactory ensheathing cells or Schwann cells, promote myelination of CNS axons in vitro","type":"article-journal","volume":"56"},"uris":["http://www.mendeley.com/documents/?uuid=874d18bf-40df-421c-81d7-50f435f56387"]}],"mendeley":{"formattedCitation":"(34–36)","plainTextFormattedCitation":"(34–36)","previouslyFormattedCitation":"(34–36)"},"properties":{"noteIndex":0},"schema":"https://github.com/citation-style-language/schema/raw/master/csl-citation.json"}</w:instrText>
      </w:r>
      <w:r w:rsidR="00CE1499">
        <w:rPr>
          <w:color w:val="000000" w:themeColor="text1"/>
        </w:rPr>
        <w:fldChar w:fldCharType="separate"/>
      </w:r>
      <w:r w:rsidR="000F2966" w:rsidRPr="000F2966">
        <w:rPr>
          <w:noProof/>
          <w:color w:val="000000" w:themeColor="text1"/>
        </w:rPr>
        <w:t>(34–36)</w:t>
      </w:r>
      <w:r w:rsidR="00CE1499">
        <w:rPr>
          <w:color w:val="000000" w:themeColor="text1"/>
        </w:rPr>
        <w:fldChar w:fldCharType="end"/>
      </w:r>
      <w:r w:rsidRPr="00697591">
        <w:rPr>
          <w:color w:val="000000" w:themeColor="text1"/>
        </w:rPr>
        <w:t xml:space="preserve">. </w:t>
      </w:r>
      <w:r w:rsidR="00542121">
        <w:t xml:space="preserve">For the </w:t>
      </w:r>
      <w:r w:rsidR="00F62FB0">
        <w:t xml:space="preserve">OSC </w:t>
      </w:r>
      <w:r w:rsidR="00542121">
        <w:t>experiments m</w:t>
      </w:r>
      <w:r w:rsidR="007C4072" w:rsidRPr="00440E63">
        <w:t>ice were bred at the animal facility of the Heinrich-Heine-University Duesseldorf under specific pathogen</w:t>
      </w:r>
      <w:r w:rsidR="00453FAC">
        <w:t xml:space="preserve"> </w:t>
      </w:r>
      <w:r w:rsidR="007C4072" w:rsidRPr="00440E63">
        <w:t xml:space="preserve">free conditions. </w:t>
      </w:r>
      <w:r w:rsidR="00453FAC">
        <w:t xml:space="preserve">Dr </w:t>
      </w:r>
      <w:r w:rsidR="007C4072" w:rsidRPr="00440E63">
        <w:t xml:space="preserve">B. </w:t>
      </w:r>
      <w:proofErr w:type="spellStart"/>
      <w:r w:rsidR="007C4072" w:rsidRPr="00440E63">
        <w:t>Zalc</w:t>
      </w:r>
      <w:proofErr w:type="spellEnd"/>
      <w:r w:rsidR="007C4072" w:rsidRPr="00440E63">
        <w:t xml:space="preserve"> kindly provided PLP-GFP</w:t>
      </w:r>
      <w:r w:rsidR="007C4072">
        <w:t xml:space="preserve"> mice </w:t>
      </w:r>
      <w:r w:rsidR="005A29F8">
        <w:t xml:space="preserve">in which </w:t>
      </w:r>
      <w:r w:rsidR="007C4072" w:rsidRPr="00440E63">
        <w:t>GFP is expressed under regulatory</w:t>
      </w:r>
      <w:r w:rsidR="007C4072">
        <w:t xml:space="preserve"> </w:t>
      </w:r>
      <w:r w:rsidR="007C4072" w:rsidRPr="00440E63">
        <w:t>elements of the PLP gene in oligodendrocytes and</w:t>
      </w:r>
      <w:r w:rsidR="007C4072">
        <w:t xml:space="preserve"> </w:t>
      </w:r>
      <w:r w:rsidR="007C4072" w:rsidRPr="00440E63">
        <w:t>located in the cytosol as well as in the myelin sheath</w:t>
      </w:r>
      <w:r w:rsidR="007C4072">
        <w:t xml:space="preserve"> </w:t>
      </w:r>
      <w:r w:rsidR="007C4072" w:rsidRPr="00440E63">
        <w:t xml:space="preserve">(B. </w:t>
      </w:r>
      <w:proofErr w:type="spellStart"/>
      <w:r w:rsidR="007C4072" w:rsidRPr="00440E63">
        <w:t>Zalc</w:t>
      </w:r>
      <w:proofErr w:type="spellEnd"/>
      <w:r w:rsidR="007C4072" w:rsidRPr="00440E63">
        <w:t>, personal communication)</w:t>
      </w:r>
      <w:r w:rsidR="005A29F8">
        <w:fldChar w:fldCharType="begin" w:fldLock="1"/>
      </w:r>
      <w:r w:rsidR="00DC4AAC">
        <w:instrText>ADDIN CSL_CITATION {"citationItems":[{"id":"ITEM-1","itemData":{"DOI":"10.1387/ijdb.041963bl","ISSN":"0214-6282 (Print)","PMID":"15906234","abstract":"Oligodendrocytes are the myelin forming cells of the central nervous system. Over  the last decade, their development in the embryonic brain and spinal cord has been documented following the discovery of early oligodendroglial markers. This review highlights the fundamental results obtained on the specification and migration of oligodendroglial cells and illustrates our advances in the knowledge of the cell lineage expressing plp (proteolipid protein), one of the early oligodendroglial genes.","author":[{"dropping-particle":"","family":"Bras","given":"Barbara","non-dropping-particle":"Le","parse-names":false,"suffix":""},{"dropping-particle":"","family":"Chatzopoulou","given":"Elli","non-dropping-particle":"","parse-names":false,"suffix":""},{"dropping-particle":"","family":"Heydon","given":"Katharina","non-dropping-particle":"","parse-names":false,"suffix":""},{"dropping-particle":"","family":"Martínez","given":"Salvador","non-dropping-particle":"","parse-names":false,"suffix":""},{"dropping-particle":"","family":"Ikenaka","given":"Katzuhiko","non-dropping-particle":"","parse-names":false,"suffix":""},{"dropping-particle":"","family":"Prestoz","given":"Laetitia","non-dropping-particle":"","parse-names":false,"suffix":""},{"dropping-particle":"","family":"Spassky","given":"Nathalie","non-dropping-particle":"","parse-names":false,"suffix":""},{"dropping-particle":"","family":"Zalc","given":"Bernard","non-dropping-particle":"","parse-names":false,"suffix":""},{"dropping-particle":"","family":"Thomas","given":"Jean-Léon","non-dropping-particle":"","parse-names":false,"suffix":""}],"container-title":"The International journal of developmental biology","id":"ITEM-1","issue":"2-3","issued":{"date-parts":[["2005"]]},"language":"eng","page":"209-220","publisher-place":"Spain","title":"Oligodendrocyte development in the embryonic brain: the contribution of the plp  lineage.","type":"article-journal","volume":"49"},"uris":["http://www.mendeley.com/documents/?uuid=8817528f-23fc-40a7-b086-400217a23315"]},{"id":"ITEM-2","itemData":{"DOI":"10.1523/JNEUROSCI.18-20-08331.1998","ISSN":"0270-6474 (Print)","PMID":"9763477","abstract":"The plp gene encodes the proteolipid protein and its alternatively spliced product  DM-20, major proteins of CNS myelin. In the mouse, plp/dm-20 transcripts are expressed beginning at embryonic day 9.5 (E9.5) by restricted foci of germinative neuroepithelial cells. To determine the identity of the neural precursors expressing plp/dm- 20, a zeomycin resistance gene fused to the lacZ reporter was expressed in transgenic mice under the control of the plp regulatory sequences. In the three different lines generated, the pattern of beta-galactosidase expression was similar and superimposable on the expression pattern of endogenous plp/dm-20. Both in vivo and in vitro, the transgene was expressed by O4(+) pre-oligodendrocytes, and later by RIP+ differentiated oligodendrocytes, but not by neuronal cells, astrocytes, or radial glial cells. After zeomycin selection, a dramatic enrichment in O4(+) pre-oligodendrocytes was observed in cultures derived from E12.5 transgenic embryos. This enrichment indicates the oligodendroglial specification of neural precursors that continuously express plp/dm-20. Early plp/dm-20-expressing precursors, however, appear to be a separate population from previously described PDGFRalpha oligodendrocyte precursors, as shown by the striking differences in their (1) patterns of distribution and (2) responsiveness to PDGF. These data suggest that oligodendrocytes have a plural origin and that early plp/dm-20 defines one of the neural lineages generating oligodendrocytes.","author":[{"dropping-particle":"","family":"Spassky","given":"N","non-dropping-particle":"","parse-names":false,"suffix":""},{"dropping-particle":"","family":"Goujet-Zalc","given":"C","non-dropping-particle":"","parse-names":false,"suffix":""},{"dropping-particle":"","family":"Parmantier","given":"E","non-dropping-particle":"","parse-names":false,"suffix":""},{"dropping-particle":"","family":"Olivier","given":"C","non-dropping-particle":"","parse-names":false,"suffix":""},{"dropping-particle":"","family":"Martinez","given":"S","non-dropping-particle":"","parse-names":false,"suffix":""},{"dropping-particle":"","family":"Ivanova","given":"A","non-dropping-particle":"","parse-names":false,"suffix":""},{"dropping-particle":"","family":"Ikenaka","given":"K","non-dropping-particle":"","parse-names":false,"suffix":""},{"dropping-particle":"","family":"Macklin","given":"W","non-dropping-particle":"","parse-names":false,"suffix":""},{"dropping-particle":"","family":"Cerruti","given":"I","non-dropping-particle":"","parse-names":false,"suffix":""},{"dropping-particle":"","family":"Zalc","given":"B","non-dropping-particle":"","parse-names":false,"suffix":""},{"dropping-particle":"","family":"Thomas","given":"J L","non-dropping-particle":"","parse-names":false,"suffix":""}],"container-title":"The Journal of neuroscience : the official journal of the Society for Neuroscience","id":"ITEM-2","issue":"20","issued":{"date-parts":[["1998","10"]]},"language":"eng","page":"8331-8343","title":"Multiple restricted origin of oligodendrocytes.","type":"article-journal","volume":"18"},"uris":["http://www.mendeley.com/documents/?uuid=678f772d-1818-4942-9b9f-f8238c9f2081"]}],"mendeley":{"formattedCitation":"(37,38)","plainTextFormattedCitation":"(37,38)","previouslyFormattedCitation":"(37,38)"},"properties":{"noteIndex":0},"schema":"https://github.com/citation-style-language/schema/raw/master/csl-citation.json"}</w:instrText>
      </w:r>
      <w:r w:rsidR="005A29F8">
        <w:fldChar w:fldCharType="separate"/>
      </w:r>
      <w:r w:rsidR="000F2966" w:rsidRPr="000F2966">
        <w:rPr>
          <w:noProof/>
        </w:rPr>
        <w:t>(37,38)</w:t>
      </w:r>
      <w:r w:rsidR="005A29F8">
        <w:fldChar w:fldCharType="end"/>
      </w:r>
      <w:r w:rsidR="007C4072" w:rsidRPr="00440E63">
        <w:t>.</w:t>
      </w:r>
      <w:r w:rsidR="00804B12">
        <w:t xml:space="preserve"> </w:t>
      </w:r>
      <w:r w:rsidR="00402E1A" w:rsidRPr="005A42EF">
        <w:t xml:space="preserve">Dr. M. </w:t>
      </w:r>
      <w:proofErr w:type="spellStart"/>
      <w:r w:rsidR="00402E1A" w:rsidRPr="005A42EF">
        <w:t>Gliem</w:t>
      </w:r>
      <w:proofErr w:type="spellEnd"/>
      <w:r w:rsidR="00065597">
        <w:t xml:space="preserve"> (</w:t>
      </w:r>
      <w:r w:rsidR="00E9018E">
        <w:t xml:space="preserve">Heinrich-Heine, </w:t>
      </w:r>
      <w:r w:rsidR="00065597">
        <w:t>Duesseldorf)</w:t>
      </w:r>
      <w:r w:rsidR="00402E1A" w:rsidRPr="005A42EF">
        <w:t xml:space="preserve"> kindly provided CX3CR1 </w:t>
      </w:r>
      <w:r w:rsidR="00402E1A" w:rsidRPr="00065597">
        <w:rPr>
          <w:rFonts w:cstheme="minorHAnsi"/>
        </w:rPr>
        <w:t>mice (</w:t>
      </w:r>
      <w:r w:rsidR="00402E1A" w:rsidRPr="00065597">
        <w:rPr>
          <w:rFonts w:eastAsia="Times New Roman" w:cstheme="minorHAnsi"/>
          <w:color w:val="000000" w:themeColor="text1"/>
          <w:lang w:val="en-US" w:eastAsia="en-GB"/>
        </w:rPr>
        <w:t>B6.129P-Cx3cr1</w:t>
      </w:r>
      <w:r w:rsidR="00402E1A" w:rsidRPr="00065597">
        <w:rPr>
          <w:rFonts w:eastAsia="Times New Roman" w:cstheme="minorHAnsi"/>
          <w:color w:val="000000" w:themeColor="text1"/>
          <w:vertAlign w:val="superscript"/>
          <w:lang w:val="en-US" w:eastAsia="en-GB"/>
        </w:rPr>
        <w:t>tm1Litt</w:t>
      </w:r>
      <w:r w:rsidR="00402E1A" w:rsidRPr="00065597">
        <w:rPr>
          <w:rFonts w:eastAsia="Times New Roman" w:cstheme="minorHAnsi"/>
          <w:color w:val="000000" w:themeColor="text1"/>
          <w:lang w:val="en-US" w:eastAsia="en-GB"/>
        </w:rPr>
        <w:t>/J</w:t>
      </w:r>
      <w:r w:rsidR="00402E1A" w:rsidRPr="00065597">
        <w:rPr>
          <w:rFonts w:cstheme="minorHAnsi"/>
        </w:rPr>
        <w:t>) in</w:t>
      </w:r>
      <w:r w:rsidR="00402E1A" w:rsidRPr="005A42EF">
        <w:t xml:space="preserve"> which the gene of the chemokine receptor CX3CR1 is replaced by GFP. In the CNS, CX3CR1 is dominantly expressed</w:t>
      </w:r>
      <w:r w:rsidR="00402E1A">
        <w:t xml:space="preserve"> in microglia </w:t>
      </w:r>
      <w:r w:rsidR="00402E1A">
        <w:fldChar w:fldCharType="begin" w:fldLock="1"/>
      </w:r>
      <w:r w:rsidR="00DC4AAC">
        <w:instrText>ADDIN CSL_CITATION {"citationItems":[{"id":"ITEM-1","itemData":{"DOI":"10.1128/mcb.20.11.4106-4114.2000","ISSN":"0270-7306","PMID":"10805752","abstract":"The seven-transmembrane receptor CX 3 CR1 is a specific receptor for the novel CX 3 C chemokine fractalkine (FKN) (neurotactin). In vitro data suggest that membrane anchoring of FKN, and the existence of a shed, soluble FKN isoform allow for both adhesive and chemoattractive properties. Expression on activated endothelium and neurons defines FKN as a potential target for therapeutic intervention in inflammatory conditions, particularly central nervous system diseases. To investigate the physiological function of CX 3 CR1-FKN interactions, we generated a mouse strain in which the CX 3 CR1 gene was replaced by a green fluorescent protein (GFP) reporter gene. In addition to the creation of a mutant CX 3 CR1 locus, this approach enabled us to assign murine CX 3 CR1 expression to monocytes, subsets of NK and dendritic cells, and the brain microglia. Analysis of CX 3 CR1-deficient mice indicates that CX 3 CR1 is the only murine FKN receptor. Yet, defying anticipated FKN functions, absence of CX 3 CR1 interferes neither with monocyte extravasation in a peritonitis model nor with DC migration and differentiation in response to microbial antigens or contact sensitizers. Furthermore, a prominent response of CX 3 CR1-deficient microglia to peripheral nerve injury indicates unimpaired neuronal-glial cross talk in the absence of CX 3 CR1.","author":[{"dropping-particle":"","family":"Jung","given":"Steffen","non-dropping-particle":"","parse-names":false,"suffix":""},{"dropping-particle":"","family":"Aliberti","given":"Julio","non-dropping-particle":"","parse-names":false,"suffix":""},{"dropping-particle":"","family":"Graemmel","given":"Petra","non-dropping-particle":"","parse-names":false,"suffix":""},{"dropping-particle":"","family":"Sunshine","given":"Mary Jean","non-dropping-particle":"","parse-names":false,"suffix":""},{"dropping-particle":"","family":"Kreutzberg","given":"Georg W.","non-dropping-particle":"","parse-names":false,"suffix":""},{"dropping-particle":"","family":"Sher","given":"Alan","non-dropping-particle":"","parse-names":false,"suffix":""},{"dropping-particle":"","family":"Littman","given":"Dan R.","non-dropping-particle":"","parse-names":false,"suffix":""}],"container-title":"Molecular and Cellular Biology","id":"ITEM-1","issued":{"date-parts":[["2000"]]},"page":"4106-4114","title":"Analysis of Fractalkine Receptor CX3CR1 Function by Targeted Deletion and Green Fluorescent Protein Reporter Gene Insertion","type":"article-journal","volume":"20"},"uris":["http://www.mendeley.com/documents/?uuid=a87c905e-de56-4964-a889-8a1819797f53"]}],"mendeley":{"formattedCitation":"(39)","plainTextFormattedCitation":"(39)","previouslyFormattedCitation":"(39)"},"properties":{"noteIndex":0},"schema":"https://github.com/citation-style-language/schema/raw/master/csl-citation.json"}</w:instrText>
      </w:r>
      <w:r w:rsidR="00402E1A">
        <w:fldChar w:fldCharType="separate"/>
      </w:r>
      <w:r w:rsidR="000F2966" w:rsidRPr="000F2966">
        <w:rPr>
          <w:noProof/>
        </w:rPr>
        <w:t>(39)</w:t>
      </w:r>
      <w:r w:rsidR="00402E1A">
        <w:fldChar w:fldCharType="end"/>
      </w:r>
      <w:r w:rsidR="00402E1A" w:rsidRPr="005A42EF">
        <w:t>.</w:t>
      </w:r>
      <w:r w:rsidR="00542121">
        <w:t xml:space="preserve">  </w:t>
      </w:r>
      <w:r w:rsidR="005209AD">
        <w:t>All the animal experiments described comply with the laws of both the UK and Germany.</w:t>
      </w:r>
    </w:p>
    <w:p w14:paraId="6BF674D6" w14:textId="046E052F" w:rsidR="00B51D64" w:rsidRPr="000A0E7F" w:rsidRDefault="00B51D64" w:rsidP="00502694">
      <w:pPr>
        <w:spacing w:line="360" w:lineRule="auto"/>
        <w:rPr>
          <w:b/>
          <w:bCs/>
        </w:rPr>
      </w:pPr>
    </w:p>
    <w:p w14:paraId="47264914" w14:textId="0F67199B" w:rsidR="00F62FB0" w:rsidRPr="001B5CC2" w:rsidRDefault="00F62FB0" w:rsidP="00F62FB0">
      <w:pPr>
        <w:spacing w:line="360" w:lineRule="auto"/>
        <w:rPr>
          <w:b/>
        </w:rPr>
      </w:pPr>
      <w:r>
        <w:rPr>
          <w:b/>
        </w:rPr>
        <w:t>Organotypic slice culture (OSC)</w:t>
      </w:r>
    </w:p>
    <w:p w14:paraId="64BA63EC" w14:textId="00798F46" w:rsidR="00F62FB0" w:rsidRPr="00F62FB0" w:rsidRDefault="00F62FB0" w:rsidP="00F62FB0">
      <w:pPr>
        <w:spacing w:line="360" w:lineRule="auto"/>
        <w:rPr>
          <w:lang w:val="en-US"/>
        </w:rPr>
      </w:pPr>
      <w:r w:rsidRPr="000E40D7">
        <w:t>OSC were prepared according to a modified protocol</w:t>
      </w:r>
      <w:r>
        <w:t xml:space="preserve"> </w:t>
      </w:r>
      <w:r w:rsidRPr="000E40D7">
        <w:t xml:space="preserve">published by </w:t>
      </w:r>
      <w:proofErr w:type="spellStart"/>
      <w:r w:rsidRPr="000E40D7">
        <w:t>S</w:t>
      </w:r>
      <w:r>
        <w:t>toppini</w:t>
      </w:r>
      <w:proofErr w:type="spellEnd"/>
      <w:r>
        <w:t xml:space="preserve"> et al </w:t>
      </w:r>
      <w:r>
        <w:fldChar w:fldCharType="begin" w:fldLock="1"/>
      </w:r>
      <w:r w:rsidR="00DC4AAC">
        <w:instrText>ADDIN CSL_CITATION {"citationItems":[{"id":"ITEM-1","itemData":{"DOI":"10.1016/0165-0270(91)90128-m","ISSN":"0165-0270 (Print)","PMID":"1715499","abstract":"Hippocampal slices prepared from 2-23-day-old neonates were maintained in culture at  the interface between air and a culture medium. They were placed on a sterile, transparent and porous membrane and kept in petri dishes in an incubator. No plasma clot or roller drum were used. This method yields thin slices which remain 1-4 cell layers thick and are characterized by a well preserved organotypic organization. Pyramidal neurons labelled by extra- and intracellular application of horse radish peroxidase resemble by the organization and complexity of their dendritic processes those observed in situ at a comparable developmental stage. Excitatory and inhibitory synaptic potentials can easily be analysed using extra- or intracellular recording techniques. After a few days in culture, long-term potentiation of synaptic responses can reproducibly be induced. Evidence for a sprouting response during the first days in culture or following sections is illustrated. This technique may represent an interesting alternative to roller tube cultures for studies of the developmental changes occurring during the first days or weeks in culture.","author":[{"dropping-particle":"","family":"Stoppini","given":"L","non-dropping-particle":"","parse-names":false,"suffix":""},{"dropping-particle":"","family":"Buchs","given":"P A","non-dropping-particle":"","parse-names":false,"suffix":""},{"dropping-particle":"","family":"Muller","given":"D","non-dropping-particle":"","parse-names":false,"suffix":""}],"container-title":"Journal of neuroscience methods","id":"ITEM-1","issue":"2","issued":{"date-parts":[["1991","4"]]},"language":"eng","page":"173-182","publisher-place":"Netherlands","title":"A simple method for organotypic cultures of nervous tissue.","type":"article-journal","volume":"37"},"uris":["http://www.mendeley.com/documents/?uuid=62ab4a0c-bbfc-4a1f-957a-52120d4d1384"]}],"mendeley":{"formattedCitation":"(40)","plainTextFormattedCitation":"(40)","previouslyFormattedCitation":"(40)"},"properties":{"noteIndex":0},"schema":"https://github.com/citation-style-language/schema/raw/master/csl-citation.json"}</w:instrText>
      </w:r>
      <w:r>
        <w:fldChar w:fldCharType="separate"/>
      </w:r>
      <w:r w:rsidR="000F2966" w:rsidRPr="000F2966">
        <w:rPr>
          <w:noProof/>
        </w:rPr>
        <w:t>(40)</w:t>
      </w:r>
      <w:r>
        <w:fldChar w:fldCharType="end"/>
      </w:r>
      <w:r>
        <w:t>. Shortly, P9-P10</w:t>
      </w:r>
      <w:r w:rsidRPr="000E40D7">
        <w:t xml:space="preserve"> pu</w:t>
      </w:r>
      <w:r>
        <w:t>p</w:t>
      </w:r>
      <w:r w:rsidRPr="000E40D7">
        <w:t>s were</w:t>
      </w:r>
      <w:r>
        <w:t xml:space="preserve"> </w:t>
      </w:r>
      <w:r w:rsidRPr="005E4843">
        <w:t>anesthetize</w:t>
      </w:r>
      <w:r>
        <w:t xml:space="preserve">d, and killed, </w:t>
      </w:r>
      <w:r w:rsidRPr="000E40D7">
        <w:t>the cerebellum was removed and cut</w:t>
      </w:r>
      <w:r>
        <w:t xml:space="preserve"> </w:t>
      </w:r>
      <w:r w:rsidRPr="000E40D7">
        <w:t xml:space="preserve">into 400 </w:t>
      </w:r>
      <w:r w:rsidRPr="006F112F">
        <w:rPr>
          <w:rFonts w:ascii="Symbol" w:hAnsi="Symbol"/>
        </w:rPr>
        <w:t></w:t>
      </w:r>
      <w:r w:rsidRPr="000E40D7">
        <w:t xml:space="preserve">m thick slices using a </w:t>
      </w:r>
      <w:proofErr w:type="spellStart"/>
      <w:r w:rsidRPr="000E40D7">
        <w:t>Mc</w:t>
      </w:r>
      <w:r>
        <w:t>I</w:t>
      </w:r>
      <w:r w:rsidRPr="000E40D7">
        <w:t>llwain</w:t>
      </w:r>
      <w:proofErr w:type="spellEnd"/>
      <w:r w:rsidRPr="000E40D7">
        <w:t xml:space="preserve"> tissue chopper.</w:t>
      </w:r>
      <w:r>
        <w:t xml:space="preserve"> </w:t>
      </w:r>
      <w:r w:rsidRPr="000E40D7">
        <w:t>O</w:t>
      </w:r>
      <w:r>
        <w:t xml:space="preserve">SC were then dissected manually </w:t>
      </w:r>
      <w:r w:rsidRPr="000E40D7">
        <w:t>in ice-cold dissecting</w:t>
      </w:r>
      <w:r>
        <w:t xml:space="preserve"> </w:t>
      </w:r>
      <w:r w:rsidRPr="000E40D7">
        <w:t>medium</w:t>
      </w:r>
      <w:r>
        <w:t xml:space="preserve"> </w:t>
      </w:r>
      <w:r w:rsidRPr="000E40D7">
        <w:t>and transferred to washing medium for 10 min</w:t>
      </w:r>
      <w:r>
        <w:t xml:space="preserve"> on ice. Thereafter, OSC were </w:t>
      </w:r>
      <w:r w:rsidRPr="000E40D7">
        <w:t>cultured on cell culture inserts with a</w:t>
      </w:r>
      <w:r>
        <w:t xml:space="preserve"> </w:t>
      </w:r>
      <w:r w:rsidRPr="000E40D7">
        <w:t xml:space="preserve">pore diameter of 0.4 </w:t>
      </w:r>
      <w:r>
        <w:t>µ</w:t>
      </w:r>
      <w:r w:rsidRPr="000E40D7">
        <w:t>m</w:t>
      </w:r>
      <w:r>
        <w:t xml:space="preserve"> (Millipore, Billerica, MA</w:t>
      </w:r>
      <w:r w:rsidRPr="000E40D7">
        <w:t>,</w:t>
      </w:r>
      <w:r>
        <w:t xml:space="preserve"> </w:t>
      </w:r>
      <w:r w:rsidRPr="000E40D7">
        <w:t xml:space="preserve">USA) </w:t>
      </w:r>
      <w:r>
        <w:t xml:space="preserve">in culture medium </w:t>
      </w:r>
      <w:r w:rsidRPr="000E40D7">
        <w:t>at 3</w:t>
      </w:r>
      <w:r>
        <w:t xml:space="preserve">7°C and 5% CO2 for 3–5 days and </w:t>
      </w:r>
      <w:r w:rsidRPr="000E40D7">
        <w:t>subsequently</w:t>
      </w:r>
      <w:r>
        <w:t xml:space="preserve"> </w:t>
      </w:r>
      <w:r w:rsidRPr="000E40D7">
        <w:t>at 33°C and 5% CO2 for the duration of the</w:t>
      </w:r>
      <w:r>
        <w:t xml:space="preserve"> </w:t>
      </w:r>
      <w:r w:rsidRPr="000E40D7">
        <w:rPr>
          <w:lang w:val="en-US"/>
        </w:rPr>
        <w:t>experiment.</w:t>
      </w:r>
      <w:r>
        <w:rPr>
          <w:lang w:val="en-US"/>
        </w:rPr>
        <w:t xml:space="preserve"> Dissecting medium: </w:t>
      </w:r>
      <w:r w:rsidRPr="00440E63">
        <w:t>Hank’s</w:t>
      </w:r>
      <w:r>
        <w:t xml:space="preserve"> </w:t>
      </w:r>
      <w:r w:rsidRPr="00440E63">
        <w:t>Balanced Salt Solution with calcium and magnesium</w:t>
      </w:r>
      <w:r>
        <w:t xml:space="preserve"> (</w:t>
      </w:r>
      <w:r w:rsidRPr="00440E63">
        <w:t>HBSS</w:t>
      </w:r>
      <w:r>
        <w:t>)</w:t>
      </w:r>
      <w:r w:rsidRPr="00440E63">
        <w:t>, 100 U/mL</w:t>
      </w:r>
      <w:r>
        <w:t xml:space="preserve"> </w:t>
      </w:r>
      <w:r w:rsidRPr="00440E63">
        <w:t xml:space="preserve">penicillin, 100 </w:t>
      </w:r>
      <w:r w:rsidRPr="006F112F">
        <w:rPr>
          <w:rFonts w:ascii="Symbol" w:hAnsi="Symbol"/>
        </w:rPr>
        <w:t></w:t>
      </w:r>
      <w:r w:rsidRPr="00440E63">
        <w:t>g/mL streptomycin</w:t>
      </w:r>
      <w:r>
        <w:t xml:space="preserve"> (all Thermo Fisher Scientific, </w:t>
      </w:r>
      <w:r w:rsidRPr="00D753E5">
        <w:t xml:space="preserve">Waltham, </w:t>
      </w:r>
      <w:r>
        <w:t>MA</w:t>
      </w:r>
      <w:r w:rsidRPr="00D753E5">
        <w:t>,</w:t>
      </w:r>
      <w:r>
        <w:t xml:space="preserve"> USA</w:t>
      </w:r>
      <w:r w:rsidRPr="00D753E5">
        <w:t xml:space="preserve"> </w:t>
      </w:r>
      <w:r w:rsidRPr="00440E63">
        <w:t>),</w:t>
      </w:r>
      <w:r>
        <w:t xml:space="preserve"> 5 mg/mL glucose </w:t>
      </w:r>
      <w:r w:rsidRPr="00440E63">
        <w:t>and 1 mmol/L kynurenic acid (</w:t>
      </w:r>
      <w:r>
        <w:t xml:space="preserve">both </w:t>
      </w:r>
      <w:r w:rsidRPr="00440E63">
        <w:t xml:space="preserve">Sigma-Aldrich, </w:t>
      </w:r>
      <w:proofErr w:type="spellStart"/>
      <w:r w:rsidRPr="00440E63">
        <w:t>Seelze</w:t>
      </w:r>
      <w:proofErr w:type="spellEnd"/>
      <w:r w:rsidRPr="00440E63">
        <w:t>, Germany)</w:t>
      </w:r>
      <w:r>
        <w:t xml:space="preserve">; pH 7.2-7.4. Washing Medium: </w:t>
      </w:r>
      <w:r w:rsidRPr="00440E63">
        <w:t xml:space="preserve">50% HBSS, 50% </w:t>
      </w:r>
      <w:r>
        <w:t>Minimum essential medium (MEM)</w:t>
      </w:r>
      <w:r w:rsidRPr="00440E63">
        <w:t xml:space="preserve">, supplemented </w:t>
      </w:r>
      <w:r w:rsidRPr="00440E63">
        <w:lastRenderedPageBreak/>
        <w:t>with P/S and</w:t>
      </w:r>
      <w:r>
        <w:t xml:space="preserve"> 25 mmol/L HEPES (all Thermo Fisher Scientific). Culture medium: 50% </w:t>
      </w:r>
      <w:r w:rsidRPr="00440E63">
        <w:t>MEM supplemented with P/S, 25%</w:t>
      </w:r>
      <w:r>
        <w:t xml:space="preserve"> HBSS supplemented with P/S, </w:t>
      </w:r>
      <w:r w:rsidRPr="00D1765F">
        <w:t xml:space="preserve">25% horse serum (Thermo Fisher Scientific), </w:t>
      </w:r>
      <w:r w:rsidRPr="00440E63">
        <w:t>5 mg/mL</w:t>
      </w:r>
      <w:r>
        <w:t xml:space="preserve"> glucose and 2 mmol/L glutamine.</w:t>
      </w:r>
    </w:p>
    <w:p w14:paraId="4AD6A46C" w14:textId="77777777" w:rsidR="000F2966" w:rsidRDefault="000F2966">
      <w:pPr>
        <w:spacing w:line="360" w:lineRule="auto"/>
        <w:rPr>
          <w:b/>
          <w:bCs/>
        </w:rPr>
      </w:pPr>
    </w:p>
    <w:p w14:paraId="0C350E1D" w14:textId="4EDB36EB" w:rsidR="00B51D64" w:rsidRDefault="00464520">
      <w:pPr>
        <w:spacing w:line="360" w:lineRule="auto"/>
        <w:rPr>
          <w:b/>
          <w:bCs/>
        </w:rPr>
      </w:pPr>
      <w:r w:rsidRPr="000A0E7F">
        <w:rPr>
          <w:b/>
          <w:bCs/>
        </w:rPr>
        <w:t>Demyelination</w:t>
      </w:r>
    </w:p>
    <w:p w14:paraId="565F6451" w14:textId="1E4BEC97" w:rsidR="00A51D60" w:rsidRDefault="00F62FB0">
      <w:pPr>
        <w:spacing w:line="360" w:lineRule="auto"/>
        <w:rPr>
          <w:lang w:val="en-US"/>
        </w:rPr>
      </w:pPr>
      <w:r>
        <w:rPr>
          <w:lang w:val="en-US"/>
        </w:rPr>
        <w:t xml:space="preserve">For demyelination experiments culture medium was supplemented with </w:t>
      </w:r>
      <w:r>
        <w:t>5</w:t>
      </w:r>
      <w:r w:rsidRPr="000E40D7">
        <w:rPr>
          <w:lang w:val="en-US"/>
        </w:rPr>
        <w:t xml:space="preserve"> </w:t>
      </w:r>
      <w:r>
        <w:t>µ</w:t>
      </w:r>
      <w:r w:rsidRPr="000E40D7">
        <w:rPr>
          <w:lang w:val="en-US"/>
        </w:rPr>
        <w:t>g/mL recombinant humanized</w:t>
      </w:r>
      <w:r>
        <w:t xml:space="preserve"> </w:t>
      </w:r>
      <w:r w:rsidRPr="000E40D7">
        <w:rPr>
          <w:lang w:val="en-US"/>
        </w:rPr>
        <w:t>8-18c5 (hu8-18c5 IgG1 kappa</w:t>
      </w:r>
      <w:r>
        <w:t xml:space="preserve"> </w:t>
      </w:r>
      <w:r w:rsidRPr="000E40D7">
        <w:rPr>
          <w:lang w:val="en-US"/>
        </w:rPr>
        <w:t>directed against</w:t>
      </w:r>
      <w:r>
        <w:t xml:space="preserve"> </w:t>
      </w:r>
      <w:r w:rsidRPr="000E40D7">
        <w:rPr>
          <w:lang w:val="en-US"/>
        </w:rPr>
        <w:t>MOG</w:t>
      </w:r>
      <w:r>
        <w:rPr>
          <w:lang w:val="en-US"/>
        </w:rPr>
        <w:t xml:space="preserve"> </w:t>
      </w:r>
      <w:r>
        <w:rPr>
          <w:lang w:val="en-US"/>
        </w:rPr>
        <w:fldChar w:fldCharType="begin" w:fldLock="1"/>
      </w:r>
      <w:r w:rsidR="00DC4AAC">
        <w:rPr>
          <w:lang w:val="en-US"/>
        </w:rPr>
        <w:instrText>ADDIN CSL_CITATION {"citationItems":[{"id":"ITEM-1","itemData":{"DOI":"10.1016/j.expneurol.2008.12.027","ISBN":"1090-2430; 0014-4886","ISSN":"00144886","PMID":"19320002","abstract":"Mononuclear cell infiltrates, deposits of immunoglobulin and complement as well as demyelination and axonal damage are neuropathological hallmarks of Multiple Sclerosis (MS) lesions. An involvement of antibodies is further suggested by the presence of oligoclonal immunoglobulins in the cerebrospinal fluid of almost all MS patients. However, which mechanisms are most relevant for de- and remyelination and axonal loss in MS lesions is poorly understood. To characterize the regenerative abilities of demyelinated CNS tissue, we utilized murine organotypic cerebellar slice cultures expressing GFP in oligodendrocytes. The addition of a demyelinating monoclonal antibody specific for myelin oligodendrocyte glycoprotein and complement induced complete myelin destruction and oligodendrocyte loss, as demonstrated by confocal live imaging and staining for different myelin proteins. After removal of antibodies and complement we visualized the stages of remyelination, presumably originating from proliferating oligodendrocyte precursor cells and guided by morphologically intact appearing axons. Allowing for the detailed live imaging of de- and remyelination in an ex vivo situation closely resembling the three dimensional cytoarchitecture of the CNS, we provide a useful experimental system for the evaluation of new therapeutic strategies to enhance remyelination and repair in MS. © 2009 Elsevier Inc. All rights reserved.","author":[{"dropping-particle":"","family":"Harrer","given":"Melanie D.","non-dropping-particle":"","parse-names":false,"suffix":""},{"dropping-particle":"","family":"Büdingen","given":"Hans Christian","non-dropping-particle":"von","parse-names":false,"suffix":""},{"dropping-particle":"","family":"Stoppini","given":"Luc","non-dropping-particle":"","parse-names":false,"suffix":""},{"dropping-particle":"","family":"Alliod","given":"Chantal","non-dropping-particle":"","parse-names":false,"suffix":""},{"dropping-particle":"","family":"Pouly","given":"Sandrine","non-dropping-particle":"","parse-names":false,"suffix":""},{"dropping-particle":"","family":"Fischer","given":"Katja","non-dropping-particle":"","parse-names":false,"suffix":""},{"dropping-particle":"","family":"Goebels","given":"Norbert","non-dropping-particle":"","parse-names":false,"suffix":""}],"container-title":"Experimental Neurology","id":"ITEM-1","issue":"2","issued":{"date-parts":[["2009"]]},"page":"431-438","title":"Live imaging of remyelination after antibody-mediated demyelination in an ex-vivo model for immune mediated CNS damage","type":"article-journal","volume":"216"},"uris":["http://www.mendeley.com/documents/?uuid=e6d51893-553e-44c6-aab5-e7b8559e6de3"]},{"id":"ITEM-2","itemData":{"DOI":"10.1128/IAI.00260-07","ISSN":"0019-9567 (Print)","PMID":"17517881","abstract":"Neuroborreliosis (NB) is a chronic infectious disease of the central nervous system  (CNS) caused by a tick-borne spirochete, Borrelia burgdorferi. In addition to direct effects of the causative infectious agent, additional immunity-mediated mechanisms are thought to play a role in the CNS pathology of NB. In order to further understand the involvement of humoral immune mechanisms in NB, we dissected the intrathecal antibody responses down to the single-plasma-cell level. Starting with single-cell reverse transcription-PCR of fluorescence-activated cell sorter-sorted cerebrospinal fluid plasma cells from an NB patient, we identified expanded clones and resurrected the antigen specificity of their secreted antibodies through recombinant expression of the correctly paired immunoglobulin heavy- and light-chain genes as monoclonal antibodies (MAbs). As expected, we found specificity for the causative infectious agent, B. burgdorferi, among the clonally expanded plasma cell (cePC)-derived MAbs. However, from an independent cePC of the same patient, we could derive MAbs specific for human CNS myelin, without detectable cross-reactivity with B. burgdorferi antigens. While reactivity against B. burgdorferi is a known feature of humoral immune responses in NB, we show (i) that immune responses specific for self antigens may be a distinct feature of CNS infections independent of pathogen reactivity and (ii) that humoral autoimmunity in NB (since found in cePC) is the result of a truly antigen-driven immune response. Our findings indicate that in NB mechanisms may be at play that induce distinct immune responses specific for pathogen and self antigens independent from \"molecular mimicry.\"","author":[{"dropping-particle":"","family":"Kuenzle","given":"Sandra","non-dropping-particle":"","parse-names":false,"suffix":""},{"dropping-particle":"","family":"Büdingen","given":"Hans-Christian","non-dropping-particle":"von","parse-names":false,"suffix":""},{"dropping-particle":"","family":"Meier","given":"Mirjam","non-dropping-particle":"","parse-names":false,"suffix":""},{"dropping-particle":"","family":"Harrer","given":"Melanie D","non-dropping-particle":"","parse-names":false,"suffix":""},{"dropping-particle":"","family":"Urich","given":"Eduard","non-dropping-particle":"","parse-names":false,"suffix":""},{"dropping-particle":"","family":"Becher","given":"Burkhard","non-dropping-particle":"","parse-names":false,"suffix":""},{"dropping-particle":"","family":"Goebels","given":"Norbert","non-dropping-particle":"","parse-names":false,"suffix":""}],"container-title":"Infection and immunity","id":"ITEM-2","issue":"8","issued":{"date-parts":[["2007","8"]]},"language":"eng","page":"3842-3847","title":"Pathogen specificity and autoimmunity are distinct features of antigen-driven immune  responses in neuroborreliosis.","type":"article-journal","volume":"75"},"uris":["http://www.mendeley.com/documents/?uuid=5c54ce63-a07b-41ad-a738-a14a2085edbb"]}],"mendeley":{"formattedCitation":"(15,41)","plainTextFormattedCitation":"(15,41)","previouslyFormattedCitation":"(15,41)"},"properties":{"noteIndex":0},"schema":"https://github.com/citation-style-language/schema/raw/master/csl-citation.json"}</w:instrText>
      </w:r>
      <w:r>
        <w:rPr>
          <w:lang w:val="en-US"/>
        </w:rPr>
        <w:fldChar w:fldCharType="separate"/>
      </w:r>
      <w:r w:rsidR="000F2966" w:rsidRPr="000F2966">
        <w:rPr>
          <w:noProof/>
          <w:lang w:val="en-US"/>
        </w:rPr>
        <w:t>(15,41)</w:t>
      </w:r>
      <w:r>
        <w:rPr>
          <w:lang w:val="en-US"/>
        </w:rPr>
        <w:fldChar w:fldCharType="end"/>
      </w:r>
      <w:r>
        <w:rPr>
          <w:lang w:val="en-US"/>
        </w:rPr>
        <w:t xml:space="preserve"> and 6-8% pooled normal baby rabbit serum (BRS). Therefore, lyophilized BRS </w:t>
      </w:r>
      <w:r w:rsidRPr="000E40D7">
        <w:rPr>
          <w:lang w:val="en-US"/>
        </w:rPr>
        <w:t>reconstituted in 1 mL of water was used as a source of</w:t>
      </w:r>
      <w:r>
        <w:t xml:space="preserve"> </w:t>
      </w:r>
      <w:r w:rsidRPr="000E40D7">
        <w:rPr>
          <w:lang w:val="en-US"/>
        </w:rPr>
        <w:t>complement (</w:t>
      </w:r>
      <w:proofErr w:type="spellStart"/>
      <w:r w:rsidRPr="000E40D7">
        <w:rPr>
          <w:lang w:val="en-US"/>
        </w:rPr>
        <w:t>Cedarlane</w:t>
      </w:r>
      <w:proofErr w:type="spellEnd"/>
      <w:r w:rsidRPr="000E40D7">
        <w:rPr>
          <w:lang w:val="en-US"/>
        </w:rPr>
        <w:t>, Ontario, Canada). For clarity, BRS is referred to as “complement”.</w:t>
      </w:r>
      <w:r>
        <w:t xml:space="preserve"> </w:t>
      </w:r>
      <w:r w:rsidRPr="00073BE0">
        <w:rPr>
          <w:lang w:val="en-US"/>
        </w:rPr>
        <w:t xml:space="preserve">Alternatively, </w:t>
      </w:r>
      <w:r>
        <w:rPr>
          <w:lang w:val="en-US"/>
        </w:rPr>
        <w:t xml:space="preserve">11% </w:t>
      </w:r>
      <w:r w:rsidRPr="00073BE0">
        <w:rPr>
          <w:lang w:val="en-US"/>
        </w:rPr>
        <w:t>human serum (Sigma-Aldrich, Hamburg, Germany) was used as a source of</w:t>
      </w:r>
      <w:r w:rsidRPr="00073BE0">
        <w:t xml:space="preserve"> </w:t>
      </w:r>
      <w:r w:rsidRPr="00073BE0">
        <w:rPr>
          <w:lang w:val="en-US"/>
        </w:rPr>
        <w:t>complement where indicated</w:t>
      </w:r>
      <w:r>
        <w:rPr>
          <w:lang w:val="en-US"/>
        </w:rPr>
        <w:t>.</w:t>
      </w:r>
      <w:r>
        <w:t xml:space="preserve"> </w:t>
      </w:r>
      <w:r w:rsidRPr="000E40D7">
        <w:rPr>
          <w:lang w:val="en-US"/>
        </w:rPr>
        <w:t>IVIG (</w:t>
      </w:r>
      <w:proofErr w:type="spellStart"/>
      <w:r w:rsidRPr="000E40D7">
        <w:rPr>
          <w:lang w:val="en-US"/>
        </w:rPr>
        <w:t>Privigen</w:t>
      </w:r>
      <w:proofErr w:type="spellEnd"/>
      <w:r>
        <w:t>®</w:t>
      </w:r>
      <w:r w:rsidRPr="000E40D7">
        <w:rPr>
          <w:lang w:val="en-US"/>
        </w:rPr>
        <w:t>;</w:t>
      </w:r>
      <w:r>
        <w:t xml:space="preserve"> 0.9 µg/mL - 6 mg/mL) or</w:t>
      </w:r>
      <w:r w:rsidRPr="000E40D7">
        <w:rPr>
          <w:lang w:val="en-US"/>
        </w:rPr>
        <w:t xml:space="preserve"> </w:t>
      </w:r>
      <w:r w:rsidRPr="005F7071">
        <w:t>variably glycosylated recombinant human IgG1-Fc fragments</w:t>
      </w:r>
      <w:r>
        <w:t xml:space="preserve"> (0.3 µg/mL – 1 mg/mL) </w:t>
      </w:r>
      <w:r w:rsidRPr="000E40D7">
        <w:rPr>
          <w:lang w:val="en-US"/>
        </w:rPr>
        <w:t xml:space="preserve">were added </w:t>
      </w:r>
      <w:r>
        <w:rPr>
          <w:lang w:val="en-US"/>
        </w:rPr>
        <w:t>during</w:t>
      </w:r>
      <w:r>
        <w:t xml:space="preserve"> </w:t>
      </w:r>
      <w:r w:rsidRPr="000E40D7">
        <w:rPr>
          <w:lang w:val="en-US"/>
        </w:rPr>
        <w:t>demyelination as indicated.</w:t>
      </w:r>
      <w:r>
        <w:t xml:space="preserve"> </w:t>
      </w:r>
      <w:r w:rsidRPr="000E40D7">
        <w:rPr>
          <w:lang w:val="en-US"/>
        </w:rPr>
        <w:t xml:space="preserve">Prior to use, </w:t>
      </w:r>
      <w:r>
        <w:t>IVIG was</w:t>
      </w:r>
      <w:r w:rsidRPr="000E40D7">
        <w:rPr>
          <w:lang w:val="en-US"/>
        </w:rPr>
        <w:t xml:space="preserve"> dialyzed against HBSS.</w:t>
      </w:r>
    </w:p>
    <w:p w14:paraId="42A2D28F" w14:textId="77777777" w:rsidR="00F62FB0" w:rsidRDefault="00F62FB0">
      <w:pPr>
        <w:spacing w:line="360" w:lineRule="auto"/>
        <w:rPr>
          <w:b/>
          <w:bCs/>
        </w:rPr>
      </w:pPr>
    </w:p>
    <w:p w14:paraId="24985A55" w14:textId="2ECB9998" w:rsidR="00464520" w:rsidRDefault="00464520">
      <w:pPr>
        <w:spacing w:line="360" w:lineRule="auto"/>
        <w:rPr>
          <w:b/>
          <w:bCs/>
        </w:rPr>
      </w:pPr>
      <w:r w:rsidRPr="000A0E7F">
        <w:rPr>
          <w:b/>
          <w:bCs/>
        </w:rPr>
        <w:t>Quantification of fluorescence</w:t>
      </w:r>
      <w:r w:rsidR="00F62FB0">
        <w:rPr>
          <w:b/>
          <w:bCs/>
        </w:rPr>
        <w:t xml:space="preserve"> in OSC</w:t>
      </w:r>
    </w:p>
    <w:p w14:paraId="2765DC1E" w14:textId="2A714467" w:rsidR="00EC2957" w:rsidRDefault="00573A79">
      <w:pPr>
        <w:spacing w:line="360" w:lineRule="auto"/>
        <w:rPr>
          <w:b/>
          <w:bCs/>
        </w:rPr>
      </w:pPr>
      <w:r w:rsidRPr="000E40D7">
        <w:rPr>
          <w:lang w:val="en-US"/>
        </w:rPr>
        <w:t>For the quantification of the relative myelin content of</w:t>
      </w:r>
      <w:r>
        <w:t xml:space="preserve"> </w:t>
      </w:r>
      <w:r w:rsidRPr="000E40D7">
        <w:rPr>
          <w:lang w:val="en-US"/>
        </w:rPr>
        <w:t>OSC during demyelination, we assessed the intensity of</w:t>
      </w:r>
      <w:r>
        <w:t xml:space="preserve"> </w:t>
      </w:r>
      <w:r w:rsidRPr="000E40D7">
        <w:rPr>
          <w:lang w:val="en-US"/>
        </w:rPr>
        <w:t>GFP expression in living OSC at different time points</w:t>
      </w:r>
      <w:r>
        <w:t xml:space="preserve"> </w:t>
      </w:r>
      <w:r w:rsidRPr="000E40D7">
        <w:rPr>
          <w:lang w:val="en-US"/>
        </w:rPr>
        <w:t xml:space="preserve">during each experiment: </w:t>
      </w:r>
      <w:r w:rsidR="001B2EA4">
        <w:rPr>
          <w:lang w:val="en-US"/>
        </w:rPr>
        <w:t>u</w:t>
      </w:r>
      <w:r w:rsidRPr="000E40D7">
        <w:rPr>
          <w:lang w:val="en-US"/>
        </w:rPr>
        <w:t>sing ImageJ software, we</w:t>
      </w:r>
      <w:r>
        <w:t xml:space="preserve"> </w:t>
      </w:r>
      <w:r w:rsidRPr="000E40D7">
        <w:rPr>
          <w:lang w:val="en-US"/>
        </w:rPr>
        <w:t>assessed the area of fluorescence signal exceeding a</w:t>
      </w:r>
      <w:r>
        <w:t xml:space="preserve"> </w:t>
      </w:r>
      <w:r w:rsidRPr="000E40D7">
        <w:rPr>
          <w:lang w:val="en-US"/>
        </w:rPr>
        <w:t>defined threshold in digital images acquired with an</w:t>
      </w:r>
      <w:r>
        <w:t xml:space="preserve"> </w:t>
      </w:r>
      <w:r w:rsidRPr="000E40D7">
        <w:rPr>
          <w:lang w:val="en-US"/>
        </w:rPr>
        <w:t>Olympus BX51 m</w:t>
      </w:r>
      <w:proofErr w:type="spellStart"/>
      <w:r>
        <w:t>icroscope</w:t>
      </w:r>
      <w:proofErr w:type="spellEnd"/>
      <w:r>
        <w:t xml:space="preserve"> (Hicksville, NY</w:t>
      </w:r>
      <w:r w:rsidR="005835B3">
        <w:t>, USA</w:t>
      </w:r>
      <w:r>
        <w:t>) at 4x</w:t>
      </w:r>
      <w:r w:rsidRPr="000E40D7">
        <w:rPr>
          <w:lang w:val="en-US"/>
        </w:rPr>
        <w:t xml:space="preserve"> magnification.</w:t>
      </w:r>
      <w:r>
        <w:t xml:space="preserve"> </w:t>
      </w:r>
      <w:r w:rsidRPr="000E40D7">
        <w:rPr>
          <w:lang w:val="en-US"/>
        </w:rPr>
        <w:t>The threshold was chosen according to the background</w:t>
      </w:r>
      <w:r>
        <w:t xml:space="preserve"> </w:t>
      </w:r>
      <w:r w:rsidRPr="000E40D7">
        <w:rPr>
          <w:lang w:val="en-US"/>
        </w:rPr>
        <w:t>intensity, and only the specific GFP expression</w:t>
      </w:r>
      <w:r>
        <w:t xml:space="preserve"> </w:t>
      </w:r>
      <w:r w:rsidRPr="000E40D7">
        <w:rPr>
          <w:lang w:val="en-US"/>
        </w:rPr>
        <w:t>was quantified. For each individual OSC, results are</w:t>
      </w:r>
      <w:r>
        <w:t xml:space="preserve"> </w:t>
      </w:r>
      <w:r w:rsidRPr="000E40D7">
        <w:rPr>
          <w:lang w:val="en-US"/>
        </w:rPr>
        <w:t>depicted relative to time point 0, prior to the beginning</w:t>
      </w:r>
      <w:r>
        <w:t xml:space="preserve"> </w:t>
      </w:r>
      <w:r w:rsidRPr="000E40D7">
        <w:rPr>
          <w:lang w:val="en-US"/>
        </w:rPr>
        <w:t>of the experiment.</w:t>
      </w:r>
    </w:p>
    <w:p w14:paraId="45626CEF" w14:textId="77777777" w:rsidR="00E97FDC" w:rsidRDefault="00E97FDC">
      <w:pPr>
        <w:spacing w:line="360" w:lineRule="auto"/>
        <w:rPr>
          <w:b/>
          <w:bCs/>
        </w:rPr>
      </w:pPr>
    </w:p>
    <w:p w14:paraId="15E6CEDD" w14:textId="2C61F78B" w:rsidR="009B1ED8" w:rsidRDefault="009B1ED8">
      <w:pPr>
        <w:spacing w:line="360" w:lineRule="auto"/>
        <w:rPr>
          <w:b/>
          <w:bCs/>
        </w:rPr>
      </w:pPr>
      <w:r>
        <w:rPr>
          <w:b/>
          <w:bCs/>
        </w:rPr>
        <w:t>Immunostaining of OSC</w:t>
      </w:r>
    </w:p>
    <w:p w14:paraId="529AC0A3" w14:textId="639BF8AE" w:rsidR="00B74F85" w:rsidRPr="000F2966" w:rsidRDefault="0006003A">
      <w:pPr>
        <w:spacing w:line="360" w:lineRule="auto"/>
      </w:pPr>
      <w:r w:rsidRPr="0006003A">
        <w:t xml:space="preserve">OSC were fixed in 4% formaldehyde (Carl Roth, Karlsruhe, Germany), permeabilized with 1% Triton X-100 (Thermo-Scientific) in PBS for 30-45 min and blocked with 10% normal goat serum (Sigma-Aldrich) in 0.2% Triton X-100 in PBS for 1 h after 3 washes with PBS. Primary antibodies (anti-Iba1 Wako, Neuss, Germany; anti-CD68, </w:t>
      </w:r>
      <w:proofErr w:type="spellStart"/>
      <w:r w:rsidRPr="0006003A">
        <w:t>Biolegend</w:t>
      </w:r>
      <w:proofErr w:type="spellEnd"/>
      <w:r w:rsidRPr="0006003A">
        <w:t xml:space="preserve">, San Diego, CA, USA) were diluted in PBS supplemented with 1% goat serum and 0.2% Triton X-100, according to the manufacturer’s instructions and were incubated for 1-2 days at 4°C. After three consecutive washes in PBS, OSC were incubated overnight with secondary antibodies (goat α </w:t>
      </w:r>
      <w:r w:rsidR="007B5923">
        <w:t>rabbit/rat</w:t>
      </w:r>
      <w:r w:rsidRPr="0006003A">
        <w:t xml:space="preserve">-Cy3, Millipore), diluted in PBS, supplemented with 1% goat serum and 0-2% Triton X-100 according to the manufacturer’s </w:t>
      </w:r>
      <w:r w:rsidRPr="0006003A">
        <w:lastRenderedPageBreak/>
        <w:t>instructions at 4°C in the dark. Images</w:t>
      </w:r>
      <w:r w:rsidR="00EE6426">
        <w:t xml:space="preserve"> </w:t>
      </w:r>
      <w:r w:rsidRPr="0006003A">
        <w:t>were acquired using a</w:t>
      </w:r>
      <w:r w:rsidR="00EE6426">
        <w:t xml:space="preserve"> </w:t>
      </w:r>
      <w:r w:rsidRPr="0006003A">
        <w:t>Leica SP8 confocal laser-scanning microscope (</w:t>
      </w:r>
      <w:proofErr w:type="spellStart"/>
      <w:r w:rsidRPr="0006003A">
        <w:t>Wetzlar</w:t>
      </w:r>
      <w:proofErr w:type="spellEnd"/>
      <w:r w:rsidRPr="0006003A">
        <w:t>, Germany) and analy</w:t>
      </w:r>
      <w:r w:rsidR="0063713B">
        <w:t>s</w:t>
      </w:r>
      <w:r w:rsidRPr="0006003A">
        <w:t>ed with LAS X software (Leica) and ImageJ. Some images were contrast enhanced to facilitate visibility in composite figures.</w:t>
      </w:r>
    </w:p>
    <w:p w14:paraId="6DD72DF1" w14:textId="77777777" w:rsidR="000F2966" w:rsidRDefault="000F2966" w:rsidP="009E054E">
      <w:pPr>
        <w:spacing w:line="360" w:lineRule="auto"/>
        <w:rPr>
          <w:b/>
          <w:bCs/>
        </w:rPr>
      </w:pPr>
    </w:p>
    <w:p w14:paraId="2B22704E" w14:textId="67ACDE40" w:rsidR="009E054E" w:rsidRPr="000F3F1F" w:rsidRDefault="009E054E" w:rsidP="009E054E">
      <w:pPr>
        <w:spacing w:line="360" w:lineRule="auto"/>
        <w:rPr>
          <w:b/>
          <w:bCs/>
        </w:rPr>
      </w:pPr>
      <w:r w:rsidRPr="000F3F1F">
        <w:rPr>
          <w:b/>
          <w:bCs/>
        </w:rPr>
        <w:t>I</w:t>
      </w:r>
      <w:r w:rsidR="00236990">
        <w:rPr>
          <w:b/>
          <w:bCs/>
        </w:rPr>
        <w:t>mmunostaining</w:t>
      </w:r>
      <w:r w:rsidRPr="000F3F1F">
        <w:rPr>
          <w:b/>
          <w:bCs/>
        </w:rPr>
        <w:t xml:space="preserve"> of CNS cultures</w:t>
      </w:r>
    </w:p>
    <w:p w14:paraId="4DB63504" w14:textId="301DE904" w:rsidR="009E054E" w:rsidRPr="00274EFE" w:rsidRDefault="009E054E">
      <w:pPr>
        <w:spacing w:line="360" w:lineRule="auto"/>
      </w:pPr>
      <w:r w:rsidRPr="000F3F1F">
        <w:t xml:space="preserve">For </w:t>
      </w:r>
      <w:r w:rsidR="00236990">
        <w:t>immunostaining</w:t>
      </w:r>
      <w:r w:rsidRPr="000F3F1F">
        <w:t>, CNS myelinating cultures were treated with Fc fragments (20</w:t>
      </w:r>
      <w:r w:rsidRPr="000F3F1F">
        <w:rPr>
          <w:rFonts w:cstheme="minorHAnsi"/>
        </w:rPr>
        <w:t>µ</w:t>
      </w:r>
      <w:r w:rsidRPr="000F3F1F">
        <w:t xml:space="preserve">g/ ml) </w:t>
      </w:r>
      <w:r>
        <w:t>for 30</w:t>
      </w:r>
      <w:r w:rsidR="00633189">
        <w:t xml:space="preserve"> </w:t>
      </w:r>
      <w:r>
        <w:t>min at 4</w:t>
      </w:r>
      <w:r>
        <w:rPr>
          <w:rFonts w:cstheme="minorHAnsi"/>
        </w:rPr>
        <w:t>°</w:t>
      </w:r>
      <w:r>
        <w:t>C or 24h at 37</w:t>
      </w:r>
      <w:r>
        <w:rPr>
          <w:rFonts w:cstheme="minorHAnsi"/>
        </w:rPr>
        <w:t>°</w:t>
      </w:r>
      <w:r>
        <w:t xml:space="preserve">C and then </w:t>
      </w:r>
      <w:r w:rsidRPr="000F3F1F">
        <w:t>fixed with 4% paraformaldehyde for 20</w:t>
      </w:r>
      <w:r w:rsidR="00633189">
        <w:t xml:space="preserve"> </w:t>
      </w:r>
      <w:r w:rsidRPr="000F3F1F">
        <w:t xml:space="preserve">min at room temperature and subsequently stored in PBS at 4°C. </w:t>
      </w:r>
      <w:r w:rsidR="00264363">
        <w:t>Three</w:t>
      </w:r>
      <w:r w:rsidRPr="000F3F1F">
        <w:t xml:space="preserve"> coverslips were used</w:t>
      </w:r>
      <w:r>
        <w:t xml:space="preserve"> for each condition and N</w:t>
      </w:r>
      <w:r w:rsidRPr="000F3F1F">
        <w:t xml:space="preserve">. Post-fixation, cultures were permeabilised </w:t>
      </w:r>
      <w:r>
        <w:t xml:space="preserve">for intracellular staining </w:t>
      </w:r>
      <w:r w:rsidRPr="000F3F1F">
        <w:t xml:space="preserve">in </w:t>
      </w:r>
      <w:r>
        <w:t xml:space="preserve">Triton X 100 </w:t>
      </w:r>
      <w:r w:rsidRPr="000F3F1F">
        <w:t>(</w:t>
      </w:r>
      <w:r>
        <w:t>0.5 %</w:t>
      </w:r>
      <w:r w:rsidRPr="000F3F1F">
        <w:t>; 10 min)</w:t>
      </w:r>
      <w:r>
        <w:t xml:space="preserve">, washed and </w:t>
      </w:r>
      <w:r w:rsidR="00264363">
        <w:t>non-</w:t>
      </w:r>
      <w:r>
        <w:t xml:space="preserve">specific binding blocked with 1% BSA/ 10% </w:t>
      </w:r>
      <w:r w:rsidR="00264363">
        <w:t>h</w:t>
      </w:r>
      <w:r>
        <w:t>orse serum in PBS. P</w:t>
      </w:r>
      <w:r w:rsidRPr="000F3F1F">
        <w:t xml:space="preserve">rimary antibodies </w:t>
      </w:r>
      <w:r>
        <w:t xml:space="preserve">were applied </w:t>
      </w:r>
      <w:r w:rsidRPr="000F3F1F">
        <w:t xml:space="preserve">in </w:t>
      </w:r>
      <w:r>
        <w:t>blocking buffer for 45</w:t>
      </w:r>
      <w:r w:rsidR="0086537C">
        <w:t xml:space="preserve"> </w:t>
      </w:r>
      <w:r>
        <w:t>min at room temperature</w:t>
      </w:r>
      <w:r w:rsidRPr="000F3F1F">
        <w:t xml:space="preserve">. </w:t>
      </w:r>
      <w:r w:rsidRPr="00EE3BE4">
        <w:t>T</w:t>
      </w:r>
      <w:r w:rsidRPr="000179C1">
        <w:t>o</w:t>
      </w:r>
      <w:r w:rsidRPr="00F4149D">
        <w:t xml:space="preserve"> </w:t>
      </w:r>
      <w:r w:rsidRPr="00E13461">
        <w:t>l</w:t>
      </w:r>
      <w:r w:rsidRPr="00F552C7">
        <w:t>a</w:t>
      </w:r>
      <w:r w:rsidRPr="001F3EF1">
        <w:t xml:space="preserve">bel </w:t>
      </w:r>
      <w:r w:rsidRPr="00584968">
        <w:t>m</w:t>
      </w:r>
      <w:r w:rsidRPr="00747521">
        <w:t>i</w:t>
      </w:r>
      <w:r w:rsidRPr="002114FF">
        <w:t>c</w:t>
      </w:r>
      <w:r w:rsidRPr="00604F5F">
        <w:t>r</w:t>
      </w:r>
      <w:r w:rsidRPr="0000302A">
        <w:t>oglia rabbit anti</w:t>
      </w:r>
      <w:r w:rsidRPr="00EE3BE4">
        <w:t>-Iba1 (Wako/ Alpha laboratories</w:t>
      </w:r>
      <w:r w:rsidRPr="000F3F1F">
        <w:t xml:space="preserve">; </w:t>
      </w:r>
      <w:r w:rsidRPr="00EE3BE4">
        <w:t>R</w:t>
      </w:r>
      <w:r w:rsidRPr="000179C1">
        <w:t xml:space="preserve">ichmond, </w:t>
      </w:r>
      <w:r w:rsidRPr="00F4149D">
        <w:t>VA</w:t>
      </w:r>
      <w:r w:rsidRPr="00E13461">
        <w:t>,</w:t>
      </w:r>
      <w:r w:rsidRPr="00F552C7">
        <w:t xml:space="preserve"> </w:t>
      </w:r>
      <w:r w:rsidRPr="001F3EF1">
        <w:t>U</w:t>
      </w:r>
      <w:r w:rsidRPr="00584968">
        <w:t>S</w:t>
      </w:r>
      <w:r w:rsidRPr="00747521">
        <w:t>A</w:t>
      </w:r>
      <w:r w:rsidRPr="000F3F1F">
        <w:t xml:space="preserve">/ </w:t>
      </w:r>
      <w:r>
        <w:t xml:space="preserve">Eastleigh, </w:t>
      </w:r>
      <w:r w:rsidRPr="000F3F1F">
        <w:t xml:space="preserve">Hampshire, UK; </w:t>
      </w:r>
      <w:r w:rsidRPr="00EE3BE4">
        <w:t>1</w:t>
      </w:r>
      <w:r w:rsidRPr="000179C1">
        <w:t xml:space="preserve"> in 500) </w:t>
      </w:r>
      <w:r w:rsidRPr="00F4149D">
        <w:t>wa</w:t>
      </w:r>
      <w:r w:rsidRPr="00E13461">
        <w:t>s</w:t>
      </w:r>
      <w:r w:rsidRPr="00F552C7">
        <w:t xml:space="preserve"> </w:t>
      </w:r>
      <w:r w:rsidRPr="001F3EF1">
        <w:t>u</w:t>
      </w:r>
      <w:r w:rsidRPr="00584968">
        <w:t>s</w:t>
      </w:r>
      <w:r w:rsidRPr="00747521">
        <w:t>e</w:t>
      </w:r>
      <w:r w:rsidRPr="002114FF">
        <w:t>d</w:t>
      </w:r>
      <w:r w:rsidRPr="00604F5F">
        <w:t>.</w:t>
      </w:r>
      <w:r w:rsidRPr="0000302A">
        <w:t xml:space="preserve"> </w:t>
      </w:r>
      <w:r w:rsidRPr="000F3F1F">
        <w:t>To label axons together with myelin, rat anti-MBP (myelin basic protein) (</w:t>
      </w:r>
      <w:proofErr w:type="spellStart"/>
      <w:r w:rsidRPr="000F3F1F">
        <w:t>AbD</w:t>
      </w:r>
      <w:proofErr w:type="spellEnd"/>
      <w:r w:rsidRPr="000F3F1F">
        <w:t xml:space="preserve"> </w:t>
      </w:r>
      <w:proofErr w:type="spellStart"/>
      <w:r w:rsidRPr="000F3F1F">
        <w:t>Serotec</w:t>
      </w:r>
      <w:proofErr w:type="spellEnd"/>
      <w:r w:rsidRPr="000F3F1F">
        <w:t>, Kidlington, UK; 1 in 500) was used in combination with mouse SMI31 anti-phosphorylated heavy and medium chain neurofilament (</w:t>
      </w:r>
      <w:proofErr w:type="spellStart"/>
      <w:r w:rsidRPr="000F3F1F">
        <w:t>Biolegend</w:t>
      </w:r>
      <w:proofErr w:type="spellEnd"/>
      <w:r w:rsidRPr="000F3F1F">
        <w:t>, San Diego, CA, USA; 1 in 1500). After washing, secondary antibodies (</w:t>
      </w:r>
      <w:r>
        <w:t>goat anti-human IgG (</w:t>
      </w:r>
      <w:proofErr w:type="spellStart"/>
      <w:r>
        <w:t>Fc</w:t>
      </w:r>
      <w:r>
        <w:rPr>
          <w:rFonts w:cstheme="minorHAnsi"/>
        </w:rPr>
        <w:t>γ</w:t>
      </w:r>
      <w:proofErr w:type="spellEnd"/>
      <w:r>
        <w:t xml:space="preserve"> fragment specific), </w:t>
      </w:r>
      <w:r w:rsidRPr="000F3F1F">
        <w:t xml:space="preserve">goat anti-mouse IgG1 or goat anti-rabbit IgG or goat anti-rat IgG; all 1 in </w:t>
      </w:r>
      <w:r>
        <w:t>4</w:t>
      </w:r>
      <w:r w:rsidRPr="000F3F1F">
        <w:t xml:space="preserve">00; </w:t>
      </w:r>
      <w:r>
        <w:t xml:space="preserve">Jackson Immune Research, Cambridgeshire, UK, and </w:t>
      </w:r>
      <w:r w:rsidRPr="000F3F1F">
        <w:t>Thermo Fisher Scientific, Waltham, MA, USA) were applied for 1</w:t>
      </w:r>
      <w:r>
        <w:t>5</w:t>
      </w:r>
      <w:r w:rsidR="00236990">
        <w:t xml:space="preserve"> </w:t>
      </w:r>
      <w:r>
        <w:t>min</w:t>
      </w:r>
      <w:r w:rsidRPr="000F3F1F">
        <w:t xml:space="preserve"> at room temperature. Coverslips were mounted on glass slides in either </w:t>
      </w:r>
      <w:proofErr w:type="spellStart"/>
      <w:r w:rsidRPr="000F3F1F">
        <w:t>Citifluor</w:t>
      </w:r>
      <w:proofErr w:type="spellEnd"/>
      <w:r w:rsidRPr="000F3F1F">
        <w:t xml:space="preserve"> mounting medium with DAPI (1 ng/ml; Electron Microscopy Sciences, Hatfield, PA, USA) and sealed with nail enamel or </w:t>
      </w:r>
      <w:proofErr w:type="spellStart"/>
      <w:r w:rsidRPr="000F3F1F">
        <w:t>Mowiol</w:t>
      </w:r>
      <w:proofErr w:type="spellEnd"/>
      <w:r w:rsidRPr="000F3F1F">
        <w:t xml:space="preserve"> mounting medium (4.2 % glycerol [w/v], 0.4 % </w:t>
      </w:r>
      <w:proofErr w:type="spellStart"/>
      <w:r w:rsidRPr="000F3F1F">
        <w:t>Mowiol</w:t>
      </w:r>
      <w:proofErr w:type="spellEnd"/>
      <w:r w:rsidRPr="000F3F1F">
        <w:t xml:space="preserve"> 4-88 [w/v] (</w:t>
      </w:r>
      <w:proofErr w:type="spellStart"/>
      <w:r w:rsidRPr="000F3F1F">
        <w:t>Calbiochem</w:t>
      </w:r>
      <w:proofErr w:type="spellEnd"/>
      <w:r w:rsidRPr="000F3F1F">
        <w:t xml:space="preserve">, San Diego, CA, USA), 2.1 % 0.2 M Tris pH 8.5  [v/v]) with DAPI (1 ng/ml). </w:t>
      </w:r>
    </w:p>
    <w:p w14:paraId="3AC48C39" w14:textId="77777777" w:rsidR="00E97FDC" w:rsidRDefault="00E97FDC" w:rsidP="009E054E">
      <w:pPr>
        <w:spacing w:line="360" w:lineRule="auto"/>
        <w:rPr>
          <w:b/>
          <w:bCs/>
        </w:rPr>
      </w:pPr>
    </w:p>
    <w:p w14:paraId="12D5A2D5" w14:textId="0EA7145A" w:rsidR="009E054E" w:rsidRPr="000F3F1F" w:rsidRDefault="009E054E" w:rsidP="009E054E">
      <w:pPr>
        <w:spacing w:line="360" w:lineRule="auto"/>
        <w:rPr>
          <w:b/>
          <w:bCs/>
        </w:rPr>
      </w:pPr>
      <w:r w:rsidRPr="000F3F1F">
        <w:rPr>
          <w:b/>
          <w:bCs/>
        </w:rPr>
        <w:t>Image capture and analysis</w:t>
      </w:r>
      <w:r>
        <w:rPr>
          <w:b/>
          <w:bCs/>
        </w:rPr>
        <w:t xml:space="preserve"> of CNS myelinating cultures</w:t>
      </w:r>
    </w:p>
    <w:p w14:paraId="28D48EBC" w14:textId="77777777" w:rsidR="009E054E" w:rsidRDefault="009E054E" w:rsidP="009E054E">
      <w:pPr>
        <w:spacing w:line="360" w:lineRule="auto"/>
      </w:pPr>
      <w:r>
        <w:t>Representative images and images for quantification were captured by using an Olympus BX51 fluorescence microscope and Ocular software (</w:t>
      </w:r>
      <w:proofErr w:type="spellStart"/>
      <w:r>
        <w:t>QImaging</w:t>
      </w:r>
      <w:proofErr w:type="spellEnd"/>
      <w:r>
        <w:t xml:space="preserve">, Teledyne Photometrics, Birmingham, UK). To avoid any bias, areas (field of view) for quantification were selected in the DAPI channel (blue). Images in all three channels were then captured (blue/red/green). For quantification, 10 images were captured per coverslip using x10 for quantification of myelin and axons. </w:t>
      </w:r>
    </w:p>
    <w:p w14:paraId="03800620" w14:textId="26A775D5" w:rsidR="009E054E" w:rsidRPr="008209A1" w:rsidRDefault="009E054E">
      <w:pPr>
        <w:spacing w:line="360" w:lineRule="auto"/>
      </w:pPr>
      <w:r>
        <w:t xml:space="preserve">Myelin (MBP) and axons (SMI31-neurofilament) were quantified by using the </w:t>
      </w:r>
      <w:proofErr w:type="spellStart"/>
      <w:r>
        <w:t>Cellprofiler</w:t>
      </w:r>
      <w:proofErr w:type="spellEnd"/>
      <w:r>
        <w:t xml:space="preserve"> software and the pipelines are available at </w:t>
      </w:r>
      <w:hyperlink r:id="rId9" w:history="1">
        <w:r w:rsidRPr="0026308D">
          <w:rPr>
            <w:rStyle w:val="Hyperlink"/>
          </w:rPr>
          <w:t>https://github.com/muecs/cp</w:t>
        </w:r>
      </w:hyperlink>
      <w:r>
        <w:t xml:space="preserve"> </w:t>
      </w:r>
      <w:r>
        <w:fldChar w:fldCharType="begin" w:fldLock="1"/>
      </w:r>
      <w:r w:rsidR="00DC4AAC">
        <w:instrText>ADDIN CSL_CITATION {"citationItems":[{"id":"ITEM-1","itemData":{"DOI":"10.1186/gb-2006-7-10-r100","ISSN":"14747596","PMID":"17076895","abstract":"Biologists can now prepare and image thousands of samples per day using automation, enabling chemical screens and functional genomics (for example, using RNA interference). Here we describe the first free, open-source system designed for flexible, high-throughput cell image analysis, CellProfiler. CellProfiler can address a variety of biological questions quantitatively, including standard assays (for example, cell count, size, per-cell protein levels) and complex morphological assays (for example, cell/organelle shape or subcellular patterns of DNA or protein staining). © 2006 Carpenter et al.; licensee BioMed Central Ltd.","author":[{"dropping-particle":"","family":"Carpenter","given":"Anne E.","non-dropping-particle":"","parse-names":false,"suffix":""},{"dropping-particle":"","family":"Jones","given":"Thouis R.","non-dropping-particle":"","parse-names":false,"suffix":""},{"dropping-particle":"","family":"Lamprecht","given":"Michael R.","non-dropping-particle":"","parse-names":false,"suffix":""},{"dropping-particle":"","family":"Clarke","given":"Colin","non-dropping-particle":"","parse-names":false,"suffix":""},{"dropping-particle":"","family":"Kang","given":"In Han","non-dropping-particle":"","parse-names":false,"suffix":""},{"dropping-particle":"","family":"Friman","given":"Ola","non-dropping-particle":"","parse-names":false,"suffix":""},{"dropping-particle":"","family":"Guertin","given":"David A.","non-dropping-particle":"","parse-names":false,"suffix":""},{"dropping-particle":"","family":"Chang","given":"Joo Han","non-dropping-particle":"","parse-names":false,"suffix":""},{"dropping-particle":"","family":"Lindquist","given":"Robert A.","non-dropping-particle":"","parse-names":false,"suffix":""},{"dropping-particle":"","family":"Moffat","given":"Jason","non-dropping-particle":"","parse-names":false,"suffix":""},{"dropping-particle":"","family":"Golland","given":"Polina","non-dropping-particle":"","parse-names":false,"suffix":""},{"dropping-particle":"","family":"Sabatini","given":"David M.","non-dropping-particle":"","parse-names":false,"suffix":""}],"container-title":"Genome Biology","id":"ITEM-1","issued":{"date-parts":[["2006"]]},"page":"100-111","title":"CellProfiler: Image analysis software for identifying and quantifying cell phenotypes","type":"article-journal","volume":"7"},"uris":["http://www.mendeley.com/documents/?uuid=743382b3-c787-42a2-bced-9e6f51de6b7b"]}],"mendeley":{"formattedCitation":"(42)","plainTextFormattedCitation":"(42)","previouslyFormattedCitation":"(42)"},"properties":{"noteIndex":0},"schema":"https://github.com/citation-style-language/schema/raw/master/csl-citation.json"}</w:instrText>
      </w:r>
      <w:r>
        <w:fldChar w:fldCharType="separate"/>
      </w:r>
      <w:r w:rsidR="000F2966" w:rsidRPr="000F2966">
        <w:rPr>
          <w:noProof/>
        </w:rPr>
        <w:t>(42)</w:t>
      </w:r>
      <w:r>
        <w:fldChar w:fldCharType="end"/>
      </w:r>
      <w:r>
        <w:t>.</w:t>
      </w:r>
    </w:p>
    <w:p w14:paraId="13E77384" w14:textId="77777777" w:rsidR="002676C6" w:rsidRDefault="002676C6" w:rsidP="009E054E">
      <w:pPr>
        <w:spacing w:line="360" w:lineRule="auto"/>
        <w:rPr>
          <w:b/>
          <w:bCs/>
          <w:color w:val="000000" w:themeColor="text1"/>
        </w:rPr>
      </w:pPr>
    </w:p>
    <w:p w14:paraId="6A17CA8F" w14:textId="43399A76" w:rsidR="009E054E" w:rsidRPr="009E054E" w:rsidRDefault="009E054E" w:rsidP="009E054E">
      <w:pPr>
        <w:spacing w:line="360" w:lineRule="auto"/>
        <w:rPr>
          <w:b/>
          <w:bCs/>
          <w:color w:val="000000" w:themeColor="text1"/>
        </w:rPr>
      </w:pPr>
      <w:r w:rsidRPr="009E054E">
        <w:rPr>
          <w:b/>
          <w:bCs/>
          <w:color w:val="000000" w:themeColor="text1"/>
        </w:rPr>
        <w:lastRenderedPageBreak/>
        <w:t>RNA analysis</w:t>
      </w:r>
    </w:p>
    <w:p w14:paraId="24176C98" w14:textId="66496479" w:rsidR="009E054E" w:rsidRDefault="009E054E" w:rsidP="009E054E">
      <w:pPr>
        <w:spacing w:line="360" w:lineRule="auto"/>
        <w:rPr>
          <w:color w:val="000000" w:themeColor="text1"/>
        </w:rPr>
      </w:pPr>
      <w:r w:rsidRPr="009E054E">
        <w:rPr>
          <w:color w:val="000000" w:themeColor="text1"/>
        </w:rPr>
        <w:t>Mouse CNS myelinating cultures were incubated with Fc-fragments at 20</w:t>
      </w:r>
      <w:r w:rsidR="0082162A">
        <w:rPr>
          <w:color w:val="000000" w:themeColor="text1"/>
        </w:rPr>
        <w:t xml:space="preserve"> </w:t>
      </w:r>
      <w:r w:rsidRPr="009E054E">
        <w:rPr>
          <w:rFonts w:cstheme="minorHAnsi"/>
          <w:color w:val="000000" w:themeColor="text1"/>
        </w:rPr>
        <w:t>µ</w:t>
      </w:r>
      <w:r w:rsidRPr="009E054E">
        <w:rPr>
          <w:color w:val="000000" w:themeColor="text1"/>
        </w:rPr>
        <w:t xml:space="preserve">g/ml  or in media alone for 24h. After removal of culture media cells were lysed in </w:t>
      </w:r>
      <w:proofErr w:type="spellStart"/>
      <w:r w:rsidRPr="009E054E">
        <w:rPr>
          <w:color w:val="000000" w:themeColor="text1"/>
        </w:rPr>
        <w:t>Trizol</w:t>
      </w:r>
      <w:proofErr w:type="spellEnd"/>
      <w:r w:rsidRPr="009E054E">
        <w:rPr>
          <w:color w:val="000000" w:themeColor="text1"/>
        </w:rPr>
        <w:t xml:space="preserve"> (Thermo Fisher Scientific, Waltham, USA) for 10 min at room temperature; lysate was stored at -80</w:t>
      </w:r>
      <w:r w:rsidRPr="009E054E">
        <w:rPr>
          <w:color w:val="000000" w:themeColor="text1"/>
          <w:vertAlign w:val="superscript"/>
        </w:rPr>
        <w:t>o</w:t>
      </w:r>
      <w:r w:rsidRPr="009E054E">
        <w:rPr>
          <w:color w:val="000000" w:themeColor="text1"/>
        </w:rPr>
        <w:t xml:space="preserve">C until required. For RNA sequencing, we purified the RNA from 6  coverslips per N for each treatment group (N = 4) using </w:t>
      </w:r>
      <w:proofErr w:type="spellStart"/>
      <w:r w:rsidRPr="009E054E">
        <w:rPr>
          <w:color w:val="000000" w:themeColor="text1"/>
        </w:rPr>
        <w:t>PureLink</w:t>
      </w:r>
      <w:r w:rsidRPr="009E054E">
        <w:rPr>
          <w:color w:val="000000" w:themeColor="text1"/>
          <w:vertAlign w:val="superscript"/>
        </w:rPr>
        <w:t>TM</w:t>
      </w:r>
      <w:proofErr w:type="spellEnd"/>
      <w:r w:rsidRPr="009E054E">
        <w:rPr>
          <w:color w:val="000000" w:themeColor="text1"/>
        </w:rPr>
        <w:t xml:space="preserve"> RNA Mini Kit (Thermo Fisher Scientific, Waltham, MA, USA) according to the manufacturer’s instructions with an on</w:t>
      </w:r>
      <w:r w:rsidR="00D710C0">
        <w:rPr>
          <w:color w:val="000000" w:themeColor="text1"/>
        </w:rPr>
        <w:t>-</w:t>
      </w:r>
      <w:r w:rsidRPr="009E054E">
        <w:rPr>
          <w:color w:val="000000" w:themeColor="text1"/>
        </w:rPr>
        <w:t>column DNA digestion step (</w:t>
      </w:r>
      <w:proofErr w:type="spellStart"/>
      <w:r w:rsidRPr="009E054E">
        <w:rPr>
          <w:color w:val="000000" w:themeColor="text1"/>
        </w:rPr>
        <w:t>PureLink</w:t>
      </w:r>
      <w:r w:rsidRPr="009E054E">
        <w:rPr>
          <w:color w:val="000000" w:themeColor="text1"/>
          <w:vertAlign w:val="superscript"/>
        </w:rPr>
        <w:t>TM</w:t>
      </w:r>
      <w:proofErr w:type="spellEnd"/>
      <w:r w:rsidRPr="009E054E">
        <w:rPr>
          <w:color w:val="000000" w:themeColor="text1"/>
        </w:rPr>
        <w:t xml:space="preserve"> DNase set, Thermo Fisher Scientific, Waltham, MA, USA). The RNA concentrations were measured with a Qubit Fluorimeter (Thermo Fisher Scientific, Waltham, MA, USA) and the RNA integrity determined using an Agilent 4200 </w:t>
      </w:r>
      <w:proofErr w:type="spellStart"/>
      <w:r w:rsidRPr="009E054E">
        <w:rPr>
          <w:color w:val="000000" w:themeColor="text1"/>
        </w:rPr>
        <w:t>TapeStation</w:t>
      </w:r>
      <w:proofErr w:type="spellEnd"/>
      <w:r w:rsidRPr="009E054E">
        <w:rPr>
          <w:color w:val="000000" w:themeColor="text1"/>
        </w:rPr>
        <w:t xml:space="preserve"> (Agilent Technologies, Santa Clara, CA, USA). Samples had an average RIN of 9.3. 500 ng of total RNA from each sample was used to prepare libraries for sequencing, using an Illumina </w:t>
      </w:r>
      <w:proofErr w:type="spellStart"/>
      <w:r w:rsidRPr="009E054E">
        <w:rPr>
          <w:color w:val="000000" w:themeColor="text1"/>
        </w:rPr>
        <w:t>TruSeq</w:t>
      </w:r>
      <w:proofErr w:type="spellEnd"/>
      <w:r w:rsidRPr="009E054E">
        <w:rPr>
          <w:color w:val="000000" w:themeColor="text1"/>
        </w:rPr>
        <w:t xml:space="preserve"> Stranded mRNA HT kit (Illumina, Cambridge, UK), according to the manufacturer's instructions. Briefly, polyadenylated RNA molecules were captured, followed by fragmentation. RNA fragments were reverse transcribed and converted to dsDNA, end repaired, A-tailed, ligated to indexed adaptors and PCR amplified. Libraries were pooled in equimolar concentrations and sequenced in </w:t>
      </w:r>
      <w:r w:rsidR="0082162A">
        <w:rPr>
          <w:color w:val="000000" w:themeColor="text1"/>
        </w:rPr>
        <w:t xml:space="preserve">two high output cartridges, on an </w:t>
      </w:r>
      <w:r w:rsidRPr="009E054E">
        <w:rPr>
          <w:color w:val="000000" w:themeColor="text1"/>
        </w:rPr>
        <w:t xml:space="preserve">Illumina </w:t>
      </w:r>
      <w:proofErr w:type="spellStart"/>
      <w:r w:rsidRPr="009E054E">
        <w:rPr>
          <w:color w:val="000000" w:themeColor="text1"/>
        </w:rPr>
        <w:t>NextSeq</w:t>
      </w:r>
      <w:proofErr w:type="spellEnd"/>
      <w:r w:rsidRPr="009E054E">
        <w:rPr>
          <w:color w:val="000000" w:themeColor="text1"/>
        </w:rPr>
        <w:t xml:space="preserve"> 500 sequencer (Illumina, Cambridge, UK) using a high output cartridge, generating </w:t>
      </w:r>
      <w:r w:rsidR="0082162A">
        <w:rPr>
          <w:color w:val="000000" w:themeColor="text1"/>
        </w:rPr>
        <w:t xml:space="preserve">approximately 28.5 million single reads per sample, with a </w:t>
      </w:r>
      <w:r w:rsidRPr="009E054E">
        <w:rPr>
          <w:color w:val="000000" w:themeColor="text1"/>
        </w:rPr>
        <w:t>length of 75 bp. At least 93.9% of the reads generated, presented a Q score of 30 or above. Prior to performing bioinformatics analysis, RNA-</w:t>
      </w:r>
      <w:proofErr w:type="spellStart"/>
      <w:r w:rsidRPr="009E054E">
        <w:rPr>
          <w:color w:val="000000" w:themeColor="text1"/>
        </w:rPr>
        <w:t>Seq</w:t>
      </w:r>
      <w:proofErr w:type="spellEnd"/>
      <w:r w:rsidRPr="009E054E">
        <w:rPr>
          <w:color w:val="000000" w:themeColor="text1"/>
        </w:rPr>
        <w:t xml:space="preserve"> read quality was assessed using </w:t>
      </w:r>
      <w:proofErr w:type="spellStart"/>
      <w:r w:rsidRPr="009E054E">
        <w:rPr>
          <w:color w:val="000000" w:themeColor="text1"/>
        </w:rPr>
        <w:t>FastQC</w:t>
      </w:r>
      <w:proofErr w:type="spellEnd"/>
      <w:r w:rsidRPr="009E054E">
        <w:rPr>
          <w:color w:val="000000" w:themeColor="text1"/>
        </w:rPr>
        <w:t xml:space="preserve"> software (http://www.bioinformatics.babraham.ac.uk/projects/fastqc). Sequence adaptors were removed using </w:t>
      </w:r>
      <w:proofErr w:type="spellStart"/>
      <w:r w:rsidRPr="00274EFE">
        <w:rPr>
          <w:color w:val="000000" w:themeColor="text1"/>
        </w:rPr>
        <w:t>TrimGalore</w:t>
      </w:r>
      <w:proofErr w:type="spellEnd"/>
      <w:r w:rsidRPr="00274EFE">
        <w:rPr>
          <w:color w:val="000000" w:themeColor="text1"/>
        </w:rPr>
        <w:t xml:space="preserve"> (</w:t>
      </w:r>
      <w:hyperlink r:id="rId10" w:history="1">
        <w:r w:rsidRPr="00274EFE">
          <w:rPr>
            <w:rStyle w:val="Hyperlink"/>
            <w:color w:val="000000" w:themeColor="text1"/>
            <w:u w:val="none"/>
          </w:rPr>
          <w:t>https://www.bioinformatics.babraham.ac.uk/projects/trim_galore/</w:t>
        </w:r>
      </w:hyperlink>
      <w:r w:rsidRPr="00274EFE">
        <w:rPr>
          <w:color w:val="000000" w:themeColor="text1"/>
        </w:rPr>
        <w:t>), and RNA-</w:t>
      </w:r>
      <w:proofErr w:type="spellStart"/>
      <w:r w:rsidRPr="00274EFE">
        <w:rPr>
          <w:color w:val="000000" w:themeColor="text1"/>
        </w:rPr>
        <w:t>Seq</w:t>
      </w:r>
      <w:proofErr w:type="spellEnd"/>
      <w:r w:rsidRPr="00274EFE">
        <w:rPr>
          <w:color w:val="000000" w:themeColor="text1"/>
        </w:rPr>
        <w:t xml:space="preserve"> reads analysed. Sequence reads were</w:t>
      </w:r>
      <w:r w:rsidRPr="009E054E">
        <w:rPr>
          <w:color w:val="000000" w:themeColor="text1"/>
        </w:rPr>
        <w:t xml:space="preserve"> aligned to the </w:t>
      </w:r>
      <w:r w:rsidRPr="00DC06F2">
        <w:rPr>
          <w:i/>
          <w:iCs/>
          <w:color w:val="000000" w:themeColor="text1"/>
        </w:rPr>
        <w:t>Mus musculus</w:t>
      </w:r>
      <w:r w:rsidRPr="009E054E">
        <w:rPr>
          <w:color w:val="000000" w:themeColor="text1"/>
        </w:rPr>
        <w:t xml:space="preserve"> genome (GRCm38), downloaded via </w:t>
      </w:r>
      <w:proofErr w:type="spellStart"/>
      <w:r w:rsidRPr="009E054E">
        <w:rPr>
          <w:color w:val="000000" w:themeColor="text1"/>
        </w:rPr>
        <w:t>Ensembl</w:t>
      </w:r>
      <w:proofErr w:type="spellEnd"/>
      <w:r w:rsidRPr="009E054E">
        <w:rPr>
          <w:color w:val="000000" w:themeColor="text1"/>
        </w:rPr>
        <w:t xml:space="preserve"> using HISAT2. HISAT2 is a fast and sensitive splice aware mapper, which aligns RNA sequencing reads to mammalian-sized genomes using FM index strategy </w:t>
      </w:r>
      <w:r w:rsidR="00FA14C6">
        <w:rPr>
          <w:color w:val="000000" w:themeColor="text1"/>
        </w:rPr>
        <w:fldChar w:fldCharType="begin" w:fldLock="1"/>
      </w:r>
      <w:r w:rsidR="00DC4AAC">
        <w:rPr>
          <w:color w:val="000000" w:themeColor="text1"/>
        </w:rPr>
        <w:instrText>ADDIN CSL_CITATION {"citationItems":[{"id":"ITEM-1","itemData":{"DOI":"10.1038/nmeth.3317","ISSN":"15487105","PMID":"25751142","abstract":"HISAT (hierarchical indexing for spliced alignment of transcripts) is a highly efficient system for aligning reads from RNA sequencing experiments. HISAT uses an indexing scheme based on the Burrows-Wheeler transform and the Ferragina-Manzini (FM) index, employing two types of indexes for alignment: a whole-genome FM index to anchor each alignment and numerous local FM indexes for very rapid extensions of these alignments. HISAT's hierarchical index for the human genome contains 48,000 local FM indexes, each representing a genomic region of 1/464,000 bp. Tests on real and simulated data sets showed that HISAT is the fastest system currently available, with equal or better accuracy than any other method. Despite its large number of indexes, HISAT requires only 4.3 gigabytes of memory. HISAT supports genomes of any size, including those larger than 4 billion bases.","author":[{"dropping-particle":"","family":"Kim","given":"Daehwan","non-dropping-particle":"","parse-names":false,"suffix":""},{"dropping-particle":"","family":"Langmead","given":"Ben","non-dropping-particle":"","parse-names":false,"suffix":""},{"dropping-particle":"","family":"Salzberg","given":"Steven L.","non-dropping-particle":"","parse-names":false,"suffix":""}],"container-title":"Nature Methods","id":"ITEM-1","issued":{"date-parts":[["2015"]]},"page":"357-360","title":"HISAT: A fast spliced aligner with low memory requirements","type":"article-journal","volume":"12"},"uris":["http://www.mendeley.com/documents/?uuid=517947df-07b3-4830-b5b3-be69efcd5cef"]}],"mendeley":{"formattedCitation":"(43)","plainTextFormattedCitation":"(43)","previouslyFormattedCitation":"(43)"},"properties":{"noteIndex":0},"schema":"https://github.com/citation-style-language/schema/raw/master/csl-citation.json"}</w:instrText>
      </w:r>
      <w:r w:rsidR="00FA14C6">
        <w:rPr>
          <w:color w:val="000000" w:themeColor="text1"/>
        </w:rPr>
        <w:fldChar w:fldCharType="separate"/>
      </w:r>
      <w:r w:rsidR="000F2966" w:rsidRPr="000F2966">
        <w:rPr>
          <w:noProof/>
          <w:color w:val="000000" w:themeColor="text1"/>
        </w:rPr>
        <w:t>(43)</w:t>
      </w:r>
      <w:r w:rsidR="00FA14C6">
        <w:rPr>
          <w:color w:val="000000" w:themeColor="text1"/>
        </w:rPr>
        <w:fldChar w:fldCharType="end"/>
      </w:r>
      <w:r w:rsidRPr="009E054E">
        <w:rPr>
          <w:color w:val="000000" w:themeColor="text1"/>
        </w:rPr>
        <w:t xml:space="preserve">. After the alignment, </w:t>
      </w:r>
      <w:proofErr w:type="spellStart"/>
      <w:r w:rsidRPr="009E054E">
        <w:rPr>
          <w:color w:val="000000" w:themeColor="text1"/>
        </w:rPr>
        <w:t>FeatureCounts</w:t>
      </w:r>
      <w:proofErr w:type="spellEnd"/>
      <w:r w:rsidRPr="009E054E">
        <w:rPr>
          <w:color w:val="000000" w:themeColor="text1"/>
        </w:rPr>
        <w:t xml:space="preserve"> </w:t>
      </w:r>
      <w:r w:rsidR="00FA14C6">
        <w:rPr>
          <w:color w:val="000000" w:themeColor="text1"/>
        </w:rPr>
        <w:fldChar w:fldCharType="begin" w:fldLock="1"/>
      </w:r>
      <w:r w:rsidR="00DC4AAC">
        <w:rPr>
          <w:color w:val="000000" w:themeColor="text1"/>
        </w:rPr>
        <w:instrText>ADDIN CSL_CITATION {"citationItems":[{"id":"ITEM-1","itemData":{"DOI":"10.1093/bioinformatics/btt656","ISSN":"14602059","PMID":"24227677","abstract":"Motivation: Next-generation sequencing technologies generate millions of short sequence reads, which are usually aligned to a reference genome. In many applications, the key information required for downstream analysis is the number of reads mapping to each genomic feature, for example to each exon or each gene. The process of counting reads is called read summarization. Read summarization is required for a great variety of genomic analyses but has so far received relatively little attention in the literature.Results: We present featureCounts, a read summarization program suitable for counting reads generated from either RNA or genomic DNA sequencing experiments. featureCounts implements highly efficient chromosome hashing and feature blocking techniques. It is considerably faster than existing methods (by an order of magnitude for gene-level summarization) and requires far less computer memory. It works with either single or paired-end reads and provides a wide range of options appropriate for different sequencing applications. © 2013 The Author 2013. Published by Oxford University Press. All rights reserved.","author":[{"dropping-particle":"","family":"Liao","given":"Yang","non-dropping-particle":"","parse-names":false,"suffix":""},{"dropping-particle":"","family":"Smyth","given":"Gordon K.","non-dropping-particle":"","parse-names":false,"suffix":""},{"dropping-particle":"","family":"Shi","given":"Wei","non-dropping-particle":"","parse-names":false,"suffix":""}],"container-title":"Bioinformatics","id":"ITEM-1","issued":{"date-parts":[["2014"]]},"page":"923-930","title":"FeatureCounts: An efficient general purpose program for assigning sequence reads to genomic features","type":"article-journal","volume":"30"},"uris":["http://www.mendeley.com/documents/?uuid=ee9a4a72-232b-4963-8ccc-80abbfa46807"]}],"mendeley":{"formattedCitation":"(44)","plainTextFormattedCitation":"(44)","previouslyFormattedCitation":"(44)"},"properties":{"noteIndex":0},"schema":"https://github.com/citation-style-language/schema/raw/master/csl-citation.json"}</w:instrText>
      </w:r>
      <w:r w:rsidR="00FA14C6">
        <w:rPr>
          <w:color w:val="000000" w:themeColor="text1"/>
        </w:rPr>
        <w:fldChar w:fldCharType="separate"/>
      </w:r>
      <w:r w:rsidR="000F2966" w:rsidRPr="000F2966">
        <w:rPr>
          <w:noProof/>
          <w:color w:val="000000" w:themeColor="text1"/>
        </w:rPr>
        <w:t>(44)</w:t>
      </w:r>
      <w:r w:rsidR="00FA14C6">
        <w:rPr>
          <w:color w:val="000000" w:themeColor="text1"/>
        </w:rPr>
        <w:fldChar w:fldCharType="end"/>
      </w:r>
      <w:r w:rsidRPr="009E054E">
        <w:rPr>
          <w:color w:val="000000" w:themeColor="text1"/>
        </w:rPr>
        <w:t xml:space="preserve"> was used to count the reads mapping to the reference genome. The </w:t>
      </w:r>
      <w:proofErr w:type="spellStart"/>
      <w:r w:rsidRPr="009E054E">
        <w:rPr>
          <w:color w:val="000000" w:themeColor="text1"/>
        </w:rPr>
        <w:t>edgeR</w:t>
      </w:r>
      <w:proofErr w:type="spellEnd"/>
      <w:r w:rsidRPr="009E054E">
        <w:rPr>
          <w:color w:val="000000" w:themeColor="text1"/>
        </w:rPr>
        <w:t xml:space="preserve"> package was used to calculate the gene expression level and to analyse differentially expressed genes </w:t>
      </w:r>
      <w:r w:rsidR="00FA14C6">
        <w:rPr>
          <w:color w:val="000000" w:themeColor="text1"/>
        </w:rPr>
        <w:fldChar w:fldCharType="begin" w:fldLock="1"/>
      </w:r>
      <w:r w:rsidR="00DC4AAC">
        <w:rPr>
          <w:color w:val="000000" w:themeColor="text1"/>
        </w:rPr>
        <w:instrText>ADDIN CSL_CITATION {"citationItems":[{"id":"ITEM-1","itemData":{"DOI":"10.1093/bioinformatics/btp616","ISSN":"14602059","PMID":"19910308","abstract":"It is expected that emerging digital gene expression (DGE) technologies will overtake microarray technologies in the near future for many functional genomics applications. One of the fundamental data analysis tasks, especially for gene expression studies, involves determining whether there is evidence that counts for a transcript or exon are significantly different across experimental conditions. edgeR is a Bioconductor software package for examining differential expression of replicated count data. An overdispersed Poisson model is used to account for both biological and technical variability. Empirical Bayes methods are used to moderate the degree of overdispersion across transcripts, improving the reliability of inference. The methodology can be used even with the most minimal levels of replication, provided at least one phenotype or experimental condition is replicated. The software may have other applications beyond sequencing data, such as proteome peptide count data. © The Author(s) 2009. Published by Oxford University Press.","author":[{"dropping-particle":"","family":"Robinson","given":"Mark D.","non-dropping-particle":"","parse-names":false,"suffix":""},{"dropping-particle":"","family":"McCarthy","given":"Davis J.","non-dropping-particle":"","parse-names":false,"suffix":""},{"dropping-particle":"","family":"Smyth","given":"Gordon K.","non-dropping-particle":"","parse-names":false,"suffix":""}],"container-title":"Bioinformatics","id":"ITEM-1","issued":{"date-parts":[["2010"]]},"page":"139-140","title":"edgeR: A Bioconductor package for differential expression analysis of digital gene expression data","type":"article-journal","volume":"26"},"uris":["http://www.mendeley.com/documents/?uuid=11c84060-da0b-4974-b72f-2093ceb49f9c"]}],"mendeley":{"formattedCitation":"(45)","plainTextFormattedCitation":"(45)","previouslyFormattedCitation":"(45)"},"properties":{"noteIndex":0},"schema":"https://github.com/citation-style-language/schema/raw/master/csl-citation.json"}</w:instrText>
      </w:r>
      <w:r w:rsidR="00FA14C6">
        <w:rPr>
          <w:color w:val="000000" w:themeColor="text1"/>
        </w:rPr>
        <w:fldChar w:fldCharType="separate"/>
      </w:r>
      <w:r w:rsidR="000F2966" w:rsidRPr="000F2966">
        <w:rPr>
          <w:noProof/>
          <w:color w:val="000000" w:themeColor="text1"/>
        </w:rPr>
        <w:t>(45)</w:t>
      </w:r>
      <w:r w:rsidR="00FA14C6">
        <w:rPr>
          <w:color w:val="000000" w:themeColor="text1"/>
        </w:rPr>
        <w:fldChar w:fldCharType="end"/>
      </w:r>
      <w:r w:rsidRPr="009E054E">
        <w:rPr>
          <w:color w:val="000000" w:themeColor="text1"/>
        </w:rPr>
        <w:t xml:space="preserve">. </w:t>
      </w:r>
      <w:r w:rsidR="00F95D2F">
        <w:rPr>
          <w:color w:val="000000" w:themeColor="text1"/>
        </w:rPr>
        <w:t xml:space="preserve">For cut off, P-value &lt;0.05 was used in </w:t>
      </w:r>
      <w:proofErr w:type="spellStart"/>
      <w:r w:rsidR="00F95D2F">
        <w:rPr>
          <w:color w:val="000000" w:themeColor="text1"/>
        </w:rPr>
        <w:t>EdgeR</w:t>
      </w:r>
      <w:proofErr w:type="spellEnd"/>
      <w:r w:rsidR="00F95D2F">
        <w:rPr>
          <w:color w:val="000000" w:themeColor="text1"/>
        </w:rPr>
        <w:t>.</w:t>
      </w:r>
    </w:p>
    <w:p w14:paraId="56C5B364" w14:textId="19A80DA1" w:rsidR="007058D0" w:rsidRPr="009E054E" w:rsidRDefault="007058D0" w:rsidP="009E054E">
      <w:pPr>
        <w:spacing w:line="360" w:lineRule="auto"/>
        <w:rPr>
          <w:color w:val="000000" w:themeColor="text1"/>
        </w:rPr>
      </w:pPr>
      <w:r>
        <w:rPr>
          <w:color w:val="000000" w:themeColor="text1"/>
        </w:rPr>
        <w:t>The raw RNA sequencing data were submitted to the European nucleotide archive under accession number PRJEB41654.</w:t>
      </w:r>
    </w:p>
    <w:p w14:paraId="5720165E" w14:textId="77777777" w:rsidR="007058D0" w:rsidRDefault="007058D0" w:rsidP="0011728C">
      <w:pPr>
        <w:spacing w:line="360" w:lineRule="auto"/>
        <w:rPr>
          <w:b/>
          <w:bCs/>
          <w:color w:val="000000" w:themeColor="text1"/>
        </w:rPr>
      </w:pPr>
    </w:p>
    <w:p w14:paraId="56D94B43" w14:textId="77777777" w:rsidR="00DC4AAC" w:rsidRDefault="00DC4AAC" w:rsidP="0011728C">
      <w:pPr>
        <w:spacing w:line="360" w:lineRule="auto"/>
        <w:rPr>
          <w:b/>
          <w:bCs/>
          <w:color w:val="000000" w:themeColor="text1"/>
        </w:rPr>
      </w:pPr>
    </w:p>
    <w:p w14:paraId="2525C157" w14:textId="12014C50" w:rsidR="0011728C" w:rsidRPr="0011728C" w:rsidRDefault="0011728C" w:rsidP="0011728C">
      <w:pPr>
        <w:spacing w:line="360" w:lineRule="auto"/>
        <w:rPr>
          <w:b/>
          <w:bCs/>
          <w:color w:val="000000" w:themeColor="text1"/>
        </w:rPr>
      </w:pPr>
      <w:r w:rsidRPr="0011728C">
        <w:rPr>
          <w:b/>
          <w:bCs/>
          <w:color w:val="000000" w:themeColor="text1"/>
        </w:rPr>
        <w:lastRenderedPageBreak/>
        <w:t>AFM imaging</w:t>
      </w:r>
    </w:p>
    <w:p w14:paraId="3476EC4A" w14:textId="7D974595" w:rsidR="0011728C" w:rsidRPr="00DF253C" w:rsidRDefault="0011728C" w:rsidP="0011728C">
      <w:pPr>
        <w:spacing w:line="360" w:lineRule="auto"/>
        <w:rPr>
          <w:b/>
          <w:bCs/>
          <w:color w:val="FF0000"/>
          <w:u w:val="single"/>
        </w:rPr>
      </w:pPr>
      <w:r>
        <w:rPr>
          <w:rFonts w:cstheme="minorHAnsi"/>
        </w:rPr>
        <w:t>The</w:t>
      </w:r>
      <w:r w:rsidRPr="005B4F33">
        <w:t xml:space="preserve"> stock solution of </w:t>
      </w:r>
      <w:r w:rsidRPr="003304CA">
        <w:rPr>
          <w:rFonts w:cstheme="minorHAnsi"/>
        </w:rPr>
        <w:t>D221N/N563A/C575A</w:t>
      </w:r>
      <w:r w:rsidRPr="005B4F33">
        <w:t xml:space="preserve"> w</w:t>
      </w:r>
      <w:r>
        <w:t>as</w:t>
      </w:r>
      <w:r w:rsidRPr="005B4F33">
        <w:t xml:space="preserve"> diluted to 10</w:t>
      </w:r>
      <w:r>
        <w:t xml:space="preserve"> </w:t>
      </w:r>
      <w:proofErr w:type="spellStart"/>
      <w:r>
        <w:t>μ</w:t>
      </w:r>
      <w:r w:rsidRPr="005B4F33">
        <w:t>g</w:t>
      </w:r>
      <w:proofErr w:type="spellEnd"/>
      <w:r w:rsidRPr="005B4F33">
        <w:t>/ml in 0.2X HBSS buffer and then directly applied to a freshly cleaved fragment of muscovite mica. After incubating for 10</w:t>
      </w:r>
      <w:r>
        <w:t xml:space="preserve"> </w:t>
      </w:r>
      <w:r w:rsidRPr="005B4F33">
        <w:t xml:space="preserve">minutes, the sample was rinsed extensively with 0.2X HBSS buffer to remove </w:t>
      </w:r>
      <w:r>
        <w:t xml:space="preserve">loosely </w:t>
      </w:r>
      <w:r w:rsidRPr="005B4F33">
        <w:t>adsorbed molecules. The sample was</w:t>
      </w:r>
      <w:r>
        <w:t xml:space="preserve"> then</w:t>
      </w:r>
      <w:r w:rsidRPr="005B4F33">
        <w:t xml:space="preserve"> fixed </w:t>
      </w:r>
      <w:r>
        <w:t>with</w:t>
      </w:r>
      <w:r w:rsidRPr="005B4F33">
        <w:t xml:space="preserve"> 2% glutaraldehyde for 5 minutes</w:t>
      </w:r>
      <w:r>
        <w:t>, followed by extensive washing wi</w:t>
      </w:r>
      <w:r w:rsidRPr="005B4F33">
        <w:t>th 0.2X HBSS buffer</w:t>
      </w:r>
      <w:r>
        <w:t xml:space="preserve"> and quenching of the fixation with </w:t>
      </w:r>
      <w:r w:rsidRPr="005B4F33">
        <w:t>20</w:t>
      </w:r>
      <w:r>
        <w:t xml:space="preserve"> </w:t>
      </w:r>
      <w:r w:rsidRPr="005B4F33">
        <w:t>mM Glycine</w:t>
      </w:r>
      <w:r>
        <w:t>.</w:t>
      </w:r>
      <w:r w:rsidRPr="005B4F33">
        <w:t xml:space="preserve"> </w:t>
      </w:r>
      <w:r w:rsidRPr="005B4F33">
        <w:rPr>
          <w:color w:val="000000"/>
          <w:shd w:val="clear" w:color="auto" w:fill="FFFFFF"/>
        </w:rPr>
        <w:t>I</w:t>
      </w:r>
      <w:r w:rsidRPr="00142658">
        <w:rPr>
          <w:color w:val="000000"/>
          <w:shd w:val="clear" w:color="auto" w:fill="FFFFFF"/>
        </w:rPr>
        <w:t xml:space="preserve">maging was performed </w:t>
      </w:r>
      <w:r>
        <w:rPr>
          <w:color w:val="000000"/>
          <w:shd w:val="clear" w:color="auto" w:fill="FFFFFF"/>
        </w:rPr>
        <w:t>with</w:t>
      </w:r>
      <w:r w:rsidRPr="005B4F33">
        <w:rPr>
          <w:color w:val="000000"/>
          <w:shd w:val="clear" w:color="auto" w:fill="FFFFFF"/>
        </w:rPr>
        <w:t xml:space="preserve"> the </w:t>
      </w:r>
      <w:proofErr w:type="spellStart"/>
      <w:r w:rsidRPr="005B4F33">
        <w:rPr>
          <w:color w:val="000000"/>
          <w:shd w:val="clear" w:color="auto" w:fill="FFFFFF"/>
        </w:rPr>
        <w:t>PeakForce</w:t>
      </w:r>
      <w:proofErr w:type="spellEnd"/>
      <w:r w:rsidRPr="005B4F33">
        <w:rPr>
          <w:color w:val="000000"/>
          <w:shd w:val="clear" w:color="auto" w:fill="FFFFFF"/>
        </w:rPr>
        <w:t xml:space="preserve"> tapping mode with a Multimode AFM (</w:t>
      </w:r>
      <w:r w:rsidRPr="00DF253C">
        <w:rPr>
          <w:rFonts w:cs="Times New Roman"/>
        </w:rPr>
        <w:t>Bruker, Santa Barbra, CA</w:t>
      </w:r>
      <w:r w:rsidRPr="005B4F33">
        <w:rPr>
          <w:color w:val="000000"/>
          <w:shd w:val="clear" w:color="auto" w:fill="FFFFFF"/>
        </w:rPr>
        <w:t xml:space="preserve">) using </w:t>
      </w:r>
      <w:proofErr w:type="spellStart"/>
      <w:r w:rsidRPr="005B4F33">
        <w:rPr>
          <w:color w:val="000000"/>
          <w:shd w:val="clear" w:color="auto" w:fill="FFFFFF"/>
        </w:rPr>
        <w:t>Scanasyst</w:t>
      </w:r>
      <w:proofErr w:type="spellEnd"/>
      <w:r w:rsidRPr="005B4F33">
        <w:rPr>
          <w:color w:val="000000"/>
          <w:shd w:val="clear" w:color="auto" w:fill="FFFFFF"/>
        </w:rPr>
        <w:t xml:space="preserve"> Fluid+</w:t>
      </w:r>
      <w:r w:rsidRPr="00142658">
        <w:rPr>
          <w:color w:val="000000"/>
          <w:shd w:val="clear" w:color="auto" w:fill="FFFFFF"/>
        </w:rPr>
        <w:t xml:space="preserve"> cantilevers (</w:t>
      </w:r>
      <w:r w:rsidRPr="00DF253C">
        <w:rPr>
          <w:rFonts w:cs="Times New Roman"/>
        </w:rPr>
        <w:t>Bruker, Santa Barbra, CA</w:t>
      </w:r>
      <w:r w:rsidRPr="005B4F33">
        <w:rPr>
          <w:color w:val="000000"/>
          <w:shd w:val="clear" w:color="auto" w:fill="FFFFFF"/>
        </w:rPr>
        <w:t>) with a spring constant of 0.7</w:t>
      </w:r>
      <w:r w:rsidRPr="00142658">
        <w:rPr>
          <w:color w:val="000000"/>
          <w:shd w:val="clear" w:color="auto" w:fill="FFFFFF"/>
        </w:rPr>
        <w:t> N/m in 0.5xHBSS buffer. For all images, the scan rate was 1.51</w:t>
      </w:r>
      <w:r>
        <w:rPr>
          <w:color w:val="000000"/>
          <w:shd w:val="clear" w:color="auto" w:fill="FFFFFF"/>
        </w:rPr>
        <w:t xml:space="preserve"> </w:t>
      </w:r>
      <w:r w:rsidRPr="005B4F33">
        <w:rPr>
          <w:color w:val="000000"/>
          <w:shd w:val="clear" w:color="auto" w:fill="FFFFFF"/>
        </w:rPr>
        <w:t xml:space="preserve">Hz with a frame </w:t>
      </w:r>
      <w:r w:rsidR="00900699">
        <w:rPr>
          <w:color w:val="000000"/>
          <w:shd w:val="clear" w:color="auto" w:fill="FFFFFF"/>
        </w:rPr>
        <w:t xml:space="preserve">size of </w:t>
      </w:r>
      <w:r w:rsidRPr="005B4F33">
        <w:rPr>
          <w:color w:val="000000"/>
          <w:shd w:val="clear" w:color="auto" w:fill="FFFFFF"/>
        </w:rPr>
        <w:t>384 x 384</w:t>
      </w:r>
      <w:r w:rsidR="00900699">
        <w:rPr>
          <w:color w:val="000000"/>
          <w:shd w:val="clear" w:color="auto" w:fill="FFFFFF"/>
        </w:rPr>
        <w:t xml:space="preserve"> pixels</w:t>
      </w:r>
      <w:r w:rsidRPr="005B4F33">
        <w:rPr>
          <w:color w:val="000000"/>
          <w:shd w:val="clear" w:color="auto" w:fill="FFFFFF"/>
        </w:rPr>
        <w:t xml:space="preserve">, </w:t>
      </w:r>
      <w:r w:rsidRPr="00142658">
        <w:rPr>
          <w:color w:val="000000"/>
          <w:shd w:val="clear" w:color="auto" w:fill="FFFFFF"/>
        </w:rPr>
        <w:t xml:space="preserve">using a </w:t>
      </w:r>
      <w:proofErr w:type="spellStart"/>
      <w:r w:rsidRPr="00142658">
        <w:rPr>
          <w:color w:val="000000"/>
          <w:shd w:val="clear" w:color="auto" w:fill="FFFFFF"/>
        </w:rPr>
        <w:t>PeakForce</w:t>
      </w:r>
      <w:proofErr w:type="spellEnd"/>
      <w:r w:rsidRPr="00142658">
        <w:rPr>
          <w:color w:val="000000"/>
          <w:shd w:val="clear" w:color="auto" w:fill="FFFFFF"/>
        </w:rPr>
        <w:t xml:space="preserve"> frequency of 2 kHz and an oscillation amplitude of 30 nm. </w:t>
      </w:r>
      <w:r w:rsidRPr="00DF253C">
        <w:rPr>
          <w:rFonts w:cs="Times New Roman"/>
        </w:rPr>
        <w:t>The force set</w:t>
      </w:r>
      <w:r>
        <w:rPr>
          <w:rFonts w:cs="Times New Roman"/>
        </w:rPr>
        <w:t>-</w:t>
      </w:r>
      <w:r w:rsidRPr="00DF253C">
        <w:rPr>
          <w:rFonts w:cs="Times New Roman"/>
        </w:rPr>
        <w:t xml:space="preserve">point was 100 </w:t>
      </w:r>
      <w:proofErr w:type="spellStart"/>
      <w:r w:rsidRPr="00DF253C">
        <w:rPr>
          <w:rFonts w:cs="Times New Roman"/>
        </w:rPr>
        <w:t>pN</w:t>
      </w:r>
      <w:proofErr w:type="spellEnd"/>
      <w:r w:rsidRPr="00DF253C">
        <w:rPr>
          <w:rFonts w:cs="Times New Roman"/>
        </w:rPr>
        <w:t xml:space="preserve"> and an automatic gain control was used to minimize the </w:t>
      </w:r>
      <w:proofErr w:type="spellStart"/>
      <w:r w:rsidRPr="00DF253C">
        <w:rPr>
          <w:rFonts w:cs="Times New Roman"/>
        </w:rPr>
        <w:t>PeakForce</w:t>
      </w:r>
      <w:proofErr w:type="spellEnd"/>
      <w:r w:rsidRPr="00DF253C">
        <w:rPr>
          <w:rFonts w:cs="Times New Roman"/>
        </w:rPr>
        <w:t xml:space="preserve"> error. Image analysis was performed using </w:t>
      </w:r>
      <w:proofErr w:type="spellStart"/>
      <w:r w:rsidRPr="00DF253C">
        <w:rPr>
          <w:rFonts w:cs="Times New Roman"/>
        </w:rPr>
        <w:t>Nanoscope</w:t>
      </w:r>
      <w:proofErr w:type="spellEnd"/>
      <w:r w:rsidRPr="00DF253C">
        <w:rPr>
          <w:rFonts w:cs="Times New Roman"/>
        </w:rPr>
        <w:t xml:space="preserve"> analysis v1.80 (Bruker Nano Surfaces, Santa Barbara).</w:t>
      </w:r>
      <w:r>
        <w:rPr>
          <w:rFonts w:cs="Times New Roman"/>
        </w:rPr>
        <w:t xml:space="preserve"> The lateral dimensions of individual domains were determined from the full width at half height and the inter-domain distances were measured from the peak heights of each domain.</w:t>
      </w:r>
      <w:r w:rsidR="00900699">
        <w:rPr>
          <w:rFonts w:cs="Times New Roman"/>
        </w:rPr>
        <w:t xml:space="preserve"> It should be noted that we examined several mutants with </w:t>
      </w:r>
      <w:proofErr w:type="gramStart"/>
      <w:r w:rsidR="00900699">
        <w:rPr>
          <w:rFonts w:cs="Times New Roman"/>
        </w:rPr>
        <w:t>AFM</w:t>
      </w:r>
      <w:proofErr w:type="gramEnd"/>
      <w:r w:rsidR="00900699">
        <w:rPr>
          <w:rFonts w:cs="Times New Roman"/>
        </w:rPr>
        <w:t xml:space="preserve"> and all showed the general features (at larger scan sizes) as described here for D221N/N563A/C575A. However, we found that only the D221N/N563A/C575A molecules were sufficiently strongly adsorbed onto mica to be able to resolve the finer features.</w:t>
      </w:r>
    </w:p>
    <w:p w14:paraId="7C8153E7" w14:textId="77777777" w:rsidR="00900699" w:rsidRDefault="00900699" w:rsidP="006F112F">
      <w:pPr>
        <w:spacing w:line="360" w:lineRule="auto"/>
        <w:rPr>
          <w:b/>
          <w:bCs/>
          <w:sz w:val="28"/>
          <w:szCs w:val="28"/>
        </w:rPr>
      </w:pPr>
    </w:p>
    <w:p w14:paraId="54D5D26A" w14:textId="7BB4FAF6" w:rsidR="00496E03" w:rsidRPr="00825184" w:rsidRDefault="00496E03" w:rsidP="00496E03">
      <w:pPr>
        <w:spacing w:line="360" w:lineRule="auto"/>
        <w:rPr>
          <w:b/>
          <w:bCs/>
          <w:color w:val="000000" w:themeColor="text1"/>
        </w:rPr>
      </w:pPr>
      <w:r w:rsidRPr="00825184">
        <w:rPr>
          <w:b/>
          <w:bCs/>
          <w:color w:val="000000" w:themeColor="text1"/>
        </w:rPr>
        <w:t>Statistics</w:t>
      </w:r>
    </w:p>
    <w:p w14:paraId="1B28F211" w14:textId="442A9C84" w:rsidR="007D2C89" w:rsidRPr="00496E03" w:rsidRDefault="00496E03" w:rsidP="00496E03">
      <w:pPr>
        <w:spacing w:line="360" w:lineRule="auto"/>
        <w:rPr>
          <w:b/>
          <w:bCs/>
        </w:rPr>
      </w:pPr>
      <w:r w:rsidRPr="00496E03">
        <w:t>Analyses were performed by using GraphPad Prism 8 software (GraphPad software Inc., San Diego, CA, USA). A paired, two tailed Student’s t test was used to compare two groups with significance (p value) indicated</w:t>
      </w:r>
      <w:r w:rsidR="00825184">
        <w:t xml:space="preserve"> or as described in the accompanying legends</w:t>
      </w:r>
      <w:r w:rsidRPr="00496E03">
        <w:t>.</w:t>
      </w:r>
      <w:r w:rsidRPr="007C1989">
        <w:rPr>
          <w:sz w:val="28"/>
          <w:szCs w:val="28"/>
        </w:rPr>
        <w:t xml:space="preserve"> </w:t>
      </w:r>
    </w:p>
    <w:p w14:paraId="678020EB" w14:textId="77777777" w:rsidR="00825184" w:rsidRDefault="00825184" w:rsidP="00B959D7">
      <w:pPr>
        <w:spacing w:line="360" w:lineRule="auto"/>
        <w:rPr>
          <w:b/>
          <w:bCs/>
          <w:sz w:val="28"/>
          <w:szCs w:val="28"/>
        </w:rPr>
      </w:pPr>
    </w:p>
    <w:p w14:paraId="4E23FC40" w14:textId="4A756A29" w:rsidR="00825184" w:rsidRDefault="00825184" w:rsidP="00B959D7">
      <w:pPr>
        <w:spacing w:line="360" w:lineRule="auto"/>
        <w:rPr>
          <w:b/>
          <w:bCs/>
          <w:sz w:val="28"/>
          <w:szCs w:val="28"/>
        </w:rPr>
      </w:pPr>
    </w:p>
    <w:p w14:paraId="15768E39" w14:textId="0B3E9500" w:rsidR="002676C6" w:rsidRDefault="002676C6" w:rsidP="00B959D7">
      <w:pPr>
        <w:spacing w:line="360" w:lineRule="auto"/>
        <w:rPr>
          <w:b/>
          <w:bCs/>
          <w:sz w:val="28"/>
          <w:szCs w:val="28"/>
        </w:rPr>
      </w:pPr>
    </w:p>
    <w:p w14:paraId="7AE6CB7B" w14:textId="3CBBC45F" w:rsidR="000F2966" w:rsidRDefault="000F2966" w:rsidP="00B959D7">
      <w:pPr>
        <w:spacing w:line="360" w:lineRule="auto"/>
        <w:rPr>
          <w:b/>
          <w:bCs/>
          <w:sz w:val="28"/>
          <w:szCs w:val="28"/>
        </w:rPr>
      </w:pPr>
    </w:p>
    <w:p w14:paraId="0A6938F9" w14:textId="4182CEBA" w:rsidR="000F2966" w:rsidRDefault="000F2966" w:rsidP="00B959D7">
      <w:pPr>
        <w:spacing w:line="360" w:lineRule="auto"/>
        <w:rPr>
          <w:b/>
          <w:bCs/>
          <w:sz w:val="28"/>
          <w:szCs w:val="28"/>
        </w:rPr>
      </w:pPr>
    </w:p>
    <w:p w14:paraId="52419960" w14:textId="4E39B4D4" w:rsidR="000F2966" w:rsidRDefault="000F2966" w:rsidP="00B959D7">
      <w:pPr>
        <w:spacing w:line="360" w:lineRule="auto"/>
        <w:rPr>
          <w:b/>
          <w:bCs/>
          <w:sz w:val="28"/>
          <w:szCs w:val="28"/>
        </w:rPr>
      </w:pPr>
    </w:p>
    <w:p w14:paraId="05C3AEDC" w14:textId="77777777" w:rsidR="000F2966" w:rsidRDefault="000F2966" w:rsidP="00B959D7">
      <w:pPr>
        <w:spacing w:line="360" w:lineRule="auto"/>
        <w:rPr>
          <w:b/>
          <w:bCs/>
          <w:sz w:val="28"/>
          <w:szCs w:val="28"/>
        </w:rPr>
      </w:pPr>
    </w:p>
    <w:p w14:paraId="436B5F52" w14:textId="787C2853" w:rsidR="008E61BD" w:rsidRPr="008E61BD" w:rsidRDefault="008E61BD" w:rsidP="00B959D7">
      <w:pPr>
        <w:spacing w:line="360" w:lineRule="auto"/>
        <w:rPr>
          <w:b/>
          <w:bCs/>
          <w:sz w:val="28"/>
          <w:szCs w:val="28"/>
        </w:rPr>
      </w:pPr>
      <w:r w:rsidRPr="008E61BD">
        <w:rPr>
          <w:b/>
          <w:bCs/>
          <w:sz w:val="28"/>
          <w:szCs w:val="28"/>
        </w:rPr>
        <w:lastRenderedPageBreak/>
        <w:t>Results</w:t>
      </w:r>
    </w:p>
    <w:p w14:paraId="093494A6" w14:textId="77777777" w:rsidR="008E61BD" w:rsidRDefault="008E61BD" w:rsidP="00453FAC">
      <w:pPr>
        <w:spacing w:line="360" w:lineRule="auto"/>
      </w:pPr>
    </w:p>
    <w:p w14:paraId="41375F33" w14:textId="339C395F" w:rsidR="00327485" w:rsidRPr="00327485" w:rsidRDefault="00327485" w:rsidP="00453FAC">
      <w:pPr>
        <w:spacing w:line="360" w:lineRule="auto"/>
        <w:rPr>
          <w:b/>
          <w:bCs/>
        </w:rPr>
      </w:pPr>
      <w:r w:rsidRPr="00327485">
        <w:rPr>
          <w:b/>
          <w:bCs/>
        </w:rPr>
        <w:t xml:space="preserve">Removal of N-linked glycans </w:t>
      </w:r>
      <w:r w:rsidR="00D17646">
        <w:rPr>
          <w:b/>
          <w:bCs/>
        </w:rPr>
        <w:t xml:space="preserve">from </w:t>
      </w:r>
      <w:r w:rsidR="00D17646" w:rsidRPr="00327485">
        <w:rPr>
          <w:b/>
          <w:bCs/>
        </w:rPr>
        <w:t>IVIG</w:t>
      </w:r>
      <w:r w:rsidR="00D17646" w:rsidRPr="00327485" w:rsidDel="00D17646">
        <w:rPr>
          <w:b/>
          <w:bCs/>
        </w:rPr>
        <w:t xml:space="preserve"> </w:t>
      </w:r>
      <w:r w:rsidR="00D17646">
        <w:rPr>
          <w:b/>
          <w:bCs/>
        </w:rPr>
        <w:t xml:space="preserve">strongly reduces </w:t>
      </w:r>
      <w:r w:rsidRPr="00327485">
        <w:rPr>
          <w:b/>
          <w:bCs/>
        </w:rPr>
        <w:t>inhibit</w:t>
      </w:r>
      <w:r w:rsidR="00D17646">
        <w:rPr>
          <w:b/>
          <w:bCs/>
        </w:rPr>
        <w:t>ion of</w:t>
      </w:r>
      <w:r w:rsidR="00BC6705">
        <w:rPr>
          <w:b/>
          <w:bCs/>
        </w:rPr>
        <w:t xml:space="preserve"> </w:t>
      </w:r>
      <w:r w:rsidRPr="00327485">
        <w:rPr>
          <w:b/>
          <w:bCs/>
        </w:rPr>
        <w:t>immune-mediated demyelination</w:t>
      </w:r>
    </w:p>
    <w:p w14:paraId="044BF887" w14:textId="0CFD149D" w:rsidR="00327485" w:rsidRPr="001D7300" w:rsidRDefault="00327485" w:rsidP="00453FAC">
      <w:pPr>
        <w:spacing w:line="360" w:lineRule="auto"/>
        <w:rPr>
          <w:color w:val="000000" w:themeColor="text1"/>
        </w:rPr>
      </w:pPr>
      <w:r>
        <w:t>In therapeutic approaches in which the Fc of human IgG1 is critically important, receptor binding and functional properties of the Fc</w:t>
      </w:r>
      <w:r w:rsidR="00395035">
        <w:t xml:space="preserve">, including C1q binding, </w:t>
      </w:r>
      <w:r>
        <w:t xml:space="preserve">are lost after </w:t>
      </w:r>
      <w:r w:rsidR="00343B87">
        <w:t>de-glycos</w:t>
      </w:r>
      <w:r>
        <w:t xml:space="preserve">ylation or removal of </w:t>
      </w:r>
      <w:r w:rsidR="00395035">
        <w:t xml:space="preserve">the Asn-297 </w:t>
      </w:r>
      <w:r>
        <w:t xml:space="preserve">N-linked </w:t>
      </w:r>
      <w:r w:rsidR="00395035">
        <w:t xml:space="preserve">attachment site </w:t>
      </w:r>
      <w:r w:rsidR="00AA1E20">
        <w:fldChar w:fldCharType="begin" w:fldLock="1"/>
      </w:r>
      <w:r w:rsidR="00DC4AAC">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und","given":"John","non-dropping-particle":"","parse-names":false,"suffix":""},{"dropping-particle":"","family":"Takahashi","given":"Noriko","non-dropping-particle":"","parse-names":false,"suffix":""},{"dropping-particle":"","family":"Pound","given":"John D.","non-dropping-particle":"","parse-names":false,"suffix":""},{"dropping-particle":"","family":"Goodall","given":"Margaret","non-dropping-particle":"","parse-names":false,"suffix":""},{"dropping-particle":"","family":"Jefferis","given":"Royston","non-dropping-particle":"","parse-names":false,"suffix":""}],"container-title":"Journal of immunology (Baltimore, Md. : 1950)","id":"ITEM-1","issued":{"date-parts":[["1996"]]},"page":"4963-4969","title":"Multiple Interactions of IgG with Its Core Oligosaccharide Can Modulate Recognition by Complement and Human Fcy Receptor I and Influence the Synthesis of Its Oligosaccharide Chains","type":"article-journal","volume":"157"},"uris":["http://www.mendeley.com/documents/?uuid=24b81e88-2a47-442b-a1c1-6d13544fb513"]},{"id":"ITEM-2","itemData":{"DOI":"10.1084/jem.180.3.1087","ISBN":"0022-1007 (Print)\\r0022-1007","ISSN":"0022-1007","PMID":"8064227","abstract":"Immunoglobulin G (IgG) molecules are glycosylated in CH2 at Asn297; the N-linked carbohydrates attached there have been shown to contribute to antibody (Ab) stability and various effector functions. The carbohydrate attached to the IgG constant region is a complex biantennary structure. Alterations in the structure of oligosaccharide have been associated with human diseases such as rheumatoid arthritis and osteoarthritis. To study the effects of altered carbohydrate structure on Ab effector function, we have used gene transfection techniques to produce mouse-human chimeric IgG1 Abs in the Chinese hamster ovary (CHO) cell line Lec 1, which is incapable of processing the high-mannose intermediate through the terminal glycosylation steps. We also produced IgG1 Abs in Pro-5, the wild-type CHO cell line that is the parent of Lec 1. The Pro-5-produced Ab (IgG1-Pro-5) was similar to IgG1-My 1, a myeloma-produced IgG1 Ab of the same specificity, in its biologic properties such as serum half-life, ability to effect complement-mediated cytolysis, and affinity for Fc gamma RI. Although the Lec 1-produced Ab, IgG1-Lec 1, was properly assembled and retained antigen specificity, it was incapable of complement-mediated hemolysis and was substantially deficient in complement consumption, C1q binding, and C1 activation. IgG1-Lec 1 also showed reduced but significant affinity for Fc gamma R1 receptors. The in vivo half-life of IgG1-Lec 1 was shorter than that of either the myeloma- or Pro-5-produced counterpart, with more being cleared during the alpha-phase and with more rapid clearance during the beta-phase. Clearance of IgG1-Lec 1 could be inhibited by the administration of yeast-derived mannan. Thus the uptake of IgG1-Lec 1 appears to be accelerated by the presence of terminally mannosylated oligosaccharide. Therefore, certain Ab functions as well as the in vivo fate of the protein are dramatically affected by altered carbohydrate structure. Expression of Igs in cell lines with defined glycosylation mutations is shown to be a useful technique for investigating the contribution of carbohydrate structure to Ab function.","author":[{"dropping-particle":"","family":"Wright","given":"Ann","non-dropping-particle":"","parse-names":false,"suffix":""},{"dropping-particle":"","family":"Morrison","given":"Sherie L","non-dropping-particle":"","parse-names":false,"suffix":""}],"container-title":"The Journal of Experimental Medicine","id":"ITEM-2","issue":"3","issued":{"date-parts":[["1994"]]},"page":"1087-1096","title":"Effect of altered CH2-associated carbohydrate structure on the functional properties and in vivo fate of chimeric mouse-human immunoglobulin G1.","type":"article-journal","volume":"180"},"uris":["http://www.mendeley.com/documents/?uuid=a4249953-55a2-4f72-91cf-37f763e836d9"]},{"id":"ITEM-3","itemData":{"DOI":"10.1038/ni.2939","ISBN":"1529-2916 (Electronic)\\n1529-2908 (Linking)","ISSN":"1529-2916","PMID":"25045879","abstract":"Antibodies produced in response to a foreign antigen are characterized by polyclonality, not only in the diverse epitopes to which their variable domains bind but also in the various effector molecules to which their constant regions (Fc domains) engage. Thus, the antibody's Fc domain mediates diverse effector activities by engaging two distinct classes of Fc receptors (type I and type II) on the basis of the two dominant conformational states that the Fc domain may adopt. These conformational states are regulated by the differences among antibody subclasses in their amino acid sequence and by the complex, biantennary Fc-associated N-linked glycan. Here we discuss the diverse downstream proinflammatory, anti-inflammatory and immunomodulatory consequences of the engagement of type I and type II Fc receptors in the context of infectious, autoimmune, and neoplastic disorders.","author":[{"dropping-particle":"","family":"Pincetic","given":"Andrew","non-dropping-particle":"","parse-names":false,"suffix":""},{"dropping-particle":"","family":"Bournazos","given":"Stylianos","non-dropping-particle":"","parse-names":false,"suffix":""},{"dropping-particle":"","family":"DiLillo","given":"David J","non-dropping-particle":"","parse-names":false,"suffix":""},{"dropping-particle":"","family":"Maamary","given":"Jad","non-dropping-particle":"","parse-names":false,"suffix":""},{"dropping-particle":"","family":"Wang","given":"Taia T","non-dropping-particle":"","parse-names":false,"suffix":""},{"dropping-particle":"","family":"Dahan","given":"Rony","non-dropping-particle":"","parse-names":false,"suffix":""},{"dropping-particle":"","family":"Fiebiger","given":"Benjamin-Maximillian","non-dropping-particle":"","parse-names":false,"suffix":""},{"dropping-particle":"V","family":"Ravetch","given":"Jeffrey","non-dropping-particle":"","parse-names":false,"suffix":""}],"container-title":"Nature immunology","id":"ITEM-3","issue":"8","issued":{"date-parts":[["2014"]]},"page":"707-716","title":"Type I and type II Fc receptors regulate innate and adaptive immunity.","type":"article-journal","volume":"15"},"uris":["http://www.mendeley.com/documents/?uuid=8de67d6d-115e-4131-b54d-2b7fe1a7567a"]}],"mendeley":{"formattedCitation":"(13,19,46)","plainTextFormattedCitation":"(13,19,46)","previouslyFormattedCitation":"(13,19,46)"},"properties":{"noteIndex":0},"schema":"https://github.com/citation-style-language/schema/raw/master/csl-citation.json"}</w:instrText>
      </w:r>
      <w:r w:rsidR="00AA1E20">
        <w:fldChar w:fldCharType="separate"/>
      </w:r>
      <w:r w:rsidR="000F2966" w:rsidRPr="000F2966">
        <w:rPr>
          <w:noProof/>
        </w:rPr>
        <w:t>(13,19,46)</w:t>
      </w:r>
      <w:r w:rsidR="00AA1E20">
        <w:fldChar w:fldCharType="end"/>
      </w:r>
      <w:r>
        <w:t xml:space="preserve">. To determine if N-linked glycosylation is critical to the ability of IVIG to inhibit immune-mediated demyelination we used an excess of </w:t>
      </w:r>
      <w:proofErr w:type="spellStart"/>
      <w:r>
        <w:t>PNGase</w:t>
      </w:r>
      <w:proofErr w:type="spellEnd"/>
      <w:r>
        <w:t xml:space="preserve"> F to remove the sugars from IVIG (Fig. </w:t>
      </w:r>
      <w:r w:rsidR="00C97BE9">
        <w:t>1</w:t>
      </w:r>
      <w:r w:rsidR="00E715E6">
        <w:t>A</w:t>
      </w:r>
      <w:r>
        <w:t xml:space="preserve">). </w:t>
      </w:r>
      <w:r w:rsidR="00C24BAB">
        <w:t xml:space="preserve">We next induced demyelination in OSC with 5 </w:t>
      </w:r>
      <w:r w:rsidR="00C24BAB" w:rsidRPr="00C24BAB">
        <w:rPr>
          <w:rFonts w:ascii="Symbol" w:hAnsi="Symbol"/>
        </w:rPr>
        <w:t></w:t>
      </w:r>
      <w:r w:rsidR="00C24BAB">
        <w:t>g/mL recombinant humanized MOG-specific antibody and 6</w:t>
      </w:r>
      <w:r w:rsidR="00E21D1E">
        <w:t>-8</w:t>
      </w:r>
      <w:r w:rsidR="00C24BAB">
        <w:t xml:space="preserve">% complement as previously described </w:t>
      </w:r>
      <w:r w:rsidR="00AA1E20">
        <w:fldChar w:fldCharType="begin" w:fldLock="1"/>
      </w:r>
      <w:r w:rsidR="00DC4AAC">
        <w:instrText>ADDIN CSL_CITATION {"citationItems":[{"id":"ITEM-1","itemData":{"DOI":"10.1016/j.expneurol.2008.12.027","ISBN":"1090-2430; 0014-4886","ISSN":"00144886","PMID":"19320002","abstract":"Mononuclear cell infiltrates, deposits of immunoglobulin and complement as well as demyelination and axonal damage are neuropathological hallmarks of Multiple Sclerosis (MS) lesions. An involvement of antibodies is further suggested by the presence of oligoclonal immunoglobulins in the cerebrospinal fluid of almost all MS patients. However, which mechanisms are most relevant for de- and remyelination and axonal loss in MS lesions is poorly understood. To characterize the regenerative abilities of demyelinated CNS tissue, we utilized murine organotypic cerebellar slice cultures expressing GFP in oligodendrocytes. The addition of a demyelinating monoclonal antibody specific for myelin oligodendrocyte glycoprotein and complement induced complete myelin destruction and oligodendrocyte loss, as demonstrated by confocal live imaging and staining for different myelin proteins. After removal of antibodies and complement we visualized the stages of remyelination, presumably originating from proliferating oligodendrocyte precursor cells and guided by morphologically intact appearing axons. Allowing for the detailed live imaging of de- and remyelination in an ex vivo situation closely resembling the three dimensional cytoarchitecture of the CNS, we provide a useful experimental system for the evaluation of new therapeutic strategies to enhance remyelination and repair in MS. © 2009 Elsevier Inc. All rights reserved.","author":[{"dropping-particle":"","family":"Harrer","given":"Melanie D.","non-dropping-particle":"","parse-names":false,"suffix":""},{"dropping-particle":"","family":"Büdingen","given":"Hans Christian","non-dropping-particle":"von","parse-names":false,"suffix":""},{"dropping-particle":"","family":"Stoppini","given":"Luc","non-dropping-particle":"","parse-names":false,"suffix":""},{"dropping-particle":"","family":"Alliod","given":"Chantal","non-dropping-particle":"","parse-names":false,"suffix":""},{"dropping-particle":"","family":"Pouly","given":"Sandrine","non-dropping-particle":"","parse-names":false,"suffix":""},{"dropping-particle":"","family":"Fischer","given":"Katja","non-dropping-particle":"","parse-names":false,"suffix":""},{"dropping-particle":"","family":"Goebels","given":"Norbert","non-dropping-particle":"","parse-names":false,"suffix":""}],"container-title":"Experimental Neurology","id":"ITEM-1","issue":"2","issued":{"date-parts":[["2009"]]},"page":"431-438","title":"Live imaging of remyelination after antibody-mediated demyelination in an ex-vivo model for immune mediated CNS damage","type":"article-journal","volume":"216"},"uris":["http://www.mendeley.com/documents/?uuid=e6d51893-553e-44c6-aab5-e7b8559e6de3"]}],"mendeley":{"formattedCitation":"(15)","plainTextFormattedCitation":"(15)","previouslyFormattedCitation":"(15)"},"properties":{"noteIndex":0},"schema":"https://github.com/citation-style-language/schema/raw/master/csl-citation.json"}</w:instrText>
      </w:r>
      <w:r w:rsidR="00AA1E20">
        <w:fldChar w:fldCharType="separate"/>
      </w:r>
      <w:r w:rsidR="000F2966" w:rsidRPr="000F2966">
        <w:rPr>
          <w:noProof/>
        </w:rPr>
        <w:t>(15)</w:t>
      </w:r>
      <w:r w:rsidR="00AA1E20">
        <w:fldChar w:fldCharType="end"/>
      </w:r>
      <w:r w:rsidR="00C24BAB">
        <w:t xml:space="preserve">. This treatment induces rapid and pronounced demyelination, which can be monitored by quantification of the GFP fluorescence emitted by intact myelin/oligodendrocytes (as described in materials and methods) before and during treatment. </w:t>
      </w:r>
      <w:r w:rsidR="00E715E6">
        <w:t>Whereas the addition of</w:t>
      </w:r>
      <w:r w:rsidR="0013059B">
        <w:t xml:space="preserve"> </w:t>
      </w:r>
      <w:r w:rsidR="007A3BC3">
        <w:t>&gt;</w:t>
      </w:r>
      <w:r w:rsidR="00E21D1E">
        <w:t xml:space="preserve">6 </w:t>
      </w:r>
      <w:r w:rsidR="007A3BC3">
        <w:t>mg/m</w:t>
      </w:r>
      <w:r w:rsidR="0013059B">
        <w:t>L</w:t>
      </w:r>
      <w:r w:rsidR="007A3BC3">
        <w:t xml:space="preserve"> </w:t>
      </w:r>
      <w:r w:rsidR="00E715E6">
        <w:t xml:space="preserve">IVIG significantly reduced the decrease of GFP-fluorescence in OSC treated with anti-MOG antibody and complement, </w:t>
      </w:r>
      <w:r w:rsidR="00653DD6">
        <w:t xml:space="preserve">equivalent </w:t>
      </w:r>
      <w:r w:rsidR="007A3BC3">
        <w:t>concentrations of the</w:t>
      </w:r>
      <w:r w:rsidR="00E715E6">
        <w:t xml:space="preserve"> </w:t>
      </w:r>
      <w:r w:rsidR="00653DD6">
        <w:t>de-</w:t>
      </w:r>
      <w:r w:rsidR="00E715E6">
        <w:t xml:space="preserve">glycosylated IVIG was </w:t>
      </w:r>
      <w:r w:rsidR="00653DD6">
        <w:t xml:space="preserve">significantly reduced in protecting from demyelination </w:t>
      </w:r>
      <w:r w:rsidR="00E715E6">
        <w:t xml:space="preserve">(Fig. </w:t>
      </w:r>
      <w:r w:rsidR="00C97BE9">
        <w:t>1</w:t>
      </w:r>
      <w:r w:rsidR="00E715E6">
        <w:t>B</w:t>
      </w:r>
      <w:r w:rsidR="00A42C50">
        <w:t>,C</w:t>
      </w:r>
      <w:r w:rsidR="00E715E6">
        <w:t xml:space="preserve">). </w:t>
      </w:r>
      <w:r w:rsidR="00EC3591" w:rsidRPr="001D7300">
        <w:rPr>
          <w:color w:val="000000" w:themeColor="text1"/>
        </w:rPr>
        <w:t>Neither fully glycosylated</w:t>
      </w:r>
      <w:r w:rsidR="00817D4A">
        <w:rPr>
          <w:color w:val="000000" w:themeColor="text1"/>
        </w:rPr>
        <w:t>,</w:t>
      </w:r>
      <w:r w:rsidR="00EC3591" w:rsidRPr="001D7300">
        <w:rPr>
          <w:color w:val="000000" w:themeColor="text1"/>
        </w:rPr>
        <w:t xml:space="preserve"> nor </w:t>
      </w:r>
      <w:r w:rsidR="00653DD6">
        <w:rPr>
          <w:color w:val="000000" w:themeColor="text1"/>
        </w:rPr>
        <w:t>de-</w:t>
      </w:r>
      <w:r w:rsidR="00EC3591" w:rsidRPr="001D7300">
        <w:rPr>
          <w:color w:val="000000" w:themeColor="text1"/>
        </w:rPr>
        <w:t xml:space="preserve">glycosylated IVIG, </w:t>
      </w:r>
      <w:r w:rsidR="00817D4A">
        <w:rPr>
          <w:color w:val="000000" w:themeColor="text1"/>
        </w:rPr>
        <w:t>in the presence of</w:t>
      </w:r>
      <w:r w:rsidR="00EC3591" w:rsidRPr="001D7300">
        <w:rPr>
          <w:color w:val="000000" w:themeColor="text1"/>
        </w:rPr>
        <w:t xml:space="preserve"> complement had an</w:t>
      </w:r>
      <w:r w:rsidR="00817D4A">
        <w:rPr>
          <w:color w:val="000000" w:themeColor="text1"/>
        </w:rPr>
        <w:t>y</w:t>
      </w:r>
      <w:r w:rsidR="00EC3591" w:rsidRPr="001D7300">
        <w:rPr>
          <w:color w:val="000000" w:themeColor="text1"/>
        </w:rPr>
        <w:t xml:space="preserve"> effect</w:t>
      </w:r>
      <w:r w:rsidR="00817D4A">
        <w:rPr>
          <w:color w:val="000000" w:themeColor="text1"/>
        </w:rPr>
        <w:t>s</w:t>
      </w:r>
      <w:r w:rsidR="00EC3591" w:rsidRPr="001D7300">
        <w:rPr>
          <w:color w:val="000000" w:themeColor="text1"/>
        </w:rPr>
        <w:t xml:space="preserve"> on myelin integrity in the absence of the anti-MOG antibody. </w:t>
      </w:r>
      <w:r w:rsidR="00E715E6" w:rsidRPr="001D7300">
        <w:rPr>
          <w:color w:val="000000" w:themeColor="text1"/>
        </w:rPr>
        <w:t>T</w:t>
      </w:r>
      <w:r w:rsidR="00EC3591" w:rsidRPr="001D7300">
        <w:rPr>
          <w:color w:val="000000" w:themeColor="text1"/>
        </w:rPr>
        <w:t>aken together th</w:t>
      </w:r>
      <w:r w:rsidR="0011728C">
        <w:rPr>
          <w:color w:val="000000" w:themeColor="text1"/>
        </w:rPr>
        <w:t>ese</w:t>
      </w:r>
      <w:r w:rsidR="00EC3591" w:rsidRPr="001D7300">
        <w:rPr>
          <w:color w:val="000000" w:themeColor="text1"/>
        </w:rPr>
        <w:t xml:space="preserve"> data </w:t>
      </w:r>
      <w:r w:rsidR="00E715E6" w:rsidRPr="001D7300">
        <w:rPr>
          <w:color w:val="000000" w:themeColor="text1"/>
        </w:rPr>
        <w:t xml:space="preserve">show that N-linked glycans attached to </w:t>
      </w:r>
      <w:r w:rsidR="004F4725" w:rsidRPr="001D7300">
        <w:rPr>
          <w:color w:val="000000" w:themeColor="text1"/>
        </w:rPr>
        <w:t>the Fc</w:t>
      </w:r>
      <w:r w:rsidR="00343B87">
        <w:rPr>
          <w:color w:val="000000" w:themeColor="text1"/>
        </w:rPr>
        <w:t xml:space="preserve"> </w:t>
      </w:r>
      <w:r w:rsidR="00205F2E">
        <w:rPr>
          <w:color w:val="000000" w:themeColor="text1"/>
        </w:rPr>
        <w:t>are</w:t>
      </w:r>
      <w:r w:rsidR="00E715E6" w:rsidRPr="001D7300">
        <w:rPr>
          <w:color w:val="000000" w:themeColor="text1"/>
        </w:rPr>
        <w:t xml:space="preserve"> important for the observed inhibition of demyelination by </w:t>
      </w:r>
      <w:r w:rsidR="004F4725" w:rsidRPr="001D7300">
        <w:rPr>
          <w:color w:val="000000" w:themeColor="text1"/>
        </w:rPr>
        <w:t>the Fc</w:t>
      </w:r>
      <w:r w:rsidR="00E715E6" w:rsidRPr="001D7300">
        <w:rPr>
          <w:color w:val="000000" w:themeColor="text1"/>
        </w:rPr>
        <w:t>.</w:t>
      </w:r>
    </w:p>
    <w:p w14:paraId="718A1414" w14:textId="77777777" w:rsidR="00327485" w:rsidRDefault="00327485" w:rsidP="00BC0647">
      <w:pPr>
        <w:spacing w:line="360" w:lineRule="auto"/>
      </w:pPr>
    </w:p>
    <w:p w14:paraId="59313694" w14:textId="77777777" w:rsidR="00E715E6" w:rsidRDefault="00E715E6" w:rsidP="00BC0647">
      <w:pPr>
        <w:spacing w:line="360" w:lineRule="auto"/>
        <w:rPr>
          <w:b/>
          <w:bCs/>
        </w:rPr>
      </w:pPr>
      <w:r>
        <w:rPr>
          <w:b/>
          <w:bCs/>
        </w:rPr>
        <w:t xml:space="preserve">Glycosylation adapted recombinant </w:t>
      </w:r>
      <w:r w:rsidR="008E61BD" w:rsidRPr="008E61BD">
        <w:rPr>
          <w:b/>
          <w:bCs/>
        </w:rPr>
        <w:t>Fc</w:t>
      </w:r>
      <w:r>
        <w:rPr>
          <w:b/>
          <w:bCs/>
        </w:rPr>
        <w:t>s</w:t>
      </w:r>
      <w:r w:rsidR="008E61BD" w:rsidRPr="008E61BD">
        <w:rPr>
          <w:b/>
          <w:bCs/>
        </w:rPr>
        <w:t xml:space="preserve"> inhibit immune-mediated demyelination in a dose-dependent manner</w:t>
      </w:r>
    </w:p>
    <w:p w14:paraId="5007BA95" w14:textId="755B525A" w:rsidR="00EC2408" w:rsidRDefault="004323E2" w:rsidP="005A29F8">
      <w:pPr>
        <w:spacing w:line="360" w:lineRule="auto"/>
      </w:pPr>
      <w:r>
        <w:t>The</w:t>
      </w:r>
      <w:r w:rsidR="00E715E6" w:rsidRPr="00E715E6">
        <w:t xml:space="preserve"> </w:t>
      </w:r>
      <w:r w:rsidR="00E715E6">
        <w:t>observation that the presence of N-linked glycans</w:t>
      </w:r>
      <w:r w:rsidR="00395035">
        <w:t xml:space="preserve"> on IVIG</w:t>
      </w:r>
      <w:r w:rsidR="00E715E6">
        <w:t xml:space="preserve"> was essential </w:t>
      </w:r>
      <w:r w:rsidR="00395035">
        <w:t xml:space="preserve">to its </w:t>
      </w:r>
      <w:r w:rsidR="00E715E6">
        <w:t>mechanism of action in the OSC model led us to</w:t>
      </w:r>
      <w:r w:rsidR="00EC2408">
        <w:t xml:space="preserve"> further explore the role of N-linked glycosylation using recombinant Fcs into which enhanced N-linked glycosylation w</w:t>
      </w:r>
      <w:r w:rsidR="003E73F8">
        <w:t>as</w:t>
      </w:r>
      <w:r w:rsidR="00EC2408">
        <w:t xml:space="preserve"> engineered</w:t>
      </w:r>
      <w:r w:rsidR="004724D9">
        <w:t xml:space="preserve"> </w:t>
      </w:r>
      <w:r w:rsidR="004724D9">
        <w:fldChar w:fldCharType="begin" w:fldLock="1"/>
      </w:r>
      <w:r w:rsidR="00DC4AAC">
        <w:instrText>ADDIN CSL_CITATION {"citationItems":[{"id":"ITEM-1","itemData":{"DOI":"10.1074/jbc.M117.795047","ISSN":"0021-9258","author":[{"dropping-particle":"","family":"Blundell","given":"Patricia A","non-dropping-particle":"","parse-names":false,"suffix":""},{"dropping-particle":"","family":"Le","given":"Ngoc Phuong Lan","non-dropping-particle":"","parse-names":false,"suffix":""},{"dropping-particle":"","family":"Allen","given":"Joel","non-dropping-particle":"","parse-names":false,"suffix":""},{"dropping-particle":"","family":"Watanabe","given":"Yasunori","non-dropping-particle":"","parse-names":false,"suffix":""},{"dropping-particle":"","family":"Pleass","given":"Richard J","non-dropping-particle":"","parse-names":false,"suffix":""}],"container-title":"Journal of Biological Chemistry","id":"ITEM-1","issued":{"date-parts":[["2017"]]},"page":"12994-13007","title":"Engineering the fragment crystallizable (Fc) region of human IgG1 multimers and monomers to fine-tune interactions with sialic acid-dependent receptors","type":"article-journal","volume":"292"},"uris":["http://www.mendeley.com/documents/?uuid=0a129f04-7d3c-4fde-8bb7-6ab517a0b7a2"]},{"id":"ITEM-2","itemData":{"DOI":"10.4049/jimmunol.1801337","ISSN":"0022-1767","abstract":"In therapeutic applications in which the Fc of IgG is critically important, the receptor binding and functional properties of the Fc are lost after deglycosylation or removal of the unique Asn297 N-X-(T/S) sequon. A population of Fcs bearing sialylated glycans has been identified as contributing to this functionality, and high levels of sialylation also lead to longer serum retention times advantageous for therapy. The efficacy of sialylated Fc has generated an incentive to modify the unique N-linked glycosylation site at Asn297, either through chemical and enzymatic methods or by mutagenesis of the Fc, that disrupts the protein-Asn297 carbohydrate interface. In this study, we took an alternative approach by inserting or deleting N-linked attachment sites into the body of the Fc to generate a portfolio of mutants with tailored effector functions. For example, we describe mutants with enhanced binding to low-affinity inhibitory human Fcγ and glycan receptors that may be usefully incorporated into existing Ab engineering approaches to treat or vaccinate against disease. The IgG1 Fc fragments containing complex sialylated glycans attached to the N-terminal Asn221 sequon bound influenza virus hemagglutinin and disrupted influenza A-mediated agglutination of human erythrocytes.","author":[{"dropping-particle":"","family":"Blundell","given":"Patricia A.","non-dropping-particle":"","parse-names":false,"suffix":""},{"dropping-particle":"","family":"Lu","given":"Dongli","non-dropping-particle":"","parse-names":false,"suffix":""},{"dropping-particle":"","family":"Wilkinson","given":"Mark.","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Immunology","id":"ITEM-2","issued":{"date-parts":[["2019"]]},"page":"1595-1611","title":"Insertion of N-Terminal Hinge Glycosylation Enhances Interactions of the Fc Region of Human IgG1 Monomers with Glycan-Dependent Receptors and Blocks Hemagglutination by the Influenza Virus","type":"article-journal","volume":"202"},"uris":["http://www.mendeley.com/documents/?uuid=ef264cf2-4739-4de3-8887-dc3a5dbd6881"]},{"id":"ITEM-3","itemData":{"DOI":"10.4049/jimmunol.1901145","ISSN":"0022-1767","PMID":"31907284","abstract":"Antibodies are glycoproteins that carry a conserved N-linked carbohydrate attached to the Fc, whose presence and fine structure profoundly impacts on their in vivo immunogenicity, pharmacokinetics and functional attributes. The host cell line used to produce IgG has a major impact on this glycosylation, as different systems express different glycosylation enzymes and transporters that contribute to the specificity and heterogeneity of the final IgG-Fc glycosylation profile. Here we compare two panels of glycan-adapted IgG1-Fc mutants expressed in either the HEK 293-F or CHO-K1 systems. We show that the types of N-linked glycans between matched pairs of Fc mutants vary significantly, and in particular with respect to sialylation. These cell line effects on glycosylation profoundly influence the ability of the engineered Fcs to interact with either human or pathogen receptors. For example, we describe Fc mutants that potently disrupted influenza B-mediated agglutination of human erythrocytes when expressed in CHO-K1 but not in HEK 293-F cells. * Abbreviations: Fc : Fragment crystallizable IVIG : Intravenous Immunoglobulin ITP : Idiopathic Thrombocytopenic Purpura tp : tailpiece Siglec : Sialic acid-binding immunoglobulin-type lectin CD : Cluster Designation CHO : Chinese Hamster Ovary DC-SIGN : Dendritic Cell-Specific Intercellular Adhesion Molecule-3-grabbing Non-Integrin DCIR : C-type Lectin Dendritic Cell Immunoreceptor CLEC : C-type Lectin HA : Hemagglutinin HIA : Hemagglutination Inhibition Assay HEK 293-F : Human Endothelial Kidney MBL : Mannose-Binding Lectin MMR : Macrophage Mannose Receptor mAbs : monoclonal Antibody MALDI : matrix-assisted laser desorption ionisation TOF : time-of-flight SE-HPLC : Size Exclusion-High Performance Liquid Chromatography","author":[{"dropping-particle":"","family":"Blundell","given":"Patricia A.","non-dropping-particle":"","parse-names":false,"suffix":""},{"dropping-particle":"","family":"Lu","given":"Dongli","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Immunology","id":"ITEM-3","issue":"4","issued":{"date-parts":[["2020"]]},"page":"1022-1034","title":"Choice of Host Cell Line Is Essential for the Functional Glycosylation of the Fc Region of Human IgG1 Inhibitors of Influenza B Viruses","type":"article-journal","volume":"204"},"uris":["http://www.mendeley.com/documents/?uuid=fe984b0a-b0f9-4576-a7c5-77c70633286d"]}],"mendeley":{"formattedCitation":"(30–32)","plainTextFormattedCitation":"(30–32)","previouslyFormattedCitation":"(30–32)"},"properties":{"noteIndex":0},"schema":"https://github.com/citation-style-language/schema/raw/master/csl-citation.json"}</w:instrText>
      </w:r>
      <w:r w:rsidR="004724D9">
        <w:fldChar w:fldCharType="separate"/>
      </w:r>
      <w:r w:rsidR="000F2966" w:rsidRPr="000F2966">
        <w:rPr>
          <w:noProof/>
        </w:rPr>
        <w:t>(30–32)</w:t>
      </w:r>
      <w:r w:rsidR="004724D9">
        <w:fldChar w:fldCharType="end"/>
      </w:r>
      <w:r w:rsidR="00EC2408">
        <w:t xml:space="preserve">. </w:t>
      </w:r>
      <w:r w:rsidR="00487592">
        <w:t>From our previous work we</w:t>
      </w:r>
      <w:r w:rsidR="00E24A7F">
        <w:t xml:space="preserve"> </w:t>
      </w:r>
      <w:r w:rsidR="00487592">
        <w:t xml:space="preserve">shortlisted five combinations of glycosylation and cysteine substitution mutants which formed either monomers or multimers and </w:t>
      </w:r>
      <w:r>
        <w:t>possessed</w:t>
      </w:r>
      <w:r w:rsidR="00487592">
        <w:t xml:space="preserve"> different binding characteristics for </w:t>
      </w:r>
      <w:proofErr w:type="spellStart"/>
      <w:r w:rsidR="00487592">
        <w:t>Fc</w:t>
      </w:r>
      <w:r w:rsidR="00487592" w:rsidRPr="00DD24AB">
        <w:rPr>
          <w:rFonts w:ascii="Symbol" w:hAnsi="Symbol"/>
        </w:rPr>
        <w:t></w:t>
      </w:r>
      <w:r w:rsidR="00487592">
        <w:t>R</w:t>
      </w:r>
      <w:proofErr w:type="spellEnd"/>
      <w:r w:rsidR="00487592">
        <w:t xml:space="preserve">, C- and I-type lectins and complement components (see Table </w:t>
      </w:r>
      <w:r w:rsidR="00D402DF">
        <w:t>1</w:t>
      </w:r>
      <w:r>
        <w:t xml:space="preserve"> and Fig. S1-S</w:t>
      </w:r>
      <w:r w:rsidR="00004B86">
        <w:t>6</w:t>
      </w:r>
      <w:r w:rsidR="00E11B73">
        <w:t xml:space="preserve"> for binding experiments</w:t>
      </w:r>
      <w:r w:rsidR="00487592">
        <w:t>).</w:t>
      </w:r>
      <w:r w:rsidR="00F92CB0">
        <w:t xml:space="preserve"> </w:t>
      </w:r>
      <w:r w:rsidR="00C26F3F">
        <w:t xml:space="preserve">As </w:t>
      </w:r>
      <w:r w:rsidR="00C26F3F">
        <w:rPr>
          <w:rFonts w:cstheme="minorHAnsi"/>
          <w:color w:val="000000" w:themeColor="text1"/>
        </w:rPr>
        <w:t>sialylation of IgG Fc domains is</w:t>
      </w:r>
      <w:r w:rsidR="00064D17">
        <w:rPr>
          <w:rFonts w:cstheme="minorHAnsi"/>
          <w:color w:val="000000" w:themeColor="text1"/>
        </w:rPr>
        <w:t xml:space="preserve"> believed</w:t>
      </w:r>
      <w:r w:rsidR="00C26F3F">
        <w:rPr>
          <w:rFonts w:cstheme="minorHAnsi"/>
          <w:color w:val="000000" w:themeColor="text1"/>
        </w:rPr>
        <w:t xml:space="preserve"> to </w:t>
      </w:r>
      <w:r w:rsidR="00064D17">
        <w:rPr>
          <w:rFonts w:cstheme="minorHAnsi"/>
          <w:color w:val="000000" w:themeColor="text1"/>
        </w:rPr>
        <w:t xml:space="preserve">also </w:t>
      </w:r>
      <w:r w:rsidR="00C26F3F">
        <w:rPr>
          <w:rFonts w:cstheme="minorHAnsi"/>
          <w:color w:val="000000" w:themeColor="text1"/>
        </w:rPr>
        <w:t xml:space="preserve">be important for the anti-inflammatory effects of IVIG </w:t>
      </w:r>
      <w:r w:rsidR="00AA1E20">
        <w:rPr>
          <w:rFonts w:cstheme="minorHAnsi"/>
          <w:color w:val="000000" w:themeColor="text1"/>
        </w:rPr>
        <w:fldChar w:fldCharType="begin" w:fldLock="1"/>
      </w:r>
      <w:r w:rsidR="00DC4AAC">
        <w:rPr>
          <w:rFonts w:cstheme="minorHAnsi"/>
          <w:color w:val="000000" w:themeColor="text1"/>
        </w:rPr>
        <w:instrText>ADDIN CSL_CITATION {"citationItems":[{"id":"ITEM-1","itemData":{"DOI":"10.1073/pnas.1422481112","ISBN":"1091-6490 (Electronic)\\r0027-8424 (Linking)","ISSN":"0027-8424","PMID":"25733881","abstract":"Despite the beneficial therapeutic effects of intravenous immunoglobulin (IVIg) in inflammatory diseases, consistent therapeutic efficacy and potency remain major limitations for patients and physicians using IVIg. These limitations have stimulated a desire to generate therapeutic alternatives that could leverage the broad mechanisms of action of IVIg while improving therapeutic consistency and potency. The identification of the important anti-inflammatory role of fragment crystallizable domain (Fc) sialylation has presented an opportunity to develop more potent Ig therapies. However, translating this concept to potent anti-inflammatory therapeutics has been hampered by the difficulty of generating suitable sialylated products for clinical use. Therefore, we set out to develop the first, to our knowledge, robust and scalable process for generating a well-qualified sialylated IVIg drug candidate with maximum Fc sialylation devoid of unwanted alterations to the IVIg mixture. Here, we describe a controlled enzymatic, scalable process to produce a tetra-Fc-sialylated (s4-IVIg) IVIg drug candidate and its qualification across a wide panel of analytic assays, including physicochemical, pharmacokinetic, biodistribution, and in vivo animal models of inflammation. Our in vivo characterization of this drug candidate revealed consistent, enhanced anti-inflammatory activity up to 10-fold higher than IVIg across different animal models. To our knowledge, this candidate represents the first s4-IVIg suitable for clinical use; it is also a valuable therapeutic alternative with more consistent and potent anti-inflammatory activity.","author":[{"dropping-particle":"","family":"Washburn","given":"Nathaniel","non-dropping-particle":"","parse-names":false,"suffix":""},{"dropping-particle":"","family":"Schwab","given":"Inessa","non-dropping-particle":"","parse-names":false,"suffix":""},{"dropping-particle":"","family":"Ortiz","given":"Daniel","non-dropping-particle":"","parse-names":false,"suffix":""},{"dropping-particle":"","family":"Bhatnagar","given":"Naveen","non-dropping-particle":"","parse-names":false,"suffix":""},{"dropping-particle":"","family":"Lansing","given":"Jonathan C.","non-dropping-particle":"","parse-names":false,"suffix":""},{"dropping-particle":"","family":"Medeiros","given":"Amy","non-dropping-particle":"","parse-names":false,"suffix":""},{"dropping-particle":"","family":"Tyler","given":"Steven","non-dropping-particle":"","parse-names":false,"suffix":""},{"dropping-particle":"","family":"Mekala","given":"Divya","non-dropping-particle":"","parse-names":false,"suffix":""},{"dropping-particle":"","family":"Cochran","given":"Edward","non-dropping-particle":"","parse-names":false,"suffix":""},{"dropping-particle":"","family":"Sarvaiya","given":"Hetal","non-dropping-particle":"","parse-names":false,"suffix":""},{"dropping-particle":"","family":"Garofalo","given":"Kevin","non-dropping-particle":"","parse-names":false,"suffix":""},{"dropping-particle":"","family":"Meccariello","given":"Robin","non-dropping-particle":"","parse-names":false,"suffix":""},{"dropping-particle":"","family":"Meador","given":"James W.","non-dropping-particle":"","parse-names":false,"suffix":""},{"dropping-particle":"","family":"Rutitzky","given":"Laura","non-dropping-particle":"","parse-names":false,"suffix":""},{"dropping-particle":"","family":"Schultes","given":"Birgit C.","non-dropping-particle":"","parse-names":false,"suffix":""},{"dropping-particle":"","family":"Ling","given":"Leona","non-dropping-particle":"","parse-names":false,"suffix":""},{"dropping-particle":"","family":"Avery","given":"William","non-dropping-particle":"","parse-names":false,"suffix":""},{"dropping-particle":"","family":"Nimmerjahn","given":"Falk","non-dropping-particle":"","parse-names":false,"suffix":""},{"dropping-particle":"","family":"Manning","given":"Anthony M.","non-dropping-particle":"","parse-names":false,"suffix":""},{"dropping-particle":"V.","family":"Kaundinya","given":"Ganesh","non-dropping-particle":"","parse-names":false,"suffix":""},{"dropping-particle":"","family":"Bosques","given":"Carlos J.","non-dropping-particle":"","parse-names":false,"suffix":""}],"container-title":"Proceedings of the National Academy of Sciences of the United States of America","id":"ITEM-1","issue":"11","issued":{"date-parts":[["2015"]]},"page":"E1297-E1306","title":"Controlled tetra-Fc sialylation of IVIg results in a drug candidate with consistent enhanced anti-inflammatory activity","type":"article-journal","volume":"112"},"uris":["http://www.mendeley.com/documents/?uuid=327e08e8-0e94-4dfb-982a-013c10587e1f"]}],"mendeley":{"formattedCitation":"(47)","plainTextFormattedCitation":"(47)","previouslyFormattedCitation":"(47)"},"properties":{"noteIndex":0},"schema":"https://github.com/citation-style-language/schema/raw/master/csl-citation.json"}</w:instrText>
      </w:r>
      <w:r w:rsidR="00AA1E20">
        <w:rPr>
          <w:rFonts w:cstheme="minorHAnsi"/>
          <w:color w:val="000000" w:themeColor="text1"/>
        </w:rPr>
        <w:fldChar w:fldCharType="separate"/>
      </w:r>
      <w:r w:rsidR="000F2966" w:rsidRPr="000F2966">
        <w:rPr>
          <w:rFonts w:cstheme="minorHAnsi"/>
          <w:noProof/>
          <w:color w:val="000000" w:themeColor="text1"/>
        </w:rPr>
        <w:t>(47)</w:t>
      </w:r>
      <w:r w:rsidR="00AA1E20">
        <w:rPr>
          <w:rFonts w:cstheme="minorHAnsi"/>
          <w:color w:val="000000" w:themeColor="text1"/>
        </w:rPr>
        <w:fldChar w:fldCharType="end"/>
      </w:r>
      <w:r w:rsidR="00C26F3F">
        <w:t xml:space="preserve">, </w:t>
      </w:r>
      <w:r w:rsidR="00F92CB0">
        <w:t xml:space="preserve">molecules </w:t>
      </w:r>
      <w:r w:rsidR="00507C3A">
        <w:t>containing simple mono-antennary sialylation as well as larger more complex tri- and tetra-antennary sialylation were selected for study (Fig. S</w:t>
      </w:r>
      <w:r w:rsidR="006F112F">
        <w:t>2</w:t>
      </w:r>
      <w:r w:rsidR="00507C3A">
        <w:t>).</w:t>
      </w:r>
    </w:p>
    <w:p w14:paraId="538DD8C5" w14:textId="1A6719C9" w:rsidR="00EC2408" w:rsidRPr="00BF14CC" w:rsidRDefault="00EC3591" w:rsidP="00064D17">
      <w:pPr>
        <w:spacing w:line="360" w:lineRule="auto"/>
      </w:pPr>
      <w:r>
        <w:lastRenderedPageBreak/>
        <w:tab/>
        <w:t>W</w:t>
      </w:r>
      <w:r w:rsidR="0011728C">
        <w:t>e found that, w</w:t>
      </w:r>
      <w:r>
        <w:t xml:space="preserve">hereas axons in the anti-MOG/complement-treated group were demyelinated, </w:t>
      </w:r>
      <w:r w:rsidR="007F1C52">
        <w:t xml:space="preserve">myelin was preserved </w:t>
      </w:r>
      <w:r w:rsidR="006B7628" w:rsidRPr="006B7628">
        <w:t>significantly</w:t>
      </w:r>
      <w:r w:rsidR="006B7628">
        <w:t xml:space="preserve"> </w:t>
      </w:r>
      <w:r w:rsidR="007F1C52">
        <w:t xml:space="preserve">with as little as </w:t>
      </w:r>
      <w:r w:rsidR="002B4398">
        <w:t>1</w:t>
      </w:r>
      <w:r w:rsidR="006B7628">
        <w:t>0</w:t>
      </w:r>
      <w:r w:rsidR="001850C8">
        <w:t xml:space="preserve"> </w:t>
      </w:r>
      <w:r w:rsidR="006B7628">
        <w:t>µ</w:t>
      </w:r>
      <w:r w:rsidR="007F1C52">
        <w:t xml:space="preserve">g/mL of D221N/C575A, </w:t>
      </w:r>
      <w:r w:rsidR="006B7628">
        <w:t>10</w:t>
      </w:r>
      <w:r w:rsidR="002F7977">
        <w:t xml:space="preserve"> </w:t>
      </w:r>
      <w:r w:rsidR="006B7628">
        <w:t>µ</w:t>
      </w:r>
      <w:r w:rsidR="007A3BC3">
        <w:t>g/mL</w:t>
      </w:r>
      <w:r w:rsidR="001850C8">
        <w:t xml:space="preserve"> </w:t>
      </w:r>
      <w:r w:rsidR="007F1C52">
        <w:t xml:space="preserve">D221N/C309L/N563A/C575A, </w:t>
      </w:r>
      <w:r w:rsidR="0011728C">
        <w:t>or</w:t>
      </w:r>
      <w:r w:rsidR="007F1C52">
        <w:t xml:space="preserve"> </w:t>
      </w:r>
      <w:r w:rsidR="006B7628">
        <w:t>3</w:t>
      </w:r>
      <w:r w:rsidR="002F7977">
        <w:t xml:space="preserve"> </w:t>
      </w:r>
      <w:r w:rsidR="006B7628">
        <w:t>µ</w:t>
      </w:r>
      <w:r w:rsidR="007A3BC3">
        <w:t>g/mL</w:t>
      </w:r>
      <w:r w:rsidR="001850C8">
        <w:t xml:space="preserve"> </w:t>
      </w:r>
      <w:r w:rsidR="007A3BC3">
        <w:t xml:space="preserve">of </w:t>
      </w:r>
      <w:r w:rsidR="007F1C52">
        <w:t>N563A/C575A</w:t>
      </w:r>
      <w:r w:rsidR="00711E8D">
        <w:t xml:space="preserve"> (Fig. </w:t>
      </w:r>
      <w:r w:rsidR="0033672D">
        <w:t>2</w:t>
      </w:r>
      <w:r w:rsidR="00192F9A">
        <w:t>, Fig. S3</w:t>
      </w:r>
      <w:r w:rsidR="00711E8D">
        <w:t>)</w:t>
      </w:r>
      <w:r w:rsidR="007F1C52">
        <w:t>. Concentrations of IVIG,  recombinant IgG1-Fc or D221N/C309L/N297A/C575A to 1 mg/mL were ineffective</w:t>
      </w:r>
      <w:r w:rsidR="0033672D">
        <w:t xml:space="preserve"> (Fig. 2A)</w:t>
      </w:r>
      <w:r w:rsidR="007A3BC3">
        <w:t>.</w:t>
      </w:r>
      <w:r w:rsidR="007F1C52">
        <w:t xml:space="preserve"> </w:t>
      </w:r>
      <w:r w:rsidR="007A3BC3">
        <w:t>O</w:t>
      </w:r>
      <w:r w:rsidR="007F1C52">
        <w:t xml:space="preserve">nly </w:t>
      </w:r>
      <w:r w:rsidR="001B2C9E">
        <w:t xml:space="preserve">at very </w:t>
      </w:r>
      <w:r w:rsidR="007F1C52">
        <w:t>high concentrations of IVIG (6 mg/mL)</w:t>
      </w:r>
      <w:r w:rsidR="001B2C9E">
        <w:t xml:space="preserve"> could myelin integrity be preserved in the OSC model (Fig. </w:t>
      </w:r>
      <w:r w:rsidR="0033672D">
        <w:t>2</w:t>
      </w:r>
      <w:r w:rsidR="001B2C9E">
        <w:t xml:space="preserve">). </w:t>
      </w:r>
      <w:r w:rsidR="003C1FEE">
        <w:t xml:space="preserve">The </w:t>
      </w:r>
      <w:r w:rsidR="007356CB" w:rsidRPr="007356CB">
        <w:t>D221N/C575A</w:t>
      </w:r>
      <w:r w:rsidR="003C1FEE">
        <w:t>,</w:t>
      </w:r>
      <w:r w:rsidR="007356CB" w:rsidRPr="007356CB">
        <w:t xml:space="preserve"> D221N/C309L/N563A/C575A and N563A/C575A </w:t>
      </w:r>
      <w:r w:rsidR="003C1FEE">
        <w:t xml:space="preserve">molecules </w:t>
      </w:r>
      <w:r w:rsidR="007356CB" w:rsidRPr="007356CB">
        <w:t>also protect</w:t>
      </w:r>
      <w:r w:rsidR="003C1FEE">
        <w:t>ed</w:t>
      </w:r>
      <w:r w:rsidR="007356CB" w:rsidRPr="007356CB">
        <w:t xml:space="preserve"> myelin in OSCs when demyelination was induced with human instead of rabbit complement (Fig. S</w:t>
      </w:r>
      <w:r w:rsidR="003C1FEE">
        <w:t>3</w:t>
      </w:r>
      <w:r w:rsidR="007356CB" w:rsidRPr="007356CB">
        <w:t>).</w:t>
      </w:r>
      <w:r w:rsidR="007356CB">
        <w:t xml:space="preserve"> </w:t>
      </w:r>
      <w:r w:rsidR="000075B3">
        <w:t xml:space="preserve">All the </w:t>
      </w:r>
      <w:r w:rsidR="008F6155">
        <w:t>Fc</w:t>
      </w:r>
      <w:r w:rsidR="008C2A6F">
        <w:t xml:space="preserve"> </w:t>
      </w:r>
      <w:r w:rsidR="000075B3">
        <w:t>molecules</w:t>
      </w:r>
      <w:r w:rsidR="008F6155">
        <w:t xml:space="preserve"> that </w:t>
      </w:r>
      <w:r w:rsidR="002F4EA1">
        <w:t xml:space="preserve">so </w:t>
      </w:r>
      <w:r w:rsidR="008F6155">
        <w:t xml:space="preserve">effectively </w:t>
      </w:r>
      <w:r w:rsidR="000075B3">
        <w:t>controll</w:t>
      </w:r>
      <w:r w:rsidR="008F6155">
        <w:t>ed</w:t>
      </w:r>
      <w:r w:rsidR="000075B3">
        <w:t xml:space="preserve"> demyelination </w:t>
      </w:r>
      <w:r w:rsidR="008F6155">
        <w:t xml:space="preserve">in the OSC model </w:t>
      </w:r>
      <w:r w:rsidR="000075B3">
        <w:t xml:space="preserve">also </w:t>
      </w:r>
      <w:r w:rsidR="008F6155">
        <w:t xml:space="preserve">fixed complement </w:t>
      </w:r>
      <w:r w:rsidR="00185E2A">
        <w:t>more efficiently</w:t>
      </w:r>
      <w:r w:rsidR="007A650B">
        <w:t xml:space="preserve"> (Fig. </w:t>
      </w:r>
      <w:r w:rsidR="00192F9A">
        <w:t xml:space="preserve">S3 and </w:t>
      </w:r>
      <w:r w:rsidR="007A650B">
        <w:t>S</w:t>
      </w:r>
      <w:r w:rsidR="00FE1D7E">
        <w:t>4</w:t>
      </w:r>
      <w:r w:rsidR="007A650B">
        <w:t>)</w:t>
      </w:r>
      <w:r w:rsidR="001E7BF0">
        <w:t xml:space="preserve">, </w:t>
      </w:r>
      <w:r w:rsidR="000075B3">
        <w:t xml:space="preserve">bound </w:t>
      </w:r>
      <w:r w:rsidR="001E7BF0">
        <w:t xml:space="preserve">low-affinity </w:t>
      </w:r>
      <w:proofErr w:type="spellStart"/>
      <w:r w:rsidR="001E7BF0">
        <w:t>Fc</w:t>
      </w:r>
      <w:r w:rsidR="001E7BF0" w:rsidRPr="007A650B">
        <w:rPr>
          <w:rFonts w:ascii="Symbol" w:hAnsi="Symbol"/>
        </w:rPr>
        <w:t></w:t>
      </w:r>
      <w:r w:rsidR="001E7BF0">
        <w:t>Rs</w:t>
      </w:r>
      <w:proofErr w:type="spellEnd"/>
      <w:r w:rsidR="007A650B">
        <w:t xml:space="preserve"> (Fig. S</w:t>
      </w:r>
      <w:r w:rsidR="00FE1D7E">
        <w:t>5</w:t>
      </w:r>
      <w:r w:rsidR="007A650B">
        <w:t xml:space="preserve">), </w:t>
      </w:r>
      <w:r w:rsidR="00222337">
        <w:t xml:space="preserve">and </w:t>
      </w:r>
      <w:r w:rsidR="007A650B">
        <w:t>glycan receptors (Fig. S</w:t>
      </w:r>
      <w:r w:rsidR="00FE1D7E">
        <w:t>6</w:t>
      </w:r>
      <w:r w:rsidR="007A650B">
        <w:t xml:space="preserve">) </w:t>
      </w:r>
      <w:r w:rsidR="00222337">
        <w:t>when compared to control molecules</w:t>
      </w:r>
      <w:r w:rsidR="00AC4AEC">
        <w:t xml:space="preserve"> and</w:t>
      </w:r>
      <w:r w:rsidR="00222337">
        <w:t xml:space="preserve"> as described previously </w:t>
      </w:r>
      <w:r w:rsidR="004724D9">
        <w:fldChar w:fldCharType="begin" w:fldLock="1"/>
      </w:r>
      <w:r w:rsidR="00DC4AAC">
        <w:instrText>ADDIN CSL_CITATION {"citationItems":[{"id":"ITEM-1","itemData":{"DOI":"10.1074/jbc.M117.795047","ISSN":"0021-9258","author":[{"dropping-particle":"","family":"Blundell","given":"Patricia A","non-dropping-particle":"","parse-names":false,"suffix":""},{"dropping-particle":"","family":"Le","given":"Ngoc Phuong Lan","non-dropping-particle":"","parse-names":false,"suffix":""},{"dropping-particle":"","family":"Allen","given":"Joel","non-dropping-particle":"","parse-names":false,"suffix":""},{"dropping-particle":"","family":"Watanabe","given":"Yasunori","non-dropping-particle":"","parse-names":false,"suffix":""},{"dropping-particle":"","family":"Pleass","given":"Richard J","non-dropping-particle":"","parse-names":false,"suffix":""}],"container-title":"Journal of Biological Chemistry","id":"ITEM-1","issued":{"date-parts":[["2017"]]},"page":"12994-13007","title":"Engineering the fragment crystallizable (Fc) region of human IgG1 multimers and monomers to fine-tune interactions with sialic acid-dependent receptors","type":"article-journal","volume":"292"},"uris":["http://www.mendeley.com/documents/?uuid=0a129f04-7d3c-4fde-8bb7-6ab517a0b7a2"]},{"id":"ITEM-2","itemData":{"DOI":"10.4049/jimmunol.1801337","ISSN":"0022-1767","abstract":"In therapeutic applications in which the Fc of IgG is critically important, the receptor binding and functional properties of the Fc are lost after deglycosylation or removal of the unique Asn297 N-X-(T/S) sequon. A population of Fcs bearing sialylated glycans has been identified as contributing to this functionality, and high levels of sialylation also lead to longer serum retention times advantageous for therapy. The efficacy of sialylated Fc has generated an incentive to modify the unique N-linked glycosylation site at Asn297, either through chemical and enzymatic methods or by mutagenesis of the Fc, that disrupts the protein-Asn297 carbohydrate interface. In this study, we took an alternative approach by inserting or deleting N-linked attachment sites into the body of the Fc to generate a portfolio of mutants with tailored effector functions. For example, we describe mutants with enhanced binding to low-affinity inhibitory human Fcγ and glycan receptors that may be usefully incorporated into existing Ab engineering approaches to treat or vaccinate against disease. The IgG1 Fc fragments containing complex sialylated glycans attached to the N-terminal Asn221 sequon bound influenza virus hemagglutinin and disrupted influenza A-mediated agglutination of human erythrocytes.","author":[{"dropping-particle":"","family":"Blundell","given":"Patricia A.","non-dropping-particle":"","parse-names":false,"suffix":""},{"dropping-particle":"","family":"Lu","given":"Dongli","non-dropping-particle":"","parse-names":false,"suffix":""},{"dropping-particle":"","family":"Wilkinson","given":"Mark.","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Immunology","id":"ITEM-2","issued":{"date-parts":[["2019"]]},"page":"1595-1611","title":"Insertion of N-Terminal Hinge Glycosylation Enhances Interactions of the Fc Region of Human IgG1 Monomers with Glycan-Dependent Receptors and Blocks Hemagglutination by the Influenza Virus","type":"article-journal","volume":"202"},"uris":["http://www.mendeley.com/documents/?uuid=ef264cf2-4739-4de3-8887-dc3a5dbd6881"]},{"id":"ITEM-3","itemData":{"DOI":"10.4049/jimmunol.1901145","ISSN":"0022-1767","PMID":"31907284","abstract":"Antibodies are glycoproteins that carry a conserved N-linked carbohydrate attached to the Fc, whose presence and fine structure profoundly impacts on their in vivo immunogenicity, pharmacokinetics and functional attributes. The host cell line used to produce IgG has a major impact on this glycosylation, as different systems express different glycosylation enzymes and transporters that contribute to the specificity and heterogeneity of the final IgG-Fc glycosylation profile. Here we compare two panels of glycan-adapted IgG1-Fc mutants expressed in either the HEK 293-F or CHO-K1 systems. We show that the types of N-linked glycans between matched pairs of Fc mutants vary significantly, and in particular with respect to sialylation. These cell line effects on glycosylation profoundly influence the ability of the engineered Fcs to interact with either human or pathogen receptors. For example, we describe Fc mutants that potently disrupted influenza B-mediated agglutination of human erythrocytes when expressed in CHO-K1 but not in HEK 293-F cells. * Abbreviations: Fc : Fragment crystallizable IVIG : Intravenous Immunoglobulin ITP : Idiopathic Thrombocytopenic Purpura tp : tailpiece Siglec : Sialic acid-binding immunoglobulin-type lectin CD : Cluster Designation CHO : Chinese Hamster Ovary DC-SIGN : Dendritic Cell-Specific Intercellular Adhesion Molecule-3-grabbing Non-Integrin DCIR : C-type Lectin Dendritic Cell Immunoreceptor CLEC : C-type Lectin HA : Hemagglutinin HIA : Hemagglutination Inhibition Assay HEK 293-F : Human Endothelial Kidney MBL : Mannose-Binding Lectin MMR : Macrophage Mannose Receptor mAbs : monoclonal Antibody MALDI : matrix-assisted laser desorption ionisation TOF : time-of-flight SE-HPLC : Size Exclusion-High Performance Liquid Chromatography","author":[{"dropping-particle":"","family":"Blundell","given":"Patricia A.","non-dropping-particle":"","parse-names":false,"suffix":""},{"dropping-particle":"","family":"Lu","given":"Dongli","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Immunology","id":"ITEM-3","issue":"4","issued":{"date-parts":[["2020"]]},"page":"1022-1034","title":"Choice of Host Cell Line Is Essential for the Functional Glycosylation of the Fc Region of Human IgG1 Inhibitors of Influenza B Viruses","type":"article-journal","volume":"204"},"uris":["http://www.mendeley.com/documents/?uuid=fe984b0a-b0f9-4576-a7c5-77c70633286d"]}],"mendeley":{"formattedCitation":"(30–32)","plainTextFormattedCitation":"(30–32)","previouslyFormattedCitation":"(30–32)"},"properties":{"noteIndex":0},"schema":"https://github.com/citation-style-language/schema/raw/master/csl-citation.json"}</w:instrText>
      </w:r>
      <w:r w:rsidR="004724D9">
        <w:fldChar w:fldCharType="separate"/>
      </w:r>
      <w:r w:rsidR="000F2966" w:rsidRPr="000F2966">
        <w:rPr>
          <w:noProof/>
        </w:rPr>
        <w:t>(30–32)</w:t>
      </w:r>
      <w:r w:rsidR="004724D9">
        <w:fldChar w:fldCharType="end"/>
      </w:r>
      <w:r w:rsidR="008F6155">
        <w:t>(</w:t>
      </w:r>
      <w:r w:rsidR="007A650B">
        <w:t xml:space="preserve">summarised in </w:t>
      </w:r>
      <w:r w:rsidR="00185E2A">
        <w:t>Table 1</w:t>
      </w:r>
      <w:r w:rsidR="008F6155">
        <w:t xml:space="preserve">). </w:t>
      </w:r>
      <w:r w:rsidR="00EA0DF4">
        <w:t>A</w:t>
      </w:r>
      <w:r w:rsidR="00E94BA6">
        <w:t>ssess</w:t>
      </w:r>
      <w:r w:rsidR="00EA0DF4">
        <w:t>ing the</w:t>
      </w:r>
      <w:r w:rsidR="00E94BA6">
        <w:t xml:space="preserve"> binding to cells in </w:t>
      </w:r>
      <w:r w:rsidR="00EA0DF4">
        <w:t xml:space="preserve">mouse </w:t>
      </w:r>
      <w:r w:rsidR="00E94BA6">
        <w:t xml:space="preserve">CNS myelinating cultures showed </w:t>
      </w:r>
      <w:r w:rsidR="00EA0DF4">
        <w:t xml:space="preserve">notably enhanced </w:t>
      </w:r>
      <w:r w:rsidR="00E94BA6" w:rsidRPr="00BF14CC">
        <w:t>binding to</w:t>
      </w:r>
      <w:r w:rsidR="00EA0DF4">
        <w:t>,</w:t>
      </w:r>
      <w:r w:rsidR="00E94BA6" w:rsidRPr="00BF14CC">
        <w:t xml:space="preserve"> and uptake by microglia</w:t>
      </w:r>
      <w:r w:rsidR="00EA0DF4">
        <w:t>,</w:t>
      </w:r>
      <w:r w:rsidR="00E94BA6" w:rsidRPr="00BF14CC">
        <w:t xml:space="preserve"> for the </w:t>
      </w:r>
      <w:r w:rsidR="00EA0DF4">
        <w:t>N563A/C575A and D221N/C309L/N563A/C575A</w:t>
      </w:r>
      <w:r w:rsidR="00E94BA6" w:rsidRPr="00BF14CC">
        <w:t xml:space="preserve"> molecules (Fig.</w:t>
      </w:r>
      <w:r w:rsidR="00205F2E" w:rsidRPr="00BF14CC">
        <w:t xml:space="preserve"> </w:t>
      </w:r>
      <w:r w:rsidR="00E94BA6" w:rsidRPr="00BF14CC">
        <w:t>S7).</w:t>
      </w:r>
      <w:r w:rsidR="00EA0DF4">
        <w:t xml:space="preserve"> Despite binding and uptake into microglia</w:t>
      </w:r>
      <w:r w:rsidR="00E94BA6" w:rsidRPr="00BF14CC">
        <w:t>, n</w:t>
      </w:r>
      <w:r w:rsidR="000075B3" w:rsidRPr="00BF14CC">
        <w:t>one</w:t>
      </w:r>
      <w:r w:rsidR="008F6155" w:rsidRPr="00BF14CC">
        <w:t xml:space="preserve"> of the glycan-adapted </w:t>
      </w:r>
      <w:r w:rsidR="00185E2A" w:rsidRPr="00BF14CC">
        <w:t xml:space="preserve">Fc </w:t>
      </w:r>
      <w:r w:rsidR="008F6155" w:rsidRPr="00BF14CC">
        <w:t xml:space="preserve">molecules negatively impacted the </w:t>
      </w:r>
      <w:r w:rsidR="00E97162" w:rsidRPr="00BF14CC">
        <w:t xml:space="preserve">viability of </w:t>
      </w:r>
      <w:r w:rsidR="007A650B" w:rsidRPr="00BF14CC">
        <w:t xml:space="preserve">axons or myelin </w:t>
      </w:r>
      <w:r w:rsidR="00185E2A" w:rsidRPr="00BF14CC">
        <w:t>as assessed</w:t>
      </w:r>
      <w:r w:rsidR="007A650B" w:rsidRPr="00BF14CC">
        <w:t xml:space="preserve"> by immunofluorescence microscopy</w:t>
      </w:r>
      <w:r w:rsidR="00185E2A" w:rsidRPr="00BF14CC">
        <w:t xml:space="preserve"> (Fig. S</w:t>
      </w:r>
      <w:r w:rsidR="00FE1D7E" w:rsidRPr="00BF14CC">
        <w:t>7</w:t>
      </w:r>
      <w:r w:rsidR="000F4628">
        <w:t xml:space="preserve"> </w:t>
      </w:r>
      <w:r w:rsidR="00B729CD">
        <w:t>DE</w:t>
      </w:r>
      <w:r w:rsidR="00185E2A" w:rsidRPr="00BF14CC">
        <w:t>)</w:t>
      </w:r>
      <w:r w:rsidR="000075B3" w:rsidRPr="00BF14CC">
        <w:t>.</w:t>
      </w:r>
    </w:p>
    <w:p w14:paraId="567CD9AD" w14:textId="3A82BDC9" w:rsidR="00B571BA" w:rsidRPr="00BF14CC" w:rsidRDefault="00B571BA" w:rsidP="00BF14CC">
      <w:pPr>
        <w:spacing w:line="360" w:lineRule="auto"/>
      </w:pPr>
    </w:p>
    <w:p w14:paraId="78B8DA9E" w14:textId="120FB828" w:rsidR="00B571BA" w:rsidRPr="00BF14CC" w:rsidRDefault="00B571BA" w:rsidP="00BF14CC">
      <w:pPr>
        <w:spacing w:line="360" w:lineRule="auto"/>
        <w:rPr>
          <w:b/>
          <w:bCs/>
          <w:color w:val="000000" w:themeColor="text1"/>
        </w:rPr>
      </w:pPr>
      <w:r w:rsidRPr="00BF14CC">
        <w:rPr>
          <w:b/>
          <w:bCs/>
          <w:color w:val="000000" w:themeColor="text1"/>
        </w:rPr>
        <w:t xml:space="preserve">Glycosylation adapted recombinant Fcs do not trigger inflammatory signatures from myelinating CNS cultures as revealed by </w:t>
      </w:r>
      <w:r w:rsidR="00205F2E" w:rsidRPr="00BF14CC">
        <w:rPr>
          <w:b/>
          <w:bCs/>
          <w:color w:val="000000" w:themeColor="text1"/>
        </w:rPr>
        <w:t>transcriptome</w:t>
      </w:r>
      <w:r w:rsidRPr="00BF14CC">
        <w:rPr>
          <w:b/>
          <w:bCs/>
          <w:color w:val="000000" w:themeColor="text1"/>
        </w:rPr>
        <w:t xml:space="preserve"> analysis</w:t>
      </w:r>
    </w:p>
    <w:p w14:paraId="16585EB4" w14:textId="5C124D8E" w:rsidR="00354D4C" w:rsidRPr="00BF14CC" w:rsidRDefault="00496E03" w:rsidP="00354D4C">
      <w:pPr>
        <w:spacing w:line="360" w:lineRule="auto"/>
        <w:rPr>
          <w:rFonts w:eastAsia="Times New Roman" w:cstheme="minorHAnsi"/>
          <w:color w:val="000000" w:themeColor="text1"/>
          <w:lang w:eastAsia="en-GB"/>
        </w:rPr>
      </w:pPr>
      <w:r w:rsidRPr="00BF14CC">
        <w:rPr>
          <w:color w:val="000000" w:themeColor="text1"/>
        </w:rPr>
        <w:t>To</w:t>
      </w:r>
      <w:r w:rsidR="00D3452A" w:rsidRPr="00BF14CC">
        <w:rPr>
          <w:color w:val="000000" w:themeColor="text1"/>
        </w:rPr>
        <w:t xml:space="preserve"> determine if</w:t>
      </w:r>
      <w:r w:rsidR="00BF11B3">
        <w:rPr>
          <w:color w:val="000000" w:themeColor="text1"/>
        </w:rPr>
        <w:t xml:space="preserve"> </w:t>
      </w:r>
      <w:r w:rsidR="002676C6">
        <w:rPr>
          <w:color w:val="000000" w:themeColor="text1"/>
        </w:rPr>
        <w:t>Fc</w:t>
      </w:r>
      <w:r w:rsidR="00D3452A" w:rsidRPr="00BF14CC">
        <w:rPr>
          <w:color w:val="000000" w:themeColor="text1"/>
        </w:rPr>
        <w:t xml:space="preserve"> binding</w:t>
      </w:r>
      <w:r w:rsidR="00EA0DF4">
        <w:rPr>
          <w:color w:val="000000" w:themeColor="text1"/>
        </w:rPr>
        <w:t xml:space="preserve"> and uptake</w:t>
      </w:r>
      <w:r w:rsidR="00BF11B3">
        <w:rPr>
          <w:color w:val="000000" w:themeColor="text1"/>
        </w:rPr>
        <w:t xml:space="preserve"> into microglia (Fig. S7)</w:t>
      </w:r>
      <w:r w:rsidR="002676C6">
        <w:rPr>
          <w:color w:val="000000" w:themeColor="text1"/>
        </w:rPr>
        <w:t xml:space="preserve"> can </w:t>
      </w:r>
      <w:r w:rsidR="00D3452A" w:rsidRPr="00BF14CC">
        <w:rPr>
          <w:color w:val="000000" w:themeColor="text1"/>
        </w:rPr>
        <w:t>trigger inflammatory signatures</w:t>
      </w:r>
      <w:r w:rsidR="00B11537" w:rsidRPr="00BF14CC">
        <w:rPr>
          <w:color w:val="000000" w:themeColor="text1"/>
        </w:rPr>
        <w:t>,</w:t>
      </w:r>
      <w:r w:rsidRPr="00BF14CC">
        <w:rPr>
          <w:color w:val="000000" w:themeColor="text1"/>
        </w:rPr>
        <w:t xml:space="preserve"> we performed </w:t>
      </w:r>
      <w:r w:rsidR="00A4426F" w:rsidRPr="00BF14CC">
        <w:rPr>
          <w:color w:val="000000" w:themeColor="text1"/>
        </w:rPr>
        <w:t>transcriptome</w:t>
      </w:r>
      <w:r w:rsidRPr="00BF14CC">
        <w:rPr>
          <w:color w:val="000000" w:themeColor="text1"/>
        </w:rPr>
        <w:t xml:space="preserve"> analysis of total RNA from myelinating CNS cultures treated with the different glycan-adapted Fc molecules for 24h</w:t>
      </w:r>
      <w:r w:rsidR="001D334A" w:rsidRPr="00BF14CC">
        <w:rPr>
          <w:color w:val="000000" w:themeColor="text1"/>
        </w:rPr>
        <w:t xml:space="preserve">. </w:t>
      </w:r>
      <w:r w:rsidR="00B11537" w:rsidRPr="00BF14CC">
        <w:rPr>
          <w:color w:val="000000" w:themeColor="text1"/>
        </w:rPr>
        <w:t xml:space="preserve">Two analyses were undertaken. One comparing </w:t>
      </w:r>
      <w:r w:rsidR="00A14352" w:rsidRPr="00BF14CC">
        <w:rPr>
          <w:color w:val="000000" w:themeColor="text1"/>
        </w:rPr>
        <w:t xml:space="preserve">relative </w:t>
      </w:r>
      <w:r w:rsidR="00B11537" w:rsidRPr="00BF14CC">
        <w:rPr>
          <w:color w:val="000000" w:themeColor="text1"/>
        </w:rPr>
        <w:t>transcript abundance of each Fc against the media control (Fig. S9), and a second analysis comparing transcript abundance against the IgG1-Fc control (Fig. S10).</w:t>
      </w:r>
      <w:r w:rsidRPr="00BF14CC">
        <w:rPr>
          <w:color w:val="000000" w:themeColor="text1"/>
        </w:rPr>
        <w:t xml:space="preserve"> </w:t>
      </w:r>
      <w:r w:rsidR="00B11537" w:rsidRPr="00BF14CC">
        <w:rPr>
          <w:color w:val="000000" w:themeColor="text1"/>
        </w:rPr>
        <w:t>Despite the close structural relatedness of these molecules most differentially expressed genes were unique to each construct</w:t>
      </w:r>
      <w:r w:rsidR="00E20472" w:rsidRPr="00BF14CC">
        <w:rPr>
          <w:color w:val="000000" w:themeColor="text1"/>
        </w:rPr>
        <w:t xml:space="preserve"> in both analyses (Fig. S9</w:t>
      </w:r>
      <w:r w:rsidR="00E8355D">
        <w:rPr>
          <w:color w:val="000000" w:themeColor="text1"/>
        </w:rPr>
        <w:t xml:space="preserve"> &amp; S10</w:t>
      </w:r>
      <w:r w:rsidR="00E20472" w:rsidRPr="00BF14CC">
        <w:rPr>
          <w:color w:val="000000" w:themeColor="text1"/>
        </w:rPr>
        <w:t xml:space="preserve">), </w:t>
      </w:r>
      <w:r w:rsidR="00A14352" w:rsidRPr="00BF14CC">
        <w:rPr>
          <w:color w:val="000000" w:themeColor="text1"/>
        </w:rPr>
        <w:t xml:space="preserve">with </w:t>
      </w:r>
      <w:r w:rsidR="00E20472" w:rsidRPr="00BF14CC">
        <w:rPr>
          <w:color w:val="000000" w:themeColor="text1"/>
        </w:rPr>
        <w:t xml:space="preserve">only three </w:t>
      </w:r>
      <w:r w:rsidR="00A14352" w:rsidRPr="00BF14CC">
        <w:rPr>
          <w:color w:val="000000" w:themeColor="text1"/>
        </w:rPr>
        <w:t xml:space="preserve">shared downregulated </w:t>
      </w:r>
      <w:r w:rsidR="00E20472" w:rsidRPr="00BF14CC">
        <w:rPr>
          <w:color w:val="000000" w:themeColor="text1"/>
        </w:rPr>
        <w:t>genes (</w:t>
      </w:r>
      <w:r w:rsidR="00E20472" w:rsidRPr="00BF14CC">
        <w:rPr>
          <w:i/>
          <w:iCs/>
          <w:color w:val="000000" w:themeColor="text1"/>
        </w:rPr>
        <w:t>mt-Nd6</w:t>
      </w:r>
      <w:r w:rsidR="00E20472" w:rsidRPr="00BF14CC">
        <w:rPr>
          <w:color w:val="000000" w:themeColor="text1"/>
        </w:rPr>
        <w:t xml:space="preserve">, </w:t>
      </w:r>
      <w:r w:rsidR="00E20472" w:rsidRPr="00BF14CC">
        <w:rPr>
          <w:i/>
          <w:iCs/>
          <w:color w:val="000000" w:themeColor="text1"/>
        </w:rPr>
        <w:t>Gm28437</w:t>
      </w:r>
      <w:r w:rsidR="00E20472" w:rsidRPr="00BF14CC">
        <w:rPr>
          <w:color w:val="000000" w:themeColor="text1"/>
        </w:rPr>
        <w:t xml:space="preserve">, </w:t>
      </w:r>
      <w:proofErr w:type="spellStart"/>
      <w:r w:rsidR="00E20472" w:rsidRPr="00BF14CC">
        <w:rPr>
          <w:i/>
          <w:iCs/>
          <w:color w:val="000000" w:themeColor="text1"/>
        </w:rPr>
        <w:t>Hnrnpu</w:t>
      </w:r>
      <w:proofErr w:type="spellEnd"/>
      <w:r w:rsidR="00E20472" w:rsidRPr="00BF14CC">
        <w:rPr>
          <w:color w:val="000000" w:themeColor="text1"/>
        </w:rPr>
        <w:t xml:space="preserve">) </w:t>
      </w:r>
      <w:r w:rsidR="00A14352" w:rsidRPr="00BF14CC">
        <w:rPr>
          <w:color w:val="000000" w:themeColor="text1"/>
        </w:rPr>
        <w:t xml:space="preserve">seen in all the treatment groups </w:t>
      </w:r>
      <w:r w:rsidR="00E20472" w:rsidRPr="00BF14CC">
        <w:rPr>
          <w:color w:val="000000" w:themeColor="text1"/>
        </w:rPr>
        <w:t xml:space="preserve">(Fig. S9). </w:t>
      </w:r>
      <w:r w:rsidR="00586A7F" w:rsidRPr="00BF14CC">
        <w:rPr>
          <w:color w:val="000000" w:themeColor="text1"/>
        </w:rPr>
        <w:t>Many</w:t>
      </w:r>
      <w:r w:rsidR="00E20472" w:rsidRPr="00BF14CC">
        <w:rPr>
          <w:color w:val="000000" w:themeColor="text1"/>
        </w:rPr>
        <w:t xml:space="preserve"> processed pseudogenes </w:t>
      </w:r>
      <w:r w:rsidR="00586A7F" w:rsidRPr="00BF14CC">
        <w:rPr>
          <w:color w:val="000000" w:themeColor="text1"/>
        </w:rPr>
        <w:t>were observed in the transcriptomes</w:t>
      </w:r>
      <w:r w:rsidR="00A14352" w:rsidRPr="00BF14CC">
        <w:rPr>
          <w:color w:val="000000" w:themeColor="text1"/>
        </w:rPr>
        <w:t>, including</w:t>
      </w:r>
      <w:r w:rsidR="00586A7F" w:rsidRPr="00BF14CC">
        <w:rPr>
          <w:color w:val="000000" w:themeColor="text1"/>
        </w:rPr>
        <w:t xml:space="preserve"> </w:t>
      </w:r>
      <w:r w:rsidR="00586A7F" w:rsidRPr="00BF14CC">
        <w:rPr>
          <w:i/>
          <w:iCs/>
          <w:color w:val="000000" w:themeColor="text1"/>
        </w:rPr>
        <w:t>Gm8325</w:t>
      </w:r>
      <w:r w:rsidR="00586A7F" w:rsidRPr="00BF14CC">
        <w:rPr>
          <w:color w:val="000000" w:themeColor="text1"/>
        </w:rPr>
        <w:t xml:space="preserve">, </w:t>
      </w:r>
      <w:proofErr w:type="spellStart"/>
      <w:r w:rsidR="00586A7F" w:rsidRPr="00BF14CC">
        <w:rPr>
          <w:i/>
          <w:iCs/>
          <w:color w:val="000000" w:themeColor="text1"/>
        </w:rPr>
        <w:t>Hnrnpu</w:t>
      </w:r>
      <w:proofErr w:type="spellEnd"/>
      <w:r w:rsidR="00586A7F" w:rsidRPr="00BF14CC">
        <w:rPr>
          <w:color w:val="000000" w:themeColor="text1"/>
        </w:rPr>
        <w:t xml:space="preserve">, </w:t>
      </w:r>
      <w:r w:rsidR="00586A7F" w:rsidRPr="00BF14CC">
        <w:rPr>
          <w:i/>
          <w:iCs/>
          <w:color w:val="000000" w:themeColor="text1"/>
        </w:rPr>
        <w:t>H19</w:t>
      </w:r>
      <w:r w:rsidR="00586A7F" w:rsidRPr="00BF14CC">
        <w:rPr>
          <w:color w:val="000000" w:themeColor="text1"/>
        </w:rPr>
        <w:t xml:space="preserve"> and </w:t>
      </w:r>
      <w:r w:rsidR="00586A7F" w:rsidRPr="00BF14CC">
        <w:rPr>
          <w:i/>
          <w:iCs/>
          <w:color w:val="000000" w:themeColor="text1"/>
        </w:rPr>
        <w:t xml:space="preserve">Malat-1. </w:t>
      </w:r>
      <w:r w:rsidR="00586A7F" w:rsidRPr="00BF14CC">
        <w:rPr>
          <w:color w:val="000000" w:themeColor="text1"/>
        </w:rPr>
        <w:t>Some of these are protein coding with unknown function, while others can be processed into short interfering RNAs</w:t>
      </w:r>
      <w:r w:rsidR="00A14352" w:rsidRPr="00BF14CC">
        <w:rPr>
          <w:color w:val="000000" w:themeColor="text1"/>
        </w:rPr>
        <w:t xml:space="preserve"> (siRNAs)</w:t>
      </w:r>
      <w:r w:rsidR="00586A7F" w:rsidRPr="00BF14CC">
        <w:rPr>
          <w:color w:val="000000" w:themeColor="text1"/>
        </w:rPr>
        <w:t xml:space="preserve"> or long intergenic non-coding RNAs (lincRNA) that can potently regulate coding </w:t>
      </w:r>
      <w:r w:rsidR="00586A7F" w:rsidRPr="00BF14CC">
        <w:rPr>
          <w:rFonts w:cstheme="minorHAnsi"/>
          <w:color w:val="000000" w:themeColor="text1"/>
        </w:rPr>
        <w:t>genes</w:t>
      </w:r>
      <w:r w:rsidR="005F79B1" w:rsidRPr="00BF14CC">
        <w:rPr>
          <w:rFonts w:cstheme="minorHAnsi"/>
          <w:color w:val="000000" w:themeColor="text1"/>
        </w:rPr>
        <w:t xml:space="preserve"> </w:t>
      </w:r>
      <w:r w:rsidR="00274EFE" w:rsidRPr="00BF14CC">
        <w:rPr>
          <w:rFonts w:cstheme="minorHAnsi"/>
          <w:color w:val="000000" w:themeColor="text1"/>
        </w:rPr>
        <w:fldChar w:fldCharType="begin" w:fldLock="1"/>
      </w:r>
      <w:r w:rsidR="00DC4AAC">
        <w:rPr>
          <w:rFonts w:cstheme="minorHAnsi"/>
          <w:color w:val="000000" w:themeColor="text1"/>
        </w:rPr>
        <w:instrText>ADDIN CSL_CITATION {"citationItems":[{"id":"ITEM-1","itemData":{"DOI":"10.1007/s10142-016-0524-x","ISSN":"14387948","PMID":"27681237","abstract":"Long intergenic non-coding RNAs (lincRNAs) are defined as RNA transcripts that are longer than 200 nucleotides. By definition, these RNAs must not have open reading frames that encode proteins. Many of these transcripts are encoded by RNA polymerase II, are spliced, and are poly-adenylated. This final fact indicates that there is a trove of information about lincRNAs in databases such as the Gene Expression Omnibus (GEO), which is a repository for RNAseq and microarray data. Recent experiments indicate that there are upwards of 15,000 lincRNAs encoded by the human genome. The term “intergenic” refers to the identification of these transcripts from regions of the genome that do not contain protein-encoding genes. These regions coincide with what was once labeled as the “junk DNA” portions of our genomes, which, upon careful examination by whole genome RNA sequencing experiments, clearly encode RNA transcripts. LincRNAs also contain promoter- or enhancer-associated RNAs that are gene proximal and can be either in the sense or antisense orientation, relative to the protein-coding gene with which they are associated. In this review, we describe the functions of lincRNAs playing roles in biological processes such as gene expression control, scaffold formation, and epigenetic control.","author":[{"dropping-particle":"","family":"Deniz","given":"Emre","non-dropping-particle":"","parse-names":false,"suffix":""},{"dropping-particle":"","family":"Erman","given":"Batu","non-dropping-particle":"","parse-names":false,"suffix":""}],"container-title":"Functional and Integrative Genomics","id":"ITEM-1","issued":{"date-parts":[["2017"]]},"page":"135-143","title":"Long noncoding RNA (lincRNA), a new paradigm in gene expression control","type":"article-journal","volume":"17"},"uris":["http://www.mendeley.com/documents/?uuid=667d2b56-95eb-466a-8c82-d099f421ff43"]}],"mendeley":{"formattedCitation":"(48)","plainTextFormattedCitation":"(48)","previouslyFormattedCitation":"(48)"},"properties":{"noteIndex":0},"schema":"https://github.com/citation-style-language/schema/raw/master/csl-citation.json"}</w:instrText>
      </w:r>
      <w:r w:rsidR="00274EFE" w:rsidRPr="00BF14CC">
        <w:rPr>
          <w:rFonts w:cstheme="minorHAnsi"/>
          <w:color w:val="000000" w:themeColor="text1"/>
        </w:rPr>
        <w:fldChar w:fldCharType="separate"/>
      </w:r>
      <w:r w:rsidR="000F2966" w:rsidRPr="000F2966">
        <w:rPr>
          <w:rFonts w:cstheme="minorHAnsi"/>
          <w:noProof/>
          <w:color w:val="000000" w:themeColor="text1"/>
        </w:rPr>
        <w:t>(48)</w:t>
      </w:r>
      <w:r w:rsidR="00274EFE" w:rsidRPr="00BF14CC">
        <w:rPr>
          <w:rFonts w:cstheme="minorHAnsi"/>
          <w:color w:val="000000" w:themeColor="text1"/>
        </w:rPr>
        <w:fldChar w:fldCharType="end"/>
      </w:r>
      <w:r w:rsidR="00586A7F" w:rsidRPr="00BF14CC">
        <w:rPr>
          <w:rFonts w:cstheme="minorHAnsi"/>
          <w:color w:val="000000" w:themeColor="text1"/>
        </w:rPr>
        <w:t xml:space="preserve">. </w:t>
      </w:r>
      <w:r w:rsidR="008A45B8" w:rsidRPr="00BF14CC">
        <w:rPr>
          <w:rFonts w:cstheme="minorHAnsi"/>
          <w:color w:val="000000" w:themeColor="text1"/>
        </w:rPr>
        <w:t>Gene ontology analysis revealed very few immune and inflammatory response associated genes</w:t>
      </w:r>
      <w:r w:rsidR="00A14352" w:rsidRPr="00BF14CC">
        <w:rPr>
          <w:rFonts w:cstheme="minorHAnsi"/>
          <w:color w:val="000000" w:themeColor="text1"/>
        </w:rPr>
        <w:t xml:space="preserve"> </w:t>
      </w:r>
      <w:r w:rsidR="008A45B8" w:rsidRPr="00BF14CC">
        <w:rPr>
          <w:rFonts w:cstheme="minorHAnsi"/>
          <w:color w:val="000000" w:themeColor="text1"/>
        </w:rPr>
        <w:t xml:space="preserve">in contrast </w:t>
      </w:r>
      <w:r w:rsidR="00A14352" w:rsidRPr="00BF14CC">
        <w:rPr>
          <w:rFonts w:cstheme="minorHAnsi"/>
          <w:color w:val="000000" w:themeColor="text1"/>
        </w:rPr>
        <w:t xml:space="preserve">to </w:t>
      </w:r>
      <w:r w:rsidR="005F79B1" w:rsidRPr="00BF14CC">
        <w:rPr>
          <w:rFonts w:cstheme="minorHAnsi"/>
          <w:color w:val="000000" w:themeColor="text1"/>
        </w:rPr>
        <w:t xml:space="preserve">transcriptomic studies of mouse CNS after viral infection where multiple immune genes are transcribed </w:t>
      </w:r>
      <w:r w:rsidR="008A2B73" w:rsidRPr="00BF14CC">
        <w:rPr>
          <w:rFonts w:cstheme="minorHAnsi"/>
          <w:color w:val="000000" w:themeColor="text1"/>
        </w:rPr>
        <w:fldChar w:fldCharType="begin" w:fldLock="1"/>
      </w:r>
      <w:r w:rsidR="00DC4AAC">
        <w:rPr>
          <w:rFonts w:cstheme="minorHAnsi"/>
          <w:color w:val="000000" w:themeColor="text1"/>
        </w:rPr>
        <w:instrText>ADDIN CSL_CITATION {"citationItems":[{"id":"ITEM-1","itemData":{"DOI":"10.1186/s12974-019-1545-x","ISSN":"17422094","PMID":"31325960","abstract":"Background: In the healthy central nervous system (CNS), microglia are found in a homeostatic state and peripheral macrophages are absent from the brain. Microglia play key roles in maintaining CNS homeostasis and acting as first responders to infection and inflammation, and peripheral macrophages infiltrate the CNS during neuroinflammation. Due to their distinct origins and functions, discrimination between these cell populations is essential to the comprehension of neuroinflammatory disorders. Studies comparing the gene profiles of microglia and peripheral macrophages, or macrophages in vitro-derived from bone marrow, under non-infectious conditions of the CNS, have revealed valuable microglial-specific genes. However, studies comparing gene profiles between CNS-infiltrating macrophages and microglia, when both are isolated from the CNS during viral-induced neuroinflammation, are lacking. Methods: We isolated, via flow cytometry, microglia and infiltrating macrophages from the brains of Theiler's murine encephalomyelitis virus-infected C57BL/6 J mice and used RNA-Seq, followed by validation with qPCR, to examine the differential transcriptional profiles of these cells. We utilized primary literature defining subcellular localization to determine whether or not particular proteins extracted from the transcriptional profiles were expressed at the cell surface. The surface expression and cellular specificity of triggering receptor expressed on myeloid cells 1 (TREM-1) protein were examined via flow cytometry. We also examined the immune response gene profile within the transcriptional profiles of these isolated microglia and infiltrating macrophages. Results: We have identified and validated new microglial- and macrophage-specific genes, encoding cell surface proteins, expressed at the peak of neuroinflammation. TREM-1 protein was confirmed to be expressed by infiltrating macrophages, not microglia, at the peak of neuroinflammation. We also identified both unique and redundant immune functions, through examination of the immune response gene profiles, of microglia and infiltrating macrophages during neurotropic viral infection. Conclusions: The differential expression of cell surface-specific genes during neuroinflammation can potentially be used to discriminate between microglia and macrophages as well as provide a resource that can be further utilized to target and manipulate specific cell responses during neuroinflammation.","author":[{"dropping-particle":"","family":"DePaula-Silva","given":"Ana Beatriz","non-dropping-particle":"","parse-names":false,"suffix":""},{"dropping-particle":"","family":"Gorbea","given":"Carlos","non-dropping-particle":"","parse-names":false,"suffix":""},{"dropping-particle":"","family":"Doty","given":"Daniel J.","non-dropping-particle":"","parse-names":false,"suffix":""},{"dropping-particle":"","family":"Libbey","given":"Jane E.","non-dropping-particle":"","parse-names":false,"suffix":""},{"dropping-particle":"","family":"Sanchez","given":"John Michael S.","non-dropping-particle":"","parse-names":false,"suffix":""},{"dropping-particle":"","family":"Hanak","given":"Tyler J.","non-dropping-particle":"","parse-names":false,"suffix":""},{"dropping-particle":"","family":"Cazalla","given":"Demián","non-dropping-particle":"","parse-names":false,"suffix":""},{"dropping-particle":"","family":"Fujinami","given":"Robert S.","non-dropping-particle":"","parse-names":false,"suffix":""}],"container-title":"Journal of Neuroinflammation","id":"ITEM-1","issue":"152","issued":{"date-parts":[["2019"]]},"page":"doi.org/10.1186/s12974-019-1545-x","title":"Differential transcriptional profiles identify microglial- and macrophage-specific gene markers expressed during virus-induced neuroinflammation","type":"article-journal","volume":"16"},"uris":["http://www.mendeley.com/documents/?uuid=9232037e-8405-4e49-a2f7-19e391799ae8"]}],"mendeley":{"formattedCitation":"(49)","plainTextFormattedCitation":"(49)","previouslyFormattedCitation":"(49)"},"properties":{"noteIndex":0},"schema":"https://github.com/citation-style-language/schema/raw/master/csl-citation.json"}</w:instrText>
      </w:r>
      <w:r w:rsidR="008A2B73" w:rsidRPr="00BF14CC">
        <w:rPr>
          <w:rFonts w:cstheme="minorHAnsi"/>
          <w:color w:val="000000" w:themeColor="text1"/>
        </w:rPr>
        <w:fldChar w:fldCharType="separate"/>
      </w:r>
      <w:r w:rsidR="000F2966" w:rsidRPr="000F2966">
        <w:rPr>
          <w:rFonts w:cstheme="minorHAnsi"/>
          <w:noProof/>
          <w:color w:val="000000" w:themeColor="text1"/>
        </w:rPr>
        <w:t>(49)</w:t>
      </w:r>
      <w:r w:rsidR="008A2B73" w:rsidRPr="00BF14CC">
        <w:rPr>
          <w:rFonts w:cstheme="minorHAnsi"/>
          <w:color w:val="000000" w:themeColor="text1"/>
        </w:rPr>
        <w:fldChar w:fldCharType="end"/>
      </w:r>
      <w:r w:rsidR="008A45B8" w:rsidRPr="00BF14CC">
        <w:rPr>
          <w:rFonts w:cstheme="minorHAnsi"/>
          <w:color w:val="000000" w:themeColor="text1"/>
        </w:rPr>
        <w:t>.</w:t>
      </w:r>
      <w:r w:rsidR="005F79B1" w:rsidRPr="00BF14CC">
        <w:rPr>
          <w:rFonts w:cstheme="minorHAnsi"/>
          <w:color w:val="000000" w:themeColor="text1"/>
        </w:rPr>
        <w:t xml:space="preserve"> </w:t>
      </w:r>
      <w:r w:rsidR="00F72670" w:rsidRPr="00BF14CC">
        <w:rPr>
          <w:rFonts w:cstheme="minorHAnsi"/>
          <w:color w:val="000000" w:themeColor="text1"/>
        </w:rPr>
        <w:t>One notable gene whose transcript number decreased</w:t>
      </w:r>
      <w:r w:rsidR="000E2FB3" w:rsidRPr="00BF14CC">
        <w:rPr>
          <w:rFonts w:cstheme="minorHAnsi"/>
          <w:color w:val="000000" w:themeColor="text1"/>
        </w:rPr>
        <w:t xml:space="preserve"> significantly in </w:t>
      </w:r>
      <w:r w:rsidR="000E2FB3" w:rsidRPr="00BF14CC">
        <w:rPr>
          <w:rFonts w:cstheme="minorHAnsi"/>
          <w:color w:val="000000" w:themeColor="text1"/>
        </w:rPr>
        <w:lastRenderedPageBreak/>
        <w:t xml:space="preserve">response to all the Fc treatments was </w:t>
      </w:r>
      <w:proofErr w:type="spellStart"/>
      <w:r w:rsidR="00F72670" w:rsidRPr="00BF14CC">
        <w:rPr>
          <w:rFonts w:cstheme="minorHAnsi"/>
          <w:i/>
          <w:iCs/>
          <w:color w:val="000000" w:themeColor="text1"/>
        </w:rPr>
        <w:t>Hnrnpu</w:t>
      </w:r>
      <w:proofErr w:type="spellEnd"/>
      <w:r w:rsidR="000E2FB3" w:rsidRPr="00BF14CC">
        <w:rPr>
          <w:rFonts w:cstheme="minorHAnsi"/>
          <w:i/>
          <w:iCs/>
          <w:color w:val="000000" w:themeColor="text1"/>
        </w:rPr>
        <w:t xml:space="preserve"> </w:t>
      </w:r>
      <w:r w:rsidR="000E2FB3" w:rsidRPr="00BF14CC">
        <w:rPr>
          <w:rFonts w:cstheme="minorHAnsi"/>
          <w:color w:val="000000" w:themeColor="text1"/>
        </w:rPr>
        <w:t>(Fig. S9).</w:t>
      </w:r>
      <w:r w:rsidR="00F72670" w:rsidRPr="00BF14CC">
        <w:rPr>
          <w:rFonts w:cstheme="minorHAnsi"/>
          <w:color w:val="000000" w:themeColor="text1"/>
        </w:rPr>
        <w:t xml:space="preserve"> </w:t>
      </w:r>
      <w:r w:rsidR="000E2FB3" w:rsidRPr="00BF14CC">
        <w:rPr>
          <w:rFonts w:cstheme="minorHAnsi"/>
          <w:color w:val="000000" w:themeColor="text1"/>
        </w:rPr>
        <w:t>A</w:t>
      </w:r>
      <w:r w:rsidR="00F72670" w:rsidRPr="00BF14CC">
        <w:rPr>
          <w:rFonts w:cstheme="minorHAnsi"/>
          <w:color w:val="000000" w:themeColor="text1"/>
        </w:rPr>
        <w:t>lso known as nuclear matrix protein SAFA</w:t>
      </w:r>
      <w:r w:rsidR="000E2FB3" w:rsidRPr="00BF14CC">
        <w:rPr>
          <w:rFonts w:cstheme="minorHAnsi"/>
          <w:color w:val="000000" w:themeColor="text1"/>
        </w:rPr>
        <w:t xml:space="preserve">, </w:t>
      </w:r>
      <w:proofErr w:type="spellStart"/>
      <w:r w:rsidR="000E2FB3" w:rsidRPr="00BF14CC">
        <w:rPr>
          <w:rFonts w:cstheme="minorHAnsi"/>
          <w:i/>
          <w:iCs/>
          <w:color w:val="000000" w:themeColor="text1"/>
        </w:rPr>
        <w:t>Hnrnpu</w:t>
      </w:r>
      <w:proofErr w:type="spellEnd"/>
      <w:r w:rsidR="00F72670" w:rsidRPr="00BF14CC">
        <w:rPr>
          <w:rFonts w:cstheme="minorHAnsi"/>
          <w:color w:val="000000" w:themeColor="text1"/>
        </w:rPr>
        <w:t xml:space="preserve"> </w:t>
      </w:r>
      <w:r w:rsidR="00F72670" w:rsidRPr="00BF14CC">
        <w:rPr>
          <w:rFonts w:eastAsia="Times New Roman" w:cstheme="minorHAnsi"/>
          <w:color w:val="000000" w:themeColor="text1"/>
          <w:lang w:eastAsia="en-GB"/>
        </w:rPr>
        <w:t>functions as a nuclear viral dsRNA sensor for both DNA and RNA viruses</w:t>
      </w:r>
      <w:r w:rsidR="000E2FB3" w:rsidRPr="00BF14CC">
        <w:rPr>
          <w:rFonts w:eastAsia="Times New Roman" w:cstheme="minorHAnsi"/>
          <w:color w:val="000000" w:themeColor="text1"/>
          <w:lang w:eastAsia="en-GB"/>
        </w:rPr>
        <w:t xml:space="preserve"> </w:t>
      </w:r>
      <w:r w:rsidR="000E2FB3" w:rsidRPr="00BF14CC">
        <w:rPr>
          <w:rFonts w:eastAsia="Times New Roman" w:cstheme="minorHAnsi"/>
          <w:color w:val="000000" w:themeColor="text1"/>
          <w:lang w:eastAsia="en-GB"/>
        </w:rPr>
        <w:fldChar w:fldCharType="begin" w:fldLock="1"/>
      </w:r>
      <w:r w:rsidR="00DC4AAC">
        <w:rPr>
          <w:rFonts w:eastAsia="Times New Roman" w:cstheme="minorHAnsi"/>
          <w:color w:val="000000" w:themeColor="text1"/>
          <w:lang w:eastAsia="en-GB"/>
        </w:rPr>
        <w:instrText>ADDIN CSL_CITATION {"citationItems":[{"id":"ITEM-1","itemData":{"DOI":"10.1016/j.chom.2019.08.010","ISSN":"19346069","PMID":"31513772","abstract":"Cao et al. identified the nuclear matrix protein SAFA as a nuclear sensor of viral RNA. Recognition of viral RNA triggers SAFA oligomerization and activation of antiviral gene expression via its interaction with chromatin remodelers and enhancers and super-enhancers.","author":[{"dropping-particle":"","family":"Cao","given":"Lili","non-dropping-particle":"","parse-names":false,"suffix":""},{"dropping-particle":"","family":"Liu","given":"Shengde","non-dropping-particle":"","parse-names":false,"suffix":""},{"dropping-particle":"","family":"Li","given":"Yunfei","non-dropping-particle":"","parse-names":false,"suffix":""},{"dropping-particle":"","family":"Yang","given":"Guang","non-dropping-particle":"","parse-names":false,"suffix":""},{"dropping-particle":"","family":"Luo","given":"Yujie","non-dropping-particle":"","parse-names":false,"suffix":""},{"dropping-particle":"","family":"Li","given":"Siji","non-dropping-particle":"","parse-names":false,"suffix":""},{"dropping-particle":"","family":"Du","given":"Hongqiang","non-dropping-particle":"","parse-names":false,"suffix":""},{"dropping-particle":"","family":"Zhao","given":"Yingchi","non-dropping-particle":"","parse-names":false,"suffix":""},{"dropping-particle":"","family":"Wang","given":"Dandan","non-dropping-particle":"","parse-names":false,"suffix":""},{"dropping-particle":"","family":"Chen","given":"Jingxuan","non-dropping-particle":"","parse-names":false,"suffix":""},{"dropping-particle":"","family":"Zhang","given":"Zeming","non-dropping-particle":"","parse-names":false,"suffix":""},{"dropping-particle":"","family":"Li","given":"Mo","non-dropping-particle":"","parse-names":false,"suffix":""},{"dropping-particle":"","family":"Ouyang","given":"Songying","non-dropping-particle":"","parse-names":false,"suffix":""},{"dropping-particle":"","family":"Gao","given":"Xiang","non-dropping-particle":"","parse-names":false,"suffix":""},{"dropping-particle":"","family":"Sun","given":"Yujie","non-dropping-particle":"","parse-names":false,"suffix":""},{"dropping-particle":"","family":"Wang","given":"Zekun","non-dropping-particle":"","parse-names":false,"suffix":""},{"dropping-particle":"","family":"Yang","given":"Long","non-dropping-particle":"","parse-names":false,"suffix":""},{"dropping-particle":"","family":"Lin","given":"Rongtuan","non-dropping-particle":"","parse-names":false,"suffix":""},{"dropping-particle":"","family":"Wang","given":"Penghua","non-dropping-particle":"","parse-names":false,"suffix":""},{"dropping-particle":"","family":"You","given":"Fuping","non-dropping-particle":"","parse-names":false,"suffix":""}],"container-title":"Cell Host and Microbe","id":"ITEM-1","issued":{"date-parts":[["2019"]]},"page":"369-384","title":"The Nuclear Matrix Protein SAFA Surveils Viral RNA and Facilitates Immunity by Activating Antiviral Enhancers and Super-enhancers","type":"article-journal","volume":"26"},"uris":["http://www.mendeley.com/documents/?uuid=26b936e3-a88f-4f7d-94fd-b0fffd00878a"]}],"mendeley":{"formattedCitation":"(50)","plainTextFormattedCitation":"(50)","previouslyFormattedCitation":"(50)"},"properties":{"noteIndex":0},"schema":"https://github.com/citation-style-language/schema/raw/master/csl-citation.json"}</w:instrText>
      </w:r>
      <w:r w:rsidR="000E2FB3" w:rsidRPr="00BF14CC">
        <w:rPr>
          <w:rFonts w:eastAsia="Times New Roman" w:cstheme="minorHAnsi"/>
          <w:color w:val="000000" w:themeColor="text1"/>
          <w:lang w:eastAsia="en-GB"/>
        </w:rPr>
        <w:fldChar w:fldCharType="separate"/>
      </w:r>
      <w:r w:rsidR="000F2966" w:rsidRPr="000F2966">
        <w:rPr>
          <w:rFonts w:eastAsia="Times New Roman" w:cstheme="minorHAnsi"/>
          <w:noProof/>
          <w:color w:val="000000" w:themeColor="text1"/>
          <w:lang w:eastAsia="en-GB"/>
        </w:rPr>
        <w:t>(50)</w:t>
      </w:r>
      <w:r w:rsidR="000E2FB3" w:rsidRPr="00BF14CC">
        <w:rPr>
          <w:rFonts w:eastAsia="Times New Roman" w:cstheme="minorHAnsi"/>
          <w:color w:val="000000" w:themeColor="text1"/>
          <w:lang w:eastAsia="en-GB"/>
        </w:rPr>
        <w:fldChar w:fldCharType="end"/>
      </w:r>
      <w:r w:rsidR="00F72670" w:rsidRPr="00BF14CC">
        <w:rPr>
          <w:rFonts w:eastAsia="Times New Roman" w:cstheme="minorHAnsi"/>
          <w:color w:val="000000" w:themeColor="text1"/>
          <w:lang w:eastAsia="en-GB"/>
        </w:rPr>
        <w:t>. Upon recognition of viral dsRNA, SAFA oligomerizes and activates the enhancers of antiviral genes, including IFNB1</w:t>
      </w:r>
      <w:r w:rsidR="000E2FB3" w:rsidRPr="00BF14CC">
        <w:rPr>
          <w:rFonts w:eastAsia="Times New Roman" w:cstheme="minorHAnsi"/>
          <w:color w:val="000000" w:themeColor="text1"/>
          <w:lang w:eastAsia="en-GB"/>
        </w:rPr>
        <w:t xml:space="preserve"> whose transcripts are notably absent in our analysis</w:t>
      </w:r>
      <w:r w:rsidR="00F72670" w:rsidRPr="00BF14CC">
        <w:rPr>
          <w:rFonts w:eastAsia="Times New Roman" w:cstheme="minorHAnsi"/>
          <w:color w:val="000000" w:themeColor="text1"/>
          <w:lang w:eastAsia="en-GB"/>
        </w:rPr>
        <w:t>.</w:t>
      </w:r>
      <w:r w:rsidR="00BF14CC">
        <w:rPr>
          <w:rFonts w:eastAsia="Times New Roman" w:cstheme="minorHAnsi"/>
          <w:color w:val="000000" w:themeColor="text1"/>
          <w:lang w:eastAsia="en-GB"/>
        </w:rPr>
        <w:t xml:space="preserve"> D</w:t>
      </w:r>
      <w:r w:rsidR="00BF14CC">
        <w:rPr>
          <w:rFonts w:ascii="Calibri" w:eastAsia="Times New Roman" w:hAnsi="Calibri" w:cs="Times New Roman"/>
          <w:color w:val="000000"/>
          <w:lang w:eastAsia="en-GB"/>
        </w:rPr>
        <w:t>ifferentially expressed genes (DEG) were analysed</w:t>
      </w:r>
      <w:r w:rsidR="00BF14CC" w:rsidRPr="00BF14CC">
        <w:rPr>
          <w:rFonts w:ascii="Calibri" w:eastAsia="Times New Roman" w:hAnsi="Calibri" w:cs="Times New Roman"/>
          <w:color w:val="000000"/>
          <w:lang w:eastAsia="en-GB"/>
        </w:rPr>
        <w:t xml:space="preserve"> using </w:t>
      </w:r>
      <w:r w:rsidR="00BF14CC">
        <w:rPr>
          <w:rFonts w:ascii="Calibri" w:eastAsia="Times New Roman" w:hAnsi="Calibri" w:cs="Times New Roman"/>
          <w:color w:val="000000"/>
          <w:lang w:eastAsia="en-GB"/>
        </w:rPr>
        <w:t>P</w:t>
      </w:r>
      <w:r w:rsidR="00BF14CC" w:rsidRPr="00BF14CC">
        <w:rPr>
          <w:rFonts w:ascii="Calibri" w:eastAsia="Times New Roman" w:hAnsi="Calibri" w:cs="Times New Roman"/>
          <w:color w:val="000000"/>
          <w:lang w:eastAsia="en-GB"/>
        </w:rPr>
        <w:t xml:space="preserve"> values </w:t>
      </w:r>
      <w:r w:rsidR="00BF14CC">
        <w:rPr>
          <w:rFonts w:ascii="Calibri" w:eastAsia="Times New Roman" w:hAnsi="Calibri" w:cs="Times New Roman"/>
          <w:color w:val="000000"/>
          <w:lang w:eastAsia="en-GB"/>
        </w:rPr>
        <w:t>as</w:t>
      </w:r>
      <w:r w:rsidR="00BF14CC" w:rsidRPr="00BF14CC">
        <w:rPr>
          <w:rFonts w:ascii="Calibri" w:eastAsia="Times New Roman" w:hAnsi="Calibri" w:cs="Times New Roman"/>
          <w:color w:val="000000"/>
          <w:lang w:eastAsia="en-GB"/>
        </w:rPr>
        <w:t xml:space="preserve"> shown in Figs</w:t>
      </w:r>
      <w:r w:rsidR="00BF14CC">
        <w:rPr>
          <w:rFonts w:ascii="Calibri" w:eastAsia="Times New Roman" w:hAnsi="Calibri" w:cs="Times New Roman"/>
          <w:color w:val="000000"/>
          <w:lang w:eastAsia="en-GB"/>
        </w:rPr>
        <w:t>. S9 &amp; S10</w:t>
      </w:r>
      <w:r w:rsidR="00BF14CC" w:rsidRPr="00BF14CC">
        <w:rPr>
          <w:rFonts w:ascii="Calibri" w:eastAsia="Times New Roman" w:hAnsi="Calibri" w:cs="Times New Roman"/>
          <w:color w:val="000000"/>
          <w:lang w:eastAsia="en-GB"/>
        </w:rPr>
        <w:t xml:space="preserve">, and it is important to add that the more stringent analysis by Q value &lt; 0.05, did not </w:t>
      </w:r>
      <w:r w:rsidR="00BF14CC">
        <w:rPr>
          <w:rFonts w:ascii="Calibri" w:eastAsia="Times New Roman" w:hAnsi="Calibri" w:cs="Times New Roman"/>
          <w:color w:val="000000"/>
          <w:lang w:eastAsia="en-GB"/>
        </w:rPr>
        <w:t xml:space="preserve">show </w:t>
      </w:r>
      <w:r w:rsidR="00BF14CC" w:rsidRPr="00BF14CC">
        <w:rPr>
          <w:rFonts w:ascii="Calibri" w:eastAsia="Times New Roman" w:hAnsi="Calibri" w:cs="Times New Roman"/>
          <w:color w:val="000000"/>
          <w:lang w:eastAsia="en-GB"/>
        </w:rPr>
        <w:t xml:space="preserve">differences between </w:t>
      </w:r>
      <w:r w:rsidR="00BF14CC">
        <w:rPr>
          <w:rFonts w:ascii="Calibri" w:eastAsia="Times New Roman" w:hAnsi="Calibri" w:cs="Times New Roman"/>
          <w:color w:val="000000"/>
          <w:lang w:eastAsia="en-GB"/>
        </w:rPr>
        <w:t>treatment groups</w:t>
      </w:r>
      <w:r w:rsidR="00BF14CC" w:rsidRPr="00BF14CC">
        <w:rPr>
          <w:rFonts w:ascii="Calibri" w:eastAsia="Times New Roman" w:hAnsi="Calibri" w:cs="Times New Roman"/>
          <w:color w:val="000000"/>
          <w:lang w:eastAsia="en-GB"/>
        </w:rPr>
        <w:t xml:space="preserve">. The relatively small </w:t>
      </w:r>
      <w:r w:rsidR="00AC4AEC">
        <w:rPr>
          <w:rFonts w:ascii="Calibri" w:eastAsia="Times New Roman" w:hAnsi="Calibri" w:cs="Times New Roman"/>
          <w:color w:val="000000"/>
          <w:lang w:eastAsia="en-GB"/>
        </w:rPr>
        <w:t xml:space="preserve">number </w:t>
      </w:r>
      <w:r w:rsidR="00BF14CC">
        <w:rPr>
          <w:rFonts w:ascii="Calibri" w:eastAsia="Times New Roman" w:hAnsi="Calibri" w:cs="Times New Roman"/>
          <w:color w:val="000000"/>
          <w:lang w:eastAsia="en-GB"/>
        </w:rPr>
        <w:t xml:space="preserve">of </w:t>
      </w:r>
      <w:r w:rsidR="00BF14CC" w:rsidRPr="00BF14CC">
        <w:rPr>
          <w:rFonts w:ascii="Calibri" w:eastAsia="Times New Roman" w:hAnsi="Calibri" w:cs="Times New Roman"/>
          <w:color w:val="000000"/>
          <w:lang w:eastAsia="en-GB"/>
        </w:rPr>
        <w:t>DEGs identified by P value may therefore need further investigation to assess the effects, and it cannot be excluded that small differences are due to the biological replicates.</w:t>
      </w:r>
      <w:r w:rsidR="00BF11B3">
        <w:rPr>
          <w:rFonts w:ascii="Calibri" w:eastAsia="Times New Roman" w:hAnsi="Calibri" w:cs="Times New Roman"/>
          <w:color w:val="000000"/>
          <w:lang w:eastAsia="en-GB"/>
        </w:rPr>
        <w:t xml:space="preserve"> </w:t>
      </w:r>
      <w:r w:rsidR="00354D4C">
        <w:rPr>
          <w:rFonts w:ascii="Calibri" w:eastAsia="Times New Roman" w:hAnsi="Calibri" w:cs="Times New Roman"/>
          <w:color w:val="000000"/>
          <w:lang w:eastAsia="en-GB"/>
        </w:rPr>
        <w:t>These results now form the basis for further microglia-specific analyses into the effects of the Fc in the presence of the anti-MOG antibody and complement.</w:t>
      </w:r>
    </w:p>
    <w:p w14:paraId="03C1D3F6" w14:textId="77777777" w:rsidR="008E61BD" w:rsidRPr="00BF14CC" w:rsidRDefault="008E61BD" w:rsidP="00BF14CC">
      <w:pPr>
        <w:spacing w:line="360" w:lineRule="auto"/>
      </w:pPr>
    </w:p>
    <w:p w14:paraId="4077A3C9" w14:textId="45A2C8CE" w:rsidR="004C49A2" w:rsidRPr="00BF14CC" w:rsidRDefault="00F26B0C" w:rsidP="00BF14CC">
      <w:pPr>
        <w:spacing w:line="360" w:lineRule="auto"/>
        <w:rPr>
          <w:b/>
          <w:bCs/>
        </w:rPr>
      </w:pPr>
      <w:r w:rsidRPr="0036595E">
        <w:rPr>
          <w:b/>
          <w:bCs/>
        </w:rPr>
        <w:t>R</w:t>
      </w:r>
      <w:r w:rsidR="00171374" w:rsidRPr="0036595E">
        <w:rPr>
          <w:b/>
          <w:bCs/>
        </w:rPr>
        <w:t>eduction</w:t>
      </w:r>
      <w:r w:rsidR="004C49A2" w:rsidRPr="0036595E">
        <w:rPr>
          <w:b/>
          <w:bCs/>
        </w:rPr>
        <w:t xml:space="preserve"> of </w:t>
      </w:r>
      <w:r w:rsidRPr="0036595E">
        <w:rPr>
          <w:b/>
          <w:bCs/>
        </w:rPr>
        <w:t xml:space="preserve">CD68 and Iba1 expression on </w:t>
      </w:r>
      <w:r w:rsidR="004C49A2" w:rsidRPr="0036595E">
        <w:rPr>
          <w:b/>
          <w:bCs/>
        </w:rPr>
        <w:t>glial cells by the adapted N563A/C575A Fc</w:t>
      </w:r>
      <w:r w:rsidR="004C49A2" w:rsidRPr="00BF14CC">
        <w:rPr>
          <w:b/>
          <w:bCs/>
        </w:rPr>
        <w:t xml:space="preserve"> </w:t>
      </w:r>
    </w:p>
    <w:p w14:paraId="7637E7BB" w14:textId="62925630" w:rsidR="00422E5C" w:rsidRDefault="00151B33" w:rsidP="00BF14CC">
      <w:pPr>
        <w:spacing w:line="360" w:lineRule="auto"/>
      </w:pPr>
      <w:r w:rsidRPr="00BF14CC">
        <w:t>Microglia are an important population of Fc</w:t>
      </w:r>
      <w:r w:rsidRPr="00BF14CC">
        <w:rPr>
          <w:rFonts w:ascii="Symbol" w:hAnsi="Symbol"/>
        </w:rPr>
        <w:t>g</w:t>
      </w:r>
      <w:r w:rsidRPr="00BF14CC">
        <w:t xml:space="preserve">-receptor bearing phagocytic cells in OSC </w:t>
      </w:r>
      <w:r w:rsidR="00E21007" w:rsidRPr="00BF14CC">
        <w:t>whose activation</w:t>
      </w:r>
      <w:r w:rsidR="000B0767" w:rsidRPr="00BF14CC">
        <w:t xml:space="preserve"> and/or inhibition</w:t>
      </w:r>
      <w:r w:rsidR="00E21007" w:rsidRPr="00BF14CC">
        <w:t xml:space="preserve"> can be </w:t>
      </w:r>
      <w:r w:rsidR="000B0767" w:rsidRPr="00BF14CC">
        <w:t xml:space="preserve">modulated </w:t>
      </w:r>
      <w:r w:rsidR="00E21007" w:rsidRPr="00BF14CC">
        <w:t>by</w:t>
      </w:r>
      <w:r w:rsidRPr="00BF14CC">
        <w:t xml:space="preserve"> IVIG</w:t>
      </w:r>
      <w:r w:rsidR="00E21007" w:rsidRPr="00BF14CC">
        <w:t xml:space="preserve"> through different mechanisms that involve both Fc- and Fab-dependent pathways </w:t>
      </w:r>
      <w:r w:rsidR="00FB1C56" w:rsidRPr="00BF14CC">
        <w:fldChar w:fldCharType="begin" w:fldLock="1"/>
      </w:r>
      <w:r w:rsidR="00DC4AAC">
        <w:instrText>ADDIN CSL_CITATION {"citationItems":[{"id":"ITEM-1","itemData":{"DOI":"10.1016/j.jneuroim.2009.09.016","ISSN":"01655728","PMID":"19833395","abstract":"In multiple sclerosis (MS) matrix metalloproteinases (MMP) are believed to be involved in the disruption of the blood brain barrier and demyelination. MMP-9 is increased in the cerebrospinal fluid of MS patients and expressed in MS lesions, indicating an involvement in MS pathogenesis. It is known that activated microglia secrete MMP. Modulation of MMP may thus be of interest for treatment in particular since MMP knock-out mice are less susceptible to experimental allergic encephalomyelitis. In this study we show that intact polyclonal immunoglobulins for intravenous use (IVIg) lead to increased secretion of MMP-9 in unstimulated microglia whereas F(ab′)2 fragments or stimulation with lipopolysaccharide (LPS) had no effect on MMP production at all. We could not detect MMP-2, MMP-3, MMP-7, MMP-10, MMP-11, and MMP-12 by RT-PCR with and without stimulation with LPS. IVIg differentially modulate MMP-9 production in resting and activated microglia suggesting an activation-dependent immune response. © 2009 Elsevier B.V. All rights reserved.","author":[{"dropping-particle":"","family":"Pul","given":"R.","non-dropping-particle":"","parse-names":false,"suffix":""},{"dropping-particle":"","family":"Kopadze","given":"T.","non-dropping-particle":"","parse-names":false,"suffix":""},{"dropping-particle":"","family":"Skripuletz","given":"T.","non-dropping-particle":"","parse-names":false,"suffix":""},{"dropping-particle":"V.","family":"Voss","given":"E.","non-dropping-particle":"","parse-names":false,"suffix":""},{"dropping-particle":"","family":"Kieseier","given":"B. C.","non-dropping-particle":"","parse-names":false,"suffix":""},{"dropping-particle":"","family":"Stangel","given":"M.","non-dropping-particle":"","parse-names":false,"suffix":""}],"container-title":"Journal of Neuroimmunology","id":"ITEM-1","issued":{"date-parts":[["2009"]]},"page":"46-50","title":"Polyclonal immunoglobulins (IVIg) induce expression of MMP-9 in microglia","type":"article-journal","volume":"217"},"uris":["http://www.mendeley.com/documents/?uuid=9610b8ae-1fcb-4f79-a341-d49ccc2dd89a"]},{"id":"ITEM-2","itemData":{"DOI":"10.1016/S0165-5728(00)00210-1","ISSN":"01655728","PMID":"10814791","abstract":"Phagocytosis removes pathogens and tissue debris during inflammatory reactions, but also plays an important role in autoimmune reactions. The main phagocytes in the central nervous system (CNS) are microglial cells that are activated during CNS inflammation. In the treatment of inflammatory demyelinating diseases like multiple sclerosis (MS), administration of intravenous immunoglobulins (IVIg) has become a promising immunomodulatory therapy. Although a large number of potential mechanisms for the effects of IVIg has been suggested, the precise mode of action in CNS inflammation is unknown. We assessed the influence of IVIg on phagocytosis and endocytosis in microglia in vitro. IVIg had little effect on non-specific phagocytosis of latex particles in untreated microglia, while there was a dose-dependent inhibition in microglia activated with LPS and IFNγ. Endocytosis of soluble myelin basic protein (MBP) was downregulated by IVIg in both untreated and activated microglia. The effect was mediated by an F(ab')2 preparation of immunoglobulins, suggesting that Fc receptor-mediated phagocytosis is not involved. Intact IVIg, but not F(ab')2 fragments also suppressed Fc receptor-mediated phagocytosis of opsonised erythrocytes in both untreated and activated microglia. These results show that IVIg can inhibit the phagocytic activity of microglia via different mechanisms. Such an effect could contribute to the immunomodulatory capacity of IVIg in inflammatory CNS diseases. (C) 2000 Elsevier Science B.V.","author":[{"dropping-particle":"","family":"Stangel","given":"M.","non-dropping-particle":"","parse-names":false,"suffix":""},{"dropping-particle":"","family":"Joly","given":"E.","non-dropping-particle":"","parse-names":false,"suffix":""},{"dropping-particle":"","family":"Scolding","given":"N. J.","non-dropping-particle":"","parse-names":false,"suffix":""},{"dropping-particle":"","family":"Compston","given":"D. A.S.","non-dropping-particle":"","parse-names":false,"suffix":""}],"container-title":"Journal of Neuroimmunology","id":"ITEM-2","issued":{"date-parts":[["2000"]]},"page":"137-144","title":"Normal polyclonal immunoglobulins ('IVIg') inhibit microglial phagocytosis in vitro","type":"article-journal","volume":"106"},"uris":["http://www.mendeley.com/documents/?uuid=f4e949f6-3df3-440f-aa61-7922cddc4c6c"]},{"id":"ITEM-3","itemData":{"DOI":"10.1016/S0165-5728(00)00412-4","ISSN":"01655728","PMID":"11108934","abstract":"Controlled trials in multiple sclerosis (MS) and case reports in acute demyelinating encephalomyelitis (ADEM) have shown that intravenous immunoglobulins (IVIg) are of therapeutic benefit in central nervous system (CNS) inflammatory diseases. Studies in experimental autoimmune encephalomyelitis (EAE) have suggested these effects are mediated by modulation of the cytokine network and T cell responses. However, there are no data on the influence of IVIg on the local immune reaction in the CNS, the site of inflammation in EAE. We have therefore studied the effect of IVIg on cultured rat microglia, the main immune cell in the CNS. IVIg increased nitric oxide (NO) production in a dose-dependent manner in microglia stimulated with IFNγ. The increase was only marginal in LPS-treated cells, and no effect was seen in untreated microglia or after stimulation with TNFα or PMA. This enhancement of NO production depended on the Fc portion of IVIg and could be abrogated by the pharmacological inhibition of Syk and phosphatidylinositol 3-kinase, two enzymes involved in the signalling cascade of Fc receptors. TNFα secretion was dose-dependently stimulated by IVIg in both untreated microglia and after stimulation with LPS or IFNγ. Again, this effect was mediated through the Fc portion. Finally, we showed that Fc receptor-mediated phagocytosis was inhibited by IVIg, presumably by blockade of the Fc receptor. These different effects may protect oligodendrocytes from antibody mediated phagocytosis and on the other hand could terminate the immune reaction by induction of apoptosis in infiltrating T cells via NO and TNFα. We propose that IVIg, in addition to known effects on the peripheral immune system, may also modulate the local immune reaction in CNS inflammatory disease. (C) 2001 Elsevier Science B.V.","author":[{"dropping-particle":"","family":"Stangel","given":"Martin","non-dropping-particle":"","parse-names":false,"suffix":""},{"dropping-particle":"","family":"Compston","given":"Alastair","non-dropping-particle":"","parse-names":false,"suffix":""}],"container-title":"Journal of Neuroimmunology","id":"ITEM-3","issued":{"date-parts":[["2001"]]},"page":"63-71","title":"Polyclonal immunoglobulins (IVIg) modulate nitric oxide production and microglial functions in vitro via Fc receptors","type":"article-journal","volume":"112"},"uris":["http://www.mendeley.com/documents/?uuid=bf3420e6-9cb3-4e57-a3d1-61ebe2a67676"]},{"id":"ITEM-4","itemData":{"DOI":"10.1097/00002826-200209000-00005","ISSN":"03625664","PMID":"12410056","abstract":"Intravenous immunoglobulins (IVIg) have been used successfully as an immunomodulating treatment for patients with inflammatory diseases of the central nervous system (CNS) including multiple sclerosis (MS). It was shown previously that IVIg could modulate in vitro the functions of microglia, the main immune cell in the CNS. We have compared five commercially available IVIg preparations on their capacity to modulate tumor necrosis factor (TNF)-α secretion and nitric oxide production in cultured microglia. All preparations induced a dose-dependent stimulation of TNF-α secretion as measured by ELISA. There were some small differences between preparations consisting of IgG, while the preparation enriched for IgM and IgA induced a considerably higher TNF-α production at 1 mg/mL and 10 mg/mL. Similar results were seen for nitric oxide production as measured indirectly by the Griess reaction. These results indicate that IgM/IgA-enriched IVIg may be a more potent immunomodulator than pure IgG preparations on inflammatory reactions in the CNS.","author":[{"dropping-particle":"","family":"Pul","given":"Refik","non-dropping-particle":"","parse-names":false,"suffix":""},{"dropping-particle":"","family":"Nguyen","given":"Dan","non-dropping-particle":"","parse-names":false,"suffix":""},{"dropping-particle":"","family":"Schmitz","given":"Ulrike","non-dropping-particle":"","parse-names":false,"suffix":""},{"dropping-particle":"","family":"Marx","given":"Peter","non-dropping-particle":"","parse-names":false,"suffix":""},{"dropping-particle":"","family":"Stangel","given":"Martin","non-dropping-particle":"","parse-names":false,"suffix":""}],"container-title":"Clinical Neuropharmacology","id":"ITEM-4","issued":{"date-parts":[["2002"]]},"page":"254-259","title":"Comparison of intravenous immunoglobulin preparations on microglial function in vitro: More potent immunomodulatory capacity of an IgM/IgA-enriched preparation","type":"article-journal","volume":"25"},"uris":["http://www.mendeley.com/documents/?uuid=2c4f17fb-5bd4-4e0a-a706-ad73b51245da"]}],"mendeley":{"formattedCitation":"(51–54)","plainTextFormattedCitation":"(51–54)","previouslyFormattedCitation":"(51–54)"},"properties":{"noteIndex":0},"schema":"https://github.com/citation-style-language/schema/raw/master/csl-citation.json"}</w:instrText>
      </w:r>
      <w:r w:rsidR="00FB1C56" w:rsidRPr="00BF14CC">
        <w:fldChar w:fldCharType="separate"/>
      </w:r>
      <w:r w:rsidR="000F2966" w:rsidRPr="000F2966">
        <w:rPr>
          <w:noProof/>
        </w:rPr>
        <w:t>(51–54)</w:t>
      </w:r>
      <w:r w:rsidR="00FB1C56" w:rsidRPr="00BF14CC">
        <w:fldChar w:fldCharType="end"/>
      </w:r>
      <w:r w:rsidR="00E21007" w:rsidRPr="00BF14CC">
        <w:t>. To determine what</w:t>
      </w:r>
      <w:r w:rsidR="00FB1C56" w:rsidRPr="00BF14CC">
        <w:t xml:space="preserve"> impact the glycosylation adapted Fcs have o</w:t>
      </w:r>
      <w:r w:rsidR="00FB1C56" w:rsidRPr="00825184">
        <w:t>n</w:t>
      </w:r>
      <w:r w:rsidR="00E21007" w:rsidRPr="00825184">
        <w:t xml:space="preserve"> microgli</w:t>
      </w:r>
      <w:r w:rsidR="000B0767" w:rsidRPr="00825184">
        <w:t>a</w:t>
      </w:r>
      <w:r w:rsidR="00D10636">
        <w:t xml:space="preserve"> </w:t>
      </w:r>
      <w:r w:rsidR="00D10636" w:rsidRPr="00D10636">
        <w:t>during rescue from demyelination induced by the anti-MOG antibody and complement</w:t>
      </w:r>
      <w:r w:rsidR="009128E2" w:rsidRPr="00825184">
        <w:t xml:space="preserve">, </w:t>
      </w:r>
      <w:r w:rsidR="000B0767" w:rsidRPr="00825184">
        <w:t>we</w:t>
      </w:r>
      <w:r w:rsidR="000E05C3" w:rsidRPr="00825184">
        <w:t xml:space="preserve"> used </w:t>
      </w:r>
      <w:r w:rsidR="00606486" w:rsidRPr="00825184">
        <w:t>OSCs from</w:t>
      </w:r>
      <w:r w:rsidR="00BC2C88" w:rsidRPr="00825184">
        <w:t xml:space="preserve"> </w:t>
      </w:r>
      <w:r w:rsidR="009128E2" w:rsidRPr="00825184">
        <w:t>CX3CR1</w:t>
      </w:r>
      <w:r w:rsidR="000F7731" w:rsidRPr="00825184">
        <w:t>-</w:t>
      </w:r>
      <w:r w:rsidR="007B5923" w:rsidRPr="00825184">
        <w:t>/GFP heterozygous</w:t>
      </w:r>
      <w:r w:rsidR="009128E2" w:rsidRPr="00825184">
        <w:t xml:space="preserve"> transgenic </w:t>
      </w:r>
      <w:r w:rsidR="00606486" w:rsidRPr="00825184">
        <w:t>mice</w:t>
      </w:r>
      <w:r w:rsidR="007B5923" w:rsidRPr="00825184">
        <w:t>,</w:t>
      </w:r>
      <w:r w:rsidR="000E05C3" w:rsidRPr="00825184">
        <w:t xml:space="preserve"> </w:t>
      </w:r>
      <w:r w:rsidR="00BC2C88" w:rsidRPr="00825184">
        <w:t>whose microglia</w:t>
      </w:r>
      <w:r w:rsidR="009128E2" w:rsidRPr="00825184">
        <w:t xml:space="preserve"> express </w:t>
      </w:r>
      <w:r w:rsidR="007B5923" w:rsidRPr="00825184">
        <w:t xml:space="preserve">both </w:t>
      </w:r>
      <w:r w:rsidR="009128E2" w:rsidRPr="00825184">
        <w:t>GFP</w:t>
      </w:r>
      <w:r w:rsidR="007B5923" w:rsidRPr="00825184">
        <w:t xml:space="preserve"> and CX3CR1</w:t>
      </w:r>
      <w:r w:rsidR="009128E2" w:rsidRPr="00825184">
        <w:t xml:space="preserve"> </w:t>
      </w:r>
      <w:r w:rsidR="000F7731" w:rsidRPr="00825184">
        <w:fldChar w:fldCharType="begin" w:fldLock="1"/>
      </w:r>
      <w:r w:rsidR="00DC4AAC">
        <w:instrText>ADDIN CSL_CITATION {"citationItems":[{"id":"ITEM-1","itemData":{"DOI":"10.1128/mcb.20.11.4106-4114.2000","ISSN":"0270-7306","PMID":"10805752","abstract":"The seven-transmembrane receptor CX 3 CR1 is a specific receptor for the novel CX 3 C chemokine fractalkine (FKN) (neurotactin). In vitro data suggest that membrane anchoring of FKN, and the existence of a shed, soluble FKN isoform allow for both adhesive and chemoattractive properties. Expression on activated endothelium and neurons defines FKN as a potential target for therapeutic intervention in inflammatory conditions, particularly central nervous system diseases. To investigate the physiological function of CX 3 CR1-FKN interactions, we generated a mouse strain in which the CX 3 CR1 gene was replaced by a green fluorescent protein (GFP) reporter gene. In addition to the creation of a mutant CX 3 CR1 locus, this approach enabled us to assign murine CX 3 CR1 expression to monocytes, subsets of NK and dendritic cells, and the brain microglia. Analysis of CX 3 CR1-deficient mice indicates that CX 3 CR1 is the only murine FKN receptor. Yet, defying anticipated FKN functions, absence of CX 3 CR1 interferes neither with monocyte extravasation in a peritonitis model nor with DC migration and differentiation in response to microbial antigens or contact sensitizers. Furthermore, a prominent response of CX 3 CR1-deficient microglia to peripheral nerve injury indicates unimpaired neuronal-glial cross talk in the absence of CX 3 CR1.","author":[{"dropping-particle":"","family":"Jung","given":"Steffen","non-dropping-particle":"","parse-names":false,"suffix":""},{"dropping-particle":"","family":"Aliberti","given":"Julio","non-dropping-particle":"","parse-names":false,"suffix":""},{"dropping-particle":"","family":"Graemmel","given":"Petra","non-dropping-particle":"","parse-names":false,"suffix":""},{"dropping-particle":"","family":"Sunshine","given":"Mary Jean","non-dropping-particle":"","parse-names":false,"suffix":""},{"dropping-particle":"","family":"Kreutzberg","given":"Georg W.","non-dropping-particle":"","parse-names":false,"suffix":""},{"dropping-particle":"","family":"Sher","given":"Alan","non-dropping-particle":"","parse-names":false,"suffix":""},{"dropping-particle":"","family":"Littman","given":"Dan R.","non-dropping-particle":"","parse-names":false,"suffix":""}],"container-title":"Molecular and Cellular Biology","id":"ITEM-1","issued":{"date-parts":[["2000"]]},"page":"4106-4114","title":"Analysis of Fractalkine Receptor CX3CR1 Function by Targeted Deletion and Green Fluorescent Protein Reporter Gene Insertion","type":"article-journal","volume":"20"},"uris":["http://www.mendeley.com/documents/?uuid=a87c905e-de56-4964-a889-8a1819797f53"]}],"mendeley":{"formattedCitation":"(39)","plainTextFormattedCitation":"(39)","previouslyFormattedCitation":"(39)"},"properties":{"noteIndex":0},"schema":"https://github.com/citation-style-language/schema/raw/master/csl-citation.json"}</w:instrText>
      </w:r>
      <w:r w:rsidR="000F7731" w:rsidRPr="00825184">
        <w:fldChar w:fldCharType="separate"/>
      </w:r>
      <w:r w:rsidR="000F2966" w:rsidRPr="000F2966">
        <w:rPr>
          <w:noProof/>
        </w:rPr>
        <w:t>(39)</w:t>
      </w:r>
      <w:r w:rsidR="000F7731" w:rsidRPr="00825184">
        <w:fldChar w:fldCharType="end"/>
      </w:r>
      <w:r w:rsidR="009128E2" w:rsidRPr="00825184">
        <w:t>.</w:t>
      </w:r>
      <w:r w:rsidR="00646E63" w:rsidRPr="00825184">
        <w:t xml:space="preserve"> All the molecules with the exception of</w:t>
      </w:r>
      <w:r w:rsidR="0036595E">
        <w:t xml:space="preserve"> the </w:t>
      </w:r>
      <w:r w:rsidR="00646E63" w:rsidRPr="00825184">
        <w:rPr>
          <w:rFonts w:cstheme="minorHAnsi"/>
        </w:rPr>
        <w:t>D221N/C309L/N297A/N563A/C575A</w:t>
      </w:r>
      <w:r w:rsidR="00646E63" w:rsidRPr="00825184">
        <w:t xml:space="preserve"> </w:t>
      </w:r>
      <w:r w:rsidR="0036595E">
        <w:t xml:space="preserve">mutant </w:t>
      </w:r>
      <w:r w:rsidR="00646E63" w:rsidRPr="00825184">
        <w:t xml:space="preserve">clearly bound microglia </w:t>
      </w:r>
      <w:r w:rsidR="00D10636" w:rsidRPr="00D10636">
        <w:t xml:space="preserve">with no typical axonal or myelin binding pattern seen </w:t>
      </w:r>
      <w:r w:rsidR="00646E63" w:rsidRPr="00825184">
        <w:t>(</w:t>
      </w:r>
      <w:r w:rsidR="006753BE" w:rsidRPr="00825184">
        <w:t>Fig. S</w:t>
      </w:r>
      <w:r w:rsidR="00FE1D7E" w:rsidRPr="00825184">
        <w:t>7</w:t>
      </w:r>
      <w:r w:rsidR="00646E63" w:rsidRPr="00825184">
        <w:t>).</w:t>
      </w:r>
      <w:r w:rsidR="0016166E" w:rsidRPr="00825184">
        <w:t xml:space="preserve"> </w:t>
      </w:r>
      <w:r w:rsidR="004544B5" w:rsidRPr="00825184">
        <w:t>T</w:t>
      </w:r>
      <w:r w:rsidR="0036595E">
        <w:t>hree</w:t>
      </w:r>
      <w:r w:rsidR="004544B5" w:rsidRPr="00825184">
        <w:t xml:space="preserve"> Fc molecules (</w:t>
      </w:r>
      <w:r w:rsidR="0036595E">
        <w:t xml:space="preserve">D221N/C575A, </w:t>
      </w:r>
      <w:r w:rsidR="004544B5" w:rsidRPr="00825184">
        <w:t xml:space="preserve">D221N/C309L/N563A/C575A and N563A/C575A) </w:t>
      </w:r>
      <w:r w:rsidR="00B14053" w:rsidRPr="00825184">
        <w:t>interacted particularly strongly with microglia</w:t>
      </w:r>
      <w:r w:rsidR="006F6DEA" w:rsidRPr="00825184">
        <w:t xml:space="preserve"> </w:t>
      </w:r>
      <w:r w:rsidR="004544B5" w:rsidRPr="00825184">
        <w:t xml:space="preserve">as binding was </w:t>
      </w:r>
      <w:r w:rsidR="00B14053" w:rsidRPr="00825184">
        <w:t xml:space="preserve">also </w:t>
      </w:r>
      <w:r w:rsidR="004544B5" w:rsidRPr="00825184">
        <w:t>seen after shorter incubations of 30 min at 4</w:t>
      </w:r>
      <w:r w:rsidR="004544B5" w:rsidRPr="00825184">
        <w:rPr>
          <w:vertAlign w:val="superscript"/>
        </w:rPr>
        <w:t>o</w:t>
      </w:r>
      <w:r w:rsidR="004544B5" w:rsidRPr="00825184">
        <w:t>C</w:t>
      </w:r>
      <w:r w:rsidR="00B14053" w:rsidRPr="00825184">
        <w:t xml:space="preserve"> </w:t>
      </w:r>
      <w:r w:rsidR="004544B5" w:rsidRPr="00825184">
        <w:t>(Fig.</w:t>
      </w:r>
      <w:r w:rsidR="00FE1D7E" w:rsidRPr="00825184">
        <w:t xml:space="preserve"> S7</w:t>
      </w:r>
      <w:r w:rsidR="0036595E">
        <w:t>A</w:t>
      </w:r>
      <w:r w:rsidR="004544B5" w:rsidRPr="00825184">
        <w:t xml:space="preserve">). </w:t>
      </w:r>
      <w:r w:rsidR="003B7464" w:rsidRPr="00825184">
        <w:t xml:space="preserve">We observed pronounced </w:t>
      </w:r>
      <w:r w:rsidR="00B72F93" w:rsidRPr="00825184">
        <w:t xml:space="preserve">loss of CD68 and Iba1 staining of </w:t>
      </w:r>
      <w:r w:rsidR="003B7464" w:rsidRPr="00825184">
        <w:t>microglia</w:t>
      </w:r>
      <w:r w:rsidR="00FE395A" w:rsidRPr="00825184">
        <w:t xml:space="preserve"> </w:t>
      </w:r>
      <w:r w:rsidR="00B26250" w:rsidRPr="00825184">
        <w:t xml:space="preserve">with as little as 10 </w:t>
      </w:r>
      <w:r w:rsidR="00B26250" w:rsidRPr="00825184">
        <w:rPr>
          <w:rFonts w:ascii="Symbol" w:hAnsi="Symbol"/>
        </w:rPr>
        <w:t>m</w:t>
      </w:r>
      <w:r w:rsidR="00B26250" w:rsidRPr="00825184">
        <w:t>g/ml of the</w:t>
      </w:r>
      <w:r w:rsidR="005B2543" w:rsidRPr="00825184">
        <w:t xml:space="preserve"> N563A/C575A</w:t>
      </w:r>
      <w:r w:rsidR="007C3F93" w:rsidRPr="00825184">
        <w:t xml:space="preserve"> molecule w</w:t>
      </w:r>
      <w:r w:rsidR="00B26250" w:rsidRPr="00825184">
        <w:t>hen</w:t>
      </w:r>
      <w:r w:rsidR="007C3F93" w:rsidRPr="00825184">
        <w:t xml:space="preserve"> incubated </w:t>
      </w:r>
      <w:r w:rsidR="00B26250" w:rsidRPr="00825184">
        <w:t xml:space="preserve">with </w:t>
      </w:r>
      <w:r w:rsidR="00210CA1" w:rsidRPr="0036595E">
        <w:t>7</w:t>
      </w:r>
      <w:r w:rsidR="007C3F93" w:rsidRPr="0036595E">
        <w:t>%</w:t>
      </w:r>
      <w:r w:rsidR="00FE395A" w:rsidRPr="0036595E">
        <w:t xml:space="preserve"> </w:t>
      </w:r>
      <w:r w:rsidR="00210CA1" w:rsidRPr="0036595E">
        <w:t>complement</w:t>
      </w:r>
      <w:r w:rsidR="00856A6B" w:rsidRPr="0036595E">
        <w:t xml:space="preserve">, </w:t>
      </w:r>
      <w:r w:rsidR="0036595E">
        <w:t>in the presence or absence of the</w:t>
      </w:r>
      <w:r w:rsidR="00856A6B" w:rsidRPr="0036595E">
        <w:t xml:space="preserve"> </w:t>
      </w:r>
      <w:r w:rsidR="0036595E">
        <w:t xml:space="preserve">added </w:t>
      </w:r>
      <w:r w:rsidR="00856A6B" w:rsidRPr="0036595E">
        <w:t>anti-MOG IgG</w:t>
      </w:r>
      <w:r w:rsidR="00210CA1" w:rsidRPr="0036595E">
        <w:t xml:space="preserve"> that was not observed with the other Fc molecules (Fig.</w:t>
      </w:r>
      <w:r w:rsidR="006753BE" w:rsidRPr="0036595E">
        <w:t xml:space="preserve"> 3</w:t>
      </w:r>
      <w:r w:rsidR="007B3A92">
        <w:t xml:space="preserve"> and Table S</w:t>
      </w:r>
      <w:r w:rsidR="000F4628">
        <w:t>1</w:t>
      </w:r>
      <w:r w:rsidR="00210CA1" w:rsidRPr="0036595E">
        <w:t>).</w:t>
      </w:r>
      <w:r w:rsidR="00856A6B">
        <w:t xml:space="preserve"> </w:t>
      </w:r>
    </w:p>
    <w:p w14:paraId="6AD4FBE0" w14:textId="77777777" w:rsidR="004657B9" w:rsidRDefault="004657B9" w:rsidP="0013059B">
      <w:pPr>
        <w:spacing w:line="360" w:lineRule="auto"/>
        <w:rPr>
          <w:b/>
          <w:bCs/>
        </w:rPr>
      </w:pPr>
    </w:p>
    <w:p w14:paraId="554CF3F0" w14:textId="742FDA42" w:rsidR="001D7300" w:rsidRDefault="001D7300" w:rsidP="0013059B">
      <w:pPr>
        <w:spacing w:line="360" w:lineRule="auto"/>
        <w:rPr>
          <w:b/>
          <w:bCs/>
          <w:sz w:val="28"/>
          <w:szCs w:val="28"/>
        </w:rPr>
      </w:pPr>
      <w:r>
        <w:rPr>
          <w:b/>
          <w:bCs/>
        </w:rPr>
        <w:t>Structures of N563A/C575A</w:t>
      </w:r>
      <w:r w:rsidRPr="008E61BD">
        <w:rPr>
          <w:b/>
          <w:bCs/>
        </w:rPr>
        <w:t xml:space="preserve"> </w:t>
      </w:r>
      <w:r>
        <w:rPr>
          <w:b/>
          <w:bCs/>
        </w:rPr>
        <w:t>tailpieces reveal potential mechanism for C1q binding</w:t>
      </w:r>
    </w:p>
    <w:p w14:paraId="2E0DE18E" w14:textId="0B7AD409" w:rsidR="00A31995" w:rsidRDefault="0030456F" w:rsidP="00A31995">
      <w:pPr>
        <w:spacing w:line="360" w:lineRule="auto"/>
        <w:rPr>
          <w:rFonts w:cstheme="minorHAnsi"/>
          <w:color w:val="000000" w:themeColor="text1"/>
        </w:rPr>
      </w:pPr>
      <w:r>
        <w:rPr>
          <w:rFonts w:cstheme="minorHAnsi"/>
          <w:color w:val="000000" w:themeColor="text1"/>
        </w:rPr>
        <w:t>As discussed above</w:t>
      </w:r>
      <w:r w:rsidR="00896C32">
        <w:rPr>
          <w:rFonts w:cstheme="minorHAnsi"/>
          <w:color w:val="000000" w:themeColor="text1"/>
        </w:rPr>
        <w:t>,</w:t>
      </w:r>
      <w:r>
        <w:rPr>
          <w:rFonts w:cstheme="minorHAnsi"/>
          <w:color w:val="000000" w:themeColor="text1"/>
        </w:rPr>
        <w:t xml:space="preserve"> </w:t>
      </w:r>
      <w:r w:rsidR="003F3DF4">
        <w:rPr>
          <w:rFonts w:cstheme="minorHAnsi"/>
          <w:color w:val="000000" w:themeColor="text1"/>
        </w:rPr>
        <w:t>molecules</w:t>
      </w:r>
      <w:r w:rsidR="003F3DF4" w:rsidRPr="00761AEE">
        <w:rPr>
          <w:rFonts w:cstheme="minorHAnsi"/>
          <w:color w:val="000000" w:themeColor="text1"/>
        </w:rPr>
        <w:t xml:space="preserve"> in which </w:t>
      </w:r>
      <w:r w:rsidR="003F3DF4">
        <w:rPr>
          <w:rFonts w:cstheme="minorHAnsi"/>
          <w:color w:val="000000" w:themeColor="text1"/>
        </w:rPr>
        <w:t xml:space="preserve">both </w:t>
      </w:r>
      <w:r w:rsidR="003F3DF4" w:rsidRPr="00761AEE">
        <w:rPr>
          <w:rFonts w:cstheme="minorHAnsi"/>
          <w:color w:val="000000" w:themeColor="text1"/>
        </w:rPr>
        <w:t>the tailpiece attached glycans (Asn-563)</w:t>
      </w:r>
      <w:r w:rsidR="003F3DF4">
        <w:rPr>
          <w:rFonts w:cstheme="minorHAnsi"/>
          <w:color w:val="000000" w:themeColor="text1"/>
        </w:rPr>
        <w:t xml:space="preserve"> and cysteine (Cys-575) are removed</w:t>
      </w:r>
      <w:r w:rsidR="003F3DF4" w:rsidRPr="00761AEE">
        <w:rPr>
          <w:rFonts w:cstheme="minorHAnsi"/>
          <w:color w:val="000000" w:themeColor="text1"/>
        </w:rPr>
        <w:t xml:space="preserve"> have a propensity to multimerise</w:t>
      </w:r>
      <w:r w:rsidR="003F3DF4">
        <w:rPr>
          <w:rFonts w:cstheme="minorHAnsi"/>
          <w:color w:val="000000" w:themeColor="text1"/>
        </w:rPr>
        <w:t xml:space="preserve"> in the absence of any associating proteins like J-chain or secretory component</w:t>
      </w:r>
      <w:r w:rsidR="003F3DF4" w:rsidRPr="00761AEE">
        <w:rPr>
          <w:rFonts w:cstheme="minorHAnsi"/>
          <w:color w:val="000000" w:themeColor="text1"/>
        </w:rPr>
        <w:t>, thus facilitating interactions with complement component C1q</w:t>
      </w:r>
      <w:r w:rsidR="003F3DF4">
        <w:rPr>
          <w:rFonts w:cstheme="minorHAnsi"/>
          <w:color w:val="000000" w:themeColor="text1"/>
        </w:rPr>
        <w:t>. Recent cryo-EM structures of IgA</w:t>
      </w:r>
      <w:r w:rsidR="00475E94">
        <w:rPr>
          <w:rFonts w:cstheme="minorHAnsi"/>
          <w:color w:val="000000" w:themeColor="text1"/>
        </w:rPr>
        <w:t xml:space="preserve"> </w:t>
      </w:r>
      <w:r w:rsidR="006B72D6">
        <w:rPr>
          <w:rFonts w:cstheme="minorHAnsi"/>
          <w:color w:val="000000" w:themeColor="text1"/>
        </w:rPr>
        <w:fldChar w:fldCharType="begin" w:fldLock="1"/>
      </w:r>
      <w:r w:rsidR="00DC4AAC">
        <w:rPr>
          <w:rFonts w:cstheme="minorHAnsi"/>
          <w:color w:val="000000" w:themeColor="text1"/>
        </w:rPr>
        <w:instrText>ADDIN CSL_CITATION {"citationItems":[{"id":"ITEM-1","itemData":{"DOI":"10.1126/science.aaz5807","ISSN":"10959203","PMID":"32029686","abstract":"Secretory immunoglobulin A (sIgA) represents the immune system's first line of defense against mucosal pathogens. IgAs are transported across the epithelium, as dimers and higher-order polymers, by the polymeric immunoglobulin receptor (pIgR). Upon reaching the luminal side, sIgAs mediate host protection and pathogen neutralization. In recent years, an increasing amount of attention has been given to IgA as a novel therapeutic antibody. However, despite extensive studies, sIgA structures have remained elusive. Here, we determine the atomic resolution structures of dimeric, tetrameric, and pentameric IgA-Fc linked by the joining chain (JC) and in complex with the secretory component of the pIgR. We suggest a mechanism in which the JC templates IgA oligomerization and imparts asymmetry for pIgR binding and transcytosis. This framework will inform the design of future IgA-based therapeutics.","author":[{"dropping-particle":"","family":"Kumar","given":"Nikit","non-dropping-particle":"","parse-names":false,"suffix":""},{"dropping-particle":"","family":"Arthur","given":"Christopher P.","non-dropping-particle":"","parse-names":false,"suffix":""},{"dropping-particle":"","family":"Ciferri","given":"Claudio","non-dropping-particle":"","parse-names":false,"suffix":""},{"dropping-particle":"","family":"Matsumoto","given":"Marissa L.","non-dropping-particle":"","parse-names":false,"suffix":""}],"container-title":"Science (New York, N.Y.)","id":"ITEM-1","issued":{"date-parts":[["2020"]]},"page":"1008-1014","title":"Structure of the secretory immunoglobulin A core","type":"article-journal","volume":"367"},"uris":["http://www.mendeley.com/documents/?uuid=7a859124-24ba-497c-a326-d291c512e127"]}],"mendeley":{"formattedCitation":"(55)","plainTextFormattedCitation":"(55)","previouslyFormattedCitation":"(55)"},"properties":{"noteIndex":0},"schema":"https://github.com/citation-style-language/schema/raw/master/csl-citation.json"}</w:instrText>
      </w:r>
      <w:r w:rsidR="006B72D6">
        <w:rPr>
          <w:rFonts w:cstheme="minorHAnsi"/>
          <w:color w:val="000000" w:themeColor="text1"/>
        </w:rPr>
        <w:fldChar w:fldCharType="separate"/>
      </w:r>
      <w:r w:rsidR="000F2966" w:rsidRPr="000F2966">
        <w:rPr>
          <w:rFonts w:cstheme="minorHAnsi"/>
          <w:noProof/>
          <w:color w:val="000000" w:themeColor="text1"/>
        </w:rPr>
        <w:t>(55)</w:t>
      </w:r>
      <w:r w:rsidR="006B72D6">
        <w:rPr>
          <w:rFonts w:cstheme="minorHAnsi"/>
          <w:color w:val="000000" w:themeColor="text1"/>
        </w:rPr>
        <w:fldChar w:fldCharType="end"/>
      </w:r>
      <w:r w:rsidR="003F3DF4">
        <w:rPr>
          <w:rFonts w:cstheme="minorHAnsi"/>
          <w:color w:val="000000" w:themeColor="text1"/>
        </w:rPr>
        <w:t xml:space="preserve"> and IgM </w:t>
      </w:r>
      <w:r w:rsidR="006B72D6">
        <w:rPr>
          <w:rFonts w:cstheme="minorHAnsi"/>
          <w:color w:val="000000" w:themeColor="text1"/>
        </w:rPr>
        <w:fldChar w:fldCharType="begin" w:fldLock="1"/>
      </w:r>
      <w:r w:rsidR="00DC4AAC">
        <w:rPr>
          <w:rFonts w:cstheme="minorHAnsi"/>
          <w:color w:val="000000" w:themeColor="text1"/>
        </w:rPr>
        <w:instrText>ADDIN CSL_CITATION {"citationItems":[{"id":"ITEM-1","itemData":{"DOI":"10.1126/science.aaz5425","abstract":"Immunoglobulin M (IgM) plays a pivotal role in both humoral and mucosal immunity. Its assembly and transport depend on the joining chain (J-chain) and the polymeric immunoglobulin receptor (pIgR), but the underlying molecular mechanisms of these processes are unclear. Here we report a cryo-electron microscopy structure of the Fc region of human IgM in complex with the J-chain and pIgR ectodomain. The IgM-Fc pentamer is formed asymmetrically, resembling a hexagon with a missing triangle. The tailpieces of IgM-Fc pack into an amyloid-like structure to stabilize the pentamer. The J-chain caps the tailpiece assembly and bridges the interaction between IgM-Fc and pIgR, which undergoes a large conformational change to engage the IgM–J complex. These results provide a structural basis for the function of IgM.","author":[{"dropping-particle":"","family":"Li","given":"Yaxin","non-dropping-particle":"","parse-names":false,"suffix":""},{"dropping-particle":"","family":"Wang","given":"Guopeng","non-dropping-particle":"","parse-names":false,"suffix":""},{"dropping-particle":"","family":"Li","given":"Ningning","non-dropping-particle":"","parse-names":false,"suffix":""},{"dropping-particle":"","family":"Wang","given":"Yuxin","non-dropping-particle":"","parse-names":false,"suffix":""},{"dropping-particle":"","family":"Zhu","given":"Qinyu","non-dropping-particle":"","parse-names":false,"suffix":""},{"dropping-particle":"","family":"Chu","given":"Huarui","non-dropping-particle":"","parse-names":false,"suffix":""},{"dropping-particle":"","family":"Wu","given":"Wenjun","non-dropping-particle":"","parse-names":false,"suffix":""},{"dropping-particle":"","family":"Tan","given":"Ying","non-dropping-particle":"","parse-names":false,"suffix":""},{"dropping-particle":"","family":"Yu","given":"Feng","non-dropping-particle":"","parse-names":false,"suffix":""},{"dropping-particle":"","family":"Su","given":"Xiao-Dong","non-dropping-particle":"","parse-names":false,"suffix":""},{"dropping-particle":"","family":"Gao","given":"Ning","non-dropping-particle":"","parse-names":false,"suffix":""},{"dropping-particle":"","family":"Xiao","given":"Junyu","non-dropping-particle":"","parse-names":false,"suffix":""}],"container-title":"Science (New York, N.Y.)","id":"ITEM-1","issued":{"date-parts":[["2020","2","6"]]},"page":"1014-1017","title":"Structural insights into immunoglobulin M","type":"article-journal","volume":"367"},"uris":["http://www.mendeley.com/documents/?uuid=76a9769e-dc3f-4397-953c-d1f275a43a32"]}],"mendeley":{"formattedCitation":"(56)","plainTextFormattedCitation":"(56)","previouslyFormattedCitation":"(56)"},"properties":{"noteIndex":0},"schema":"https://github.com/citation-style-language/schema/raw/master/csl-citation.json"}</w:instrText>
      </w:r>
      <w:r w:rsidR="006B72D6">
        <w:rPr>
          <w:rFonts w:cstheme="minorHAnsi"/>
          <w:color w:val="000000" w:themeColor="text1"/>
        </w:rPr>
        <w:fldChar w:fldCharType="separate"/>
      </w:r>
      <w:r w:rsidR="000F2966" w:rsidRPr="000F2966">
        <w:rPr>
          <w:rFonts w:cstheme="minorHAnsi"/>
          <w:noProof/>
          <w:color w:val="000000" w:themeColor="text1"/>
        </w:rPr>
        <w:t>(56)</w:t>
      </w:r>
      <w:r w:rsidR="006B72D6">
        <w:rPr>
          <w:rFonts w:cstheme="minorHAnsi"/>
          <w:color w:val="000000" w:themeColor="text1"/>
        </w:rPr>
        <w:fldChar w:fldCharType="end"/>
      </w:r>
      <w:r w:rsidR="006B72D6">
        <w:rPr>
          <w:rFonts w:cstheme="minorHAnsi"/>
          <w:color w:val="000000" w:themeColor="text1"/>
        </w:rPr>
        <w:t xml:space="preserve"> </w:t>
      </w:r>
      <w:r w:rsidR="003F3DF4">
        <w:rPr>
          <w:rFonts w:cstheme="minorHAnsi"/>
          <w:color w:val="000000" w:themeColor="text1"/>
        </w:rPr>
        <w:t xml:space="preserve">have </w:t>
      </w:r>
      <w:r w:rsidR="003F3DF4" w:rsidRPr="00411A42">
        <w:rPr>
          <w:rFonts w:cstheme="minorHAnsi"/>
          <w:color w:val="000000" w:themeColor="text1"/>
        </w:rPr>
        <w:t xml:space="preserve">shown that the tailpieces form </w:t>
      </w:r>
      <w:r w:rsidR="003F3DF4" w:rsidRPr="00411A42">
        <w:rPr>
          <w:rFonts w:ascii="Symbol" w:hAnsi="Symbol" w:cstheme="minorHAnsi"/>
          <w:color w:val="000000" w:themeColor="text1"/>
        </w:rPr>
        <w:t>b</w:t>
      </w:r>
      <w:r w:rsidR="003F3DF4" w:rsidRPr="00411A42">
        <w:rPr>
          <w:rFonts w:cstheme="minorHAnsi"/>
          <w:color w:val="000000" w:themeColor="text1"/>
        </w:rPr>
        <w:t>-</w:t>
      </w:r>
      <w:r w:rsidR="003F3DF4" w:rsidRPr="00411A42">
        <w:rPr>
          <w:rFonts w:cstheme="minorHAnsi"/>
          <w:color w:val="000000" w:themeColor="text1"/>
        </w:rPr>
        <w:lastRenderedPageBreak/>
        <w:t xml:space="preserve">strands that pack into an amyloid-like </w:t>
      </w:r>
      <w:r w:rsidR="003F3DF4" w:rsidRPr="00411A42">
        <w:rPr>
          <w:rFonts w:ascii="Symbol" w:hAnsi="Symbol" w:cstheme="minorHAnsi"/>
          <w:color w:val="000000" w:themeColor="text1"/>
        </w:rPr>
        <w:t>b</w:t>
      </w:r>
      <w:r w:rsidR="003F3DF4" w:rsidRPr="00411A42">
        <w:rPr>
          <w:rFonts w:cstheme="minorHAnsi"/>
          <w:color w:val="000000" w:themeColor="text1"/>
        </w:rPr>
        <w:t xml:space="preserve">-sandwich in which Tyr-562, Val-564, Leu-566 and Met-568 mediate hydrophobic interactions to stabilize the multimer. In the absence of tailpiece glycans, tailpiece cysteines or tailpiece associating proteins, </w:t>
      </w:r>
      <w:r w:rsidR="003F3DF4" w:rsidRPr="00411A42">
        <w:rPr>
          <w:rFonts w:ascii="Symbol" w:hAnsi="Symbol" w:cstheme="minorHAnsi"/>
          <w:color w:val="000000" w:themeColor="text1"/>
        </w:rPr>
        <w:t>b</w:t>
      </w:r>
      <w:r w:rsidR="003F3DF4" w:rsidRPr="00411A42">
        <w:rPr>
          <w:rFonts w:cstheme="minorHAnsi"/>
          <w:color w:val="000000" w:themeColor="text1"/>
        </w:rPr>
        <w:t>-strand formation</w:t>
      </w:r>
      <w:r w:rsidR="003F3DF4">
        <w:rPr>
          <w:rFonts w:cstheme="minorHAnsi"/>
          <w:color w:val="000000" w:themeColor="text1"/>
        </w:rPr>
        <w:t xml:space="preserve"> </w:t>
      </w:r>
      <w:r w:rsidR="006B72D6">
        <w:rPr>
          <w:rFonts w:cstheme="minorHAnsi"/>
          <w:color w:val="000000" w:themeColor="text1"/>
        </w:rPr>
        <w:t>may be a</w:t>
      </w:r>
      <w:r w:rsidR="003F3DF4" w:rsidRPr="00411A42">
        <w:rPr>
          <w:rFonts w:cstheme="minorHAnsi"/>
          <w:color w:val="000000" w:themeColor="text1"/>
        </w:rPr>
        <w:t xml:space="preserve"> sufficient driving mechanism for multimerization of </w:t>
      </w:r>
      <w:r w:rsidR="006B72D6">
        <w:rPr>
          <w:rFonts w:cstheme="minorHAnsi"/>
          <w:color w:val="000000" w:themeColor="text1"/>
        </w:rPr>
        <w:t xml:space="preserve">the </w:t>
      </w:r>
      <w:r w:rsidR="003F3DF4" w:rsidRPr="00411A42">
        <w:rPr>
          <w:rFonts w:cstheme="minorHAnsi"/>
          <w:color w:val="000000" w:themeColor="text1"/>
        </w:rPr>
        <w:t xml:space="preserve">Fcs to occur. </w:t>
      </w:r>
      <w:r w:rsidR="00C16631">
        <w:t xml:space="preserve">To determine </w:t>
      </w:r>
      <w:r w:rsidR="009D5BEB">
        <w:t>if this</w:t>
      </w:r>
      <w:r w:rsidR="00463F5A">
        <w:t xml:space="preserve"> is </w:t>
      </w:r>
      <w:r w:rsidR="009D5BEB">
        <w:t>the case</w:t>
      </w:r>
      <w:r w:rsidR="00463F5A">
        <w:t>,</w:t>
      </w:r>
      <w:r w:rsidR="009D5BEB">
        <w:t xml:space="preserve"> </w:t>
      </w:r>
      <w:r w:rsidR="00C16631">
        <w:t xml:space="preserve">we imaged </w:t>
      </w:r>
      <w:r w:rsidR="002B215F">
        <w:t xml:space="preserve">a </w:t>
      </w:r>
      <w:r w:rsidR="00C16631">
        <w:t xml:space="preserve">tailpiece-adapted molecule D221N/N563A/C575A </w:t>
      </w:r>
      <w:r w:rsidR="002B215F">
        <w:t xml:space="preserve">by </w:t>
      </w:r>
      <w:proofErr w:type="spellStart"/>
      <w:r w:rsidR="00A31995">
        <w:t>PeakForce</w:t>
      </w:r>
      <w:proofErr w:type="spellEnd"/>
      <w:r w:rsidR="00A31995">
        <w:t xml:space="preserve"> </w:t>
      </w:r>
      <w:r w:rsidR="002B215F">
        <w:t xml:space="preserve">AFM under solution. </w:t>
      </w:r>
    </w:p>
    <w:p w14:paraId="14EFE2C8" w14:textId="43F850B1" w:rsidR="00A31995" w:rsidRPr="00A31995" w:rsidRDefault="00A31995" w:rsidP="00A31995">
      <w:pPr>
        <w:spacing w:line="360" w:lineRule="auto"/>
        <w:ind w:firstLine="720"/>
        <w:rPr>
          <w:rFonts w:cstheme="minorHAnsi"/>
          <w:color w:val="000000" w:themeColor="text1"/>
        </w:rPr>
      </w:pPr>
      <w:r>
        <w:rPr>
          <w:rFonts w:eastAsia="Times New Roman" w:cstheme="minorHAnsi"/>
          <w:color w:val="222222"/>
          <w:shd w:val="clear" w:color="auto" w:fill="FFFFFF"/>
          <w:lang w:eastAsia="en-GB"/>
        </w:rPr>
        <w:t xml:space="preserve">We observed a wide range of structures (Fig </w:t>
      </w:r>
      <w:r w:rsidR="00825184">
        <w:rPr>
          <w:rFonts w:eastAsia="Times New Roman" w:cstheme="minorHAnsi"/>
          <w:color w:val="222222"/>
          <w:shd w:val="clear" w:color="auto" w:fill="FFFFFF"/>
          <w:lang w:eastAsia="en-GB"/>
        </w:rPr>
        <w:t>4</w:t>
      </w:r>
      <w:r>
        <w:rPr>
          <w:rFonts w:eastAsia="Times New Roman" w:cstheme="minorHAnsi"/>
          <w:color w:val="222222"/>
          <w:shd w:val="clear" w:color="auto" w:fill="FFFFFF"/>
          <w:lang w:eastAsia="en-GB"/>
        </w:rPr>
        <w:t xml:space="preserve">A). Each individual structure consisted of a number (from 1 to 11, mode 6, n = 36) of globular elliptical domains of lateral dimension, 9.5 ± 1.5 nm by 12.4 ± 1.8 nm, and height, 3.1 ± 0.7 nm (n = 31), consistent with the size of an individual Fc fragment (with AFM tip broadening). While these structures were highly variable, there was nonetheless a common feature: other than the single-domain structures, the domains were radially disposed around a central location (see the isolated panels in Fig </w:t>
      </w:r>
      <w:r w:rsidR="0008030F">
        <w:rPr>
          <w:rFonts w:eastAsia="Times New Roman" w:cstheme="minorHAnsi"/>
          <w:color w:val="222222"/>
          <w:shd w:val="clear" w:color="auto" w:fill="FFFFFF"/>
          <w:lang w:eastAsia="en-GB"/>
        </w:rPr>
        <w:t>4</w:t>
      </w:r>
      <w:r>
        <w:rPr>
          <w:rFonts w:eastAsia="Times New Roman" w:cstheme="minorHAnsi"/>
          <w:color w:val="222222"/>
          <w:shd w:val="clear" w:color="auto" w:fill="FFFFFF"/>
          <w:lang w:eastAsia="en-GB"/>
        </w:rPr>
        <w:t xml:space="preserve">A), resembling a star-shaped structure. Such an architecture is consistent with a central </w:t>
      </w:r>
      <w:r w:rsidRPr="00411A42">
        <w:rPr>
          <w:rFonts w:ascii="Symbol" w:eastAsia="Times New Roman" w:hAnsi="Symbol" w:cstheme="minorHAnsi"/>
          <w:color w:val="000000"/>
          <w:lang w:eastAsia="en-GB"/>
        </w:rPr>
        <w:t></w:t>
      </w:r>
      <w:r w:rsidRPr="00411A42">
        <w:rPr>
          <w:rFonts w:eastAsia="Times New Roman" w:cstheme="minorHAnsi"/>
          <w:color w:val="000000"/>
          <w:lang w:eastAsia="en-GB"/>
        </w:rPr>
        <w:t>-sheet</w:t>
      </w:r>
      <w:r>
        <w:rPr>
          <w:rFonts w:eastAsia="Times New Roman" w:cstheme="minorHAnsi"/>
          <w:color w:val="222222"/>
          <w:shd w:val="clear" w:color="auto" w:fill="FFFFFF"/>
          <w:lang w:eastAsia="en-GB"/>
        </w:rPr>
        <w:t xml:space="preserve"> of the tailpieces with a radial disposition of the Fc domains. We speculate that the variability in stoichiometry is owing to </w:t>
      </w:r>
      <w:r w:rsidR="00402D24">
        <w:rPr>
          <w:rFonts w:eastAsia="Times New Roman" w:cstheme="minorHAnsi"/>
          <w:color w:val="222222"/>
          <w:shd w:val="clear" w:color="auto" w:fill="FFFFFF"/>
          <w:lang w:eastAsia="en-GB"/>
        </w:rPr>
        <w:t xml:space="preserve">the </w:t>
      </w:r>
      <w:r w:rsidRPr="00411A42">
        <w:rPr>
          <w:rFonts w:cstheme="minorHAnsi"/>
          <w:color w:val="000000" w:themeColor="text1"/>
        </w:rPr>
        <w:t xml:space="preserve">amyloid-like </w:t>
      </w:r>
      <w:r w:rsidRPr="00411A42">
        <w:rPr>
          <w:rFonts w:ascii="Symbol" w:hAnsi="Symbol" w:cstheme="minorHAnsi"/>
          <w:color w:val="000000" w:themeColor="text1"/>
        </w:rPr>
        <w:t></w:t>
      </w:r>
      <w:r w:rsidRPr="00411A42">
        <w:rPr>
          <w:rFonts w:cstheme="minorHAnsi"/>
          <w:color w:val="000000" w:themeColor="text1"/>
        </w:rPr>
        <w:t>-sandwich</w:t>
      </w:r>
      <w:r>
        <w:rPr>
          <w:rFonts w:cstheme="minorHAnsi"/>
          <w:color w:val="000000" w:themeColor="text1"/>
        </w:rPr>
        <w:t xml:space="preserve">, which can indeed accommodate a range of stoichiometries in IgA and IgM (41, 42), while </w:t>
      </w:r>
      <w:r>
        <w:rPr>
          <w:rFonts w:eastAsia="Times New Roman" w:cstheme="minorHAnsi"/>
          <w:color w:val="222222"/>
          <w:shd w:val="clear" w:color="auto" w:fill="FFFFFF"/>
          <w:lang w:eastAsia="en-GB"/>
        </w:rPr>
        <w:t xml:space="preserve">the variability in structure is a result of </w:t>
      </w:r>
      <w:r w:rsidR="00402D24">
        <w:rPr>
          <w:rFonts w:eastAsia="Times New Roman" w:cstheme="minorHAnsi"/>
          <w:color w:val="222222"/>
          <w:shd w:val="clear" w:color="auto" w:fill="FFFFFF"/>
          <w:lang w:eastAsia="en-GB"/>
        </w:rPr>
        <w:t xml:space="preserve">the </w:t>
      </w:r>
      <w:r>
        <w:rPr>
          <w:rFonts w:eastAsia="Times New Roman" w:cstheme="minorHAnsi"/>
          <w:color w:val="222222"/>
          <w:shd w:val="clear" w:color="auto" w:fill="FFFFFF"/>
          <w:lang w:eastAsia="en-GB"/>
        </w:rPr>
        <w:t>absence of any other favourable inter-domain interactions other than that mediated by the tailpieces.</w:t>
      </w:r>
    </w:p>
    <w:p w14:paraId="5841CEB2" w14:textId="4B1129B7" w:rsidR="00463F5A" w:rsidRDefault="00A31995" w:rsidP="00A31995">
      <w:pPr>
        <w:spacing w:line="360" w:lineRule="auto"/>
        <w:ind w:firstLine="720"/>
        <w:rPr>
          <w:rFonts w:eastAsia="Times New Roman" w:cstheme="minorHAnsi"/>
          <w:color w:val="222222"/>
          <w:shd w:val="clear" w:color="auto" w:fill="FFFFFF"/>
          <w:lang w:eastAsia="en-GB"/>
        </w:rPr>
      </w:pPr>
      <w:r>
        <w:rPr>
          <w:rFonts w:eastAsia="Times New Roman" w:cstheme="minorHAnsi"/>
          <w:color w:val="222222"/>
          <w:shd w:val="clear" w:color="auto" w:fill="FFFFFF"/>
          <w:lang w:eastAsia="en-GB"/>
        </w:rPr>
        <w:t xml:space="preserve">Structural studies of C1q bound to </w:t>
      </w:r>
      <w:proofErr w:type="spellStart"/>
      <w:r>
        <w:rPr>
          <w:rFonts w:eastAsia="Times New Roman" w:cstheme="minorHAnsi"/>
          <w:color w:val="222222"/>
          <w:shd w:val="clear" w:color="auto" w:fill="FFFFFF"/>
          <w:lang w:eastAsia="en-GB"/>
        </w:rPr>
        <w:t>hexameric</w:t>
      </w:r>
      <w:proofErr w:type="spellEnd"/>
      <w:r>
        <w:rPr>
          <w:rFonts w:eastAsia="Times New Roman" w:cstheme="minorHAnsi"/>
          <w:color w:val="222222"/>
          <w:shd w:val="clear" w:color="auto" w:fill="FFFFFF"/>
          <w:lang w:eastAsia="en-GB"/>
        </w:rPr>
        <w:t xml:space="preserve"> IgG or IgM have shown that the C1q binding sites in these antibody complexes are radially arranged, with binding sites spaced between ~9 nm to ~18 nm from each other </w:t>
      </w:r>
      <w:r w:rsidR="00C804A1">
        <w:rPr>
          <w:rFonts w:eastAsia="Times New Roman" w:cstheme="minorHAnsi"/>
          <w:color w:val="222222"/>
          <w:shd w:val="clear" w:color="auto" w:fill="FFFFFF"/>
          <w:lang w:eastAsia="en-GB"/>
        </w:rPr>
        <w:fldChar w:fldCharType="begin" w:fldLock="1"/>
      </w:r>
      <w:r w:rsidR="00DC4AAC">
        <w:rPr>
          <w:rFonts w:eastAsia="Times New Roman" w:cstheme="minorHAnsi"/>
          <w:color w:val="222222"/>
          <w:shd w:val="clear" w:color="auto" w:fill="FFFFFF"/>
          <w:lang w:eastAsia="en-GB"/>
        </w:rPr>
        <w:instrText>ADDIN CSL_CITATION {"citationItems":[{"id":"ITEM-1","itemData":{"DOI":"10.1073/pnas.1901841116","ISSN":"10916490","PMID":"31147461","abstract":"Antigen binding by serum Ig-M (IgM) protects against microbial infections and helps to prevent autoimmunity, but causes life-threatening diseases when mistargeted. How antigen-bound IgM activates complement-immune responses remains unclear. We present cryoelectron tomography structures of IgM, C1, and C4b complexes formed on antigen-bearing lipid membranes by normal human serum at 4 °C. The IgM-C1-C4b complexes revealed C4b product release as the temperature-limiting step in complement activation. Both IgM hexamers and pentamers adopted hexagonal, dome-shaped structures with Fab pairs, dimerized by hinge domains, bound to surface antigens that support a platform of Fc regions. C1 binds IgM through widely spread C1q-collagen helices, with C1r proteases pointing outward and C1s bending downward and interacting with surface-attached C4b, which further interacts with the adjacent IgM-Fab2 and globular C1q-recognition unit. Based on these data, we present mechanistic models for antibody-mediated, C1q-transmitted activation of C1 and for C4b deposition, while further conformational rearrangements are required to form C3 convertases.","author":[{"dropping-particle":"","family":"Sharp","given":"Thomas H.","non-dropping-particle":"","parse-names":false,"suffix":""},{"dropping-particle":"","family":"Boyle","given":"Aimee L.","non-dropping-particle":"","parse-names":false,"suffix":""},{"dropping-particle":"","family":"Diebolder","given":"Christoph A.","non-dropping-particle":"","parse-names":false,"suffix":""},{"dropping-particle":"","family":"Kros","given":"Alexander","non-dropping-particle":"","parse-names":false,"suffix":""},{"dropping-particle":"","family":"Koster","given":"Abraham J.","non-dropping-particle":"","parse-names":false,"suffix":""},{"dropping-particle":"","family":"Gros","given":"Piet","non-dropping-particle":"","parse-names":false,"suffix":""}],"container-title":"Proceedings of the National Academy of Sciences of the United States of America","id":"ITEM-1","issued":{"date-parts":[["2019"]]},"page":"11900-11905","title":"Insights into IgM-mediated complement activation based on in situ structures of IgM-C1-C4b","type":"article-journal","volume":"116"},"uris":["http://www.mendeley.com/documents/?uuid=dd7c169b-c8a9-4cd5-847e-7d80591325cd"]}],"mendeley":{"formattedCitation":"(57)","plainTextFormattedCitation":"(57)","previouslyFormattedCitation":"(57)"},"properties":{"noteIndex":0},"schema":"https://github.com/citation-style-language/schema/raw/master/csl-citation.json"}</w:instrText>
      </w:r>
      <w:r w:rsidR="00C804A1">
        <w:rPr>
          <w:rFonts w:eastAsia="Times New Roman" w:cstheme="minorHAnsi"/>
          <w:color w:val="222222"/>
          <w:shd w:val="clear" w:color="auto" w:fill="FFFFFF"/>
          <w:lang w:eastAsia="en-GB"/>
        </w:rPr>
        <w:fldChar w:fldCharType="separate"/>
      </w:r>
      <w:r w:rsidR="000F2966" w:rsidRPr="000F2966">
        <w:rPr>
          <w:rFonts w:eastAsia="Times New Roman" w:cstheme="minorHAnsi"/>
          <w:noProof/>
          <w:color w:val="222222"/>
          <w:shd w:val="clear" w:color="auto" w:fill="FFFFFF"/>
          <w:lang w:eastAsia="en-GB"/>
        </w:rPr>
        <w:t>(57)</w:t>
      </w:r>
      <w:r w:rsidR="00C804A1">
        <w:rPr>
          <w:rFonts w:eastAsia="Times New Roman" w:cstheme="minorHAnsi"/>
          <w:color w:val="222222"/>
          <w:shd w:val="clear" w:color="auto" w:fill="FFFFFF"/>
          <w:lang w:eastAsia="en-GB"/>
        </w:rPr>
        <w:fldChar w:fldCharType="end"/>
      </w:r>
      <w:r>
        <w:rPr>
          <w:rFonts w:eastAsia="Times New Roman" w:cstheme="minorHAnsi"/>
          <w:color w:val="222222"/>
          <w:shd w:val="clear" w:color="auto" w:fill="FFFFFF"/>
          <w:lang w:eastAsia="en-GB"/>
        </w:rPr>
        <w:t xml:space="preserve">. Further, this work has also shown that there is some flexibility in the C1q structure bound to these complexes, with the maximal distance of the C1q head domains ranging from 19 nm to 24 nm. Thus, we also examined the inter-domain distances of the Fc-complexes in these AFM images, finding that most domains are between 7 nm to 22 nm apart from each other (Fig </w:t>
      </w:r>
      <w:r w:rsidR="0008030F">
        <w:rPr>
          <w:rFonts w:eastAsia="Times New Roman" w:cstheme="minorHAnsi"/>
          <w:color w:val="222222"/>
          <w:shd w:val="clear" w:color="auto" w:fill="FFFFFF"/>
          <w:lang w:eastAsia="en-GB"/>
        </w:rPr>
        <w:t>4</w:t>
      </w:r>
      <w:r>
        <w:rPr>
          <w:rFonts w:eastAsia="Times New Roman" w:cstheme="minorHAnsi"/>
          <w:color w:val="222222"/>
          <w:shd w:val="clear" w:color="auto" w:fill="FFFFFF"/>
          <w:lang w:eastAsia="en-GB"/>
        </w:rPr>
        <w:t>B), which is within the same range as the inter C1q-binding site distances in IgG and IgM. Thus, since C1q binding only appear to require a radial arrangement of binding sites within this distance range, our images suggest that these complexes might indeed bind C1q in an overall roughly similar manner as with IgG and IgM, except that many different multivalent binding architectures are possible with these highly variable Fc-complexes.</w:t>
      </w:r>
    </w:p>
    <w:p w14:paraId="50CC0233" w14:textId="77777777" w:rsidR="003D69ED" w:rsidRDefault="003D69ED" w:rsidP="0013059B">
      <w:pPr>
        <w:spacing w:line="360" w:lineRule="auto"/>
        <w:rPr>
          <w:b/>
          <w:bCs/>
          <w:sz w:val="28"/>
          <w:szCs w:val="28"/>
        </w:rPr>
      </w:pPr>
    </w:p>
    <w:p w14:paraId="06009BBC" w14:textId="77777777" w:rsidR="00D772B1" w:rsidRDefault="00D772B1" w:rsidP="0013059B">
      <w:pPr>
        <w:spacing w:line="360" w:lineRule="auto"/>
        <w:rPr>
          <w:b/>
          <w:bCs/>
          <w:sz w:val="28"/>
          <w:szCs w:val="28"/>
        </w:rPr>
      </w:pPr>
    </w:p>
    <w:p w14:paraId="034C4CF0" w14:textId="77777777" w:rsidR="00D772B1" w:rsidRDefault="00D772B1" w:rsidP="0013059B">
      <w:pPr>
        <w:spacing w:line="360" w:lineRule="auto"/>
        <w:rPr>
          <w:b/>
          <w:bCs/>
          <w:sz w:val="28"/>
          <w:szCs w:val="28"/>
        </w:rPr>
      </w:pPr>
    </w:p>
    <w:p w14:paraId="55521FE8" w14:textId="77777777" w:rsidR="00D772B1" w:rsidRDefault="00D772B1" w:rsidP="0013059B">
      <w:pPr>
        <w:spacing w:line="360" w:lineRule="auto"/>
        <w:rPr>
          <w:b/>
          <w:bCs/>
          <w:sz w:val="28"/>
          <w:szCs w:val="28"/>
        </w:rPr>
      </w:pPr>
    </w:p>
    <w:p w14:paraId="42836788" w14:textId="36617F01" w:rsidR="00163CA0" w:rsidRPr="00163CA0" w:rsidRDefault="00163CA0" w:rsidP="0013059B">
      <w:pPr>
        <w:spacing w:line="360" w:lineRule="auto"/>
        <w:rPr>
          <w:b/>
          <w:bCs/>
          <w:sz w:val="28"/>
          <w:szCs w:val="28"/>
        </w:rPr>
      </w:pPr>
      <w:r w:rsidRPr="00163CA0">
        <w:rPr>
          <w:b/>
          <w:bCs/>
          <w:sz w:val="28"/>
          <w:szCs w:val="28"/>
        </w:rPr>
        <w:lastRenderedPageBreak/>
        <w:t>Discussion</w:t>
      </w:r>
    </w:p>
    <w:p w14:paraId="4627B681" w14:textId="673E7E00" w:rsidR="00163CA0" w:rsidRDefault="00E439A1">
      <w:pPr>
        <w:spacing w:line="360" w:lineRule="auto"/>
      </w:pPr>
      <w:r w:rsidRPr="005D039D">
        <w:t>In this study, we aimed to assess direct protective effects of variably glycosylated Fc</w:t>
      </w:r>
      <w:r w:rsidR="008C2A6F" w:rsidRPr="005D039D">
        <w:t xml:space="preserve"> </w:t>
      </w:r>
      <w:r w:rsidRPr="005D039D">
        <w:t xml:space="preserve">fragments on CNS tissue during </w:t>
      </w:r>
      <w:r w:rsidR="00815CEB" w:rsidRPr="005D039D">
        <w:t xml:space="preserve">antibody-mediated </w:t>
      </w:r>
      <w:r w:rsidRPr="005D039D">
        <w:t>demyelination</w:t>
      </w:r>
      <w:r>
        <w:t xml:space="preserve"> </w:t>
      </w:r>
      <w:r w:rsidR="00AA1E20">
        <w:fldChar w:fldCharType="begin" w:fldLock="1"/>
      </w:r>
      <w:r w:rsidR="00DC4AAC">
        <w:instrText>ADDIN CSL_CITATION {"citationItems":[{"id":"ITEM-1","itemData":{"DOI":"10.1038/nrneurol.2017.84","ISSN":"17594766","abstract":"The chronic inflammatory neuropathies (CINs) are rare, very disabling autoimmune disorders that generally respond well to immune therapies such as intravenous immunoglobulin (IVIg). The most common forms of CIN are chronic inflammatory demyelinating polyradiculoneuropathy (CIDP), multifocal motor neuropathy, and polyneuropathy associated with monoclonal gammopathy of unknown significance. The field of CIN has undergone a major advance with the identification of IgG4 autoantibodies directed against paranodal proteins in patients with CIDP. Although these autoantibodies are only found in a small subset of patients with CIDP, they can be used to guide therapeutic decision-making, as these patients have a poor response to IVIg. These observations provide proof of concept that identifying the target antigens in tissue-specific antibody-mediated autoimmune diseases is important, not only to understand their underlying pathogenic mechanisms, but also to correctly diagnose and treat affected patients. This state-of-the-art Review focuses on the role of autoantibodies against nodes of Ranvier in CIDP, a clinically relevant emerging field of research. The role of autoantibodies in other immune-mediated neuropathies, including other forms of CIN, primary autoimmune neuropathies, neoplasms, and systemic diseases that resemble CIN, are also discussed.","author":[{"dropping-particle":"","family":"Querol","given":"Luis","non-dropping-particle":"","parse-names":false,"suffix":""},{"dropping-particle":"","family":"Devaux","given":"Jérôme","non-dropping-particle":"","parse-names":false,"suffix":""},{"dropping-particle":"","family":"Rojas-Garcia","given":"Ricard","non-dropping-particle":"","parse-names":false,"suffix":""},{"dropping-particle":"","family":"Illa","given":"Isabel","non-dropping-particle":"","parse-names":false,"suffix":""}],"container-title":"Nature Reviews Neurology","id":"ITEM-1","issued":{"date-parts":[["2017"]]},"page":"533-547","title":"Autoantibodies in chronic inflammatory neuropathies: Diagnostic and therapeutic implications","type":"article-journal","volume":"13"},"uris":["http://www.mendeley.com/documents/?uuid=1482adf4-dfa0-4ef8-928c-a5f8c8534574"]}],"mendeley":{"formattedCitation":"(58)","plainTextFormattedCitation":"(58)","previouslyFormattedCitation":"(58)"},"properties":{"noteIndex":0},"schema":"https://github.com/citation-style-language/schema/raw/master/csl-citation.json"}</w:instrText>
      </w:r>
      <w:r w:rsidR="00AA1E20">
        <w:fldChar w:fldCharType="separate"/>
      </w:r>
      <w:r w:rsidR="000F2966" w:rsidRPr="000F2966">
        <w:rPr>
          <w:noProof/>
        </w:rPr>
        <w:t>(58)</w:t>
      </w:r>
      <w:r w:rsidR="00AA1E20">
        <w:fldChar w:fldCharType="end"/>
      </w:r>
      <w:r>
        <w:t>. To mim</w:t>
      </w:r>
      <w:r w:rsidR="00074053">
        <w:t xml:space="preserve">ic immune-mediated demyelination, OSC were incubated with a humanized recombinant anti-MOG antibody together with complement for 3 days. At the concentrations of anti-MOG antibody and complement tested, this treatment resulted in rapid and severe demyelination and damage of oligodendrocytes, while axons remained largely intact for the duration of the experiment as shown before </w:t>
      </w:r>
      <w:r w:rsidR="00AA1E20">
        <w:fldChar w:fldCharType="begin" w:fldLock="1"/>
      </w:r>
      <w:r w:rsidR="00DC4AAC">
        <w:instrText>ADDIN CSL_CITATION {"citationItems":[{"id":"ITEM-1","itemData":{"DOI":"10.1002/acn3.326","ISSN":"23289503","PMID":"27844029","author":[{"dropping-particle":"","family":"Winter","given":"Meike","non-dropping-particle":"","parse-names":false,"suffix":""},{"dropping-particle":"","family":"Baksmeier","given":"Christine","non-dropping-particle":"","parse-names":false,"suffix":""},{"dropping-particle":"","family":"Steckel","given":"Julia","non-dropping-particle":"","parse-names":false,"suffix":""},{"dropping-particle":"","family":"Barman","given":"Sumanta","non-dropping-particle":"","parse-names":false,"suffix":""},{"dropping-particle":"","family":"Malviya","given":"Manish","non-dropping-particle":"","parse-names":false,"suffix":""},{"dropping-particle":"","family":"Harrer-Kuster","given":"Melanie","non-dropping-particle":"","parse-names":false,"suffix":""},{"dropping-particle":"","family":"Hartung","given":"Hans-Peter","non-dropping-particle":"","parse-names":false,"suffix":""},{"dropping-particle":"","family":"Goebels","given":"Norbert","non-dropping-particle":"","parse-names":false,"suffix":""}],"container-title":"Annals of Clinical and Translational Neurology","id":"ITEM-1","issue":"11","issued":{"date-parts":[["2016"]]},"page":"828-843","title":"Dose-dependent inhibition of demyelination and microglia activation by IVIG","type":"article-journal","volume":"3"},"uris":["http://www.mendeley.com/documents/?uuid=26923f6d-94a0-476e-b9b7-67d87f7e67a2"]}],"mendeley":{"formattedCitation":"(18)","plainTextFormattedCitation":"(18)","previouslyFormattedCitation":"(18)"},"properties":{"noteIndex":0},"schema":"https://github.com/citation-style-language/schema/raw/master/csl-citation.json"}</w:instrText>
      </w:r>
      <w:r w:rsidR="00AA1E20">
        <w:fldChar w:fldCharType="separate"/>
      </w:r>
      <w:r w:rsidR="000F2966" w:rsidRPr="000F2966">
        <w:rPr>
          <w:noProof/>
        </w:rPr>
        <w:t>(18)</w:t>
      </w:r>
      <w:r w:rsidR="00AA1E20">
        <w:fldChar w:fldCharType="end"/>
      </w:r>
      <w:r w:rsidR="00074053">
        <w:t xml:space="preserve">. The </w:t>
      </w:r>
      <w:r w:rsidR="00402D24">
        <w:t xml:space="preserve">effect </w:t>
      </w:r>
      <w:r w:rsidR="00074053">
        <w:t xml:space="preserve">of IVIG, but not de-glycosylated IVIG (Fig. </w:t>
      </w:r>
      <w:r w:rsidR="00FE1D7E">
        <w:t>1</w:t>
      </w:r>
      <w:r w:rsidR="00074053">
        <w:t xml:space="preserve">), in blocking this immune-mediated demyelination argues for a mechanism of action that is dependent on </w:t>
      </w:r>
      <w:r w:rsidR="00BA051C">
        <w:t xml:space="preserve">IgG </w:t>
      </w:r>
      <w:r w:rsidR="00074053">
        <w:t>glycosylation</w:t>
      </w:r>
      <w:r w:rsidR="00BA051C">
        <w:t>,</w:t>
      </w:r>
      <w:r w:rsidR="00074053">
        <w:t xml:space="preserve"> but that does not </w:t>
      </w:r>
      <w:r w:rsidR="00074053" w:rsidRPr="00A31995">
        <w:rPr>
          <w:color w:val="000000" w:themeColor="text1"/>
        </w:rPr>
        <w:t xml:space="preserve">require </w:t>
      </w:r>
      <w:r w:rsidR="005C6ECB" w:rsidRPr="00A31995">
        <w:rPr>
          <w:color w:val="000000" w:themeColor="text1"/>
        </w:rPr>
        <w:t xml:space="preserve">sialic acid or </w:t>
      </w:r>
      <w:r w:rsidR="00074053">
        <w:t xml:space="preserve">variable region binding through the </w:t>
      </w:r>
      <w:r w:rsidR="006F4958">
        <w:t xml:space="preserve">Fab </w:t>
      </w:r>
      <w:r w:rsidR="00074053">
        <w:t>antigen binding sites.</w:t>
      </w:r>
      <w:r w:rsidR="006F4958">
        <w:t xml:space="preserve"> IVIG clearly reduced demyelination of axons as depicted in Fig. </w:t>
      </w:r>
      <w:r w:rsidR="00FE1D7E">
        <w:t>1</w:t>
      </w:r>
      <w:r w:rsidR="006F4958">
        <w:t xml:space="preserve">B, while equimolar concentrations of de-glycosylated IVIG or Fab fragments as previously published </w:t>
      </w:r>
      <w:r w:rsidR="00AA1E20">
        <w:fldChar w:fldCharType="begin" w:fldLock="1"/>
      </w:r>
      <w:r w:rsidR="00DC4AAC">
        <w:instrText>ADDIN CSL_CITATION {"citationItems":[{"id":"ITEM-1","itemData":{"DOI":"10.1002/acn3.326","ISSN":"23289503","PMID":"27844029","author":[{"dropping-particle":"","family":"Winter","given":"Meike","non-dropping-particle":"","parse-names":false,"suffix":""},{"dropping-particle":"","family":"Baksmeier","given":"Christine","non-dropping-particle":"","parse-names":false,"suffix":""},{"dropping-particle":"","family":"Steckel","given":"Julia","non-dropping-particle":"","parse-names":false,"suffix":""},{"dropping-particle":"","family":"Barman","given":"Sumanta","non-dropping-particle":"","parse-names":false,"suffix":""},{"dropping-particle":"","family":"Malviya","given":"Manish","non-dropping-particle":"","parse-names":false,"suffix":""},{"dropping-particle":"","family":"Harrer-Kuster","given":"Melanie","non-dropping-particle":"","parse-names":false,"suffix":""},{"dropping-particle":"","family":"Hartung","given":"Hans-Peter","non-dropping-particle":"","parse-names":false,"suffix":""},{"dropping-particle":"","family":"Goebels","given":"Norbert","non-dropping-particle":"","parse-names":false,"suffix":""}],"container-title":"Annals of Clinical and Translational Neurology","id":"ITEM-1","issue":"11","issued":{"date-parts":[["2016"]]},"page":"828-843","title":"Dose-dependent inhibition of demyelination and microglia activation by IVIG","type":"article-journal","volume":"3"},"uris":["http://www.mendeley.com/documents/?uuid=26923f6d-94a0-476e-b9b7-67d87f7e67a2"]}],"mendeley":{"formattedCitation":"(18)","plainTextFormattedCitation":"(18)","previouslyFormattedCitation":"(18)"},"properties":{"noteIndex":0},"schema":"https://github.com/citation-style-language/schema/raw/master/csl-citation.json"}</w:instrText>
      </w:r>
      <w:r w:rsidR="00AA1E20">
        <w:fldChar w:fldCharType="separate"/>
      </w:r>
      <w:r w:rsidR="000F2966" w:rsidRPr="000F2966">
        <w:rPr>
          <w:noProof/>
        </w:rPr>
        <w:t>(18)</w:t>
      </w:r>
      <w:r w:rsidR="00AA1E20">
        <w:fldChar w:fldCharType="end"/>
      </w:r>
      <w:r w:rsidR="006F4958">
        <w:t xml:space="preserve"> </w:t>
      </w:r>
      <w:r w:rsidR="003D69ED">
        <w:t>had little</w:t>
      </w:r>
      <w:r w:rsidR="00D772B1">
        <w:t xml:space="preserve"> or </w:t>
      </w:r>
      <w:r w:rsidR="00210AD2">
        <w:t xml:space="preserve">no </w:t>
      </w:r>
      <w:r w:rsidR="003D69ED">
        <w:t>effect</w:t>
      </w:r>
      <w:r w:rsidR="006F4958">
        <w:t xml:space="preserve">. </w:t>
      </w:r>
    </w:p>
    <w:p w14:paraId="7C91547E" w14:textId="2616DD2B" w:rsidR="00163CA0" w:rsidRDefault="001D0BB9">
      <w:pPr>
        <w:spacing w:line="360" w:lineRule="auto"/>
      </w:pPr>
      <w:r>
        <w:tab/>
        <w:t>These findings led us to investigate the efficacy of a panel of glycan-modified human IgG1-Fcs engineered</w:t>
      </w:r>
      <w:r w:rsidR="00BA051C">
        <w:t xml:space="preserve"> (Fig. </w:t>
      </w:r>
      <w:r w:rsidR="00FE1D7E">
        <w:t>2</w:t>
      </w:r>
      <w:r w:rsidR="00BA051C">
        <w:t xml:space="preserve"> and Table 1)</w:t>
      </w:r>
      <w:r>
        <w:t xml:space="preserve"> for enhanced glycosylation </w:t>
      </w:r>
      <w:r w:rsidR="00AA1E20">
        <w:fldChar w:fldCharType="begin" w:fldLock="1"/>
      </w:r>
      <w:r w:rsidR="00DC4AAC">
        <w:instrText>ADDIN CSL_CITATION {"citationItems":[{"id":"ITEM-1","itemData":{"DOI":"10.1074/jbc.M117.795047","ISSN":"0021-9258","author":[{"dropping-particle":"","family":"Blundell","given":"Patricia A","non-dropping-particle":"","parse-names":false,"suffix":""},{"dropping-particle":"","family":"Le","given":"Ngoc Phuong Lan","non-dropping-particle":"","parse-names":false,"suffix":""},{"dropping-particle":"","family":"Allen","given":"Joel","non-dropping-particle":"","parse-names":false,"suffix":""},{"dropping-particle":"","family":"Watanabe","given":"Yasunori","non-dropping-particle":"","parse-names":false,"suffix":""},{"dropping-particle":"","family":"Pleass","given":"Richard J","non-dropping-particle":"","parse-names":false,"suffix":""}],"container-title":"Journal of Biological Chemistry","id":"ITEM-1","issued":{"date-parts":[["2017"]]},"page":"12994-13007","title":"Engineering the fragment crystallizable (Fc) region of human IgG1 multimers and monomers to fine-tune interactions with sialic acid-dependent receptors","type":"article-journal","volume":"292"},"uris":["http://www.mendeley.com/documents/?uuid=0a129f04-7d3c-4fde-8bb7-6ab517a0b7a2"]},{"id":"ITEM-2","itemData":{"DOI":"10.4049/jimmunol.1801337","ISSN":"0022-1767","abstract":"In therapeutic applications in which the Fc of IgG is critically important, the receptor binding and functional properties of the Fc are lost after deglycosylation or removal of the unique Asn297 N-X-(T/S) sequon. A population of Fcs bearing sialylated glycans has been identified as contributing to this functionality, and high levels of sialylation also lead to longer serum retention times advantageous for therapy. The efficacy of sialylated Fc has generated an incentive to modify the unique N-linked glycosylation site at Asn297, either through chemical and enzymatic methods or by mutagenesis of the Fc, that disrupts the protein-Asn297 carbohydrate interface. In this study, we took an alternative approach by inserting or deleting N-linked attachment sites into the body of the Fc to generate a portfolio of mutants with tailored effector functions. For example, we describe mutants with enhanced binding to low-affinity inhibitory human Fcγ and glycan receptors that may be usefully incorporated into existing Ab engineering approaches to treat or vaccinate against disease. The IgG1 Fc fragments containing complex sialylated glycans attached to the N-terminal Asn221 sequon bound influenza virus hemagglutinin and disrupted influenza A-mediated agglutination of human erythrocytes.","author":[{"dropping-particle":"","family":"Blundell","given":"Patricia A.","non-dropping-particle":"","parse-names":false,"suffix":""},{"dropping-particle":"","family":"Lu","given":"Dongli","non-dropping-particle":"","parse-names":false,"suffix":""},{"dropping-particle":"","family":"Wilkinson","given":"Mark.","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Immunology","id":"ITEM-2","issued":{"date-parts":[["2019"]]},"page":"1595-1611","title":"Insertion of N-Terminal Hinge Glycosylation Enhances Interactions of the Fc Region of Human IgG1 Monomers with Glycan-Dependent Receptors and Blocks Hemagglutination by the Influenza Virus","type":"article-journal","volume":"202"},"uris":["http://www.mendeley.com/documents/?uuid=ef264cf2-4739-4de3-8887-dc3a5dbd6881"]},{"id":"ITEM-3","itemData":{"DOI":"10.4049/jimmunol.1901145","ISSN":"0022-1767","PMID":"31907284","abstract":"Antibodies are glycoproteins that carry a conserved N-linked carbohydrate attached to the Fc, whose presence and fine structure profoundly impacts on their in vivo immunogenicity, pharmacokinetics and functional attributes. The host cell line used to produce IgG has a major impact on this glycosylation, as different systems express different glycosylation enzymes and transporters that contribute to the specificity and heterogeneity of the final IgG-Fc glycosylation profile. Here we compare two panels of glycan-adapted IgG1-Fc mutants expressed in either the HEK 293-F or CHO-K1 systems. We show that the types of N-linked glycans between matched pairs of Fc mutants vary significantly, and in particular with respect to sialylation. These cell line effects on glycosylation profoundly influence the ability of the engineered Fcs to interact with either human or pathogen receptors. For example, we describe Fc mutants that potently disrupted influenza B-mediated agglutination of human erythrocytes when expressed in CHO-K1 but not in HEK 293-F cells. * Abbreviations: Fc : Fragment crystallizable IVIG : Intravenous Immunoglobulin ITP : Idiopathic Thrombocytopenic Purpura tp : tailpiece Siglec : Sialic acid-binding immunoglobulin-type lectin CD : Cluster Designation CHO : Chinese Hamster Ovary DC-SIGN : Dendritic Cell-Specific Intercellular Adhesion Molecule-3-grabbing Non-Integrin DCIR : C-type Lectin Dendritic Cell Immunoreceptor CLEC : C-type Lectin HA : Hemagglutinin HIA : Hemagglutination Inhibition Assay HEK 293-F : Human Endothelial Kidney MBL : Mannose-Binding Lectin MMR : Macrophage Mannose Receptor mAbs : monoclonal Antibody MALDI : matrix-assisted laser desorption ionisation TOF : time-of-flight SE-HPLC : Size Exclusion-High Performance Liquid Chromatography","author":[{"dropping-particle":"","family":"Blundell","given":"Patricia A.","non-dropping-particle":"","parse-names":false,"suffix":""},{"dropping-particle":"","family":"Lu","given":"Dongli","non-dropping-particle":"","parse-names":false,"suffix":""},{"dropping-particle":"","family":"Dell","given":"Anne","non-dropping-particle":"","parse-names":false,"suffix":""},{"dropping-particle":"","family":"Haslam","given":"Stuart","non-dropping-particle":"","parse-names":false,"suffix":""},{"dropping-particle":"","family":"Pleass","given":"Richard J.","non-dropping-particle":"","parse-names":false,"suffix":""}],"container-title":"The Journal of Immunology","id":"ITEM-3","issue":"4","issued":{"date-parts":[["2020"]]},"page":"1022-1034","title":"Choice of Host Cell Line Is Essential for the Functional Glycosylation of the Fc Region of Human IgG1 Inhibitors of Influenza B Viruses","type":"article-journal","volume":"204"},"uris":["http://www.mendeley.com/documents/?uuid=fe984b0a-b0f9-4576-a7c5-77c70633286d"]}],"mendeley":{"formattedCitation":"(30–32)","manualFormatting":"(26-28)","plainTextFormattedCitation":"(30–32)","previouslyFormattedCitation":"(30–32)"},"properties":{"noteIndex":0},"schema":"https://github.com/citation-style-language/schema/raw/master/csl-citation.json"}</w:instrText>
      </w:r>
      <w:r w:rsidR="00AA1E20">
        <w:fldChar w:fldCharType="separate"/>
      </w:r>
      <w:r w:rsidR="0037213E" w:rsidRPr="0037213E">
        <w:rPr>
          <w:noProof/>
        </w:rPr>
        <w:t>(26</w:t>
      </w:r>
      <w:r w:rsidR="00CA03DC">
        <w:rPr>
          <w:noProof/>
        </w:rPr>
        <w:t>-</w:t>
      </w:r>
      <w:r w:rsidR="0037213E" w:rsidRPr="0037213E">
        <w:rPr>
          <w:noProof/>
        </w:rPr>
        <w:t>28)</w:t>
      </w:r>
      <w:r w:rsidR="00AA1E20">
        <w:fldChar w:fldCharType="end"/>
      </w:r>
      <w:r>
        <w:t>, that allow for high avidity binding to low affinity receptors</w:t>
      </w:r>
      <w:r w:rsidR="007B6F2E">
        <w:t xml:space="preserve"> (Fig. S</w:t>
      </w:r>
      <w:r w:rsidR="00FE1D7E">
        <w:t>5</w:t>
      </w:r>
      <w:r w:rsidR="007B6F2E">
        <w:t xml:space="preserve"> and S</w:t>
      </w:r>
      <w:r w:rsidR="00FE1D7E">
        <w:t>6</w:t>
      </w:r>
      <w:r w:rsidR="007B6F2E">
        <w:t>). Because complement activation by IgG is known to be critically dependent on Fc glycosylation</w:t>
      </w:r>
      <w:r w:rsidR="006212CA">
        <w:t xml:space="preserve"> and multimerization</w:t>
      </w:r>
      <w:r w:rsidR="007B6F2E">
        <w:t xml:space="preserve"> </w:t>
      </w:r>
      <w:r w:rsidR="00AA1E20">
        <w:fldChar w:fldCharType="begin" w:fldLock="1"/>
      </w:r>
      <w:r w:rsidR="00DC4AAC">
        <w:instrText>ADDIN CSL_CITATION {"citationItems":[{"id":"ITEM-1","itemData":{"DOI":"10.1126/science.1248943","ISSN":"1095-9203","PMID":"24626930","abstract":"Complement activation by antibodies bound to pathogens, tumors, and self antigens is a critical feature of natural immune defense, a number of disease processes, and immunotherapies. How antibodies activate the complement cascade, however, is poorly understood. We found that specific noncovalent interactions between Fc segments of immunoglobulin G (IgG) antibodies resulted in the formation of ordered antibody hexamers after antigen binding on cells. These hexamers recruited and activated C1, the first component of complement, thereby triggering the complement cascade. The interactions between neighboring Fc segments could be manipulated to block, reconstitute, and enhance complement activation and killing of target cells, using all four human IgG subclasses. We offer a general model for understanding antibody-mediated complement activation and the design of antibody therapeutics with enhanced efficacy.","author":[{"dropping-particle":"","family":"Diebolder","given":"Christoph A","non-dropping-particle":"","parse-names":false,"suffix":""},{"dropping-particle":"","family":"Beurskens","given":"Frank J","non-dropping-particle":"","parse-names":false,"suffix":""},{"dropping-particle":"","family":"Jong","given":"Rob N","non-dropping-particle":"de","parse-names":false,"suffix":""},{"dropping-particle":"","family":"Koning","given":"Roman I","non-dropping-particle":"","parse-names":false,"suffix":""},{"dropping-particle":"","family":"Strumane","given":"Kristin","non-dropping-particle":"","parse-names":false,"suffix":""},{"dropping-particle":"","family":"Lindorfer","given":"Margaret A","non-dropping-particle":"","parse-names":false,"suffix":""},{"dropping-particle":"","family":"Voorhorst","given":"Marleen","non-dropping-particle":"","parse-names":false,"suffix":""},{"dropping-particle":"","family":"Ugurlar","given":"Deniz","non-dropping-particle":"","parse-names":false,"suffix":""},{"dropping-particle":"","family":"Rosati","given":"Sara","non-dropping-particle":"","parse-names":false,"suffix":""},{"dropping-particle":"","family":"Heck","given":"Albert J R","non-dropping-particle":"","parse-names":false,"suffix":""},{"dropping-particle":"","family":"Winkel","given":"Jan G J","non-dropping-particle":"van de","parse-names":false,"suffix":""},{"dropping-particle":"","family":"Wilson","given":"Ian A","non-dropping-particle":"","parse-names":false,"suffix":""},{"dropping-particle":"","family":"Koster","given":"Abraham J","non-dropping-particle":"","parse-names":false,"suffix":""},{"dropping-particle":"","family":"Taylor","given":"Ronald P","non-dropping-particle":"","parse-names":false,"suffix":""},{"dropping-particle":"","family":"Saphire","given":"Erica Ollmann","non-dropping-particle":"","parse-names":false,"suffix":""},{"dropping-particle":"","family":"Burton","given":"Dennis R","non-dropping-particle":"","parse-names":false,"suffix":""},{"dropping-particle":"","family":"Schuurman","given":"Janine","non-dropping-particle":"","parse-names":false,"suffix":""},{"dropping-particle":"","family":"Gros","given":"Piet","non-dropping-particle":"","parse-names":false,"suffix":""},{"dropping-particle":"","family":"Parren","given":"Paul W H I","non-dropping-particle":"","parse-names":false,"suffix":""}],"container-title":"Science (New York, N.Y.)","id":"ITEM-1","issue":"6176","issued":{"date-parts":[["2014","3","14"]]},"page":"1260-3","title":"Complement is activated by IgG hexamers assembled at the cell surface.","type":"article-journal","volume":"343"},"uris":["http://www.mendeley.com/documents/?uuid=3c0aa43d-8808-467a-b5b3-a0f4f1f43952"]},{"id":"ITEM-2","itemData":{"DOI":"10.1084/jem.180.3.1087","ISBN":"0022-1007 (Print)\\r0022-1007","ISSN":"0022-1007","PMID":"8064227","abstract":"Immunoglobulin G (IgG) molecules are glycosylated in CH2 at Asn297; the N-linked carbohydrates attached there have been shown to contribute to antibody (Ab) stability and various effector functions. The carbohydrate attached to the IgG constant region is a complex biantennary structure. Alterations in the structure of oligosaccharide have been associated with human diseases such as rheumatoid arthritis and osteoarthritis. To study the effects of altered carbohydrate structure on Ab effector function, we have used gene transfection techniques to produce mouse-human chimeric IgG1 Abs in the Chinese hamster ovary (CHO) cell line Lec 1, which is incapable of processing the high-mannose intermediate through the terminal glycosylation steps. We also produced IgG1 Abs in Pro-5, the wild-type CHO cell line that is the parent of Lec 1. The Pro-5-produced Ab (IgG1-Pro-5) was similar to IgG1-My 1, a myeloma-produced IgG1 Ab of the same specificity, in its biologic properties such as serum half-life, ability to effect complement-mediated cytolysis, and affinity for Fc gamma RI. Although the Lec 1-produced Ab, IgG1-Lec 1, was properly assembled and retained antigen specificity, it was incapable of complement-mediated hemolysis and was substantially deficient in complement consumption, C1q binding, and C1 activation. IgG1-Lec 1 also showed reduced but significant affinity for Fc gamma R1 receptors. The in vivo half-life of IgG1-Lec 1 was shorter than that of either the myeloma- or Pro-5-produced counterpart, with more being cleared during the alpha-phase and with more rapid clearance during the beta-phase. Clearance of IgG1-Lec 1 could be inhibited by the administration of yeast-derived mannan. Thus the uptake of IgG1-Lec 1 appears to be accelerated by the presence of terminally mannosylated oligosaccharide. Therefore, certain Ab functions as well as the in vivo fate of the protein are dramatically affected by altered carbohydrate structure. Expression of Igs in cell lines with defined glycosylation mutations is shown to be a useful technique for investigating the contribution of carbohydrate structure to Ab function.","author":[{"dropping-particle":"","family":"Wright","given":"Ann","non-dropping-particle":"","parse-names":false,"suffix":""},{"dropping-particle":"","family":"Morrison","given":"Sherie L","non-dropping-particle":"","parse-names":false,"suffix":""}],"container-title":"The Journal of Experimental Medicine","id":"ITEM-2","issue":"3","issued":{"date-parts":[["1994"]]},"page":"1087-1096","title":"Effect of altered CH2-associated carbohydrate structure on the functional properties and in vivo fate of chimeric mouse-human immunoglobulin G1.","type":"article-journal","volume":"180"},"uris":["http://www.mendeley.com/documents/?uuid=a4249953-55a2-4f72-91cf-37f763e836d9"]}],"mendeley":{"formattedCitation":"(19,20)","plainTextFormattedCitation":"(19,20)","previouslyFormattedCitation":"(19,20)"},"properties":{"noteIndex":0},"schema":"https://github.com/citation-style-language/schema/raw/master/csl-citation.json"}</w:instrText>
      </w:r>
      <w:r w:rsidR="00AA1E20">
        <w:fldChar w:fldCharType="separate"/>
      </w:r>
      <w:r w:rsidR="000F2966" w:rsidRPr="000F2966">
        <w:rPr>
          <w:noProof/>
        </w:rPr>
        <w:t>(19,20)</w:t>
      </w:r>
      <w:r w:rsidR="00AA1E20">
        <w:fldChar w:fldCharType="end"/>
      </w:r>
      <w:r w:rsidR="007B6F2E">
        <w:t xml:space="preserve">, and because we had previously shown that protective effects of IVIG were reliant on the presence of complement </w:t>
      </w:r>
      <w:r w:rsidR="00AA1E20">
        <w:fldChar w:fldCharType="begin" w:fldLock="1"/>
      </w:r>
      <w:r w:rsidR="00DC4AAC">
        <w:instrText>ADDIN CSL_CITATION {"citationItems":[{"id":"ITEM-1","itemData":{"DOI":"10.1002/acn3.326","ISSN":"23289503","PMID":"27844029","author":[{"dropping-particle":"","family":"Winter","given":"Meike","non-dropping-particle":"","parse-names":false,"suffix":""},{"dropping-particle":"","family":"Baksmeier","given":"Christine","non-dropping-particle":"","parse-names":false,"suffix":""},{"dropping-particle":"","family":"Steckel","given":"Julia","non-dropping-particle":"","parse-names":false,"suffix":""},{"dropping-particle":"","family":"Barman","given":"Sumanta","non-dropping-particle":"","parse-names":false,"suffix":""},{"dropping-particle":"","family":"Malviya","given":"Manish","non-dropping-particle":"","parse-names":false,"suffix":""},{"dropping-particle":"","family":"Harrer-Kuster","given":"Melanie","non-dropping-particle":"","parse-names":false,"suffix":""},{"dropping-particle":"","family":"Hartung","given":"Hans-Peter","non-dropping-particle":"","parse-names":false,"suffix":""},{"dropping-particle":"","family":"Goebels","given":"Norbert","non-dropping-particle":"","parse-names":false,"suffix":""}],"container-title":"Annals of Clinical and Translational Neurology","id":"ITEM-1","issue":"11","issued":{"date-parts":[["2016"]]},"page":"828-843","title":"Dose-dependent inhibition of demyelination and microglia activation by IVIG","type":"article-journal","volume":"3"},"uris":["http://www.mendeley.com/documents/?uuid=26923f6d-94a0-476e-b9b7-67d87f7e67a2"]}],"mendeley":{"formattedCitation":"(18)","plainTextFormattedCitation":"(18)","previouslyFormattedCitation":"(18)"},"properties":{"noteIndex":0},"schema":"https://github.com/citation-style-language/schema/raw/master/csl-citation.json"}</w:instrText>
      </w:r>
      <w:r w:rsidR="00AA1E20">
        <w:fldChar w:fldCharType="separate"/>
      </w:r>
      <w:r w:rsidR="000F2966" w:rsidRPr="000F2966">
        <w:rPr>
          <w:noProof/>
        </w:rPr>
        <w:t>(18)</w:t>
      </w:r>
      <w:r w:rsidR="00AA1E20">
        <w:fldChar w:fldCharType="end"/>
      </w:r>
      <w:r w:rsidR="007B6F2E">
        <w:t xml:space="preserve">, we selected Fc molecules with </w:t>
      </w:r>
      <w:r w:rsidR="0008030F">
        <w:t>a variety of</w:t>
      </w:r>
      <w:r w:rsidR="007B6F2E">
        <w:t xml:space="preserve"> </w:t>
      </w:r>
      <w:r w:rsidR="00584537">
        <w:t>complement fixation profiles</w:t>
      </w:r>
      <w:r w:rsidR="007B6F2E">
        <w:t xml:space="preserve"> (Fig. S</w:t>
      </w:r>
      <w:r w:rsidR="004D2C6E">
        <w:t>4</w:t>
      </w:r>
      <w:r w:rsidR="007B6F2E">
        <w:t>).</w:t>
      </w:r>
      <w:r w:rsidR="006212CA">
        <w:t xml:space="preserve"> We </w:t>
      </w:r>
      <w:r w:rsidR="00711E8D">
        <w:t xml:space="preserve">designed molecules that </w:t>
      </w:r>
      <w:r w:rsidR="00711E8D" w:rsidRPr="0008030F">
        <w:t xml:space="preserve">could fix complement </w:t>
      </w:r>
      <w:r w:rsidR="00A91B8A" w:rsidRPr="0008030F">
        <w:t xml:space="preserve">either through </w:t>
      </w:r>
      <w:r w:rsidR="00711E8D" w:rsidRPr="0008030F">
        <w:t xml:space="preserve">the classical (as with  </w:t>
      </w:r>
      <w:r w:rsidR="00711E8D" w:rsidRPr="0008030F">
        <w:rPr>
          <w:rFonts w:cstheme="minorHAnsi"/>
        </w:rPr>
        <w:t>D221N/C309L/N563A/C575A</w:t>
      </w:r>
      <w:r w:rsidR="00711E8D" w:rsidRPr="0008030F">
        <w:t xml:space="preserve">) or lectin (as with D221N/C575A) </w:t>
      </w:r>
      <w:r w:rsidR="00A91B8A" w:rsidRPr="0008030F">
        <w:t xml:space="preserve">pathway </w:t>
      </w:r>
      <w:r w:rsidR="00711E8D" w:rsidRPr="0008030F">
        <w:t xml:space="preserve">and </w:t>
      </w:r>
      <w:r w:rsidR="00A91B8A" w:rsidRPr="0008030F">
        <w:t xml:space="preserve">could show </w:t>
      </w:r>
      <w:r w:rsidR="00711E8D" w:rsidRPr="0008030F">
        <w:t xml:space="preserve">that </w:t>
      </w:r>
      <w:r w:rsidR="004D2C6E" w:rsidRPr="0008030F">
        <w:t>the</w:t>
      </w:r>
      <w:r w:rsidR="00711E8D" w:rsidRPr="0008030F">
        <w:t xml:space="preserve"> molecules were at least </w:t>
      </w:r>
      <w:r w:rsidR="003D69ED">
        <w:t>50</w:t>
      </w:r>
      <w:r w:rsidR="004D2C6E" w:rsidRPr="0008030F">
        <w:t>- and 20-</w:t>
      </w:r>
      <w:r w:rsidR="00711E8D" w:rsidRPr="0008030F">
        <w:t xml:space="preserve">fold </w:t>
      </w:r>
      <w:r w:rsidR="004D2C6E" w:rsidRPr="0008030F">
        <w:t xml:space="preserve">respectively </w:t>
      </w:r>
      <w:r w:rsidR="00711E8D" w:rsidRPr="0008030F">
        <w:t xml:space="preserve">more effective at inhibiting demyelination </w:t>
      </w:r>
      <w:r w:rsidR="00A91B8A" w:rsidRPr="0008030F">
        <w:t xml:space="preserve">by the anti-MOG antibody </w:t>
      </w:r>
      <w:r w:rsidR="00123E01" w:rsidRPr="0008030F">
        <w:t xml:space="preserve">than </w:t>
      </w:r>
      <w:r w:rsidR="003D69ED">
        <w:t xml:space="preserve">IVIG at 6 mg/ml </w:t>
      </w:r>
      <w:r w:rsidR="00A91B8A" w:rsidRPr="0008030F">
        <w:t xml:space="preserve">(Fig. </w:t>
      </w:r>
      <w:r w:rsidR="0008030F">
        <w:t>2</w:t>
      </w:r>
      <w:r w:rsidR="00A91B8A" w:rsidRPr="0008030F">
        <w:t>)</w:t>
      </w:r>
      <w:r w:rsidR="003D69ED">
        <w:t xml:space="preserve"> or Fc</w:t>
      </w:r>
      <w:r w:rsidR="004E4486">
        <w:t xml:space="preserve"> fragments at 2 mg/ml derived from IVIG</w:t>
      </w:r>
      <w:r w:rsidR="003D69ED">
        <w:t xml:space="preserve"> seen previously </w:t>
      </w:r>
      <w:r w:rsidR="004E4486">
        <w:fldChar w:fldCharType="begin" w:fldLock="1"/>
      </w:r>
      <w:r w:rsidR="00DC4AAC">
        <w:instrText>ADDIN CSL_CITATION {"citationItems":[{"id":"ITEM-1","itemData":{"DOI":"10.1002/acn3.326","ISSN":"23289503","PMID":"27844029","author":[{"dropping-particle":"","family":"Winter","given":"Meike","non-dropping-particle":"","parse-names":false,"suffix":""},{"dropping-particle":"","family":"Baksmeier","given":"Christine","non-dropping-particle":"","parse-names":false,"suffix":""},{"dropping-particle":"","family":"Steckel","given":"Julia","non-dropping-particle":"","parse-names":false,"suffix":""},{"dropping-particle":"","family":"Barman","given":"Sumanta","non-dropping-particle":"","parse-names":false,"suffix":""},{"dropping-particle":"","family":"Malviya","given":"Manish","non-dropping-particle":"","parse-names":false,"suffix":""},{"dropping-particle":"","family":"Harrer-Kuster","given":"Melanie","non-dropping-particle":"","parse-names":false,"suffix":""},{"dropping-particle":"","family":"Hartung","given":"Hans-Peter","non-dropping-particle":"","parse-names":false,"suffix":""},{"dropping-particle":"","family":"Goebels","given":"Norbert","non-dropping-particle":"","parse-names":false,"suffix":""}],"container-title":"Annals of Clinical and Translational Neurology","id":"ITEM-1","issue":"11","issued":{"date-parts":[["2016"]]},"page":"828-843","title":"Dose-dependent inhibition of demyelination and microglia activation by IVIG","type":"article-journal","volume":"3"},"uris":["http://www.mendeley.com/documents/?uuid=26923f6d-94a0-476e-b9b7-67d87f7e67a2"]}],"mendeley":{"formattedCitation":"(18)","plainTextFormattedCitation":"(18)","previouslyFormattedCitation":"(18)"},"properties":{"noteIndex":0},"schema":"https://github.com/citation-style-language/schema/raw/master/csl-citation.json"}</w:instrText>
      </w:r>
      <w:r w:rsidR="004E4486">
        <w:fldChar w:fldCharType="separate"/>
      </w:r>
      <w:r w:rsidR="000F2966" w:rsidRPr="000F2966">
        <w:rPr>
          <w:noProof/>
        </w:rPr>
        <w:t>(18)</w:t>
      </w:r>
      <w:r w:rsidR="004E4486">
        <w:fldChar w:fldCharType="end"/>
      </w:r>
      <w:r w:rsidR="00711E8D" w:rsidRPr="0008030F">
        <w:t>.</w:t>
      </w:r>
      <w:r w:rsidR="009557A8" w:rsidRPr="0008030F">
        <w:t xml:space="preserve"> Although we do not yet </w:t>
      </w:r>
      <w:r w:rsidR="00636501">
        <w:t xml:space="preserve">fully </w:t>
      </w:r>
      <w:r w:rsidR="009557A8" w:rsidRPr="0008030F">
        <w:t>understand the</w:t>
      </w:r>
      <w:r w:rsidR="003D69ED">
        <w:t xml:space="preserve"> reasons for their efficacy</w:t>
      </w:r>
      <w:r w:rsidR="009557A8" w:rsidRPr="0008030F">
        <w:t xml:space="preserve">, we propose that </w:t>
      </w:r>
      <w:r w:rsidR="00CB69F8" w:rsidRPr="0008030F">
        <w:t xml:space="preserve">one mechanism involves </w:t>
      </w:r>
      <w:r w:rsidR="009557A8" w:rsidRPr="0008030F">
        <w:t>sequester</w:t>
      </w:r>
      <w:r w:rsidR="00CB69F8" w:rsidRPr="0008030F">
        <w:t>ing</w:t>
      </w:r>
      <w:r w:rsidR="009557A8" w:rsidRPr="0008030F">
        <w:t xml:space="preserve"> complement components making them unavailable to the demyelinating anti-MOG antibody</w:t>
      </w:r>
      <w:r w:rsidR="00CB2DD7">
        <w:t xml:space="preserve">, and as previously shown with hinge-adapted Fc multimers </w:t>
      </w:r>
      <w:r w:rsidR="00CB2DD7">
        <w:fldChar w:fldCharType="begin" w:fldLock="1"/>
      </w:r>
      <w:r w:rsidR="00DC4AAC">
        <w:instrText>ADDIN CSL_CITATION {"citationItems":[{"id":"ITEM-1","itemData":{"DOI":"10.1172/jci.insight.121905","ISSN":"23793708","abstract":"The antiinflammatory effects of i.v. Ig (IVIG) in the treatment of autoimmune disease are due, in part, to the Fc fragments of Ig aggregates. In order to capitalize on the known antiinflammatory and tolerogenic properties of Ig Fc aggregates, we created a recombinant human IgG1 Fc multimer, GL-2045. In vitro, GL-2045 demonstrated high-avidity binding to Fc receptors, blocked the binding of circulating immune complexes from patients with rheumatoid arthritis to human Fcγ receptors (FcγRs), and inhibited antibody-mediated phagocytosis at log order–lower concentrations than IVIG. In vivo, administration of GL-2045 conferred partial protection against antibody-mediated platelet loss in a murine immune thrombocytopenic purpura (ITP) model. GL-2045 also suppressed disease activity in a therapeutic model of murine collagen-induced arthritis (CIA), which was associated with reduced circulating levels of IL-6. Furthermore, GL-2045 administration to nonhuman primates (NHPs) transiently increased systemic levels of the antiinflammatory cytokines IL-10 and IL-1RA, reduced the proinflammatory cytokine IL-8, and decreased surface expression of CD14 and HLA-DR on monocytes. These findings demonstrate the immunomodulatory properties of GL-2045 and suggest that it has potential as a treatment for autoimmune and inflammatory diseases, as a recombinant alternative to IVIG.","author":[{"dropping-particle":"","family":"Zhang","given":"Xiaoyu","non-dropping-particle":"","parse-names":false,"suffix":""},{"dropping-particle":"","family":"Owens","given":"Jane","non-dropping-particle":"","parse-names":false,"suffix":""},{"dropping-particle":"","family":"Olsen","given":"Henrik S.","non-dropping-particle":"","parse-names":false,"suffix":""},{"dropping-particle":"","family":"So","given":"Edward","non-dropping-particle":"","parse-names":false,"suffix":""},{"dropping-particle":"","family":"Burch","given":"Erin","non-dropping-particle":"","parse-names":false,"suffix":""},{"dropping-particle":"","family":"McCroskey","given":"Mark C.","non-dropping-particle":"","parse-names":false,"suffix":""},{"dropping-particle":"","family":"Li","given":"Xianfeng","non-dropping-particle":"","parse-names":false,"suffix":""},{"dropping-particle":"","family":"Weber","given":"Gregory L.","non-dropping-particle":"","parse-names":false,"suffix":""},{"dropping-particle":"","family":"Bennett","given":"Donald","non-dropping-particle":"","parse-names":false,"suffix":""},{"dropping-particle":"","family":"Rybin","given":"Denis","non-dropping-particle":"","parse-names":false,"suffix":""},{"dropping-particle":"","family":"Zhou","given":"Hua","non-dropping-particle":"","parse-names":false,"suffix":""},{"dropping-particle":"","family":"Hao","given":"Haiping","non-dropping-particle":"","parse-names":false,"suffix":""},{"dropping-particle":"","family":"Mérigeon","given":"Emmanuel Y.","non-dropping-particle":"","parse-names":false,"suffix":""},{"dropping-particle":"","family":"Block","given":"David S.","non-dropping-particle":"","parse-names":false,"suffix":""},{"dropping-particle":"","family":"LaRosa","given":"Gregory","non-dropping-particle":"","parse-names":false,"suffix":""},{"dropping-particle":"","family":"Strome","given":"Scott E.","non-dropping-particle":"","parse-names":false,"suffix":""}],"container-title":"JCI Insight","id":"ITEM-1","issue":"2","issued":{"date-parts":[["2019"]]},"title":"A recombinant human IgG1 Fc multimer designed to mimic the active fraction of IVIG in autoimmunity","type":"article-journal","volume":"4"},"uris":["http://www.mendeley.com/documents/?uuid=e634b385-b891-4b68-8e72-d7be74f792d9"]}],"mendeley":{"formattedCitation":"(59)","plainTextFormattedCitation":"(59)","previouslyFormattedCitation":"(59)"},"properties":{"noteIndex":0},"schema":"https://github.com/citation-style-language/schema/raw/master/csl-citation.json"}</w:instrText>
      </w:r>
      <w:r w:rsidR="00CB2DD7">
        <w:fldChar w:fldCharType="separate"/>
      </w:r>
      <w:r w:rsidR="000F2966" w:rsidRPr="000F2966">
        <w:rPr>
          <w:noProof/>
        </w:rPr>
        <w:t>(59)</w:t>
      </w:r>
      <w:r w:rsidR="00CB2DD7">
        <w:fldChar w:fldCharType="end"/>
      </w:r>
      <w:r w:rsidR="009557A8" w:rsidRPr="0008030F">
        <w:t>.</w:t>
      </w:r>
      <w:r w:rsidR="009557A8">
        <w:t xml:space="preserve"> </w:t>
      </w:r>
    </w:p>
    <w:p w14:paraId="51768775" w14:textId="6CA1076D" w:rsidR="00F72670" w:rsidRPr="007E5E16" w:rsidRDefault="00A91B8A" w:rsidP="00F72670">
      <w:pPr>
        <w:spacing w:line="360" w:lineRule="auto"/>
        <w:rPr>
          <w:color w:val="FF0000"/>
        </w:rPr>
      </w:pPr>
      <w:r>
        <w:tab/>
        <w:t>No significant effect on the viability of microglia or myelinating CNS cultures were observed when</w:t>
      </w:r>
      <w:r w:rsidR="00C26ED9">
        <w:t xml:space="preserve"> </w:t>
      </w:r>
      <w:r>
        <w:t xml:space="preserve">incubated with </w:t>
      </w:r>
      <w:r w:rsidR="00403721">
        <w:t>any of the</w:t>
      </w:r>
      <w:r>
        <w:t xml:space="preserve"> Fc molecules alone (Fig. S</w:t>
      </w:r>
      <w:r w:rsidR="001614C9">
        <w:t>7</w:t>
      </w:r>
      <w:r>
        <w:t xml:space="preserve">). We could show that the same Fc molecules that inhibit demyelination were </w:t>
      </w:r>
      <w:r w:rsidR="00BF4359">
        <w:t xml:space="preserve">also </w:t>
      </w:r>
      <w:r>
        <w:t xml:space="preserve">capable of binding </w:t>
      </w:r>
      <w:proofErr w:type="spellStart"/>
      <w:r>
        <w:t>Iba</w:t>
      </w:r>
      <w:proofErr w:type="spellEnd"/>
      <w:r>
        <w:t xml:space="preserve">+ microglia cells in </w:t>
      </w:r>
      <w:r w:rsidR="00BF4359">
        <w:t xml:space="preserve">mouse </w:t>
      </w:r>
      <w:r>
        <w:t>myelinating CNS cultures (Fig</w:t>
      </w:r>
      <w:r w:rsidR="00CB69F8">
        <w:t xml:space="preserve">. </w:t>
      </w:r>
      <w:r w:rsidR="001614C9">
        <w:t>S7</w:t>
      </w:r>
      <w:r>
        <w:t>). The binding to microglia cells clearly does not directly impact on the ability of these</w:t>
      </w:r>
      <w:r w:rsidR="00AE3C89">
        <w:t xml:space="preserve"> human</w:t>
      </w:r>
      <w:r>
        <w:t xml:space="preserve"> Fcs to inhibit </w:t>
      </w:r>
      <w:r w:rsidR="00CB69F8">
        <w:t>complement</w:t>
      </w:r>
      <w:r w:rsidR="00BE06E9">
        <w:t xml:space="preserve"> </w:t>
      </w:r>
      <w:r w:rsidR="00CB69F8">
        <w:t xml:space="preserve">mediated </w:t>
      </w:r>
      <w:r>
        <w:t>anti-MOG</w:t>
      </w:r>
      <w:r w:rsidR="00CB69F8">
        <w:t xml:space="preserve"> </w:t>
      </w:r>
      <w:r>
        <w:t xml:space="preserve">demyelination </w:t>
      </w:r>
      <w:r w:rsidR="009557A8">
        <w:t xml:space="preserve">in the </w:t>
      </w:r>
      <w:r w:rsidR="009557A8">
        <w:lastRenderedPageBreak/>
        <w:t xml:space="preserve">OSC model, </w:t>
      </w:r>
      <w:r>
        <w:t xml:space="preserve">and </w:t>
      </w:r>
      <w:r w:rsidR="009D102C">
        <w:t>the</w:t>
      </w:r>
      <w:r w:rsidR="009557A8">
        <w:t xml:space="preserve"> </w:t>
      </w:r>
      <w:r>
        <w:t>transcriptomic data derived from myelinating CNS cultures treated with the Fc</w:t>
      </w:r>
      <w:r w:rsidR="000461F2">
        <w:t xml:space="preserve"> molecules</w:t>
      </w:r>
      <w:r>
        <w:t xml:space="preserve"> </w:t>
      </w:r>
      <w:r w:rsidR="009557A8">
        <w:t xml:space="preserve">alone </w:t>
      </w:r>
      <w:r>
        <w:t>d</w:t>
      </w:r>
      <w:r w:rsidR="007508A6">
        <w:t>id</w:t>
      </w:r>
      <w:r>
        <w:t xml:space="preserve"> not show </w:t>
      </w:r>
      <w:r w:rsidR="00F72670">
        <w:t xml:space="preserve">increased </w:t>
      </w:r>
      <w:r>
        <w:t xml:space="preserve">gene signatures for microglia activation </w:t>
      </w:r>
      <w:r w:rsidR="009D102C">
        <w:t>(Fig. S9</w:t>
      </w:r>
      <w:r w:rsidR="00991A07">
        <w:t xml:space="preserve"> &amp; S10</w:t>
      </w:r>
      <w:r>
        <w:t xml:space="preserve">). </w:t>
      </w:r>
      <w:r w:rsidR="00B15B3A">
        <w:t>Intriguingly s</w:t>
      </w:r>
      <w:r w:rsidR="00602904">
        <w:t>ignificant deregulation of</w:t>
      </w:r>
      <w:r w:rsidR="00B15B3A">
        <w:t xml:space="preserve"> both</w:t>
      </w:r>
      <w:r w:rsidR="00602904">
        <w:t xml:space="preserve"> </w:t>
      </w:r>
      <w:proofErr w:type="spellStart"/>
      <w:r w:rsidR="00602904" w:rsidRPr="00602904">
        <w:rPr>
          <w:i/>
          <w:iCs/>
        </w:rPr>
        <w:t>Hnrnpu</w:t>
      </w:r>
      <w:proofErr w:type="spellEnd"/>
      <w:r w:rsidR="00E263AC">
        <w:t xml:space="preserve"> </w:t>
      </w:r>
      <w:r w:rsidR="00AE1C7A">
        <w:fldChar w:fldCharType="begin" w:fldLock="1"/>
      </w:r>
      <w:r w:rsidR="00DC4AAC">
        <w:instrText>ADDIN CSL_CITATION {"citationItems":[{"id":"ITEM-1","itemData":{"DOI":"10.1097/MD.0000000000003370","ISSN":"15365964","PMID":"27175635","abstract":"We have studied the response to intravenous immunoglobulins (IVIg) by a transcriptomic approach in 11 chronic inflammatory demyelinating polyradiculoneuropathy (CIDP) patients (CIDP duration=6 [0.83-6.5] years). RNA was extracted from cells in whole blood collected before and 3 weeks after IVIg treatment, and hybridized on Illumina chips. After RNA quality controls, gene expression was analyzed using statistical tests fitted for microarrays (R software, limma package), and a pathway analysis was performed using DAVID software. We identified 52 genes with expression that varied significantly after IVIg (fold change [FC]&gt;1.2, P&lt;0.001, false discovery rate [FDR] &lt;0.05). Among these 52 genes, 7 were related to immunity, 3 were related to the tumor necrosis factor (TNF)-a receptor 1 (TNFR1) pathway (inhibitor of caspase-activated DNase (ICAD): FC=1.8, P=1.7E-7, FDR=0.004; p21 protein-activated kinase 2 [PAK2]: FC=1.66, P=2.6E-5, FDR=0.03; TNF-a-induced protein 8-like protein 1 [TNFAIP8L1]: P=1.00E-05, FDR=0.026), and 2 were related to Toll-like receptors (TLRs), especially TLRs 7 and 9, and were implicated in autoimmunity. These genes were UNC93B1 (FC=1.6, P=2E-5, FDR=0.03), which transports TLRs 7 and 9 to the endolysosomes, and RNF216 (FC=1.5, P=1E-05, FDR=0.03), which promotes TLR 9 degradation. Pathway analysis showed that the TNFR1 pathway was significantly lessened by IVIg (enrichment score=24, Fischer exact test=0.003). TNF-a gene expression was higher in responder patients than in nonresponders; however, it decreased after IVIg in responders (P=0.04), but remained stable in nonresponders. Our data suggest the actions of IVIg on the TNFR1 pathway and an original mechanism involving innate immunity through TLRs in CIDP pathophysiology and the response to IVIg. We conclude that responder patients have stronger inflammatory activity that is lessened by IVIg.","author":[{"dropping-particle":"","family":"Richard","given":"Alexandra","non-dropping-particle":"","parse-names":false,"suffix":""},{"dropping-particle":"","family":"Corvol","given":"Jean Christophe","non-dropping-particle":"","parse-names":false,"suffix":""},{"dropping-particle":"","family":"Debs","given":"Rabab","non-dropping-particle":"","parse-names":false,"suffix":""},{"dropping-particle":"","family":"Reach","given":"Pauline","non-dropping-particle":"","parse-names":false,"suffix":""},{"dropping-particle":"","family":"Tahiri","given":"Khadija","non-dropping-particle":"","parse-names":false,"suffix":""},{"dropping-particle":"","family":"Carpentier","given":"Wassila","non-dropping-particle":"","parse-names":false,"suffix":""},{"dropping-particle":"","family":"Gueguen","given":"Justine","non-dropping-particle":"","parse-names":false,"suffix":""},{"dropping-particle":"","family":"Guillemot","given":"Vincent","non-dropping-particle":"","parse-names":false,"suffix":""},{"dropping-particle":"","family":"line Labeyrie","given":"Ce","non-dropping-particle":"","parse-names":false,"suffix":""},{"dropping-particle":"","family":"Adams","given":"David","non-dropping-particle":"","parse-names":false,"suffix":""},{"dropping-particle":"","family":"Viala","given":"Karine","non-dropping-particle":"","parse-names":false,"suffix":""},{"dropping-particle":"","family":"Aubart","given":"Fleur Cohen","non-dropping-particle":"","parse-names":false,"suffix":""}],"container-title":"Medicine (United States)","id":"ITEM-1","issued":{"date-parts":[["2016"]]},"page":"e3370","title":"Transcriptome analysis of peripheral blood in chronic inflammatory demyelinating polyradiculoneuropathy patients identifies TNFR1 and TLR pathways in the IVIg response","type":"article-journal","volume":"95"},"uris":["http://www.mendeley.com/documents/?uuid=eeb57c06-446f-48f2-b665-d2c6d36ff2c5"]}],"mendeley":{"formattedCitation":"(60)","plainTextFormattedCitation":"(60)","previouslyFormattedCitation":"(60)"},"properties":{"noteIndex":0},"schema":"https://github.com/citation-style-language/schema/raw/master/csl-citation.json"}</w:instrText>
      </w:r>
      <w:r w:rsidR="00AE1C7A">
        <w:fldChar w:fldCharType="separate"/>
      </w:r>
      <w:r w:rsidR="000F2966" w:rsidRPr="000F2966">
        <w:rPr>
          <w:noProof/>
        </w:rPr>
        <w:t>(60)</w:t>
      </w:r>
      <w:r w:rsidR="00AE1C7A">
        <w:fldChar w:fldCharType="end"/>
      </w:r>
      <w:r w:rsidR="00B15B3A">
        <w:t xml:space="preserve"> and lincRNAs </w:t>
      </w:r>
      <w:r w:rsidR="00B15B3A">
        <w:fldChar w:fldCharType="begin" w:fldLock="1"/>
      </w:r>
      <w:r w:rsidR="00DC4AAC">
        <w:instrText>ADDIN CSL_CITATION {"citationItems":[{"id":"ITEM-1","itemData":{"DOI":"10.1007/s12031-020-01721-6","ISSN":"15591166","abstract":"Long non-coding RNAs (lncRNAs) have crucial roles in the pathogenesis of immune-related disorders. However, their role in the pathobiology of inflammatory demyelinating polyradiculoneuropathies remains unclear. In the current study, we measured peripheral expression of four lncRNAs, namely TUG1, FAS-AS1, NEAT1, and GAS5, in patients with acute/chronic inflammatory demyelinating polyradiculoneuropathies (AIDP/CIDP) compared with healthy subjects. Notably, all lncRNAs were over-expressed in patients compared with controls (P &lt; 0.0001 for all lncRNAs). When assessing their expressions in AIDP and CIDP groups separately, TUG1 and NEAT1 were up-regulated in both patient groups compared with controls, yet FAS-AS1 and GAS5 were only up-regulated in CIDP cases. There were remarkable pairwise correlations between expression levels of these lncRNAs in all study groups. Based on the above-mentioned data, we suggest participation of these for lncRNAs in the pathogenesis of inflammatory demyelinating polyradiculoneuropathies. Moreover, FAS-AS1 and GAS5 lncRNAs have type-specific roles in this regard. Future functional studies are needed to elaborate the molecular mechanisms of the contribution of these transcripts in AIDP/CIDP.","author":[{"dropping-particle":"","family":"Sadeghpour","given":"Saba","non-dropping-particle":"","parse-names":false,"suffix":""},{"dropping-particle":"","family":"Ghafouri-Fard","given":"Soudeh","non-dropping-particle":"","parse-names":false,"suffix":""},{"dropping-particle":"","family":"Mazdeh","given":"Mehrdokht","non-dropping-particle":"","parse-names":false,"suffix":""},{"dropping-particle":"","family":"Nicknafs","given":"Fwad","non-dropping-particle":"","parse-names":false,"suffix":""},{"dropping-particle":"","family":"Nazer","given":"Naghme","non-dropping-particle":"","parse-names":false,"suffix":""},{"dropping-particle":"","family":"Sayad","given":"Arezou","non-dropping-particle":"","parse-names":false,"suffix":""},{"dropping-particle":"","family":"Taheri","given":"Mohammad","non-dropping-particle":"","parse-names":false,"suffix":""}],"container-title":"Journal of Molecular Neuroscience","id":"ITEM-1","issue":"Oct 15","issued":{"date-parts":[["2020"]]},"page":"doi: 10.1007/s12031-020-01721-6","title":"Over-Expression of Immune-Related lncRNAs in Inflammatory Demyelinating Polyradiculoneuropathies","type":"article-journal"},"uris":["http://www.mendeley.com/documents/?uuid=b4a885fc-864a-4371-b57a-0687c357897a"]}],"mendeley":{"formattedCitation":"(61)","plainTextFormattedCitation":"(61)","previouslyFormattedCitation":"(61)"},"properties":{"noteIndex":0},"schema":"https://github.com/citation-style-language/schema/raw/master/csl-citation.json"}</w:instrText>
      </w:r>
      <w:r w:rsidR="00B15B3A">
        <w:fldChar w:fldCharType="separate"/>
      </w:r>
      <w:r w:rsidR="000F2966" w:rsidRPr="000F2966">
        <w:rPr>
          <w:noProof/>
        </w:rPr>
        <w:t>(61)</w:t>
      </w:r>
      <w:r w:rsidR="00B15B3A">
        <w:fldChar w:fldCharType="end"/>
      </w:r>
      <w:r w:rsidR="00B15B3A">
        <w:t xml:space="preserve">  have previously been reported from peripheral blood taken from chronic inflammatory demyelinating polyradiculoneuropathy patients, </w:t>
      </w:r>
      <w:r w:rsidR="00602904">
        <w:t>although our report is the first</w:t>
      </w:r>
      <w:r w:rsidR="00E263AC">
        <w:t xml:space="preserve"> investigation of the direct impact of Fc-fragments on myelinating CNS cultures.  </w:t>
      </w:r>
    </w:p>
    <w:p w14:paraId="6E63599C" w14:textId="55D1115D" w:rsidR="006F1EA0" w:rsidRDefault="00082BA4" w:rsidP="00F72670">
      <w:pPr>
        <w:spacing w:line="360" w:lineRule="auto"/>
        <w:ind w:firstLine="720"/>
      </w:pPr>
      <w:r>
        <w:t xml:space="preserve">In the absence </w:t>
      </w:r>
      <w:r w:rsidR="007E16CD">
        <w:t xml:space="preserve">or presence </w:t>
      </w:r>
      <w:r>
        <w:t xml:space="preserve">of the demyelinating anti-MOG antibody we observed significant loss of </w:t>
      </w:r>
      <w:r w:rsidR="007E16CD">
        <w:t xml:space="preserve">CD68 and Iba1 positive </w:t>
      </w:r>
      <w:r>
        <w:t xml:space="preserve">microglia when OSCs are incubated with complement and the N563A/C575A Fc (Fig. </w:t>
      </w:r>
      <w:r w:rsidR="007E16CD">
        <w:t>3</w:t>
      </w:r>
      <w:r>
        <w:t>).</w:t>
      </w:r>
      <w:r w:rsidR="00EC7404">
        <w:t xml:space="preserve"> </w:t>
      </w:r>
      <w:r>
        <w:t>Although we do not</w:t>
      </w:r>
      <w:r w:rsidR="00636501">
        <w:t xml:space="preserve"> know</w:t>
      </w:r>
      <w:r w:rsidR="00BE06E9">
        <w:t xml:space="preserve"> </w:t>
      </w:r>
      <w:r>
        <w:t xml:space="preserve">the mechanism behind the </w:t>
      </w:r>
      <w:r w:rsidR="008760A9">
        <w:t>reduced GFP/</w:t>
      </w:r>
      <w:r w:rsidR="00EC7404">
        <w:t xml:space="preserve">CD68/Iba1 expression by the N563A/C575A Fc, </w:t>
      </w:r>
      <w:r w:rsidR="00EC7404" w:rsidRPr="009A2848">
        <w:rPr>
          <w:color w:val="000000" w:themeColor="text1"/>
        </w:rPr>
        <w:t xml:space="preserve">removal of microglia by clodronate treatment </w:t>
      </w:r>
      <w:r w:rsidR="009A2848">
        <w:t xml:space="preserve">also </w:t>
      </w:r>
      <w:r w:rsidR="007B5923">
        <w:t xml:space="preserve">prevents demyelination </w:t>
      </w:r>
      <w:r w:rsidR="009A2848">
        <w:t xml:space="preserve">by the anti-MOG antibody </w:t>
      </w:r>
      <w:r w:rsidR="007B5923">
        <w:t xml:space="preserve">showing that microglia </w:t>
      </w:r>
      <w:r w:rsidR="008760A9">
        <w:t>must also be</w:t>
      </w:r>
      <w:r w:rsidR="007B5923">
        <w:t xml:space="preserve"> </w:t>
      </w:r>
      <w:r w:rsidR="009A2848">
        <w:t>involved</w:t>
      </w:r>
      <w:r w:rsidR="00962341">
        <w:t xml:space="preserve"> (Fig. S8)</w:t>
      </w:r>
      <w:r w:rsidR="007B5923">
        <w:t xml:space="preserve">. </w:t>
      </w:r>
      <w:r w:rsidR="008760A9">
        <w:t>Although w</w:t>
      </w:r>
      <w:r w:rsidR="009A2848">
        <w:t>e currently</w:t>
      </w:r>
      <w:r w:rsidR="00EC7404">
        <w:t xml:space="preserve"> do</w:t>
      </w:r>
      <w:r w:rsidR="009A2848">
        <w:t>n’t</w:t>
      </w:r>
      <w:r w:rsidR="00EC7404">
        <w:t xml:space="preserve"> know</w:t>
      </w:r>
      <w:r w:rsidR="009A2848">
        <w:t xml:space="preserve"> if the inhibition of demyelination by the N563A/C575A Fc is also a consequence of reduced GFP+ microglia</w:t>
      </w:r>
      <w:r w:rsidR="00EC7404">
        <w:t>, s</w:t>
      </w:r>
      <w:r w:rsidR="005B7427">
        <w:t>tudies by other groups have shown that tempor</w:t>
      </w:r>
      <w:r w:rsidR="00C279FE">
        <w:t>ar</w:t>
      </w:r>
      <w:r w:rsidR="005B7427">
        <w:t>y microglial depletion followed by their re</w:t>
      </w:r>
      <w:r w:rsidR="008A3DD3">
        <w:t>-</w:t>
      </w:r>
      <w:r w:rsidR="005B7427">
        <w:t>population from the periphery, can lead to a broad range of positive and neuroprotective outcomes in distinct disease conditions by reducing neuroinflammation</w:t>
      </w:r>
      <w:r w:rsidR="004D78DD">
        <w:t xml:space="preserve"> </w:t>
      </w:r>
      <w:r w:rsidR="004D78DD">
        <w:fldChar w:fldCharType="begin" w:fldLock="1"/>
      </w:r>
      <w:r w:rsidR="00DC4AAC">
        <w:instrText>ADDIN CSL_CITATION {"citationItems":[{"id":"ITEM-1","itemData":{"DOI":"10.1002/glia.23529","ISSN":"10981136","PMID":"30378163","abstract":"Microglia are prominent immune cells in the central nervous system (CNS) and are critical players in both neurological development and homeostasis, and in neurological diseases when dysfunctional. Our previous understanding of the phenotypes and functions of microglia has been greatly extended by a dearth of recent investigations. Distinct genetically defined subsets of microglia are now recognized to perform their own independent functions in specific conditions. The molecular profiling of single microglial cells indicates extensively heterogeneous reactions in different neurological disorders, resulting in multiple potentials for crosstalk with other kinds of CNS cells such as astrocytes and neurons. In settings of neurological diseases it could thus be prudent to establish effective cell-based therapies by targeting entire microglial networks. Notably, activated microglial depletion through genetic targeting or pharmacological therapies within a suitable time window can stimulate replenishment of the CNS niche with new microglia. Additionally, enforced repopulation through provision of replacement cells also represents a potential means of exchanging dysfunctional with functional microglia. In each setting the newly repopulated microglia might have the potential to resolve ongoing neuroinflammation. In this review, we aim to summarize the most recent knowledge of microglia and to highlight microglial depletion and subsequent repopulation as a promising cell replacement therapy. Although glial cell replacement therapy is still in its infancy and future translational studies are still required, the approach is scientifically sound and provides new optimism for managing the neurotoxicity and neuroinflammation induced by activated microglia.","author":[{"dropping-particle":"","family":"Han","given":"Jinming","non-dropping-particle":"","parse-names":false,"suffix":""},{"dropping-particle":"","family":"Zhu","given":"Keying","non-dropping-particle":"","parse-names":false,"suffix":""},{"dropping-particle":"","family":"Zhang","given":"Xing Mei","non-dropping-particle":"","parse-names":false,"suffix":""},{"dropping-particle":"","family":"Harris","given":"Robert A.","non-dropping-particle":"","parse-names":false,"suffix":""}],"container-title":"Glia","id":"ITEM-1","issue":"2","issued":{"date-parts":[["2019"]]},"page":"217-231","title":"Enforced microglial depletion and repopulation as a promising strategy for the treatment of neurological disorders","type":"article-journal","volume":"67"},"uris":["http://www.mendeley.com/documents/?uuid=1203092f-7e51-43ed-b92c-6c1a97657691"]}],"mendeley":{"formattedCitation":"(62)","plainTextFormattedCitation":"(62)","previouslyFormattedCitation":"(62)"},"properties":{"noteIndex":0},"schema":"https://github.com/citation-style-language/schema/raw/master/csl-citation.json"}</w:instrText>
      </w:r>
      <w:r w:rsidR="004D78DD">
        <w:fldChar w:fldCharType="separate"/>
      </w:r>
      <w:r w:rsidR="000F2966" w:rsidRPr="000F2966">
        <w:rPr>
          <w:noProof/>
        </w:rPr>
        <w:t>(62)</w:t>
      </w:r>
      <w:r w:rsidR="004D78DD">
        <w:fldChar w:fldCharType="end"/>
      </w:r>
      <w:r w:rsidR="005B7427">
        <w:t xml:space="preserve">. </w:t>
      </w:r>
    </w:p>
    <w:p w14:paraId="7471AEFA" w14:textId="5B6151A3" w:rsidR="00A91B8A" w:rsidRPr="00CA11E1" w:rsidRDefault="00BF4359" w:rsidP="00CA11E1">
      <w:pPr>
        <w:spacing w:line="360" w:lineRule="auto"/>
        <w:ind w:firstLine="720"/>
        <w:rPr>
          <w:rFonts w:cstheme="minorHAnsi"/>
        </w:rPr>
      </w:pPr>
      <w:r>
        <w:t>M</w:t>
      </w:r>
      <w:r w:rsidR="00B86EFD">
        <w:t xml:space="preserve">any studies have shown </w:t>
      </w:r>
      <w:r w:rsidR="00BF3000">
        <w:t>anti-inflammatory</w:t>
      </w:r>
      <w:r w:rsidR="00B86EFD">
        <w:t xml:space="preserve"> and tolerogenic properties of IgG Fc aggregates at </w:t>
      </w:r>
      <w:r w:rsidR="00B15D2F">
        <w:t>suppress</w:t>
      </w:r>
      <w:r w:rsidR="00B86EFD">
        <w:t>ing</w:t>
      </w:r>
      <w:r w:rsidR="00B15D2F">
        <w:t xml:space="preserve"> ongoing </w:t>
      </w:r>
      <w:r w:rsidR="00B86EFD">
        <w:t xml:space="preserve">autoimmunity in a variety of animal models </w:t>
      </w:r>
      <w:r w:rsidR="00665996">
        <w:t xml:space="preserve">of neurological disease </w:t>
      </w:r>
      <w:r w:rsidR="00AA1E20">
        <w:fldChar w:fldCharType="begin" w:fldLock="1"/>
      </w:r>
      <w:r w:rsidR="00DC4AAC">
        <w:instrText>ADDIN CSL_CITATION {"citationItems":[{"id":"ITEM-1","itemData":{"DOI":"10.1172/jci.insight.121905","ISSN":"23793708","abstract":"The antiinflammatory effects of i.v. Ig (IVIG) in the treatment of autoimmune disease are due, in part, to the Fc fragments of Ig aggregates. In order to capitalize on the known antiinflammatory and tolerogenic properties of Ig Fc aggregates, we created a recombinant human IgG1 Fc multimer, GL-2045. In vitro, GL-2045 demonstrated high-avidity binding to Fc receptors, blocked the binding of circulating immune complexes from patients with rheumatoid arthritis to human Fcγ receptors (FcγRs), and inhibited antibody-mediated phagocytosis at log order–lower concentrations than IVIG. In vivo, administration of GL-2045 conferred partial protection against antibody-mediated platelet loss in a murine immune thrombocytopenic purpura (ITP) model. GL-2045 also suppressed disease activity in a therapeutic model of murine collagen-induced arthritis (CIA), which was associated with reduced circulating levels of IL-6. Furthermore, GL-2045 administration to nonhuman primates (NHPs) transiently increased systemic levels of the antiinflammatory cytokines IL-10 and IL-1RA, reduced the proinflammatory cytokine IL-8, and decreased surface expression of CD14 and HLA-DR on monocytes. These findings demonstrate the immunomodulatory properties of GL-2045 and suggest that it has potential as a treatment for autoimmune and inflammatory diseases, as a recombinant alternative to IVIG.","author":[{"dropping-particle":"","family":"Zhang","given":"Xiaoyu","non-dropping-particle":"","parse-names":false,"suffix":""},{"dropping-particle":"","family":"Owens","given":"Jane","non-dropping-particle":"","parse-names":false,"suffix":""},{"dropping-particle":"","family":"Olsen","given":"Henrik S.","non-dropping-particle":"","parse-names":false,"suffix":""},{"dropping-particle":"","family":"So","given":"Edward","non-dropping-particle":"","parse-names":false,"suffix":""},{"dropping-particle":"","family":"Burch","given":"Erin","non-dropping-particle":"","parse-names":false,"suffix":""},{"dropping-particle":"","family":"McCroskey","given":"Mark C.","non-dropping-particle":"","parse-names":false,"suffix":""},{"dropping-particle":"","family":"Li","given":"Xianfeng","non-dropping-particle":"","parse-names":false,"suffix":""},{"dropping-particle":"","family":"Weber","given":"Gregory L.","non-dropping-particle":"","parse-names":false,"suffix":""},{"dropping-particle":"","family":"Bennett","given":"Donald","non-dropping-particle":"","parse-names":false,"suffix":""},{"dropping-particle":"","family":"Rybin","given":"Denis","non-dropping-particle":"","parse-names":false,"suffix":""},{"dropping-particle":"","family":"Zhou","given":"Hua","non-dropping-particle":"","parse-names":false,"suffix":""},{"dropping-particle":"","family":"Hao","given":"Haiping","non-dropping-particle":"","parse-names":false,"suffix":""},{"dropping-particle":"","family":"Mérigeon","given":"Emmanuel Y.","non-dropping-particle":"","parse-names":false,"suffix":""},{"dropping-particle":"","family":"Block","given":"David S.","non-dropping-particle":"","parse-names":false,"suffix":""},{"dropping-particle":"","family":"LaRosa","given":"Gregory","non-dropping-particle":"","parse-names":false,"suffix":""},{"dropping-particle":"","family":"Strome","given":"Scott E.","non-dropping-particle":"","parse-names":false,"suffix":""}],"container-title":"JCI Insight","id":"ITEM-1","issue":"2","issued":{"date-parts":[["2019"]]},"title":"A recombinant human IgG1 Fc multimer designed to mimic the active fraction of IVIG in autoimmunity","type":"article-journal","volume":"4"},"uris":["http://www.mendeley.com/documents/?uuid=e634b385-b891-4b68-8e72-d7be74f792d9"]},{"id":"ITEM-2","itemData":{"DOI":"10.1038/srep40528","ISSN":"20452322","abstract":"Novel therapies that prevent or modify the development of epilepsy following an initiating brain insult could significantly reduce the burden of this disease. In light of evidence that immune mechanisms play an important role in generating and maintaining the epileptic condition, we evaluated the effect of a well-established immunomodulatory treatment, intravenous immunoglobulin (IVIg), on the development of epilepsy in an experimental model of epileptogenesis. In separate experiments, IVIg was administered either before (pre-treatment) or after (post-treatment) the onset of pilocarpine status epilepticus (SE). Our results show that both pre-and post-treatment with IVIg attenuated acute inflammation in the SE model. Specifically, IVIg reduced local activation of glial cells, complement system activation, and blood-brain barrier damage (BBB), which are all thought to play important roles in the development of epilepsy. Importantly, post-treatment with IVIg was also found to reduce the frequency and duration of subsequent spontaneous recurrent seizures as detected by chronic video-electroencephalographic (video-EEG) recordings. This finding supports a novel application for IVIg, specifically its repurposing as a disease-modifying therapy in epilepsy.","author":[{"dropping-particle":"","family":"Chen","given":"Min","non-dropping-particle":"","parse-names":false,"suffix":""},{"dropping-particle":"V.","family":"Arumugam","given":"Thiruma","non-dropping-particle":"","parse-names":false,"suffix":""},{"dropping-particle":"","family":"Leanage","given":"Gayeshika","non-dropping-particle":"","parse-names":false,"suffix":""},{"dropping-particle":"","family":"Tieng","given":"Quang M.","non-dropping-particle":"","parse-names":false,"suffix":""},{"dropping-particle":"","family":"Yadav","given":"Ashwin","non-dropping-particle":"","parse-names":false,"suffix":""},{"dropping-particle":"","family":"Ullmann","given":"Jeremy F.P.","non-dropping-particle":"","parse-names":false,"suffix":""},{"dropping-particle":"","family":"She","given":"David T.","non-dropping-particle":"","parse-names":false,"suffix":""},{"dropping-particle":"","family":"Truong","given":"Vy","non-dropping-particle":"","parse-names":false,"suffix":""},{"dropping-particle":"","family":"Ruitenberg","given":"Marc J.","non-dropping-particle":"","parse-names":false,"suffix":""},{"dropping-particle":"","family":"Reutens","given":"David C.","non-dropping-particle":"","parse-names":false,"suffix":""}],"container-title":"Scientific Reports","id":"ITEM-2","issue":"July 2016","issued":{"date-parts":[["2017"]]},"page":"1-9","publisher":"Nature Publishing Group","title":"Disease-modifying effect of intravenous immunoglobulin in an experimental model of epilepsy","type":"article-journal","volume":"7"},"uris":["http://www.mendeley.com/documents/?uuid=dea68bda-2375-4a4c-8231-a0bbf6e1c69d"]},{"id":"ITEM-3","itemData":{"ISSN":"0022-1767","author":[{"dropping-particle":"","family":"Morgan","given":"E. L.","non-dropping-particle":"","parse-names":false,"suffix":""},{"dropping-particle":"","family":"Tempelis","given":"C. H.","non-dropping-particle":"","parse-names":false,"suffix":""}],"container-title":"Journal of Immunology","id":"ITEM-3","issue":"5","issued":{"date-parts":[["1978"]]},"page":"1669-1671","title":"The requirement for the Fc portion of antibody in antigen-antibody complex-mediated suppression","type":"article-journal","volume":"120"},"uris":["http://www.mendeley.com/documents/?uuid=7589231d-43de-42a3-be35-87eb8c43a02d"]}],"mendeley":{"formattedCitation":"(59,63,64)","plainTextFormattedCitation":"(59,63,64)","previouslyFormattedCitation":"(59,63,64)"},"properties":{"noteIndex":0},"schema":"https://github.com/citation-style-language/schema/raw/master/csl-citation.json"}</w:instrText>
      </w:r>
      <w:r w:rsidR="00AA1E20">
        <w:fldChar w:fldCharType="separate"/>
      </w:r>
      <w:r w:rsidR="000F2966" w:rsidRPr="000F2966">
        <w:rPr>
          <w:noProof/>
        </w:rPr>
        <w:t>(59,63,64)</w:t>
      </w:r>
      <w:r w:rsidR="00AA1E20">
        <w:fldChar w:fldCharType="end"/>
      </w:r>
      <w:r w:rsidR="00B86EFD">
        <w:t xml:space="preserve">. </w:t>
      </w:r>
      <w:r w:rsidR="006F1EA0">
        <w:t xml:space="preserve">Several autoantibodies against complement factors have been described and in other studies anti-idiotypic effects of IVIG were found responsible for scavenging complement in various model systems </w:t>
      </w:r>
      <w:r w:rsidR="00AA1E20">
        <w:fldChar w:fldCharType="begin" w:fldLock="1"/>
      </w:r>
      <w:r w:rsidR="00DC4AAC">
        <w:instrText>ADDIN CSL_CITATION {"citationItems":[{"id":"ITEM-1","itemData":{"DOI":"10.1038/nm836","ISSN":"10788956","abstract":"High-dose intravenous immunoglobulin (IVIG) prevents immune damage by scavenging complement fragments C3b and C4b. We tested the hypothesis that exogenous immunoglobulin molecules also bind anaphylatoxins C3a and CSa, thereby neutralizing their pro-inflammatory effects. Single-cell calcium measurements in HMC-1 human mast cells showed that a rise in intracellular calcium caused by C3a and CSa was inhibited in a concentration-dependent manner by IVIG, F(ab)'2-IVIG and irrelevant human monoclonal antibody. C3a- and C5a-induced thromboxane (TXB2) generation and histamine release from HMC-1 cells and whole-blood basophils were also suppressed by exogenous immunoglobulins. In a mouse model of asthma, immunoglobulin treatment reduced cellular migration to the lung. Lethal CSa-mediated circulatory collapse in pigs was prevented by pretreatment with F(ab)'2-IVIG. Molecular modeling, surface plasmon resonance (SPR) and western blot analyses suggested a physical association between anaphylatoxins and the constant region of F(ab)'2. This binding could interfere with the role of C3a and CSa in inflammation.","author":[{"dropping-particle":"","family":"Basta","given":"Milan","non-dropping-particle":"","parse-names":false,"suffix":""},{"dropping-particle":"","family":"Goor","given":"Fredric","non-dropping-particle":"Van","parse-names":false,"suffix":""},{"dropping-particle":"","family":"Luccioli","given":"Stefano","non-dropping-particle":"","parse-names":false,"suffix":""},{"dropping-particle":"","family":"Billings","given":"Eric M.","non-dropping-particle":"","parse-names":false,"suffix":""},{"dropping-particle":"","family":"Vortmeyer","given":"Alexander O.","non-dropping-particle":"","parse-names":false,"suffix":""},{"dropping-particle":"","family":"Baranyi","given":"Lajos","non-dropping-particle":"","parse-names":false,"suffix":""},{"dropping-particle":"","family":"Szebeni","given":"Janos","non-dropping-particle":"","parse-names":false,"suffix":""},{"dropping-particle":"","family":"Alving","given":"Carl R.","non-dropping-particle":"","parse-names":false,"suffix":""},{"dropping-particle":"","family":"Carroll","given":"Michael C.","non-dropping-particle":"","parse-names":false,"suffix":""},{"dropping-particle":"","family":"Berkower","given":"Ira","non-dropping-particle":"","parse-names":false,"suffix":""},{"dropping-particle":"","family":"Stojilkovic","given":"Stanko S.","non-dropping-particle":"","parse-names":false,"suffix":""},{"dropping-particle":"","family":"Metcalfe","given":"Dean D.","non-dropping-particle":"","parse-names":false,"suffix":""}],"container-title":"Nature Medicine","id":"ITEM-1","issued":{"date-parts":[["2003"]]},"page":"431-438","title":"F(ab)'2-mediated neutralization of C3a and C5a anaphylatoxins: A novel effector function of immunoglobulins","type":"article-journal","volume":"9"},"uris":["http://www.mendeley.com/documents/?uuid=c2d901ec-f64c-458c-a09d-75bce5549643"]},{"id":"ITEM-2","itemData":{"DOI":"10.1385/CRIAI:29:3:207","ISSN":"10800549","abstract":"Complement activation by immune complexes is well-known. In the course of autoimmune disease, acute and chronic complement activation is the primary inducer of inflammation and tissue damage. Polyconal, polyspecific intravenous immunoglobulin (IVIg) preparations are a therapy of choice in a variety of autoimmune and inflammatory diseases. This review describes mechanisms by which IgG reduces complement activation or interferes with the action of proinflammatory complement-derived proteins. The known interference of IVIg with the biological activity of complement-derived proinflammatory proteins does not affect the generation of these potentially dangerous products, but can limit their devastating effects. Therefore, we embarked on studies on IVIg's potential to attenuate complement activation and thus to prevent further generation of such dangerous molecules. We present here a revised view of how the central event of complement activation - namely, complement amplification - operates on a molecular level and how IVIg, with its physiological autoantibodies directed against some complement proteins, is able to downregulate amplification of complement C3 activation. Finally, we summarize results of a study in which clinical effects of IVIg and attenuation of complement activation were assessed. We propose that the anti-inflammatory effect of IVIg in a wide range of autoimmune diseases might be explained, at least in part, by attenuation of complement amplification. © Copyright 2005 by Humana Press Inc. All rights of any nature whatsoever reserved.","author":[{"dropping-particle":"","family":"Lutz","given":"Hans U.","non-dropping-particle":"","parse-names":false,"suffix":""},{"dropping-particle":"","family":"Späth","given":"Peter J.","non-dropping-particle":"","parse-names":false,"suffix":""}],"container-title":"Clinical Reviews in Allergy and Immunology","id":"ITEM-2","issued":{"date-parts":[["2005"]]},"page":"207-212","title":"Anti-inflammatory effect of intravenous immunoglobulin mediated through modulation of complement activation","type":"article-journal","volume":"29"},"uris":["http://www.mendeley.com/documents/?uuid=1f49d7d8-3ced-416f-a011-4a00d7bb1834"]},{"id":"ITEM-3","itemData":{"DOI":"10.1182/bloodadvances.2016001917.","ISBN":"2016001917","author":[{"dropping-particle":"","family":"Zhou","given":"Hua","non-dropping-particle":"","parse-names":false,"suffix":""},{"dropping-particle":"","family":"Olsen","given":"Henrik","non-dropping-particle":"","parse-names":false,"suffix":""},{"dropping-particle":"","family":"So","given":"Edward","non-dropping-particle":"","parse-names":false,"suffix":""},{"dropping-particle":"","family":"Mérigeon","given":"Emmanuel","non-dropping-particle":"","parse-names":false,"suffix":""},{"dropping-particle":"","family":"Rybin","given":"Denis","non-dropping-particle":"","parse-names":false,"suffix":""},{"dropping-particle":"","family":"Owens","given":"Jane","non-dropping-particle":"","parse-names":false,"suffix":""},{"dropping-particle":"","family":"LaRosa","given":"Gregory","non-dropping-particle":"","parse-names":false,"suffix":""},{"dropping-particle":"","family":"Block","given":"David S.","non-dropping-particle":"","parse-names":false,"suffix":""},{"dropping-particle":"","family":"Strome","given":"Scott E.","non-dropping-particle":"","parse-names":false,"suffix":""},{"dropping-particle":"","family":"Zhang","given":"Xiaoyu","non-dropping-particle":"","parse-names":false,"suffix":""}],"container-title":"Blood Advances","id":"ITEM-3","issued":{"date-parts":[["2017"]]},"page":"504-515","title":"A fully recombinant human IgG1 Fc multimer (GL-2045) inhibits complement-mediated cytotoxicity and induces iC3b","type":"article-journal","volume":"1"},"uris":["http://www.mendeley.com/documents/?uuid=3640cc2d-508b-4705-940f-d7009943fc78"]},{"id":"ITEM-4","itemData":{"DOI":"10.1172/jci.insight.121905","ISSN":"23793708","abstract":"The antiinflammatory effects of i.v. Ig (IVIG) in the treatment of autoimmune disease are due, in part, to the Fc fragments of Ig aggregates. In order to capitalize on the known antiinflammatory and tolerogenic properties of Ig Fc aggregates, we created a recombinant human IgG1 Fc multimer, GL-2045. In vitro, GL-2045 demonstrated high-avidity binding to Fc receptors, blocked the binding of circulating immune complexes from patients with rheumatoid arthritis to human Fcγ receptors (FcγRs), and inhibited antibody-mediated phagocytosis at log order–lower concentrations than IVIG. In vivo, administration of GL-2045 conferred partial protection against antibody-mediated platelet loss in a murine immune thrombocytopenic purpura (ITP) model. GL-2045 also suppressed disease activity in a therapeutic model of murine collagen-induced arthritis (CIA), which was associated with reduced circulating levels of IL-6. Furthermore, GL-2045 administration to nonhuman primates (NHPs) transiently increased systemic levels of the antiinflammatory cytokines IL-10 and IL-1RA, reduced the proinflammatory cytokine IL-8, and decreased surface expression of CD14 and HLA-DR on monocytes. These findings demonstrate the immunomodulatory properties of GL-2045 and suggest that it has potential as a treatment for autoimmune and inflammatory diseases, as a recombinant alternative to IVIG.","author":[{"dropping-particle":"","family":"Zhang","given":"Xiaoyu","non-dropping-particle":"","parse-names":false,"suffix":""},{"dropping-particle":"","family":"Owens","given":"Jane","non-dropping-particle":"","parse-names":false,"suffix":""},{"dropping-particle":"","family":"Olsen","given":"Henrik S.","non-dropping-particle":"","parse-names":false,"suffix":""},{"dropping-particle":"","family":"So","given":"Edward","non-dropping-particle":"","parse-names":false,"suffix":""},{"dropping-particle":"","family":"Burch","given":"Erin","non-dropping-particle":"","parse-names":false,"suffix":""},{"dropping-particle":"","family":"McCroskey","given":"Mark C.","non-dropping-particle":"","parse-names":false,"suffix":""},{"dropping-particle":"","family":"Li","given":"Xianfeng","non-dropping-particle":"","parse-names":false,"suffix":""},{"dropping-particle":"","family":"Weber","given":"Gregory L.","non-dropping-particle":"","parse-names":false,"suffix":""},{"dropping-particle":"","family":"Bennett","given":"Donald","non-dropping-particle":"","parse-names":false,"suffix":""},{"dropping-particle":"","family":"Rybin","given":"Denis","non-dropping-particle":"","parse-names":false,"suffix":""},{"dropping-particle":"","family":"Zhou","given":"Hua","non-dropping-particle":"","parse-names":false,"suffix":""},{"dropping-particle":"","family":"Hao","given":"Haiping","non-dropping-particle":"","parse-names":false,"suffix":""},{"dropping-particle":"","family":"Mérigeon","given":"Emmanuel Y.","non-dropping-particle":"","parse-names":false,"suffix":""},{"dropping-particle":"","family":"Block","given":"David S.","non-dropping-particle":"","parse-names":false,"suffix":""},{"dropping-particle":"","family":"LaRosa","given":"Gregory","non-dropping-particle":"","parse-names":false,"suffix":""},{"dropping-particle":"","family":"Strome","given":"Scott E.","non-dropping-particle":"","parse-names":false,"suffix":""}],"container-title":"JCI Insight","id":"ITEM-4","issue":"2","issued":{"date-parts":[["2019"]]},"title":"A recombinant human IgG1 Fc multimer designed to mimic the active fraction of IVIG in autoimmunity","type":"article-journal","volume":"4"},"uris":["http://www.mendeley.com/documents/?uuid=e634b385-b891-4b68-8e72-d7be74f792d9"]}],"mendeley":{"formattedCitation":"(59,65–67)","plainTextFormattedCitation":"(59,65–67)","previouslyFormattedCitation":"(59,65–67)"},"properties":{"noteIndex":0},"schema":"https://github.com/citation-style-language/schema/raw/master/csl-citation.json"}</w:instrText>
      </w:r>
      <w:r w:rsidR="00AA1E20">
        <w:fldChar w:fldCharType="separate"/>
      </w:r>
      <w:r w:rsidR="000F2966" w:rsidRPr="000F2966">
        <w:rPr>
          <w:noProof/>
        </w:rPr>
        <w:t>(59,65–67)</w:t>
      </w:r>
      <w:r w:rsidR="00AA1E20">
        <w:fldChar w:fldCharType="end"/>
      </w:r>
      <w:r w:rsidR="006F1EA0">
        <w:t>. We clearly show that blocking of complement by IVIG does not involve specific antigen binding via the variable domains</w:t>
      </w:r>
      <w:r w:rsidR="00FE6CEB">
        <w:t xml:space="preserve"> (Fab fragments) as the recombinant Fc molecules tested do not possess such domains. </w:t>
      </w:r>
      <w:r w:rsidR="00FB228F">
        <w:t xml:space="preserve">Instead, </w:t>
      </w:r>
      <w:r w:rsidR="00FB228F" w:rsidRPr="00FB228F">
        <w:rPr>
          <w:rFonts w:cstheme="minorHAnsi"/>
        </w:rPr>
        <w:t xml:space="preserve">our findings confirm that the Fc is sufficient to interfere with the complement cascade, in line with </w:t>
      </w:r>
      <w:proofErr w:type="spellStart"/>
      <w:r w:rsidR="00FB228F" w:rsidRPr="00FB228F">
        <w:rPr>
          <w:rFonts w:cstheme="minorHAnsi"/>
        </w:rPr>
        <w:t>Piepers</w:t>
      </w:r>
      <w:proofErr w:type="spellEnd"/>
      <w:r w:rsidR="00FB228F" w:rsidRPr="00FB228F">
        <w:rPr>
          <w:rFonts w:cstheme="minorHAnsi"/>
        </w:rPr>
        <w:t xml:space="preserve"> </w:t>
      </w:r>
      <w:r w:rsidR="00FB228F" w:rsidRPr="00FB228F">
        <w:rPr>
          <w:rFonts w:cstheme="minorHAnsi"/>
          <w:i/>
          <w:iCs/>
        </w:rPr>
        <w:t>et al</w:t>
      </w:r>
      <w:r w:rsidR="00FB228F" w:rsidRPr="00FB228F">
        <w:rPr>
          <w:rFonts w:cstheme="minorHAnsi"/>
        </w:rPr>
        <w:t xml:space="preserve"> </w:t>
      </w:r>
      <w:r w:rsidR="00AA1E20" w:rsidRPr="00FB228F">
        <w:rPr>
          <w:rFonts w:cstheme="minorHAnsi"/>
        </w:rPr>
        <w:fldChar w:fldCharType="begin" w:fldLock="1"/>
      </w:r>
      <w:r w:rsidR="00DC4AAC">
        <w:rPr>
          <w:rFonts w:cstheme="minorHAnsi"/>
        </w:rPr>
        <w:instrText>ADDIN CSL_CITATION {"citationItems":[{"id":"ITEM-1","itemData":{"DOI":"10.1016/j.jneuroim.2010.08.023","ISSN":"01655728","abstract":"The effects of intravenous immunoglobulins (IVIg) on anti-GM1 IgM titer and function, classical complement pathway activity, and antibody-complement interaction were investigated in 62 patients with multifocal motor neuropathy (MMN). In vitro, IVIg decreased complement deposition by anti-GM1 IgM antibodies. First IVIg treatment (2. g/kg) decreased C1q and C4 concentrations and classical pathway activity in serum. In sera from patients receiving IVIg maintenance therapy (0.4 g/kg) C4 concentrations and classical pathway activity were generally lower at higher IgG concentrations. The beneficial effects of IVIg in MMN may be explained by reduced antibody-mediated complement deposition in nerves amplified by a systemically attenuated classical pathway. © 2010 Elsevier B.V.","author":[{"dropping-particle":"","family":"Piepers","given":"Sanne","non-dropping-particle":"","parse-names":false,"suffix":""},{"dropping-particle":"","family":"Jansen","given":"Marc D.","non-dropping-particle":"","parse-names":false,"suffix":""},{"dropping-particle":"","family":"Cats","given":"Elisabeth A.","non-dropping-particle":"","parse-names":false,"suffix":""},{"dropping-particle":"","family":"Sorge","given":"Nina M.","non-dropping-particle":"van","parse-names":false,"suffix":""},{"dropping-particle":"","family":"Berg","given":"Leonard H.","non-dropping-particle":"van den","parse-names":false,"suffix":""},{"dropping-particle":"","family":"Pol","given":"W. Ludo","non-dropping-particle":"van der","parse-names":false,"suffix":""}],"container-title":"Journal of Neuroimmunology","id":"ITEM-1","issued":{"date-parts":[["2010"]]},"page":"256-262","title":"IVIg inhibits classical pathway activity and anti-GM1 IgM-mediated complement deposition in MMN","type":"article-journal","volume":"229"},"uris":["http://www.mendeley.com/documents/?uuid=0c4f9849-69f9-4b04-90fc-43331cc10210"]}],"mendeley":{"formattedCitation":"(14)","plainTextFormattedCitation":"(14)","previouslyFormattedCitation":"(14)"},"properties":{"noteIndex":0},"schema":"https://github.com/citation-style-language/schema/raw/master/csl-citation.json"}</w:instrText>
      </w:r>
      <w:r w:rsidR="00AA1E20" w:rsidRPr="00FB228F">
        <w:rPr>
          <w:rFonts w:cstheme="minorHAnsi"/>
        </w:rPr>
        <w:fldChar w:fldCharType="separate"/>
      </w:r>
      <w:r w:rsidR="000F2966" w:rsidRPr="000F2966">
        <w:rPr>
          <w:rFonts w:cstheme="minorHAnsi"/>
          <w:noProof/>
        </w:rPr>
        <w:t>(14)</w:t>
      </w:r>
      <w:r w:rsidR="00AA1E20" w:rsidRPr="00FB228F">
        <w:rPr>
          <w:rFonts w:cstheme="minorHAnsi"/>
        </w:rPr>
        <w:fldChar w:fldCharType="end"/>
      </w:r>
      <w:r w:rsidR="005E5CE3">
        <w:rPr>
          <w:rFonts w:cstheme="minorHAnsi"/>
        </w:rPr>
        <w:t>, although we do not yet know the exact mechanism of this interference</w:t>
      </w:r>
      <w:r w:rsidR="00FB228F" w:rsidRPr="00FB228F">
        <w:rPr>
          <w:rFonts w:cstheme="minorHAnsi"/>
        </w:rPr>
        <w:t>.</w:t>
      </w:r>
      <w:r w:rsidR="0072540B">
        <w:rPr>
          <w:rFonts w:cstheme="minorHAnsi"/>
        </w:rPr>
        <w:t xml:space="preserve"> </w:t>
      </w:r>
      <w:r w:rsidR="0072540B" w:rsidRPr="00A01E54">
        <w:rPr>
          <w:rFonts w:eastAsia="Times New Roman" w:cstheme="minorHAnsi"/>
          <w:color w:val="222222"/>
          <w:shd w:val="clear" w:color="auto" w:fill="FFFFFF"/>
          <w:lang w:eastAsia="en-GB"/>
        </w:rPr>
        <w:t>Noncovalent interactions between Fc segments of IgG have been shown to result in the formation of ordered IgG hexamers after antigen binding on cell</w:t>
      </w:r>
      <w:r w:rsidR="0072540B">
        <w:rPr>
          <w:rFonts w:eastAsia="Times New Roman" w:cstheme="minorHAnsi"/>
          <w:color w:val="222222"/>
          <w:shd w:val="clear" w:color="auto" w:fill="FFFFFF"/>
          <w:lang w:eastAsia="en-GB"/>
        </w:rPr>
        <w:t>s</w:t>
      </w:r>
      <w:r w:rsidR="00E97E6C">
        <w:rPr>
          <w:rFonts w:eastAsia="Times New Roman" w:cstheme="minorHAnsi"/>
          <w:color w:val="222222"/>
          <w:shd w:val="clear" w:color="auto" w:fill="FFFFFF"/>
          <w:lang w:eastAsia="en-GB"/>
        </w:rPr>
        <w:t xml:space="preserve"> </w:t>
      </w:r>
      <w:r w:rsidR="00E97E6C">
        <w:rPr>
          <w:rFonts w:eastAsia="Times New Roman" w:cstheme="minorHAnsi"/>
          <w:color w:val="222222"/>
          <w:shd w:val="clear" w:color="auto" w:fill="FFFFFF"/>
          <w:lang w:eastAsia="en-GB"/>
        </w:rPr>
        <w:fldChar w:fldCharType="begin" w:fldLock="1"/>
      </w:r>
      <w:r w:rsidR="00DC4AAC">
        <w:rPr>
          <w:rFonts w:eastAsia="Times New Roman" w:cstheme="minorHAnsi"/>
          <w:color w:val="222222"/>
          <w:shd w:val="clear" w:color="auto" w:fill="FFFFFF"/>
          <w:lang w:eastAsia="en-GB"/>
        </w:rPr>
        <w:instrText>ADDIN CSL_CITATION {"citationItems":[{"id":"ITEM-1","itemData":{"DOI":"10.1126/science.1248943","ISSN":"1095-9203","PMID":"24626930","abstract":"Complement activation by antibodies bound to pathogens, tumors, and self antigens is a critical feature of natural immune defense, a number of disease processes, and immunotherapies. How antibodies activate the complement cascade, however, is poorly understood. We found that specific noncovalent interactions between Fc segments of immunoglobulin G (IgG) antibodies resulted in the formation of ordered antibody hexamers after antigen binding on cells. These hexamers recruited and activated C1, the first component of complement, thereby triggering the complement cascade. The interactions between neighboring Fc segments could be manipulated to block, reconstitute, and enhance complement activation and killing of target cells, using all four human IgG subclasses. We offer a general model for understanding antibody-mediated complement activation and the design of antibody therapeutics with enhanced efficacy.","author":[{"dropping-particle":"","family":"Diebolder","given":"Christoph A","non-dropping-particle":"","parse-names":false,"suffix":""},{"dropping-particle":"","family":"Beurskens","given":"Frank J","non-dropping-particle":"","parse-names":false,"suffix":""},{"dropping-particle":"","family":"Jong","given":"Rob N","non-dropping-particle":"de","parse-names":false,"suffix":""},{"dropping-particle":"","family":"Koning","given":"Roman I","non-dropping-particle":"","parse-names":false,"suffix":""},{"dropping-particle":"","family":"Strumane","given":"Kristin","non-dropping-particle":"","parse-names":false,"suffix":""},{"dropping-particle":"","family":"Lindorfer","given":"Margaret A","non-dropping-particle":"","parse-names":false,"suffix":""},{"dropping-particle":"","family":"Voorhorst","given":"Marleen","non-dropping-particle":"","parse-names":false,"suffix":""},{"dropping-particle":"","family":"Ugurlar","given":"Deniz","non-dropping-particle":"","parse-names":false,"suffix":""},{"dropping-particle":"","family":"Rosati","given":"Sara","non-dropping-particle":"","parse-names":false,"suffix":""},{"dropping-particle":"","family":"Heck","given":"Albert J R","non-dropping-particle":"","parse-names":false,"suffix":""},{"dropping-particle":"","family":"Winkel","given":"Jan G J","non-dropping-particle":"van de","parse-names":false,"suffix":""},{"dropping-particle":"","family":"Wilson","given":"Ian A","non-dropping-particle":"","parse-names":false,"suffix":""},{"dropping-particle":"","family":"Koster","given":"Abraham J","non-dropping-particle":"","parse-names":false,"suffix":""},{"dropping-particle":"","family":"Taylor","given":"Ronald P","non-dropping-particle":"","parse-names":false,"suffix":""},{"dropping-particle":"","family":"Saphire","given":"Erica Ollmann","non-dropping-particle":"","parse-names":false,"suffix":""},{"dropping-particle":"","family":"Burton","given":"Dennis R","non-dropping-particle":"","parse-names":false,"suffix":""},{"dropping-particle":"","family":"Schuurman","given":"Janine","non-dropping-particle":"","parse-names":false,"suffix":""},{"dropping-particle":"","family":"Gros","given":"Piet","non-dropping-particle":"","parse-names":false,"suffix":""},{"dropping-particle":"","family":"Parren","given":"Paul W H I","non-dropping-particle":"","parse-names":false,"suffix":""}],"container-title":"Science (New York, N.Y.)","id":"ITEM-1","issue":"6176","issued":{"date-parts":[["2014","3","14"]]},"page":"1260-3","title":"Complement is activated by IgG hexamers assembled at the cell surface.","type":"article-journal","volume":"343"},"uris":["http://www.mendeley.com/documents/?uuid=3c0aa43d-8808-467a-b5b3-a0f4f1f43952"]},{"id":"ITEM-2","itemData":{"DOI":"10.1126/science.aao4988","ISSN":"10959203","PMID":"29449492","abstract":"Danger patterns on microbes or damaged host cells bind and activate C1, inducing innate immune responses and clearance through the complement cascade. How these patterns trigger complement initiation remains elusive. Here, we present cryo–electron microscopy analyses of C1 bound to monoclonal antibodies in which we observed heterogeneous structures of single and clustered C1–immunoglobulin G1 (IgG1) hexamer complexes. Distinct C1q binding sites are observed on the two Fc- CH2 domains of each IgG molecule. These are consistent with known interactions and also reveal additional interactions, which are supported by functional IgG1-mutant analysis. Upon antibody binding, the C1q arms condense, inducing rearrangements of the C1r2s2 proteases and tilting C1q’s cone-shaped stalk. The data suggest that C1r May activate C1s within single, strained C1 complexes or between neighboring C1 complexes on surfaces.","author":[{"dropping-particle":"","family":"Ugurlar","given":"Deniz","non-dropping-particle":"","parse-names":false,"suffix":""},{"dropping-particle":"","family":"Howes","given":"Stuart C.","non-dropping-particle":"","parse-names":false,"suffix":""},{"dropping-particle":"","family":"Kreuk","given":"Bart Jan","non-dropping-particle":"De","parse-names":false,"suffix":""},{"dropping-particle":"","family":"Koning","given":"Roman I.","non-dropping-particle":"","parse-names":false,"suffix":""},{"dropping-particle":"","family":"Jong","given":"Rob N.","non-dropping-particle":"De","parse-names":false,"suffix":""},{"dropping-particle":"","family":"Beurskens","given":"Frank J.","non-dropping-particle":"","parse-names":false,"suffix":""},{"dropping-particle":"","family":"Schuurman","given":"Janine","non-dropping-particle":"","parse-names":false,"suffix":""},{"dropping-particle":"","family":"Koster","given":"Abraham J.","non-dropping-particle":"","parse-names":false,"suffix":""},{"dropping-particle":"","family":"Sharp","given":"Thomas H.","non-dropping-particle":"","parse-names":false,"suffix":""},{"dropping-particle":"","family":"Parren","given":"W. H.I.","non-dropping-particle":"","parse-names":false,"suffix":""},{"dropping-particle":"","family":"Gros","given":"Piet","non-dropping-particle":"","parse-names":false,"suffix":""}],"container-title":"Science (New York, N.Y.)","id":"ITEM-2","issued":{"date-parts":[["2018"]]},"page":"794-797","title":"Structures of C1-IgG1 provide insights into how danger pattern recognition activates complement","type":"article-journal","volume":"359"},"uris":["http://www.mendeley.com/documents/?uuid=0751d1e3-f570-4e69-bdf7-3a5a02e92b36"]},{"id":"ITEM-3","itemData":{"DOI":"10.1038/nmat3847","ISSN":"1476-4660","abstract":"High-resolution atomic force microscopy coupled with a frequency modulation method is used to visualize flexible, monoclonal immunoglobulin G (IgG) antibodies and their interactions with antigens in aqueous solutions. IgG molecules, which individually have Y-shaped structures, self-assemble into hexamers that form crystalline two-dimensional arrangements on a mica substrate, and are observed to retain their immunoactivity within the crystal.","author":[{"dropping-particle":"","family":"Ido","given":"Shinichiro","non-dropping-particle":"","parse-names":false,"suffix":""},{"dropping-particle":"","family":"Kimiya","given":"Hirokazu","non-dropping-particle":"","parse-names":false,"suffix":""},{"dropping-particle":"","family":"Kobayashi","given":"Kei","non-dropping-particle":"","parse-names":false,"suffix":""},{"dropping-particle":"","family":"Kominami","given":"Hiroaki","non-dropping-particle":"","parse-names":false,"suffix":""},{"dropping-particle":"","family":"Matsushige","given":"Kazumi","non-dropping-particle":"","parse-names":false,"suffix":""},{"dropping-particle":"","family":"Yamada","given":"Hirofumi","non-dropping-particle":"","parse-names":false,"suffix":""}],"container-title":"Nature Materials","id":"ITEM-3","issued":{"date-parts":[["2014"]]},"page":"264-270","title":"Immunoactive two-dimensional self-assembly of monoclonal antibodies in aqueous solution revealed by atomic force microscopy","type":"article-journal","volume":"13"},"uris":["http://www.mendeley.com/documents/?uuid=b5ae3721-ec4f-43bc-87d3-6a545e5a4c52"]}],"mendeley":{"formattedCitation":"(20,68,69)","plainTextFormattedCitation":"(20,68,69)","previouslyFormattedCitation":"(20,68,69)"},"properties":{"noteIndex":0},"schema":"https://github.com/citation-style-language/schema/raw/master/csl-citation.json"}</w:instrText>
      </w:r>
      <w:r w:rsidR="00E97E6C">
        <w:rPr>
          <w:rFonts w:eastAsia="Times New Roman" w:cstheme="minorHAnsi"/>
          <w:color w:val="222222"/>
          <w:shd w:val="clear" w:color="auto" w:fill="FFFFFF"/>
          <w:lang w:eastAsia="en-GB"/>
        </w:rPr>
        <w:fldChar w:fldCharType="separate"/>
      </w:r>
      <w:r w:rsidR="000F2966" w:rsidRPr="000F2966">
        <w:rPr>
          <w:rFonts w:eastAsia="Times New Roman" w:cstheme="minorHAnsi"/>
          <w:noProof/>
          <w:color w:val="222222"/>
          <w:shd w:val="clear" w:color="auto" w:fill="FFFFFF"/>
          <w:lang w:eastAsia="en-GB"/>
        </w:rPr>
        <w:t>(20,68,69)</w:t>
      </w:r>
      <w:r w:rsidR="00E97E6C">
        <w:rPr>
          <w:rFonts w:eastAsia="Times New Roman" w:cstheme="minorHAnsi"/>
          <w:color w:val="222222"/>
          <w:shd w:val="clear" w:color="auto" w:fill="FFFFFF"/>
          <w:lang w:eastAsia="en-GB"/>
        </w:rPr>
        <w:fldChar w:fldCharType="end"/>
      </w:r>
      <w:r w:rsidR="0072540B">
        <w:rPr>
          <w:rFonts w:eastAsia="Times New Roman" w:cstheme="minorHAnsi"/>
          <w:color w:val="222222"/>
          <w:shd w:val="clear" w:color="auto" w:fill="FFFFFF"/>
          <w:lang w:eastAsia="en-GB"/>
        </w:rPr>
        <w:t xml:space="preserve">. </w:t>
      </w:r>
      <w:r w:rsidR="0072540B" w:rsidRPr="00A01E54">
        <w:rPr>
          <w:rFonts w:eastAsia="Times New Roman" w:cstheme="minorHAnsi"/>
          <w:color w:val="222222"/>
          <w:shd w:val="clear" w:color="auto" w:fill="FFFFFF"/>
          <w:lang w:eastAsia="en-GB"/>
        </w:rPr>
        <w:t xml:space="preserve">These IgG hexamers recruited and activated the complement cascade and could be further engineered into therapeutic </w:t>
      </w:r>
      <w:proofErr w:type="spellStart"/>
      <w:r w:rsidR="0072540B" w:rsidRPr="00A01E54">
        <w:rPr>
          <w:rFonts w:eastAsia="Times New Roman" w:cstheme="minorHAnsi"/>
          <w:color w:val="222222"/>
          <w:shd w:val="clear" w:color="auto" w:fill="FFFFFF"/>
          <w:lang w:eastAsia="en-GB"/>
        </w:rPr>
        <w:t>IgGs</w:t>
      </w:r>
      <w:proofErr w:type="spellEnd"/>
      <w:r w:rsidR="0072540B" w:rsidRPr="00A01E54">
        <w:rPr>
          <w:rFonts w:eastAsia="Times New Roman" w:cstheme="minorHAnsi"/>
          <w:color w:val="222222"/>
          <w:shd w:val="clear" w:color="auto" w:fill="FFFFFF"/>
          <w:lang w:eastAsia="en-GB"/>
        </w:rPr>
        <w:t xml:space="preserve"> for enhancement of complement activation and killing of target cells</w:t>
      </w:r>
      <w:r w:rsidR="00E97E6C">
        <w:rPr>
          <w:rFonts w:eastAsia="Times New Roman" w:cstheme="minorHAnsi"/>
          <w:color w:val="222222"/>
          <w:shd w:val="clear" w:color="auto" w:fill="FFFFFF"/>
          <w:lang w:eastAsia="en-GB"/>
        </w:rPr>
        <w:t xml:space="preserve"> </w:t>
      </w:r>
      <w:r w:rsidR="00E97E6C">
        <w:rPr>
          <w:rFonts w:eastAsia="Times New Roman" w:cstheme="minorHAnsi"/>
          <w:color w:val="222222"/>
          <w:shd w:val="clear" w:color="auto" w:fill="FFFFFF"/>
          <w:lang w:eastAsia="en-GB"/>
        </w:rPr>
        <w:fldChar w:fldCharType="begin" w:fldLock="1"/>
      </w:r>
      <w:r w:rsidR="00DC4AAC">
        <w:rPr>
          <w:rFonts w:eastAsia="Times New Roman" w:cstheme="minorHAnsi"/>
          <w:color w:val="222222"/>
          <w:shd w:val="clear" w:color="auto" w:fill="FFFFFF"/>
          <w:lang w:eastAsia="en-GB"/>
        </w:rPr>
        <w:instrText>ADDIN CSL_CITATION {"citationItems":[{"id":"ITEM-1","itemData":{"DOI":"10.1126/science.1248943","ISSN":"1095-9203","PMID":"24626930","abstract":"Complement activation by antibodies bound to pathogens, tumors, and self antigens is a critical feature of natural immune defense, a number of disease processes, and immunotherapies. How antibodies activate the complement cascade, however, is poorly understood. We found that specific noncovalent interactions between Fc segments of immunoglobulin G (IgG) antibodies resulted in the formation of ordered antibody hexamers after antigen binding on cells. These hexamers recruited and activated C1, the first component of complement, thereby triggering the complement cascade. The interactions between neighboring Fc segments could be manipulated to block, reconstitute, and enhance complement activation and killing of target cells, using all four human IgG subclasses. We offer a general model for understanding antibody-mediated complement activation and the design of antibody therapeutics with enhanced efficacy.","author":[{"dropping-particle":"","family":"Diebolder","given":"Christoph A","non-dropping-particle":"","parse-names":false,"suffix":""},{"dropping-particle":"","family":"Beurskens","given":"Frank J","non-dropping-particle":"","parse-names":false,"suffix":""},{"dropping-particle":"","family":"Jong","given":"Rob N","non-dropping-particle":"de","parse-names":false,"suffix":""},{"dropping-particle":"","family":"Koning","given":"Roman I","non-dropping-particle":"","parse-names":false,"suffix":""},{"dropping-particle":"","family":"Strumane","given":"Kristin","non-dropping-particle":"","parse-names":false,"suffix":""},{"dropping-particle":"","family":"Lindorfer","given":"Margaret A","non-dropping-particle":"","parse-names":false,"suffix":""},{"dropping-particle":"","family":"Voorhorst","given":"Marleen","non-dropping-particle":"","parse-names":false,"suffix":""},{"dropping-particle":"","family":"Ugurlar","given":"Deniz","non-dropping-particle":"","parse-names":false,"suffix":""},{"dropping-particle":"","family":"Rosati","given":"Sara","non-dropping-particle":"","parse-names":false,"suffix":""},{"dropping-particle":"","family":"Heck","given":"Albert J R","non-dropping-particle":"","parse-names":false,"suffix":""},{"dropping-particle":"","family":"Winkel","given":"Jan G J","non-dropping-particle":"van de","parse-names":false,"suffix":""},{"dropping-particle":"","family":"Wilson","given":"Ian A","non-dropping-particle":"","parse-names":false,"suffix":""},{"dropping-particle":"","family":"Koster","given":"Abraham J","non-dropping-particle":"","parse-names":false,"suffix":""},{"dropping-particle":"","family":"Taylor","given":"Ronald P","non-dropping-particle":"","parse-names":false,"suffix":""},{"dropping-particle":"","family":"Saphire","given":"Erica Ollmann","non-dropping-particle":"","parse-names":false,"suffix":""},{"dropping-particle":"","family":"Burton","given":"Dennis R","non-dropping-particle":"","parse-names":false,"suffix":""},{"dropping-particle":"","family":"Schuurman","given":"Janine","non-dropping-particle":"","parse-names":false,"suffix":""},{"dropping-particle":"","family":"Gros","given":"Piet","non-dropping-particle":"","parse-names":false,"suffix":""},{"dropping-particle":"","family":"Parren","given":"Paul W H I","non-dropping-particle":"","parse-names":false,"suffix":""}],"container-title":"Science (New York, N.Y.)","id":"ITEM-1","issue":"6176","issued":{"date-parts":[["2014","3","14"]]},"page":"1260-3","title":"Complement is activated by IgG hexamers assembled at the cell surface.","type":"article-journal","volume":"343"},"uris":["http://www.mendeley.com/documents/?uuid=3c0aa43d-8808-467a-b5b3-a0f4f1f43952"]}],"mendeley":{"formattedCitation":"(20)","plainTextFormattedCitation":"(20)","previouslyFormattedCitation":"(20)"},"properties":{"noteIndex":0},"schema":"https://github.com/citation-style-language/schema/raw/master/csl-citation.json"}</w:instrText>
      </w:r>
      <w:r w:rsidR="00E97E6C">
        <w:rPr>
          <w:rFonts w:eastAsia="Times New Roman" w:cstheme="minorHAnsi"/>
          <w:color w:val="222222"/>
          <w:shd w:val="clear" w:color="auto" w:fill="FFFFFF"/>
          <w:lang w:eastAsia="en-GB"/>
        </w:rPr>
        <w:fldChar w:fldCharType="separate"/>
      </w:r>
      <w:r w:rsidR="000F2966" w:rsidRPr="000F2966">
        <w:rPr>
          <w:rFonts w:eastAsia="Times New Roman" w:cstheme="minorHAnsi"/>
          <w:noProof/>
          <w:color w:val="222222"/>
          <w:shd w:val="clear" w:color="auto" w:fill="FFFFFF"/>
          <w:lang w:eastAsia="en-GB"/>
        </w:rPr>
        <w:t>(20)</w:t>
      </w:r>
      <w:r w:rsidR="00E97E6C">
        <w:rPr>
          <w:rFonts w:eastAsia="Times New Roman" w:cstheme="minorHAnsi"/>
          <w:color w:val="222222"/>
          <w:shd w:val="clear" w:color="auto" w:fill="FFFFFF"/>
          <w:lang w:eastAsia="en-GB"/>
        </w:rPr>
        <w:fldChar w:fldCharType="end"/>
      </w:r>
      <w:r w:rsidR="0072540B" w:rsidRPr="00A01E54">
        <w:rPr>
          <w:rFonts w:eastAsia="Times New Roman" w:cstheme="minorHAnsi"/>
          <w:color w:val="222222"/>
          <w:shd w:val="clear" w:color="auto" w:fill="FFFFFF"/>
          <w:lang w:eastAsia="en-GB"/>
        </w:rPr>
        <w:t xml:space="preserve">. </w:t>
      </w:r>
      <w:r w:rsidR="0072540B">
        <w:rPr>
          <w:rFonts w:eastAsia="Times New Roman" w:cstheme="minorHAnsi"/>
          <w:color w:val="222222"/>
          <w:shd w:val="clear" w:color="auto" w:fill="FFFFFF"/>
          <w:lang w:eastAsia="en-GB"/>
        </w:rPr>
        <w:t xml:space="preserve">Direct imaging and modelling of N563A/C575A containing Fc multimers </w:t>
      </w:r>
      <w:r w:rsidR="00CA11E1">
        <w:rPr>
          <w:rFonts w:eastAsia="Times New Roman" w:cstheme="minorHAnsi"/>
          <w:color w:val="222222"/>
          <w:shd w:val="clear" w:color="auto" w:fill="FFFFFF"/>
          <w:lang w:eastAsia="en-GB"/>
        </w:rPr>
        <w:t xml:space="preserve">likewise </w:t>
      </w:r>
      <w:r w:rsidR="0072540B">
        <w:rPr>
          <w:rFonts w:eastAsia="Times New Roman" w:cstheme="minorHAnsi"/>
          <w:color w:val="222222"/>
          <w:shd w:val="clear" w:color="auto" w:fill="FFFFFF"/>
          <w:lang w:eastAsia="en-GB"/>
        </w:rPr>
        <w:t xml:space="preserve">offers a structural </w:t>
      </w:r>
      <w:r w:rsidR="00CA11E1">
        <w:rPr>
          <w:rFonts w:eastAsia="Times New Roman" w:cstheme="minorHAnsi"/>
          <w:color w:val="222222"/>
          <w:shd w:val="clear" w:color="auto" w:fill="FFFFFF"/>
          <w:lang w:eastAsia="en-GB"/>
        </w:rPr>
        <w:t>explanation for</w:t>
      </w:r>
      <w:r w:rsidR="0072540B">
        <w:rPr>
          <w:rFonts w:eastAsia="Times New Roman" w:cstheme="minorHAnsi"/>
          <w:color w:val="222222"/>
          <w:shd w:val="clear" w:color="auto" w:fill="FFFFFF"/>
          <w:lang w:eastAsia="en-GB"/>
        </w:rPr>
        <w:t xml:space="preserve"> how the globular head domains of C1q can readily access their binding site at the top of the </w:t>
      </w:r>
      <w:r w:rsidR="00E97E6C">
        <w:rPr>
          <w:rFonts w:eastAsia="Times New Roman" w:cstheme="minorHAnsi"/>
          <w:color w:val="222222"/>
          <w:shd w:val="clear" w:color="auto" w:fill="FFFFFF"/>
          <w:lang w:eastAsia="en-GB"/>
        </w:rPr>
        <w:t xml:space="preserve">Fc </w:t>
      </w:r>
      <w:r w:rsidR="0072540B">
        <w:rPr>
          <w:rFonts w:eastAsia="Times New Roman" w:cstheme="minorHAnsi"/>
          <w:color w:val="222222"/>
          <w:shd w:val="clear" w:color="auto" w:fill="FFFFFF"/>
          <w:lang w:eastAsia="en-GB"/>
        </w:rPr>
        <w:t>C</w:t>
      </w:r>
      <w:r w:rsidR="0072540B" w:rsidRPr="006548F9">
        <w:rPr>
          <w:rFonts w:ascii="Symbol" w:eastAsia="Times New Roman" w:hAnsi="Symbol" w:cstheme="minorHAnsi"/>
          <w:color w:val="222222"/>
          <w:shd w:val="clear" w:color="auto" w:fill="FFFFFF"/>
          <w:lang w:eastAsia="en-GB"/>
        </w:rPr>
        <w:t>g</w:t>
      </w:r>
      <w:r w:rsidR="0072540B">
        <w:rPr>
          <w:rFonts w:eastAsia="Times New Roman" w:cstheme="minorHAnsi"/>
          <w:color w:val="222222"/>
          <w:shd w:val="clear" w:color="auto" w:fill="FFFFFF"/>
          <w:lang w:eastAsia="en-GB"/>
        </w:rPr>
        <w:t xml:space="preserve">2 domains (Fig. </w:t>
      </w:r>
      <w:r w:rsidR="0008030F">
        <w:rPr>
          <w:rFonts w:eastAsia="Times New Roman" w:cstheme="minorHAnsi"/>
          <w:color w:val="222222"/>
          <w:shd w:val="clear" w:color="auto" w:fill="FFFFFF"/>
          <w:lang w:eastAsia="en-GB"/>
        </w:rPr>
        <w:t>4</w:t>
      </w:r>
      <w:r w:rsidR="0072540B">
        <w:rPr>
          <w:rFonts w:eastAsia="Times New Roman" w:cstheme="minorHAnsi"/>
          <w:color w:val="222222"/>
          <w:shd w:val="clear" w:color="auto" w:fill="FFFFFF"/>
          <w:lang w:eastAsia="en-GB"/>
        </w:rPr>
        <w:t>)</w:t>
      </w:r>
      <w:r w:rsidR="00CA11E1">
        <w:rPr>
          <w:rFonts w:eastAsia="Times New Roman" w:cstheme="minorHAnsi"/>
          <w:color w:val="222222"/>
          <w:shd w:val="clear" w:color="auto" w:fill="FFFFFF"/>
          <w:lang w:eastAsia="en-GB"/>
        </w:rPr>
        <w:t xml:space="preserve">, </w:t>
      </w:r>
      <w:r w:rsidR="00E97E6C">
        <w:rPr>
          <w:rFonts w:eastAsia="Times New Roman" w:cstheme="minorHAnsi"/>
          <w:color w:val="222222"/>
          <w:shd w:val="clear" w:color="auto" w:fill="FFFFFF"/>
          <w:lang w:eastAsia="en-GB"/>
        </w:rPr>
        <w:t xml:space="preserve">and </w:t>
      </w:r>
      <w:r w:rsidR="00CA11E1">
        <w:rPr>
          <w:rFonts w:eastAsia="Times New Roman" w:cstheme="minorHAnsi"/>
          <w:color w:val="222222"/>
          <w:shd w:val="clear" w:color="auto" w:fill="FFFFFF"/>
          <w:lang w:eastAsia="en-GB"/>
        </w:rPr>
        <w:t>thereby making C1q unavailable to the demyelinating anti-MOG antibody.</w:t>
      </w:r>
    </w:p>
    <w:p w14:paraId="4852B005" w14:textId="7092B02F" w:rsidR="003E3F38" w:rsidRPr="00E76C3E" w:rsidRDefault="00FB228F">
      <w:pPr>
        <w:spacing w:line="360" w:lineRule="auto"/>
        <w:ind w:firstLine="720"/>
        <w:rPr>
          <w:rFonts w:cstheme="minorHAnsi"/>
          <w:color w:val="1C1D1E"/>
          <w:shd w:val="clear" w:color="auto" w:fill="FFFFFF"/>
        </w:rPr>
      </w:pPr>
      <w:r w:rsidRPr="00FB228F">
        <w:rPr>
          <w:rFonts w:cstheme="minorHAnsi"/>
        </w:rPr>
        <w:lastRenderedPageBreak/>
        <w:t xml:space="preserve">Both animal experiments and clinical evidence suggest that the modification pattern of the Asn-297 attached Fc carbohydrate is crucial for the Fc-mediated therapeutic effects of IVIG. </w:t>
      </w:r>
      <w:proofErr w:type="spellStart"/>
      <w:r w:rsidRPr="00FB228F">
        <w:rPr>
          <w:rFonts w:cstheme="minorHAnsi"/>
          <w:color w:val="1C1D1E"/>
          <w:shd w:val="clear" w:color="auto" w:fill="FFFFFF"/>
        </w:rPr>
        <w:t>Ravetch</w:t>
      </w:r>
      <w:proofErr w:type="spellEnd"/>
      <w:r w:rsidRPr="00FB228F">
        <w:rPr>
          <w:rFonts w:cstheme="minorHAnsi"/>
          <w:color w:val="1C1D1E"/>
          <w:shd w:val="clear" w:color="auto" w:fill="FFFFFF"/>
        </w:rPr>
        <w:t xml:space="preserve"> and colleagues showed that sial</w:t>
      </w:r>
      <w:r w:rsidR="005E5CE3">
        <w:rPr>
          <w:rFonts w:cstheme="minorHAnsi"/>
          <w:color w:val="1C1D1E"/>
          <w:shd w:val="clear" w:color="auto" w:fill="FFFFFF"/>
        </w:rPr>
        <w:t xml:space="preserve">ic acid </w:t>
      </w:r>
      <w:r w:rsidRPr="00FB228F">
        <w:rPr>
          <w:rFonts w:cstheme="minorHAnsi"/>
          <w:color w:val="1C1D1E"/>
          <w:shd w:val="clear" w:color="auto" w:fill="FFFFFF"/>
        </w:rPr>
        <w:t xml:space="preserve">residues </w:t>
      </w:r>
      <w:r w:rsidR="00EA7A4D">
        <w:rPr>
          <w:rFonts w:cstheme="minorHAnsi"/>
          <w:color w:val="1C1D1E"/>
          <w:shd w:val="clear" w:color="auto" w:fill="FFFFFF"/>
        </w:rPr>
        <w:t>attached</w:t>
      </w:r>
      <w:r w:rsidRPr="00FB228F">
        <w:rPr>
          <w:rFonts w:cstheme="minorHAnsi"/>
          <w:color w:val="1C1D1E"/>
          <w:shd w:val="clear" w:color="auto" w:fill="FFFFFF"/>
        </w:rPr>
        <w:t xml:space="preserve"> to the </w:t>
      </w:r>
      <w:r w:rsidR="005E5CE3">
        <w:rPr>
          <w:rFonts w:cstheme="minorHAnsi"/>
          <w:color w:val="1C1D1E"/>
          <w:shd w:val="clear" w:color="auto" w:fill="FFFFFF"/>
        </w:rPr>
        <w:t>IgG-</w:t>
      </w:r>
      <w:r w:rsidRPr="00FB228F">
        <w:rPr>
          <w:rFonts w:cstheme="minorHAnsi"/>
          <w:color w:val="1C1D1E"/>
          <w:shd w:val="clear" w:color="auto" w:fill="FFFFFF"/>
        </w:rPr>
        <w:t>Fc region seem to be indispensable for certain effects</w:t>
      </w:r>
      <w:r>
        <w:rPr>
          <w:rFonts w:cstheme="minorHAnsi"/>
          <w:color w:val="1C1D1E"/>
          <w:shd w:val="clear" w:color="auto" w:fill="FFFFFF"/>
        </w:rPr>
        <w:t xml:space="preserve"> </w:t>
      </w:r>
      <w:r w:rsidR="00AA1E20">
        <w:rPr>
          <w:rFonts w:cstheme="minorHAnsi"/>
          <w:color w:val="1C1D1E"/>
          <w:shd w:val="clear" w:color="auto" w:fill="FFFFFF"/>
        </w:rPr>
        <w:fldChar w:fldCharType="begin" w:fldLock="1"/>
      </w:r>
      <w:r w:rsidR="00DC4AAC">
        <w:rPr>
          <w:rFonts w:cstheme="minorHAnsi"/>
          <w:color w:val="1C1D1E"/>
          <w:shd w:val="clear" w:color="auto" w:fill="FFFFFF"/>
        </w:rPr>
        <w:instrText>ADDIN CSL_CITATION {"citationItems":[{"id":"ITEM-1","itemData":{"DOI":"10.1126/science.1129594","ISBN":"1095-9203 (Electronic)\\n0036-8075 (Linking)","ISSN":"1095-9203","PMID":"16888140","abstract":"Immunoglobulin G (IgG) mediates pro- and anti-inflammatory activities through the engagement of its Fc fragment (Fc) with distinct Fcg receptors (FcgRs). One class of Fc-FcgR interactions generates pro-inflammatory effects of immune complexes and cytotoxic antibodies. In contrast, therapeutic intravenous gamma globulin and its Fc fragments are anti-inflammatory. We show here that these distinct properties of the IgG Fc result from differential sialylation of the Fc core polysaccharide. IgG acquires anti-inflammatory properties upon Fc sialylation, which is reduced upon the induction of an antigen-specific immune response. This differential sialylation may provide a switch from innate anti-inflammatory activity in the steady state to generating adaptive pro-inflammatory effects upon antigenic challenge.","author":[{"dropping-particle":"","family":"Kaneko","given":"Yoshikatsu","non-dropping-particle":"","parse-names":false,"suffix":""},{"dropping-particle":"","family":"Nimmerjahn","given":"Falk","non-dropping-particle":"","parse-names":false,"suffix":""},{"dropping-particle":"V","family":"Ravetch","given":"Jeffrey","non-dropping-particle":"","parse-names":false,"suffix":""}],"container-title":"Science","id":"ITEM-1","issue":"5787","issued":{"date-parts":[["2006"]]},"page":"670-3","title":"Anti-inflammatory activity of immunoglobulin G resulting from Fc sialylation.","type":"article-journal","volume":"313"},"uris":["http://www.mendeley.com/documents/?uuid=77c92d8b-d37e-4727-ac5b-91d78ac46f10"]},{"id":"ITEM-2","itemData":{"DOI":"10.1126/science.1154315","ISSN":"00368075","abstract":"It is well established that high doses of monomeric immunoglobulin G (IgG) purified from pooled human plasma [intravenous immunoglobulin (IVIG)] confer anti-inflammatory activity in a variety of autoimmune settings. However, exactly how those effects are mediated is not clear because of the heterogeneity of IVIG. Recent studies have demonstrated that the anti-inflammatory activity of IgG is completely dependent on sialylation of the N-linked glycan of the IgG Fc fragment. Here we determine the precise glycan requirements for this anti-inflammatory activity, allowing us to engineer an appropriate IgG1 Fc fragment, and thus generate a fully recombinant, sialylated IgG1 Fc with greatly enhanced potency. This therapeutic molecule precisely defines the biologically active component of IVIG and helps guide development of an IVIG replacement with improved activity and availability.","author":[{"dropping-particle":"","family":"Anthony","given":"Robert M.","non-dropping-particle":"","parse-names":false,"suffix":""},{"dropping-particle":"","family":"Nimmerjahn","given":"Falk","non-dropping-particle":"","parse-names":false,"suffix":""},{"dropping-particle":"","family":"Ashline","given":"David J.","non-dropping-particle":"","parse-names":false,"suffix":""},{"dropping-particle":"","family":"Reinhold","given":"Vernon N.","non-dropping-particle":"","parse-names":false,"suffix":""},{"dropping-particle":"","family":"Paulson","given":"James C.","non-dropping-particle":"","parse-names":false,"suffix":""},{"dropping-particle":"V.","family":"Ravetch","given":"Jeffrey","non-dropping-particle":"","parse-names":false,"suffix":""}],"container-title":"Science (New York, N.Y.)","id":"ITEM-2","issued":{"date-parts":[["2008"]]},"page":"373-376","title":"Recapitulation of IVIG anti-inflammatory activity with a recombinant IgG Fc","type":"article-journal","volume":"320"},"uris":["http://www.mendeley.com/documents/?uuid=5c202c11-b034-4470-a1cc-9226e03eef59"]}],"mendeley":{"formattedCitation":"(70,71)","manualFormatting":"(Anthony et al., 2008; Kaneko et al., 2006)","plainTextFormattedCitation":"(70,71)","previouslyFormattedCitation":"(70,71)"},"properties":{"noteIndex":0},"schema":"https://github.com/citation-style-language/schema/raw/master/csl-citation.json"}</w:instrText>
      </w:r>
      <w:r w:rsidR="00AA1E20">
        <w:rPr>
          <w:rFonts w:cstheme="minorHAnsi"/>
          <w:color w:val="1C1D1E"/>
          <w:shd w:val="clear" w:color="auto" w:fill="FFFFFF"/>
        </w:rPr>
        <w:fldChar w:fldCharType="separate"/>
      </w:r>
      <w:r w:rsidR="00232756" w:rsidRPr="00232756">
        <w:rPr>
          <w:rFonts w:cstheme="minorHAnsi"/>
          <w:noProof/>
          <w:color w:val="1C1D1E"/>
          <w:shd w:val="clear" w:color="auto" w:fill="FFFFFF"/>
        </w:rPr>
        <w:t>(Anthony et al., 2008; Kaneko et al., 2006)</w:t>
      </w:r>
      <w:r w:rsidR="00AA1E20">
        <w:rPr>
          <w:rFonts w:cstheme="minorHAnsi"/>
          <w:color w:val="1C1D1E"/>
          <w:shd w:val="clear" w:color="auto" w:fill="FFFFFF"/>
        </w:rPr>
        <w:fldChar w:fldCharType="end"/>
      </w:r>
      <w:r w:rsidRPr="00FB228F">
        <w:rPr>
          <w:rFonts w:cstheme="minorHAnsi"/>
          <w:color w:val="1C1D1E"/>
          <w:shd w:val="clear" w:color="auto" w:fill="FFFFFF"/>
        </w:rPr>
        <w:t xml:space="preserve">. </w:t>
      </w:r>
      <w:proofErr w:type="spellStart"/>
      <w:r w:rsidRPr="00FB228F">
        <w:rPr>
          <w:rFonts w:cstheme="minorHAnsi"/>
          <w:color w:val="1C1D1E"/>
          <w:shd w:val="clear" w:color="auto" w:fill="FFFFFF"/>
        </w:rPr>
        <w:t>Sialylated</w:t>
      </w:r>
      <w:proofErr w:type="spellEnd"/>
      <w:r w:rsidRPr="00FB228F">
        <w:rPr>
          <w:rFonts w:cstheme="minorHAnsi"/>
          <w:color w:val="1C1D1E"/>
          <w:shd w:val="clear" w:color="auto" w:fill="FFFFFF"/>
        </w:rPr>
        <w:t xml:space="preserve"> IgG preferably interacts with C‐type lectins like human DC‐S</w:t>
      </w:r>
      <w:r>
        <w:rPr>
          <w:rFonts w:cstheme="minorHAnsi"/>
          <w:color w:val="1C1D1E"/>
          <w:shd w:val="clear" w:color="auto" w:fill="FFFFFF"/>
        </w:rPr>
        <w:t>IGN</w:t>
      </w:r>
      <w:r w:rsidRPr="00FB228F">
        <w:rPr>
          <w:rFonts w:cstheme="minorHAnsi"/>
          <w:color w:val="1C1D1E"/>
          <w:shd w:val="clear" w:color="auto" w:fill="FFFFFF"/>
        </w:rPr>
        <w:t xml:space="preserve"> (Dendritic Cell‐Specific Intercellular adhesion molecule‐3‐Grabbing Non‐integrin) or the murine homolog S</w:t>
      </w:r>
      <w:r>
        <w:rPr>
          <w:rFonts w:cstheme="minorHAnsi"/>
          <w:color w:val="1C1D1E"/>
          <w:shd w:val="clear" w:color="auto" w:fill="FFFFFF"/>
        </w:rPr>
        <w:t>IGN</w:t>
      </w:r>
      <w:r w:rsidRPr="00FB228F">
        <w:rPr>
          <w:rFonts w:cstheme="minorHAnsi"/>
          <w:color w:val="1C1D1E"/>
          <w:shd w:val="clear" w:color="auto" w:fill="FFFFFF"/>
        </w:rPr>
        <w:t>R1</w:t>
      </w:r>
      <w:r w:rsidR="00B95D1C">
        <w:rPr>
          <w:rFonts w:cstheme="minorHAnsi"/>
          <w:color w:val="1C1D1E"/>
          <w:shd w:val="clear" w:color="auto" w:fill="FFFFFF"/>
        </w:rPr>
        <w:t xml:space="preserve"> </w:t>
      </w:r>
      <w:r w:rsidR="00AA1E20">
        <w:rPr>
          <w:rFonts w:cstheme="minorHAnsi"/>
          <w:color w:val="1C1D1E"/>
          <w:shd w:val="clear" w:color="auto" w:fill="FFFFFF"/>
        </w:rPr>
        <w:fldChar w:fldCharType="begin" w:fldLock="1"/>
      </w:r>
      <w:r w:rsidR="00DC4AAC">
        <w:rPr>
          <w:rFonts w:cstheme="minorHAnsi"/>
          <w:color w:val="1C1D1E"/>
          <w:shd w:val="clear" w:color="auto" w:fill="FFFFFF"/>
        </w:rPr>
        <w:instrText>ADDIN CSL_CITATION {"citationItems":[{"id":"ITEM-1","itemData":{"DOI":"10.1073/pnas.0810163105","ISBN":"0027-8424","ISSN":"1091-6490","PMID":"19036920","abstract":"The anti-inflammatory activity of intravenous Ig (IVIG) results from a minor population of the pooled IgG molecules that contains terminal alpha2,6-sialic acid linkages on their Fc-linked glycans. These anti-inflammatory properties can be recapitulated with a fully recombinant preparation of appropriately sialylated IgG Fc fragments. We now demonstrate that these sialylated Fcs require a specific C-type lectin, SIGN-R1, (specific ICAM-3 grabbing non-integrin-related 1) expressed on macrophages in the splenic marginal zone. Splenectomy, loss of SIGN-R1(+) cells in the splenic marginal zone, blockade of the carbohydrate recognition domain (CRD) of SIGN-R1, or genetic deletion of SIGN-R1 abrogated the anti-inflammatory activity of IVIG or sialylated Fc fragments. Although SIGN-R1 has not previously been shown to bind to sialylated glycans, we demonstrate that it preferentially binds to 2,6-sialylated Fc compared with similarly sialylated, biantennary glycoproteins, thus suggesting that a specific binding site is created by the sialylation of IgG Fc. A human orthologue of SIGN-R1, DC-SIGN, displays a similar binding specificity to SIGN-R1 but differs in its cellular distribution, potentially accounting for some of the species differences observed in IVIG protection. These studies thus identify an antibody receptor specific for sialylated Fc, and present the initial step that is triggered by IVIG to suppress inflammation.","author":[{"dropping-particle":"","family":"Anthony","given":"Robert M","non-dropping-particle":"","parse-names":false,"suffix":""},{"dropping-particle":"","family":"Wermeling","given":"Fredrik","non-dropping-particle":"","parse-names":false,"suffix":""},{"dropping-particle":"","family":"Karlsson","given":"Mikael C I","non-dropping-particle":"","parse-names":false,"suffix":""},{"dropping-particle":"V","family":"Ravetch","given":"Jeffrey","non-dropping-particle":"","parse-names":false,"suffix":""}],"container-title":"Proceedings of the National Academy of Sciences of the United States of America","id":"ITEM-1","issue":"50","issued":{"date-parts":[["2008"]]},"page":"19571-19578","title":"Identification of a receptor required for the anti-inflammatory activity of IVIG.","type":"article-journal","volume":"105"},"uris":["http://www.mendeley.com/documents/?uuid=31a99d3c-9e7a-4eba-aed8-82c0b9ba06c1"]}],"mendeley":{"formattedCitation":"(72)","plainTextFormattedCitation":"(72)","previouslyFormattedCitation":"(72)"},"properties":{"noteIndex":0},"schema":"https://github.com/citation-style-language/schema/raw/master/csl-citation.json"}</w:instrText>
      </w:r>
      <w:r w:rsidR="00AA1E20">
        <w:rPr>
          <w:rFonts w:cstheme="minorHAnsi"/>
          <w:color w:val="1C1D1E"/>
          <w:shd w:val="clear" w:color="auto" w:fill="FFFFFF"/>
        </w:rPr>
        <w:fldChar w:fldCharType="separate"/>
      </w:r>
      <w:r w:rsidR="000F2966" w:rsidRPr="000F2966">
        <w:rPr>
          <w:rFonts w:cstheme="minorHAnsi"/>
          <w:noProof/>
          <w:color w:val="1C1D1E"/>
          <w:shd w:val="clear" w:color="auto" w:fill="FFFFFF"/>
        </w:rPr>
        <w:t>(72)</w:t>
      </w:r>
      <w:r w:rsidR="00AA1E20">
        <w:rPr>
          <w:rFonts w:cstheme="minorHAnsi"/>
          <w:color w:val="1C1D1E"/>
          <w:shd w:val="clear" w:color="auto" w:fill="FFFFFF"/>
        </w:rPr>
        <w:fldChar w:fldCharType="end"/>
      </w:r>
      <w:r w:rsidRPr="00FB228F">
        <w:rPr>
          <w:rFonts w:cstheme="minorHAnsi"/>
          <w:color w:val="1C1D1E"/>
          <w:shd w:val="clear" w:color="auto" w:fill="FFFFFF"/>
        </w:rPr>
        <w:t>.</w:t>
      </w:r>
      <w:r w:rsidRPr="00FB228F">
        <w:rPr>
          <w:rStyle w:val="apple-converted-space"/>
          <w:rFonts w:cstheme="minorHAnsi"/>
          <w:color w:val="1C1D1E"/>
          <w:shd w:val="clear" w:color="auto" w:fill="FFFFFF"/>
        </w:rPr>
        <w:t> </w:t>
      </w:r>
      <w:r w:rsidRPr="00FB228F">
        <w:rPr>
          <w:rFonts w:cstheme="minorHAnsi"/>
          <w:color w:val="1C1D1E"/>
          <w:shd w:val="clear" w:color="auto" w:fill="FFFFFF"/>
        </w:rPr>
        <w:t>Park</w:t>
      </w:r>
      <w:r w:rsidRPr="00FB228F">
        <w:rPr>
          <w:rStyle w:val="apple-converted-space"/>
          <w:rFonts w:cstheme="minorHAnsi"/>
          <w:color w:val="1C1D1E"/>
          <w:shd w:val="clear" w:color="auto" w:fill="FFFFFF"/>
        </w:rPr>
        <w:t> </w:t>
      </w:r>
      <w:r w:rsidRPr="00FB228F">
        <w:rPr>
          <w:rFonts w:cstheme="minorHAnsi"/>
          <w:i/>
          <w:iCs/>
          <w:color w:val="1C1D1E"/>
        </w:rPr>
        <w:t>et al</w:t>
      </w:r>
      <w:r w:rsidRPr="00FB228F">
        <w:rPr>
          <w:rFonts w:cstheme="minorHAnsi"/>
          <w:color w:val="1C1D1E"/>
          <w:shd w:val="clear" w:color="auto" w:fill="FFFFFF"/>
        </w:rPr>
        <w:t>. demonstrated m</w:t>
      </w:r>
      <w:r w:rsidR="00B95D1C">
        <w:rPr>
          <w:rFonts w:cstheme="minorHAnsi"/>
          <w:color w:val="1C1D1E"/>
          <w:shd w:val="clear" w:color="auto" w:fill="FFFFFF"/>
        </w:rPr>
        <w:t xml:space="preserve">urine </w:t>
      </w:r>
      <w:r w:rsidRPr="00FB228F">
        <w:rPr>
          <w:rFonts w:cstheme="minorHAnsi"/>
          <w:color w:val="1C1D1E"/>
          <w:shd w:val="clear" w:color="auto" w:fill="FFFFFF"/>
        </w:rPr>
        <w:t>S</w:t>
      </w:r>
      <w:r w:rsidR="00B95D1C">
        <w:rPr>
          <w:rFonts w:cstheme="minorHAnsi"/>
          <w:color w:val="1C1D1E"/>
          <w:shd w:val="clear" w:color="auto" w:fill="FFFFFF"/>
        </w:rPr>
        <w:t>IGN</w:t>
      </w:r>
      <w:r w:rsidRPr="00FB228F">
        <w:rPr>
          <w:rFonts w:cstheme="minorHAnsi"/>
          <w:color w:val="1C1D1E"/>
          <w:shd w:val="clear" w:color="auto" w:fill="FFFFFF"/>
        </w:rPr>
        <w:t>R1 expressed on microglial cells in the cerebellum, identifying microglia as a likely target for IVIG‐interference</w:t>
      </w:r>
      <w:r w:rsidR="00B95D1C">
        <w:rPr>
          <w:rFonts w:cstheme="minorHAnsi"/>
          <w:color w:val="1C1D1E"/>
          <w:shd w:val="clear" w:color="auto" w:fill="FFFFFF"/>
        </w:rPr>
        <w:t xml:space="preserve"> </w:t>
      </w:r>
      <w:r w:rsidR="00AA1E20">
        <w:rPr>
          <w:rFonts w:cstheme="minorHAnsi"/>
          <w:color w:val="1C1D1E"/>
          <w:shd w:val="clear" w:color="auto" w:fill="FFFFFF"/>
        </w:rPr>
        <w:fldChar w:fldCharType="begin" w:fldLock="1"/>
      </w:r>
      <w:r w:rsidR="00DC4AAC">
        <w:rPr>
          <w:rFonts w:cstheme="minorHAnsi"/>
          <w:color w:val="1C1D1E"/>
          <w:shd w:val="clear" w:color="auto" w:fill="FFFFFF"/>
        </w:rPr>
        <w:instrText>ADDIN CSL_CITATION {"citationItems":[{"id":"ITEM-1","itemData":{"DOI":"10.1016/j.neulet.2008.11.070","ISSN":"03043940","abstract":"Although Streptococcus pneumoniae is the major cause of meningitis, how it causes disease is poorly understood. The C-type lectin SIGN-R1 mediates the recently described SIGN-R1 complement activation pathway, which operates against capsular polysaccharides (CPSs) of S. pneumoniae in splenic marginal macrophages. Here, we demonstrate that SIGN-R1, as well as the rat SIGN-R1 homologue CD209b are expressed in most regions of mouse or rat brain, respectively. Moreover, both C-type lectins are obviously expressed on microglia, but not on neurons or astrocytes. We also found that rat CD209b mediates the uptake of dextran or CPS14 within the rat splenic marginal zone, similar to SIGN-R1. On microglia, rat CD209b also mediates the uptake of CPS14 of S. pneumoniae. Our findings strongly suggest that both rat CD209b and SIGN-R1 on microglia mediate the SIGN-R1 complement activation pathway against S. pneumoniae, and thereby plays an important role in the pathogenesis of pneumococcal meningitis. © 2008 Elsevier Ireland Ltd.","author":[{"dropping-particle":"","family":"Park","given":"Jin Yeon","non-dropping-particle":"","parse-names":false,"suffix":""},{"dropping-particle":"","family":"Choi","given":"Heong jwa","non-dropping-particle":"","parse-names":false,"suffix":""},{"dropping-particle":"","family":"Prabagar","given":"Miglena G.V.","non-dropping-particle":"","parse-names":false,"suffix":""},{"dropping-particle":"","family":"Choi","given":"Woo Sung","non-dropping-particle":"","parse-names":false,"suffix":""},{"dropping-particle":"","family":"Kim","given":"Sun Jong","non-dropping-particle":"","parse-names":false,"suffix":""},{"dropping-particle":"","family":"Cheong","given":"Cheolho","non-dropping-particle":"","parse-names":false,"suffix":""},{"dropping-particle":"","family":"Park","given":"Chae Gyu","non-dropping-particle":"","parse-names":false,"suffix":""},{"dropping-particle":"","family":"Chin","given":"Chan Young","non-dropping-particle":"","parse-names":false,"suffix":""},{"dropping-particle":"","family":"Kang","given":"Young Sun","non-dropping-particle":"","parse-names":false,"suffix":""}],"container-title":"Neuroscience Letters","id":"ITEM-1","issued":{"date-parts":[["2009"]]},"page":"246-251","title":"The C-type lectin CD209b is expressed on microglia and it mediates the uptake of capsular polysaccharides of Streptococcus pneumoniae","type":"article-journal","volume":"450"},"uris":["http://www.mendeley.com/documents/?uuid=f616378e-5a13-4511-ac05-cb8c9b7c317a"]}],"mendeley":{"formattedCitation":"(73)","plainTextFormattedCitation":"(73)","previouslyFormattedCitation":"(73)"},"properties":{"noteIndex":0},"schema":"https://github.com/citation-style-language/schema/raw/master/csl-citation.json"}</w:instrText>
      </w:r>
      <w:r w:rsidR="00AA1E20">
        <w:rPr>
          <w:rFonts w:cstheme="minorHAnsi"/>
          <w:color w:val="1C1D1E"/>
          <w:shd w:val="clear" w:color="auto" w:fill="FFFFFF"/>
        </w:rPr>
        <w:fldChar w:fldCharType="separate"/>
      </w:r>
      <w:r w:rsidR="000F2966" w:rsidRPr="000F2966">
        <w:rPr>
          <w:rFonts w:cstheme="minorHAnsi"/>
          <w:noProof/>
          <w:color w:val="1C1D1E"/>
          <w:shd w:val="clear" w:color="auto" w:fill="FFFFFF"/>
        </w:rPr>
        <w:t>(73)</w:t>
      </w:r>
      <w:r w:rsidR="00AA1E20">
        <w:rPr>
          <w:rFonts w:cstheme="minorHAnsi"/>
          <w:color w:val="1C1D1E"/>
          <w:shd w:val="clear" w:color="auto" w:fill="FFFFFF"/>
        </w:rPr>
        <w:fldChar w:fldCharType="end"/>
      </w:r>
      <w:r w:rsidRPr="00FB228F">
        <w:rPr>
          <w:rFonts w:cstheme="minorHAnsi"/>
          <w:color w:val="1C1D1E"/>
          <w:shd w:val="clear" w:color="auto" w:fill="FFFFFF"/>
        </w:rPr>
        <w:t xml:space="preserve">. </w:t>
      </w:r>
      <w:r w:rsidR="00B95D1C">
        <w:rPr>
          <w:rFonts w:cstheme="minorHAnsi"/>
          <w:color w:val="1C1D1E"/>
          <w:shd w:val="clear" w:color="auto" w:fill="FFFFFF"/>
        </w:rPr>
        <w:t>However</w:t>
      </w:r>
      <w:r w:rsidR="00AE3C89">
        <w:rPr>
          <w:rFonts w:cstheme="minorHAnsi"/>
          <w:color w:val="1C1D1E"/>
          <w:shd w:val="clear" w:color="auto" w:fill="FFFFFF"/>
        </w:rPr>
        <w:t>,</w:t>
      </w:r>
      <w:r w:rsidR="00B95D1C">
        <w:rPr>
          <w:rFonts w:cstheme="minorHAnsi"/>
          <w:color w:val="1C1D1E"/>
          <w:shd w:val="clear" w:color="auto" w:fill="FFFFFF"/>
        </w:rPr>
        <w:t xml:space="preserve"> t</w:t>
      </w:r>
      <w:r w:rsidRPr="00FB228F">
        <w:rPr>
          <w:rFonts w:cstheme="minorHAnsi"/>
          <w:color w:val="1C1D1E"/>
          <w:shd w:val="clear" w:color="auto" w:fill="FFFFFF"/>
        </w:rPr>
        <w:t xml:space="preserve">he </w:t>
      </w:r>
      <w:r w:rsidR="00B95D1C">
        <w:rPr>
          <w:rFonts w:cstheme="minorHAnsi"/>
          <w:color w:val="1C1D1E"/>
          <w:shd w:val="clear" w:color="auto" w:fill="FFFFFF"/>
        </w:rPr>
        <w:t xml:space="preserve">relative abundance of complex </w:t>
      </w:r>
      <w:proofErr w:type="spellStart"/>
      <w:r w:rsidR="00B95D1C">
        <w:rPr>
          <w:rFonts w:cstheme="minorHAnsi"/>
          <w:color w:val="1C1D1E"/>
          <w:shd w:val="clear" w:color="auto" w:fill="FFFFFF"/>
        </w:rPr>
        <w:t>sialylated</w:t>
      </w:r>
      <w:proofErr w:type="spellEnd"/>
      <w:r w:rsidR="00B95D1C">
        <w:rPr>
          <w:rFonts w:cstheme="minorHAnsi"/>
          <w:color w:val="1C1D1E"/>
          <w:shd w:val="clear" w:color="auto" w:fill="FFFFFF"/>
        </w:rPr>
        <w:t xml:space="preserve"> structures on the D221N/C309L/N297A/C575A mutant that did not protect</w:t>
      </w:r>
      <w:r w:rsidR="00D54911">
        <w:rPr>
          <w:rFonts w:cstheme="minorHAnsi"/>
          <w:color w:val="1C1D1E"/>
          <w:shd w:val="clear" w:color="auto" w:fill="FFFFFF"/>
        </w:rPr>
        <w:t xml:space="preserve">, against the paucity of </w:t>
      </w:r>
      <w:proofErr w:type="spellStart"/>
      <w:r w:rsidR="00D54911">
        <w:rPr>
          <w:rFonts w:cstheme="minorHAnsi"/>
          <w:color w:val="1C1D1E"/>
          <w:shd w:val="clear" w:color="auto" w:fill="FFFFFF"/>
        </w:rPr>
        <w:t>sialylated</w:t>
      </w:r>
      <w:proofErr w:type="spellEnd"/>
      <w:r w:rsidR="00D54911">
        <w:rPr>
          <w:rFonts w:cstheme="minorHAnsi"/>
          <w:color w:val="1C1D1E"/>
          <w:shd w:val="clear" w:color="auto" w:fill="FFFFFF"/>
        </w:rPr>
        <w:t xml:space="preserve"> structures on the N563A/C575A mutant that did protect in the OSC model, </w:t>
      </w:r>
      <w:r w:rsidR="00B95D1C">
        <w:rPr>
          <w:rFonts w:cstheme="minorHAnsi"/>
          <w:color w:val="1C1D1E"/>
          <w:shd w:val="clear" w:color="auto" w:fill="FFFFFF"/>
        </w:rPr>
        <w:t xml:space="preserve">argues against a direct role for </w:t>
      </w:r>
      <w:r w:rsidR="00D17C03">
        <w:rPr>
          <w:rFonts w:cstheme="minorHAnsi"/>
          <w:color w:val="1C1D1E"/>
          <w:shd w:val="clear" w:color="auto" w:fill="FFFFFF"/>
        </w:rPr>
        <w:t>sialic acid</w:t>
      </w:r>
      <w:r w:rsidR="00B95D1C">
        <w:rPr>
          <w:rFonts w:cstheme="minorHAnsi"/>
          <w:color w:val="1C1D1E"/>
          <w:shd w:val="clear" w:color="auto" w:fill="FFFFFF"/>
        </w:rPr>
        <w:t xml:space="preserve"> (Fig. S</w:t>
      </w:r>
      <w:r w:rsidR="00292858">
        <w:rPr>
          <w:rFonts w:cstheme="minorHAnsi"/>
          <w:color w:val="1C1D1E"/>
          <w:shd w:val="clear" w:color="auto" w:fill="FFFFFF"/>
        </w:rPr>
        <w:t>2</w:t>
      </w:r>
      <w:r w:rsidR="00B95D1C">
        <w:rPr>
          <w:rFonts w:cstheme="minorHAnsi"/>
          <w:color w:val="1C1D1E"/>
          <w:shd w:val="clear" w:color="auto" w:fill="FFFFFF"/>
        </w:rPr>
        <w:t>).</w:t>
      </w:r>
      <w:r w:rsidR="00D54911">
        <w:rPr>
          <w:rFonts w:cstheme="minorHAnsi"/>
          <w:color w:val="1C1D1E"/>
          <w:shd w:val="clear" w:color="auto" w:fill="FFFFFF"/>
        </w:rPr>
        <w:t xml:space="preserve"> </w:t>
      </w:r>
      <w:r w:rsidR="00AE3C89">
        <w:rPr>
          <w:rFonts w:cstheme="minorHAnsi"/>
          <w:color w:val="1C1D1E"/>
          <w:shd w:val="clear" w:color="auto" w:fill="FFFFFF"/>
        </w:rPr>
        <w:t>This observation is supported by</w:t>
      </w:r>
      <w:r w:rsidR="00D54911">
        <w:rPr>
          <w:rFonts w:cstheme="minorHAnsi"/>
          <w:color w:val="1C1D1E"/>
          <w:shd w:val="clear" w:color="auto" w:fill="FFFFFF"/>
        </w:rPr>
        <w:t xml:space="preserve"> studies in a number of autoimmune disease models </w:t>
      </w:r>
      <w:r w:rsidR="00AE3C89">
        <w:rPr>
          <w:rFonts w:cstheme="minorHAnsi"/>
          <w:color w:val="1C1D1E"/>
          <w:shd w:val="clear" w:color="auto" w:fill="FFFFFF"/>
        </w:rPr>
        <w:t xml:space="preserve">that </w:t>
      </w:r>
      <w:r w:rsidR="00D54911">
        <w:rPr>
          <w:rFonts w:cstheme="minorHAnsi"/>
          <w:color w:val="1C1D1E"/>
          <w:shd w:val="clear" w:color="auto" w:fill="FFFFFF"/>
        </w:rPr>
        <w:t xml:space="preserve">have shown the </w:t>
      </w:r>
      <w:r w:rsidR="00AE3C89">
        <w:rPr>
          <w:rFonts w:cstheme="minorHAnsi"/>
          <w:color w:val="1C1D1E"/>
          <w:shd w:val="clear" w:color="auto" w:fill="FFFFFF"/>
        </w:rPr>
        <w:t>protective effects of IVIG to be</w:t>
      </w:r>
      <w:r w:rsidR="00D54911">
        <w:rPr>
          <w:rFonts w:cstheme="minorHAnsi"/>
          <w:color w:val="1C1D1E"/>
          <w:shd w:val="clear" w:color="auto" w:fill="FFFFFF"/>
        </w:rPr>
        <w:t xml:space="preserve"> largely independent of sialylation or interaction</w:t>
      </w:r>
      <w:r w:rsidR="00AE3C89">
        <w:rPr>
          <w:rFonts w:cstheme="minorHAnsi"/>
          <w:color w:val="1C1D1E"/>
          <w:shd w:val="clear" w:color="auto" w:fill="FFFFFF"/>
        </w:rPr>
        <w:t>s</w:t>
      </w:r>
      <w:r w:rsidR="00D54911">
        <w:rPr>
          <w:rFonts w:cstheme="minorHAnsi"/>
          <w:color w:val="1C1D1E"/>
          <w:shd w:val="clear" w:color="auto" w:fill="FFFFFF"/>
        </w:rPr>
        <w:t xml:space="preserve"> with DC-SIGN </w:t>
      </w:r>
      <w:r w:rsidR="00AA1E20">
        <w:rPr>
          <w:rFonts w:cstheme="minorHAnsi"/>
          <w:color w:val="1C1D1E"/>
          <w:shd w:val="clear" w:color="auto" w:fill="FFFFFF"/>
        </w:rPr>
        <w:fldChar w:fldCharType="begin" w:fldLock="1"/>
      </w:r>
      <w:r w:rsidR="00DC4AAC">
        <w:rPr>
          <w:rFonts w:cstheme="minorHAnsi"/>
          <w:color w:val="1C1D1E"/>
          <w:shd w:val="clear" w:color="auto" w:fill="FFFFFF"/>
        </w:rPr>
        <w:instrText>ADDIN CSL_CITATION {"citationItems":[{"id":"ITEM-1","itemData":{"DOI":"10.4049/jimmunol.1301611","ISSN":"0022-1767","abstract":"High-dose i.v. Ig (IVIG) is used to treat various autoimmune and inflammatory diseases; however, the mechanism of action remains unclear. Based on the K/BxN serum transfer arthritis model in mice, IVIG suppression of inflammation has been attributed to a mechanism involving basophils and the binding of highly sialylated IgG Fc to DC-SIGN-expressing myeloid cells. The requirement for sialylation was examined in the collagen Ab-induced arthritis (CAbIA) and K/BxN serum transfer arthritis models in mice. High-dose IVIG (1-2 g/kg body weight) suppressed inflammatory arthritis when given prophylactically. The same doses were also effective in the CAbIA model when given subsequent to disease induction. In this therapeutic CAbIA model, the antiinflammatory effect of IVIG was dependent on IgG Fc but not F(ab9)2 fragments. Removal of sialic acid residues by neuraminidase had no impact on the anti-inflammatory activity of IVIG or Fc fragments. Treatment of mice with basophil-depleting mAbs did not abrogate the suppression of either CAbIA or K/BxN arthritis by IVIG. Our data confirm the therapeutic benefit of IVIG and IgG Fc in Ab-induced arthritis but fail to support the significance of sialylation and basophil involvement in the mechanism of action of IVIG therapy. Copyright © 2014 by The American Association of Immunologists, Inc.","author":[{"dropping-particle":"","family":"Campbell","given":"Ian K.","non-dropping-particle":"","parse-names":false,"suffix":""},{"dropping-particle":"","family":"Miescher","given":"Sylvia","non-dropping-particle":"","parse-names":false,"suffix":""},{"dropping-particle":"","family":"Branch","given":"Donald R.","non-dropping-particle":"","parse-names":false,"suffix":""},{"dropping-particle":"","family":"Mott","given":"Patrick J.","non-dropping-particle":"","parse-names":false,"suffix":""},{"dropping-particle":"","family":"Lazarus","given":"Alan H.","non-dropping-particle":"","parse-names":false,"suffix":""},{"dropping-particle":"","family":"Han","given":"Dongji","non-dropping-particle":"","parse-names":false,"suffix":""},{"dropping-particle":"","family":"Maraskovsky","given":"Eugene","non-dropping-particle":"","parse-names":false,"suffix":""},{"dropping-particle":"","family":"Zuercher","given":"Adrian W.","non-dropping-particle":"","parse-names":false,"suffix":""},{"dropping-particle":"","family":"Neschadim","given":"Anton","non-dropping-particle":"","parse-names":false,"suffix":""},{"dropping-particle":"","family":"Leontyev","given":"Danila","non-dropping-particle":"","parse-names":false,"suffix":""},{"dropping-particle":"","family":"McKenzie","given":"Brent S.","non-dropping-particle":"","parse-names":false,"suffix":""},{"dropping-particle":"","family":"Käsermann","given":"Fabian","non-dropping-particle":"","parse-names":false,"suffix":""}],"container-title":"The Journal of Immunology","id":"ITEM-1","issued":{"date-parts":[["2014"]]},"page":"5031-5038","title":"Therapeutic Effect of IVIG on Inflammatory Arthritis in Mice Is Dependent on the Fc Portion and Independent of Sialylation or Basophils","type":"article-journal","volume":"192"},"uris":["http://www.mendeley.com/documents/?uuid=4dd33a52-6bf8-49f7-864d-78f436a52ee5"]},{"id":"ITEM-2","itemData":{"DOI":"10.1016/j.jmb.2013.02.006","ISSN":"00222836","abstract":"Intravenous immunoglobulin (IVIg) therapy is used to treat a wide range of autoimmune conditions and consists of pooled immunoglobulin G (IgG) from healthy donors. The immunosuppressive effects of IVIg are, in part, attributed to terminal α2,6-linked sialic acid residues on the N-linked glycans of the IgG Fc (fragment crystallizable) domain. This α2,6-sialylated Fc (sFc) has been reported to bind to the carbohydrate recognition domain (CRD) of the cell-surface lectin DC-SIGN (dendritic cell-specific intercellular adhesion molecule-3-grabbing non-integrin) and its murine orthologue SIGN-R1 (specific intracellular adhesion molecule-grabbing non-integrin R1) and, via this interaction, to signal the downstream expression of immunosuppressive cytokines and receptors. Consistent with this model, the antiinflammatory effect of IVIg treatment is abolished in a murine knock-out of SIGN-R1 and can be restored by a knock-in with human DC-SIGN. In contrast, however, existing glycan array and X-ray crystallographic studies indicate that the CRDs of both SIGN-R1 and DC-SIGN bind to a restricted set of primarily oligomannose-type glycans that does not include the glycans found on sFc. We attempted to reconcile these immunological and biophysical observations. We first generated hypersialylated, desialylated, deglycosylated and untreated serum IgG and found that the affinity for the complete extracellular region of the DC-SIGN tetramer was similar for all antibody glycoforms. Moreover, the binding could be attributed to cross-reactive, polyclonal Fab (fragment antigen-binding) specificities in serum as neither recombinant Fc nor sFc bound to DC-SIGN. In addition, serum IgG exhibited no competition against known ligands of the DC-SIGN CRD. These findings lead us to suggest that IVIg therapy does not involve binding of IgG Fc to DC-SIGN and that alternative cell-surface lectins are required for the antiinflammatory activity of sFc. © 2013 Elsevier Ltd.","author":[{"dropping-particle":"","family":"Yu","given":"Xiaojie","non-dropping-particle":"","parse-names":false,"suffix":""},{"dropping-particle":"","family":"Vasiljevic","given":"Snezana","non-dropping-particle":"","parse-names":false,"suffix":""},{"dropping-particle":"","family":"Mitchell","given":"Daniel A.","non-dropping-particle":"","parse-names":false,"suffix":""},{"dropping-particle":"","family":"Crispin","given":"Max","non-dropping-particle":"","parse-names":false,"suffix":""},{"dropping-particle":"","family":"Scanlan","given":"Christopher N.","non-dropping-particle":"","parse-names":false,"suffix":""}],"container-title":"Journal of Molecular Biology","id":"ITEM-2","issued":{"date-parts":[["2013"]]},"page":"1253-1258","title":"Dissecting the molecular mechanism of IVIg therapy: The interaction between serum IgG and DC-SIGN is independent of antibody glycoform or Fc domain","type":"article-journal","volume":"425"},"uris":["http://www.mendeley.com/documents/?uuid=264cadcd-6eea-47ec-aa42-82b5f4dc025b"]}],"mendeley":{"formattedCitation":"(74,75)","plainTextFormattedCitation":"(74,75)","previouslyFormattedCitation":"(74,75)"},"properties":{"noteIndex":0},"schema":"https://github.com/citation-style-language/schema/raw/master/csl-citation.json"}</w:instrText>
      </w:r>
      <w:r w:rsidR="00AA1E20">
        <w:rPr>
          <w:rFonts w:cstheme="minorHAnsi"/>
          <w:color w:val="1C1D1E"/>
          <w:shd w:val="clear" w:color="auto" w:fill="FFFFFF"/>
        </w:rPr>
        <w:fldChar w:fldCharType="separate"/>
      </w:r>
      <w:r w:rsidR="000F2966" w:rsidRPr="000F2966">
        <w:rPr>
          <w:rFonts w:cstheme="minorHAnsi"/>
          <w:noProof/>
          <w:color w:val="1C1D1E"/>
          <w:shd w:val="clear" w:color="auto" w:fill="FFFFFF"/>
        </w:rPr>
        <w:t>(74,75)</w:t>
      </w:r>
      <w:r w:rsidR="00AA1E20">
        <w:rPr>
          <w:rFonts w:cstheme="minorHAnsi"/>
          <w:color w:val="1C1D1E"/>
          <w:shd w:val="clear" w:color="auto" w:fill="FFFFFF"/>
        </w:rPr>
        <w:fldChar w:fldCharType="end"/>
      </w:r>
      <w:r w:rsidR="00D54911">
        <w:rPr>
          <w:rFonts w:cstheme="minorHAnsi"/>
          <w:color w:val="1C1D1E"/>
          <w:shd w:val="clear" w:color="auto" w:fill="FFFFFF"/>
        </w:rPr>
        <w:t>.</w:t>
      </w:r>
      <w:r w:rsidR="00D86540">
        <w:rPr>
          <w:rFonts w:cstheme="minorHAnsi"/>
          <w:color w:val="1C1D1E"/>
          <w:shd w:val="clear" w:color="auto" w:fill="FFFFFF"/>
        </w:rPr>
        <w:t xml:space="preserve"> </w:t>
      </w:r>
      <w:r w:rsidR="00485498">
        <w:rPr>
          <w:rFonts w:cstheme="minorHAnsi"/>
          <w:color w:val="1C1D1E"/>
          <w:shd w:val="clear" w:color="auto" w:fill="FFFFFF"/>
        </w:rPr>
        <w:t>However</w:t>
      </w:r>
      <w:r w:rsidR="00DD7991">
        <w:rPr>
          <w:rFonts w:cstheme="minorHAnsi"/>
          <w:color w:val="1C1D1E"/>
          <w:shd w:val="clear" w:color="auto" w:fill="FFFFFF"/>
        </w:rPr>
        <w:t xml:space="preserve">, </w:t>
      </w:r>
      <w:r w:rsidR="001F5DE1">
        <w:rPr>
          <w:rFonts w:cstheme="minorHAnsi"/>
          <w:color w:val="1C1D1E"/>
          <w:shd w:val="clear" w:color="auto" w:fill="FFFFFF"/>
        </w:rPr>
        <w:t xml:space="preserve">the </w:t>
      </w:r>
      <w:r w:rsidR="00DD7991">
        <w:rPr>
          <w:rFonts w:cstheme="minorHAnsi"/>
          <w:color w:val="1C1D1E"/>
          <w:shd w:val="clear" w:color="auto" w:fill="FFFFFF"/>
        </w:rPr>
        <w:t>sialylation</w:t>
      </w:r>
      <w:r w:rsidR="00674EFF">
        <w:rPr>
          <w:rFonts w:cstheme="minorHAnsi"/>
          <w:color w:val="1C1D1E"/>
          <w:shd w:val="clear" w:color="auto" w:fill="FFFFFF"/>
        </w:rPr>
        <w:t xml:space="preserve"> </w:t>
      </w:r>
      <w:r w:rsidR="001F5DE1">
        <w:rPr>
          <w:rFonts w:cstheme="minorHAnsi"/>
          <w:color w:val="1C1D1E"/>
          <w:shd w:val="clear" w:color="auto" w:fill="FFFFFF"/>
        </w:rPr>
        <w:t xml:space="preserve">state of the Fc </w:t>
      </w:r>
      <w:r w:rsidR="00674EFF">
        <w:rPr>
          <w:rFonts w:cstheme="minorHAnsi"/>
          <w:color w:val="1C1D1E"/>
          <w:shd w:val="clear" w:color="auto" w:fill="FFFFFF"/>
        </w:rPr>
        <w:t xml:space="preserve">may become more critical in the presence </w:t>
      </w:r>
      <w:r w:rsidR="00674EFF" w:rsidRPr="00E76C3E">
        <w:rPr>
          <w:rFonts w:cstheme="minorHAnsi"/>
          <w:color w:val="1C1D1E"/>
          <w:shd w:val="clear" w:color="auto" w:fill="FFFFFF"/>
        </w:rPr>
        <w:t>of a blood brain barrier</w:t>
      </w:r>
      <w:r w:rsidR="00485498" w:rsidRPr="00E76C3E">
        <w:rPr>
          <w:rFonts w:cstheme="minorHAnsi"/>
          <w:color w:val="1C1D1E"/>
          <w:shd w:val="clear" w:color="auto" w:fill="FFFFFF"/>
        </w:rPr>
        <w:t xml:space="preserve">, as influx and efflux of IgG in both human and mouse studies </w:t>
      </w:r>
      <w:r w:rsidR="004B4AE9">
        <w:rPr>
          <w:rFonts w:cstheme="minorHAnsi"/>
          <w:color w:val="1C1D1E"/>
          <w:shd w:val="clear" w:color="auto" w:fill="FFFFFF"/>
        </w:rPr>
        <w:t>has been shown to be</w:t>
      </w:r>
      <w:r w:rsidR="00485498" w:rsidRPr="00E76C3E">
        <w:rPr>
          <w:rFonts w:cstheme="minorHAnsi"/>
          <w:color w:val="1C1D1E"/>
          <w:shd w:val="clear" w:color="auto" w:fill="FFFFFF"/>
        </w:rPr>
        <w:t xml:space="preserve"> glycan and sialic acid dependent </w:t>
      </w:r>
      <w:r w:rsidR="00AA1E20" w:rsidRPr="00E76C3E">
        <w:rPr>
          <w:rFonts w:cstheme="minorHAnsi"/>
          <w:color w:val="1C1D1E"/>
          <w:shd w:val="clear" w:color="auto" w:fill="FFFFFF"/>
        </w:rPr>
        <w:fldChar w:fldCharType="begin" w:fldLock="1"/>
      </w:r>
      <w:r w:rsidR="00DC4AAC">
        <w:rPr>
          <w:rFonts w:cstheme="minorHAnsi"/>
          <w:color w:val="1C1D1E"/>
          <w:shd w:val="clear" w:color="auto" w:fill="FFFFFF"/>
        </w:rPr>
        <w:instrText>ADDIN CSL_CITATION {"citationItems":[{"id":"ITEM-1","itemData":{"DOI":"10.1124/jpet.111.183483","ISBN":"1521-0103 (Electronic)\\n0022-3565 (Linking)","ISSN":"1521-0103","PMID":"21807883","abstract":"LINGO-1 (leucine-rich repeat and Ig domain containing NOGO receptor interacting protein-1) is a negative regulator of myelination and repair of damaged axons in the central nervous system (CNS). Blocking LINGO-1 function leads to robust remyelination. The anti-LINGO-1 Li81 antibody is currently being evaluated in clinical trials for multiple sclerosis (MS) and is the first MS therapy that directly targets myelin repair. LINGO-1 is selectively expressed in brain and spinal cord but not in peripheral tissues. Perhaps the greatest concern for Li81 therapy is the limited access of the drug to the CNS. Here, we measured Li81 concentrations in brain, spinal cord, and cerebral spinal fluid in rats after systemic administration and correlated them with dose-efficacy responses in rat lysolecithin and experimental autoimmune encephalomyelitis spinal cord models of remyelination. Remyelination was dose-dependent, and levels of Li81 in spinal cord that promoted myelination correlated well with affinity measurements for the binding of Li81 to LINGO-1. Observed Li81 concentrations in the CNS of 0.1 to 0.4% of blood levels are consistent with values reported for other antibodies. To understand the features of the antibody that affect CNS penetration, we also evaluated the pharmacokinetics of Li81 Fab2, Fab, and poly(ethylene glycol)-modified Fab. The reagents all showed similar CNS exposure despite large differences in their sizes, serum half-lives, and volumes of distribution, and area under the curve (AUC) measurements in the CNS directly correlated with AUC measurements in serum. These studies demonstrate that exposure levels achieved by passive diffusion of the Li81 monoclonal antibody into the CNS are sufficient and lead to robust remyelination.","author":[{"dropping-particle":"","family":"Pepinsky","given":"R. B.","non-dropping-particle":"","parse-names":false,"suffix":""},{"dropping-particle":"","family":"Shao","given":"Z.","non-dropping-particle":"","parse-names":false,"suffix":""},{"dropping-particle":"","family":"Ji","given":"B.","non-dropping-particle":"","parse-names":false,"suffix":""},{"dropping-particle":"","family":"Wang","given":"Q.","non-dropping-particle":"","parse-names":false,"suffix":""},{"dropping-particle":"","family":"Meng","given":"G.","non-dropping-particle":"","parse-names":false,"suffix":""},{"dropping-particle":"","family":"Walus","given":"L.","non-dropping-particle":"","parse-names":false,"suffix":""},{"dropping-particle":"","family":"Lee","given":"X.","non-dropping-particle":"","parse-names":false,"suffix":""},{"dropping-particle":"","family":"Hu","given":"Y.","non-dropping-particle":"","parse-names":false,"suffix":""},{"dropping-particle":"","family":"Graff","given":"C.","non-dropping-particle":"","parse-names":false,"suffix":""},{"dropping-particle":"","family":"Garber","given":"E.","non-dropping-particle":"","parse-names":false,"suffix":""},{"dropping-particle":"","family":"Meier","given":"W.","non-dropping-particle":"","parse-names":false,"suffix":""},{"dropping-particle":"","family":"Mi","given":"S.","non-dropping-particle":"","parse-names":false,"suffix":""}],"container-title":"Journal of Pharmacology and Experimental Therapeutics","id":"ITEM-1","issue":"2","issued":{"date-parts":[["2011"]]},"page":"519-529","title":"Exposure Levels of Anti-LINGO-1 Li81 Antibody in the Central Nervous System and Dose-Efficacy Relationships in Rat Spinal Cord Remyelination Models after Systemic Administration","type":"article-journal","volume":"339"},"uris":["http://www.mendeley.com/documents/?uuid=0fe0ddcd-9022-441f-b879-9f4da7e9f22f"]},{"id":"ITEM-2","itemData":{"DOI":"10.1038/jcbfm.2013.160","ISBN":"0271-678X\\r1559-7016","ISSN":"0271-678X","PMID":"24045402","abstract":"Intravenous immunoglobulin (IVIg) is currently evaluated in clinical trials for the treatment of various disorders of the central nervous system. To assess its capacity to reach central therapeutic targets, the brain bioavailability of IVIg must be determined. We thus quantified the passage of IVIg through the blood-brain barrier (BBB) of C57Bl/6 mice using complementary quantitative and qualitative methodologies. As determined by enzyme-linked immunosorbent assay, a small proportion of systemically injected IVIg was detected in the brain of mice (0.009±0.001% of injected dose in the cortex) whereas immunostaining revealed localization mainly within microvessels and less frequently in neurons. Pharmacokinetic analyses evidenced a low elimination rate constant (0.0053 per hour) in the cortex, consistent with accumulation within cerebral tissue. In situ cerebral perfusion experiments revealed that a fraction of IVIg crossed the BBB without causing leakage. A dose-dependent decrease of brain uptake was consistent with a saturable blood-to-brain transport mechanism. Finally, brain uptake of IVIg after a subchronic treatment was similar in the 3xTg-AD mouse model of Alzheimer disease compared with nontransgenic controls. In summary, our results provide evidence of BBB passage and bioavailability of IVIg into the brain in the absence of BBB leakage and in sufficient concentration to interact with the therapeutic targets.","author":[{"dropping-particle":"","family":"St-Amour","given":"Isabelle","non-dropping-particle":"","parse-names":false,"suffix":""},{"dropping-particle":"","family":"Paré","given":"Isabelle","non-dropping-particle":"","parse-names":false,"suffix":""},{"dropping-particle":"","family":"Alata","given":"Wael","non-dropping-particle":"","parse-names":false,"suffix":""},{"dropping-particle":"","family":"Coulombe","given":"Katherine","non-dropping-particle":"","parse-names":false,"suffix":""},{"dropping-particle":"","family":"Ringuette-Goulet","given":"Cassandra","non-dropping-particle":"","parse-names":false,"suffix":""},{"dropping-particle":"","family":"Drouin-Ouellet","given":"Janelle","non-dropping-particle":"","parse-names":false,"suffix":""},{"dropping-particle":"","family":"Vandal","given":"Milène","non-dropping-particle":"","parse-names":false,"suffix":""},{"dropping-particle":"","family":"Soulet","given":"Denis","non-dropping-particle":"","parse-names":false,"suffix":""},{"dropping-particle":"","family":"Bazin","given":"Renée","non-dropping-particle":"","parse-names":false,"suffix":""},{"dropping-particle":"","family":"Calon","given":"Frédéric","non-dropping-particle":"","parse-names":false,"suffix":""}],"container-title":"Journal of Cerebral Blood Flow &amp; Metabolism","id":"ITEM-2","issue":"12","issued":{"date-parts":[["2013"]]},"page":"1983-1992","title":"Brain Bioavailability of Human Intravenous Immunoglobulin and its Transport through the Murine Blood–Brain Barrier","type":"article-journal","volume":"33"},"uris":["http://www.mendeley.com/documents/?uuid=af64ce50-6590-4d81-b9dd-be0073daa78b"]},{"id":"ITEM-3","itemData":{"DOI":"10.1093/brain/113.2.365","ISBN":"0006-8950 (Print)\\r0006-8950 (Linking)","ISSN":"00068950","PMID":"2328409","abstract":"Gadolinium-DTPA (Gd-DTPA) enhancement seen with magnetic resonance imaging in chronic relapsing experimental allergic encephalomyelitis (CREAE) corresponded with sites of blood-brain barrier breakdown judged by traditional markers in areas of inflammatory demyelination. Duration of Gd-DTPA leakage for individual lesions in CREAE varied from 5 days to more than 5 wks. By contrast, in acute EAE leakage was of shorter duration (always less than 5 days). Selective enhancement was observed in CREAE lesions using Gd-protein markers. Gd-albumin enhancement was not always seen in areas of leakage of the smaller molecular weight compound Gd-DTPA. The addition of immunoglobulin to the gadolinium complex led to enhancement of lesions not seen with Gd-albumin alone. From the similarities between the histology and the patterns of Gd-enhancement in CREAE and multiple sclerosis, it is probable that Gd-enhancement reflects active inflammation (with or without demyelination) in the human disease.","author":[{"dropping-particle":"","family":"Hawkins","given":"C. P.","non-dropping-particle":"","parse-names":false,"suffix":""},{"dropping-particle":"","family":"Munro","given":"P. M.G.","non-dropping-particle":"","parse-names":false,"suffix":""},{"dropping-particle":"","family":"Mackenzie","given":"F.","non-dropping-particle":"","parse-names":false,"suffix":""},{"dropping-particle":"","family":"Kesselring","given":"J.","non-dropping-particle":"","parse-names":false,"suffix":""},{"dropping-particle":"","family":"Tofts","given":"P. S.","non-dropping-particle":"","parse-names":false,"suffix":""},{"dropping-particle":"","family":"Boulay","given":"E. P.G.H.Du","non-dropping-particle":"","parse-names":false,"suffix":""},{"dropping-particle":"","family":"Landon","given":"D. N.","non-dropping-particle":"","parse-names":false,"suffix":""},{"dropping-particle":"","family":"Mcdonald","given":"W. I.","non-dropping-particle":"","parse-names":false,"suffix":""}],"container-title":"Brain","id":"ITEM-3","issue":"2","issued":{"date-parts":[["1990"]]},"page":"365-378","title":"Duration and selectivity of blood-brain barrier breakdown in chronic relapsing experimental allergic encephalomyelitis studied by gadolinium-dtpa and protein markers","type":"article-journal","volume":"113"},"uris":["http://www.mendeley.com/documents/?uuid=3d5a6a6c-e3f1-408d-9dc1-316ff1abf525"]},{"id":"ITEM-4","itemData":{"DOI":"http://doi.org/10.1016/j.expneurol.2016.05.020","ISSN":"0014-4886","abstract":"Abstract The precise mechanisms underlying the efficacy of intravenous immunoglobulin (IVIg) in autoimmune neurological disorders including Guillain-Barré syndrome (GBS) are not known. Anti-ganglioside antibodies have been reported to be pathogenic in some variants of GBS, and we have developed passive transfer animal models to study anti-ganglioside antibody mediated-endoneurial inflammation and associated neuropathological effects and to evaluate the efficacy of new therapeutic approaches. Some studies indicate that IVIg's anti-inflammatory activity resides in a minor sialylated IVIg (sIVIg) fractions and is dependent on an innate Th2 response via binding to a specific ICAM3-grabbing nonintegrin related 1 receptor (SIGN-R1). Therefore the efficacy of IVIg, IVIg fractions with various IgG Fc sialylation status, and the involvement of Th2 pathway were examined in one of our animal model of antibody-mediated inhibition of axonal regeneration. We demonstrate that both IVIg and sIVIg ameliorated anti-glycan antibody mediated-pathological effect, whereas, the unsialylated fractions of IVIg were not beneficial in our model. Tenfold lower doses of sIVIg compared to whole IVIg provided equivalent efficacy in our studies. Moreover, we found that whole IVIg and sIVIg significantly upregulates the gene expression of IL-33, which itself can provide protection from antibody-mediated nerve injury in our model. Our results support that the SIGN-R1-Th2 pathway is involved in the anti-inflammatory effects of IVIg on endoneurium in our model and elements of this pathway including IL-33 can provide novel therapeutics in inflammatory neuropathies.","author":[{"dropping-particle":"","family":"Zhang","given":"Gang","non-dropping-particle":"","parse-names":false,"suffix":""},{"dropping-particle":"","family":"Massaad","given":"Cynthia A","non-dropping-particle":"","parse-names":false,"suffix":""},{"dropping-particle":"","family":"Gao","given":"Tong","non-dropping-particle":"","parse-names":false,"suffix":""},{"dropping-particle":"","family":"Pillai","given":"Laila","non-dropping-particle":"","parse-names":false,"suffix":""},{"dropping-particle":"","family":"Bogdanova","given":"Nataliia","non-dropping-particle":"","parse-names":false,"suffix":""},{"dropping-particle":"","family":"Ghauri","given":"Sameera","non-dropping-particle":"","parse-names":false,"suffix":""},{"dropping-particle":"","family":"Sheikh","given":"Kazim A","non-dropping-particle":"","parse-names":false,"suffix":""}],"container-title":"Experimental Neurology","id":"ITEM-4","issued":{"date-parts":[["2016"]]},"page":"49-55","publisher":"Elsevier Inc.","title":"Sialylated intravenous immunoglobulin suppress anti-ganglioside antibody mediated nerve injury","type":"article-journal","volume":"282"},"uris":["http://www.mendeley.com/documents/?uuid=7cfb0b27-0065-49ea-a134-b15e49b0884e"]},{"id":"ITEM-5","itemData":{"DOI":"10.1016/j.bbagen.2017.06.008","ISSN":"18728006","PMID":"28624473","abstract":"Background Drug delivery to the brain is a major roadblock to treatment of Alzheimer's disease. Recent results of the PRIME study indicate that increasing brain penetration of antibody drugs improves Alzheimer's treatment outcomes. New approaches are needed to better accomplish this goal. Based on prior evidence, the hypothesis that glycan modification alters antibody blood-brain barrier permeability was tested here. Methods The blood-brain barrier permeability coefficient Pe of different glycosylated states of anti-amyloid IgG was measured using in vitro models of brain microvascular endothelial cells. Monoclonal antibodies 4G8, with sialic acid, and 6E10, lacking sialic acid, were studied. The amount of sialic acid was determined using quantitative and semi-quantitative surface plasmon resonance methods. Results Influx of IgG was not saturable and was largely insensitive to IgG species and glycosylation state. By contrast, efflux of 4G8 efflux was significantly lower than both albumin controls and 6E10. Removal of α2,6-linked sialic acid group present on 12% of 4G8 completely restored efflux to that of 6E10 but increasing the α2,6-sialylated fraction to 15% resulted in no change. Removal of the Fc glycan from 4G8 partially restored efflux. Alternate sialic acid groups with α2,3 and α2,8 linkages, nor on the Fc glycan, were not detected at significant levels on either 4G8 or 6E10. Conclusions These results support a model in which surface-sialylated 4G8 inhibits its own efflux and that of asialylated 4G8. General significance Glycan modification has the potential to increase antibody drug penetration into the brain through efflux inhibition.","author":[{"dropping-particle":"","family":"Finke","given":"John M.","non-dropping-particle":"","parse-names":false,"suffix":""},{"dropping-particle":"","family":"Ayres","given":"Kari R.","non-dropping-particle":"","parse-names":false,"suffix":""},{"dropping-particle":"","family":"Brisbin","given":"Ryan P.","non-dropping-particle":"","parse-names":false,"suffix":""},{"dropping-particle":"","family":"Hill","given":"Hali A.","non-dropping-particle":"","parse-names":false,"suffix":""},{"dropping-particle":"","family":"Wing","given":"Emily E.","non-dropping-particle":"","parse-names":false,"suffix":""},{"dropping-particle":"","family":"Banks","given":"William A.","non-dropping-particle":"","parse-names":false,"suffix":""}],"container-title":"Biochimica et Biophysica Acta - General Subjects","id":"ITEM-5","issue":"9","issued":{"date-parts":[["2017"]]},"page":"2228-2239","title":"Antibody blood-brain barrier efflux is modulated by glycan modification","type":"article-journal","volume":"1861"},"uris":["http://www.mendeley.com/documents/?uuid=543f9b53-636d-485c-a905-8ec9dc67a9cb"]}],"mendeley":{"formattedCitation":"(76–80)","plainTextFormattedCitation":"(76–80)","previouslyFormattedCitation":"(76–80)"},"properties":{"noteIndex":0},"schema":"https://github.com/citation-style-language/schema/raw/master/csl-citation.json"}</w:instrText>
      </w:r>
      <w:r w:rsidR="00AA1E20" w:rsidRPr="00E76C3E">
        <w:rPr>
          <w:rFonts w:cstheme="minorHAnsi"/>
          <w:color w:val="1C1D1E"/>
          <w:shd w:val="clear" w:color="auto" w:fill="FFFFFF"/>
        </w:rPr>
        <w:fldChar w:fldCharType="separate"/>
      </w:r>
      <w:r w:rsidR="000F2966" w:rsidRPr="000F2966">
        <w:rPr>
          <w:rFonts w:cstheme="minorHAnsi"/>
          <w:noProof/>
          <w:color w:val="1C1D1E"/>
          <w:shd w:val="clear" w:color="auto" w:fill="FFFFFF"/>
        </w:rPr>
        <w:t>(76–80)</w:t>
      </w:r>
      <w:r w:rsidR="00AA1E20" w:rsidRPr="00E76C3E">
        <w:rPr>
          <w:rFonts w:cstheme="minorHAnsi"/>
          <w:color w:val="1C1D1E"/>
          <w:shd w:val="clear" w:color="auto" w:fill="FFFFFF"/>
        </w:rPr>
        <w:fldChar w:fldCharType="end"/>
      </w:r>
      <w:r w:rsidR="00485498" w:rsidRPr="00E76C3E">
        <w:rPr>
          <w:rFonts w:cstheme="minorHAnsi"/>
          <w:color w:val="1C1D1E"/>
          <w:shd w:val="clear" w:color="auto" w:fill="FFFFFF"/>
        </w:rPr>
        <w:t>.</w:t>
      </w:r>
      <w:r w:rsidR="00674EFF" w:rsidRPr="00E76C3E">
        <w:rPr>
          <w:rFonts w:cstheme="minorHAnsi"/>
          <w:color w:val="1C1D1E"/>
          <w:shd w:val="clear" w:color="auto" w:fill="FFFFFF"/>
        </w:rPr>
        <w:t xml:space="preserve"> </w:t>
      </w:r>
      <w:r w:rsidR="00BE06E9">
        <w:rPr>
          <w:rFonts w:cstheme="minorHAnsi"/>
          <w:color w:val="1C1D1E"/>
          <w:shd w:val="clear" w:color="auto" w:fill="FFFFFF"/>
        </w:rPr>
        <w:t>Importantly, transcriptome analysis shows that there is no induction of inflammatory or innate immune responses, such as those for example with virus infection.</w:t>
      </w:r>
    </w:p>
    <w:p w14:paraId="27378BC1" w14:textId="632C4267" w:rsidR="00E76C3E" w:rsidRPr="00A478A2" w:rsidRDefault="00AE3C89">
      <w:pPr>
        <w:spacing w:line="360" w:lineRule="auto"/>
        <w:ind w:firstLine="720"/>
        <w:rPr>
          <w:rFonts w:eastAsia="Times New Roman" w:cstheme="minorHAnsi"/>
          <w:lang w:eastAsia="en-GB"/>
        </w:rPr>
      </w:pPr>
      <w:r w:rsidRPr="00E76C3E">
        <w:rPr>
          <w:rFonts w:cstheme="minorHAnsi"/>
          <w:color w:val="1C1D1E"/>
          <w:shd w:val="clear" w:color="auto" w:fill="FFFFFF"/>
        </w:rPr>
        <w:t xml:space="preserve">We therefore propose that in the complex microenvironment of the CNS, Fc-mediated effector mechanisms of IVIG may play a pivotal role, possibly acting on both microglia and complement factors in parallel by distinct or cumulative mechanisms. </w:t>
      </w:r>
      <w:r w:rsidR="0085589B" w:rsidRPr="00E76C3E">
        <w:rPr>
          <w:rFonts w:cstheme="minorHAnsi"/>
          <w:color w:val="1C1D1E"/>
          <w:shd w:val="clear" w:color="auto" w:fill="FFFFFF"/>
        </w:rPr>
        <w:t>In summary we demonstrat</w:t>
      </w:r>
      <w:r w:rsidR="00485498" w:rsidRPr="00E76C3E">
        <w:rPr>
          <w:rFonts w:cstheme="minorHAnsi"/>
          <w:color w:val="1C1D1E"/>
          <w:shd w:val="clear" w:color="auto" w:fill="FFFFFF"/>
        </w:rPr>
        <w:t>e that the Fc modulates immune-CNS interactions in a</w:t>
      </w:r>
      <w:r w:rsidR="00481533" w:rsidRPr="00E76C3E">
        <w:rPr>
          <w:rFonts w:cstheme="minorHAnsi"/>
          <w:color w:val="1C1D1E"/>
          <w:shd w:val="clear" w:color="auto" w:fill="FFFFFF"/>
        </w:rPr>
        <w:t xml:space="preserve"> </w:t>
      </w:r>
      <w:r w:rsidR="00485498" w:rsidRPr="00E76C3E">
        <w:rPr>
          <w:rFonts w:cstheme="minorHAnsi"/>
          <w:color w:val="1C1D1E"/>
          <w:shd w:val="clear" w:color="auto" w:fill="FFFFFF"/>
        </w:rPr>
        <w:t>multimodal fashion</w:t>
      </w:r>
      <w:r w:rsidR="00E76C3E" w:rsidRPr="00E76C3E">
        <w:rPr>
          <w:rFonts w:cstheme="minorHAnsi"/>
          <w:color w:val="1C1D1E"/>
          <w:shd w:val="clear" w:color="auto" w:fill="FFFFFF"/>
        </w:rPr>
        <w:t xml:space="preserve">. </w:t>
      </w:r>
      <w:r w:rsidR="00E76C3E" w:rsidRPr="00E76C3E">
        <w:rPr>
          <w:rFonts w:eastAsia="Times New Roman" w:cstheme="minorHAnsi"/>
          <w:color w:val="1C1D1E"/>
          <w:shd w:val="clear" w:color="auto" w:fill="FFFFFF"/>
          <w:lang w:eastAsia="en-GB"/>
        </w:rPr>
        <w:t xml:space="preserve">In </w:t>
      </w:r>
      <w:r w:rsidR="00E76C3E">
        <w:rPr>
          <w:rFonts w:eastAsia="Times New Roman" w:cstheme="minorHAnsi"/>
          <w:color w:val="1C1D1E"/>
          <w:shd w:val="clear" w:color="auto" w:fill="FFFFFF"/>
          <w:lang w:eastAsia="en-GB"/>
        </w:rPr>
        <w:t>this</w:t>
      </w:r>
      <w:r w:rsidR="00E76C3E" w:rsidRPr="00E76C3E">
        <w:rPr>
          <w:rFonts w:eastAsia="Times New Roman" w:cstheme="minorHAnsi"/>
          <w:color w:val="1C1D1E"/>
          <w:shd w:val="clear" w:color="auto" w:fill="FFFFFF"/>
          <w:lang w:eastAsia="en-GB"/>
        </w:rPr>
        <w:t xml:space="preserve"> model of immune (antibody/complement)‐mediated demyelination, the preservation of </w:t>
      </w:r>
      <w:r w:rsidR="00E76C3E" w:rsidRPr="00A478A2">
        <w:rPr>
          <w:rFonts w:eastAsia="Times New Roman" w:cstheme="minorHAnsi"/>
          <w:color w:val="1C1D1E"/>
          <w:shd w:val="clear" w:color="auto" w:fill="FFFFFF"/>
          <w:lang w:eastAsia="en-GB"/>
        </w:rPr>
        <w:t>myelin seems to largely depend on the inhibition of the complement cascade by the Fc. Additionally, Fc‐mediated</w:t>
      </w:r>
      <w:r w:rsidR="00F54781">
        <w:rPr>
          <w:rFonts w:eastAsia="Times New Roman" w:cstheme="minorHAnsi"/>
          <w:color w:val="1C1D1E"/>
          <w:shd w:val="clear" w:color="auto" w:fill="FFFFFF"/>
          <w:lang w:eastAsia="en-GB"/>
        </w:rPr>
        <w:t xml:space="preserve"> alterations to</w:t>
      </w:r>
      <w:r w:rsidR="00E76C3E" w:rsidRPr="00A478A2">
        <w:rPr>
          <w:rFonts w:eastAsia="Times New Roman" w:cstheme="minorHAnsi"/>
          <w:color w:val="1C1D1E"/>
          <w:shd w:val="clear" w:color="auto" w:fill="FFFFFF"/>
          <w:lang w:eastAsia="en-GB"/>
        </w:rPr>
        <w:t xml:space="preserve"> microglia </w:t>
      </w:r>
      <w:r w:rsidR="00F54781">
        <w:rPr>
          <w:rFonts w:eastAsia="Times New Roman" w:cstheme="minorHAnsi"/>
          <w:color w:val="1C1D1E"/>
          <w:shd w:val="clear" w:color="auto" w:fill="FFFFFF"/>
          <w:lang w:eastAsia="en-GB"/>
        </w:rPr>
        <w:t xml:space="preserve">expression of CD68/Iba1 </w:t>
      </w:r>
      <w:r w:rsidR="00E76C3E" w:rsidRPr="00A478A2">
        <w:rPr>
          <w:rFonts w:eastAsia="Times New Roman" w:cstheme="minorHAnsi"/>
          <w:color w:val="1C1D1E"/>
          <w:shd w:val="clear" w:color="auto" w:fill="FFFFFF"/>
          <w:lang w:eastAsia="en-GB"/>
        </w:rPr>
        <w:t xml:space="preserve">may be an important effect of </w:t>
      </w:r>
      <w:r w:rsidR="009E35D4">
        <w:rPr>
          <w:rFonts w:eastAsia="Times New Roman" w:cstheme="minorHAnsi"/>
          <w:color w:val="1C1D1E"/>
          <w:shd w:val="clear" w:color="auto" w:fill="FFFFFF"/>
          <w:lang w:eastAsia="en-GB"/>
        </w:rPr>
        <w:t>IVIG</w:t>
      </w:r>
      <w:r w:rsidR="00F54781">
        <w:rPr>
          <w:rFonts w:eastAsia="Times New Roman" w:cstheme="minorHAnsi"/>
          <w:color w:val="1C1D1E"/>
          <w:shd w:val="clear" w:color="auto" w:fill="FFFFFF"/>
          <w:lang w:eastAsia="en-GB"/>
        </w:rPr>
        <w:t xml:space="preserve"> and these glycan-adapted Fcs</w:t>
      </w:r>
      <w:r w:rsidR="00E76C3E" w:rsidRPr="00A478A2">
        <w:rPr>
          <w:rFonts w:eastAsia="Times New Roman" w:cstheme="minorHAnsi"/>
          <w:color w:val="1C1D1E"/>
          <w:shd w:val="clear" w:color="auto" w:fill="FFFFFF"/>
          <w:lang w:eastAsia="en-GB"/>
        </w:rPr>
        <w:t xml:space="preserve"> even though th</w:t>
      </w:r>
      <w:r w:rsidR="009E35D4">
        <w:rPr>
          <w:rFonts w:eastAsia="Times New Roman" w:cstheme="minorHAnsi"/>
          <w:color w:val="1C1D1E"/>
          <w:shd w:val="clear" w:color="auto" w:fill="FFFFFF"/>
          <w:lang w:eastAsia="en-GB"/>
        </w:rPr>
        <w:t>e mechanisms have yet to be determined</w:t>
      </w:r>
      <w:r w:rsidR="00E76C3E" w:rsidRPr="00A478A2">
        <w:rPr>
          <w:rFonts w:eastAsia="Times New Roman" w:cstheme="minorHAnsi"/>
          <w:color w:val="1C1D1E"/>
          <w:shd w:val="clear" w:color="auto" w:fill="FFFFFF"/>
          <w:lang w:eastAsia="en-GB"/>
        </w:rPr>
        <w:t xml:space="preserve">. </w:t>
      </w:r>
      <w:r w:rsidR="004A68EC">
        <w:rPr>
          <w:rFonts w:eastAsia="Times New Roman" w:cstheme="minorHAnsi"/>
          <w:color w:val="1C1D1E"/>
          <w:shd w:val="clear" w:color="auto" w:fill="FFFFFF"/>
          <w:lang w:eastAsia="en-GB"/>
        </w:rPr>
        <w:t xml:space="preserve">Local apoptotic-like mechanisms are known to underlie complement-mediated synaptic pruning by microglia </w:t>
      </w:r>
      <w:r w:rsidR="004A68EC">
        <w:rPr>
          <w:rFonts w:eastAsia="Times New Roman" w:cstheme="minorHAnsi"/>
          <w:color w:val="1C1D1E"/>
          <w:shd w:val="clear" w:color="auto" w:fill="FFFFFF"/>
          <w:lang w:eastAsia="en-GB"/>
        </w:rPr>
        <w:fldChar w:fldCharType="begin" w:fldLock="1"/>
      </w:r>
      <w:r w:rsidR="00DC4AAC">
        <w:rPr>
          <w:rFonts w:eastAsia="Times New Roman" w:cstheme="minorHAnsi"/>
          <w:color w:val="1C1D1E"/>
          <w:shd w:val="clear" w:color="auto" w:fill="FFFFFF"/>
          <w:lang w:eastAsia="en-GB"/>
        </w:rPr>
        <w:instrText>ADDIN CSL_CITATION {"citationItems":[{"id":"ITEM-1","itemData":{"DOI":"10.1073/pnas.1722613115","abstract":"Synaptic pruning is dominant in early ontogenesis when a large number of unnecessary synapses are eliminated, and it maintains synaptic plasticity in the mature healthy brain, e.g., in memory processes. Its malfunction is involved in degenerative diseases such as Alzheimer’s disease. C1q, a member of the immune complement system, plays a central role in the selective pruning of synapses by microglial phagocytosis. Understanding the molecular aspects of complement-mediated synapse elimination is of high importance for developing effective therapeutic interventions in the future. Our analysis on C1q-tagged synaptosomes revealed that C1q label-based synaptic pruning is linked to local apoptotic-like processes in synapses.C1q, a member of the immune complement cascade, is implicated in the selective pruning of synapses by microglial phagocytosis. C1q-mediated synapse elimination has been shown to occur during brain development, while increased activation and complement-dependent synapse loss is observed in neurodegenerative diseases. However, the molecular mechanisms underlying C1q-controlled synaptic pruning are mostly unknown. This study addresses distortions in the synaptic proteome leading to C1q-tagged synapses. Our data demonstrated the preferential localization of C1q to the presynapse. Proteomic investigation and pathway analysis of C1q-tagged synaptosomes revealed the presence of apoptotic-like processes in C1q-tagged synapses, which was confirmed experimentally with apoptosis markers. Moreover, the induction of synaptic apoptotic-like mechanisms in a model of sensory deprivation-induced synaptic depression led to elevated C1q levels. Our results unveiled that C1q label-based synaptic pruning is triggered by and directly linked to apoptotic-like processes in the synaptic compartment.","author":[{"dropping-particle":"","family":"Györffy","given":"Balázs A","non-dropping-particle":"","parse-names":false,"suffix":""},{"dropping-particle":"","family":"Kun","given":"Judit","non-dropping-particle":"","parse-names":false,"suffix":""},{"dropping-particle":"","family":"Török","given":"György","non-dropping-particle":"","parse-names":false,"suffix":""},{"dropping-particle":"","family":"Bulyáki","given":"Éva","non-dropping-particle":"","parse-names":false,"suffix":""},{"dropping-particle":"","family":"Borhegyi","given":"Zsolt","non-dropping-particle":"","parse-names":false,"suffix":""},{"dropping-particle":"","family":"Gulyássy","given":"Péter","non-dropping-particle":"","parse-names":false,"suffix":""},{"dropping-particle":"","family":"Kis","given":"Viktor","non-dropping-particle":"","parse-names":false,"suffix":""},{"dropping-particle":"","family":"Szocsics","given":"Péter","non-dropping-particle":"","parse-names":false,"suffix":""},{"dropping-particle":"","family":"Micsonai","given":"András","non-dropping-particle":"","parse-names":false,"suffix":""},{"dropping-particle":"","family":"Matkó","given":"János","non-dropping-particle":"","parse-names":false,"suffix":""},{"dropping-particle":"","family":"Drahos","given":"László","non-dropping-particle":"","parse-names":false,"suffix":""},{"dropping-particle":"","family":"Juhász","given":"Gábor","non-dropping-particle":"","parse-names":false,"suffix":""},{"dropping-particle":"","family":"Kékesi","given":"Katalin A","non-dropping-particle":"","parse-names":false,"suffix":""},{"dropping-particle":"","family":"Kardos","given":"József","non-dropping-particle":"","parse-names":false,"suffix":""}],"container-title":"Proceedings of the National Academy of Sciences","id":"ITEM-1","issue":"24","issued":{"date-parts":[["2018","6","12"]]},"page":"6303-6308","title":"Local apoptotic-like mechanisms underlie complement-mediated synaptic pruning","type":"article-journal","volume":"115"},"uris":["http://www.mendeley.com/documents/?uuid=56cebb26-0fba-416f-a2f3-a4cfa47fbf62"]}],"mendeley":{"formattedCitation":"(81)","plainTextFormattedCitation":"(81)","previouslyFormattedCitation":"(81)"},"properties":{"noteIndex":0},"schema":"https://github.com/citation-style-language/schema/raw/master/csl-citation.json"}</w:instrText>
      </w:r>
      <w:r w:rsidR="004A68EC">
        <w:rPr>
          <w:rFonts w:eastAsia="Times New Roman" w:cstheme="minorHAnsi"/>
          <w:color w:val="1C1D1E"/>
          <w:shd w:val="clear" w:color="auto" w:fill="FFFFFF"/>
          <w:lang w:eastAsia="en-GB"/>
        </w:rPr>
        <w:fldChar w:fldCharType="separate"/>
      </w:r>
      <w:r w:rsidR="000F2966" w:rsidRPr="000F2966">
        <w:rPr>
          <w:rFonts w:eastAsia="Times New Roman" w:cstheme="minorHAnsi"/>
          <w:noProof/>
          <w:color w:val="1C1D1E"/>
          <w:shd w:val="clear" w:color="auto" w:fill="FFFFFF"/>
          <w:lang w:eastAsia="en-GB"/>
        </w:rPr>
        <w:t>(81)</w:t>
      </w:r>
      <w:r w:rsidR="004A68EC">
        <w:rPr>
          <w:rFonts w:eastAsia="Times New Roman" w:cstheme="minorHAnsi"/>
          <w:color w:val="1C1D1E"/>
          <w:shd w:val="clear" w:color="auto" w:fill="FFFFFF"/>
          <w:lang w:eastAsia="en-GB"/>
        </w:rPr>
        <w:fldChar w:fldCharType="end"/>
      </w:r>
      <w:r w:rsidR="004A68EC">
        <w:rPr>
          <w:rFonts w:eastAsia="Times New Roman" w:cstheme="minorHAnsi"/>
          <w:color w:val="1C1D1E"/>
          <w:shd w:val="clear" w:color="auto" w:fill="FFFFFF"/>
          <w:lang w:eastAsia="en-GB"/>
        </w:rPr>
        <w:t xml:space="preserve">, and it may be that similar mechanisms in the presence of </w:t>
      </w:r>
      <w:r w:rsidR="00F54781">
        <w:rPr>
          <w:rFonts w:eastAsia="Times New Roman" w:cstheme="minorHAnsi"/>
          <w:color w:val="1C1D1E"/>
          <w:shd w:val="clear" w:color="auto" w:fill="FFFFFF"/>
          <w:lang w:eastAsia="en-GB"/>
        </w:rPr>
        <w:t xml:space="preserve">the </w:t>
      </w:r>
      <w:r w:rsidR="004A68EC">
        <w:rPr>
          <w:rFonts w:eastAsia="Times New Roman" w:cstheme="minorHAnsi"/>
          <w:color w:val="1C1D1E"/>
          <w:shd w:val="clear" w:color="auto" w:fill="FFFFFF"/>
          <w:lang w:eastAsia="en-GB"/>
        </w:rPr>
        <w:t>glycan-adapted Fc</w:t>
      </w:r>
      <w:r w:rsidR="00F54781">
        <w:rPr>
          <w:rFonts w:eastAsia="Times New Roman" w:cstheme="minorHAnsi"/>
          <w:color w:val="1C1D1E"/>
          <w:shd w:val="clear" w:color="auto" w:fill="FFFFFF"/>
          <w:lang w:eastAsia="en-GB"/>
        </w:rPr>
        <w:t>s</w:t>
      </w:r>
      <w:r w:rsidR="004A68EC">
        <w:rPr>
          <w:rFonts w:eastAsia="Times New Roman" w:cstheme="minorHAnsi"/>
          <w:color w:val="1C1D1E"/>
          <w:shd w:val="clear" w:color="auto" w:fill="FFFFFF"/>
          <w:lang w:eastAsia="en-GB"/>
        </w:rPr>
        <w:t xml:space="preserve"> (e.g. N563A/C575A) can control microglia </w:t>
      </w:r>
      <w:r w:rsidR="00F54781">
        <w:rPr>
          <w:rFonts w:eastAsia="Times New Roman" w:cstheme="minorHAnsi"/>
          <w:color w:val="1C1D1E"/>
          <w:shd w:val="clear" w:color="auto" w:fill="FFFFFF"/>
          <w:lang w:eastAsia="en-GB"/>
        </w:rPr>
        <w:t xml:space="preserve">functionality with respect </w:t>
      </w:r>
      <w:r w:rsidR="00402D24">
        <w:rPr>
          <w:rFonts w:eastAsia="Times New Roman" w:cstheme="minorHAnsi"/>
          <w:color w:val="1C1D1E"/>
          <w:shd w:val="clear" w:color="auto" w:fill="FFFFFF"/>
          <w:lang w:eastAsia="en-GB"/>
        </w:rPr>
        <w:t>to</w:t>
      </w:r>
      <w:r w:rsidR="00F54781">
        <w:rPr>
          <w:rFonts w:eastAsia="Times New Roman" w:cstheme="minorHAnsi"/>
          <w:color w:val="1C1D1E"/>
          <w:shd w:val="clear" w:color="auto" w:fill="FFFFFF"/>
          <w:lang w:eastAsia="en-GB"/>
        </w:rPr>
        <w:t xml:space="preserve"> preventing demyelination</w:t>
      </w:r>
      <w:r w:rsidR="004A68EC">
        <w:rPr>
          <w:rFonts w:eastAsia="Times New Roman" w:cstheme="minorHAnsi"/>
          <w:color w:val="1C1D1E"/>
          <w:shd w:val="clear" w:color="auto" w:fill="FFFFFF"/>
          <w:lang w:eastAsia="en-GB"/>
        </w:rPr>
        <w:t>.</w:t>
      </w:r>
      <w:r w:rsidR="00F54781">
        <w:rPr>
          <w:rFonts w:eastAsia="Times New Roman" w:cstheme="minorHAnsi"/>
          <w:color w:val="1C1D1E"/>
          <w:shd w:val="clear" w:color="auto" w:fill="FFFFFF"/>
          <w:lang w:eastAsia="en-GB"/>
        </w:rPr>
        <w:t xml:space="preserve"> However, the</w:t>
      </w:r>
      <w:r w:rsidR="00E76C3E" w:rsidRPr="00A478A2">
        <w:rPr>
          <w:rFonts w:eastAsia="Times New Roman" w:cstheme="minorHAnsi"/>
          <w:color w:val="1C1D1E"/>
          <w:shd w:val="clear" w:color="auto" w:fill="FFFFFF"/>
          <w:lang w:eastAsia="en-GB"/>
        </w:rPr>
        <w:t xml:space="preserve"> data clearly show that in this model system the observed effects entirely depend on Fc‐dependent mechanisms, while the variable Fab fragment is not needed to convey protection.</w:t>
      </w:r>
      <w:r w:rsidR="0003267F">
        <w:rPr>
          <w:rFonts w:eastAsia="Times New Roman" w:cstheme="minorHAnsi"/>
          <w:color w:val="1C1D1E"/>
          <w:shd w:val="clear" w:color="auto" w:fill="FFFFFF"/>
          <w:lang w:eastAsia="en-GB"/>
        </w:rPr>
        <w:t xml:space="preserve"> These data provide a basis for the continued preclinical evaluation of </w:t>
      </w:r>
      <w:r w:rsidR="004A68EC">
        <w:rPr>
          <w:rFonts w:eastAsia="Times New Roman" w:cstheme="minorHAnsi"/>
          <w:color w:val="1C1D1E"/>
          <w:shd w:val="clear" w:color="auto" w:fill="FFFFFF"/>
          <w:lang w:eastAsia="en-GB"/>
        </w:rPr>
        <w:t xml:space="preserve">the </w:t>
      </w:r>
      <w:r w:rsidR="0003267F">
        <w:rPr>
          <w:rFonts w:eastAsia="Times New Roman" w:cstheme="minorHAnsi"/>
          <w:color w:val="1C1D1E"/>
          <w:shd w:val="clear" w:color="auto" w:fill="FFFFFF"/>
          <w:lang w:eastAsia="en-GB"/>
        </w:rPr>
        <w:t>variably glycosylated F</w:t>
      </w:r>
      <w:r w:rsidR="004A68EC">
        <w:rPr>
          <w:rFonts w:eastAsia="Times New Roman" w:cstheme="minorHAnsi"/>
          <w:color w:val="1C1D1E"/>
          <w:shd w:val="clear" w:color="auto" w:fill="FFFFFF"/>
          <w:lang w:eastAsia="en-GB"/>
        </w:rPr>
        <w:t>c</w:t>
      </w:r>
      <w:r w:rsidR="0003267F">
        <w:rPr>
          <w:rFonts w:eastAsia="Times New Roman" w:cstheme="minorHAnsi"/>
          <w:color w:val="1C1D1E"/>
          <w:shd w:val="clear" w:color="auto" w:fill="FFFFFF"/>
          <w:lang w:eastAsia="en-GB"/>
        </w:rPr>
        <w:t xml:space="preserve"> in order to support advancement to clinical studies of </w:t>
      </w:r>
      <w:r w:rsidR="001A2F85">
        <w:rPr>
          <w:rFonts w:eastAsia="Times New Roman" w:cstheme="minorHAnsi"/>
          <w:color w:val="1C1D1E"/>
          <w:shd w:val="clear" w:color="auto" w:fill="FFFFFF"/>
          <w:lang w:eastAsia="en-GB"/>
        </w:rPr>
        <w:t>neurological disease</w:t>
      </w:r>
      <w:r w:rsidR="0003267F">
        <w:rPr>
          <w:rFonts w:eastAsia="Times New Roman" w:cstheme="minorHAnsi"/>
          <w:color w:val="1C1D1E"/>
          <w:shd w:val="clear" w:color="auto" w:fill="FFFFFF"/>
          <w:lang w:eastAsia="en-GB"/>
        </w:rPr>
        <w:t>.</w:t>
      </w:r>
    </w:p>
    <w:p w14:paraId="5AB92253" w14:textId="77777777" w:rsidR="007508A6" w:rsidRDefault="007508A6">
      <w:pPr>
        <w:spacing w:line="360" w:lineRule="auto"/>
        <w:rPr>
          <w:rFonts w:cstheme="minorHAnsi"/>
          <w:b/>
          <w:bCs/>
        </w:rPr>
      </w:pPr>
    </w:p>
    <w:p w14:paraId="521F3152" w14:textId="77777777" w:rsidR="00CD3C5D" w:rsidRDefault="00163CA0" w:rsidP="00CD3C5D">
      <w:pPr>
        <w:spacing w:line="360" w:lineRule="auto"/>
        <w:rPr>
          <w:rFonts w:cstheme="minorHAnsi"/>
          <w:b/>
          <w:bCs/>
        </w:rPr>
      </w:pPr>
      <w:r w:rsidRPr="00A478A2">
        <w:rPr>
          <w:rFonts w:cstheme="minorHAnsi"/>
          <w:b/>
          <w:bCs/>
        </w:rPr>
        <w:t>Author contributions</w:t>
      </w:r>
    </w:p>
    <w:p w14:paraId="1E7EF136" w14:textId="1F03F85E" w:rsidR="00CD3C5D" w:rsidRPr="00CD3C5D" w:rsidRDefault="00CD3C5D" w:rsidP="00CD3C5D">
      <w:pPr>
        <w:rPr>
          <w:rFonts w:cstheme="minorHAnsi"/>
          <w:b/>
          <w:bCs/>
        </w:rPr>
      </w:pPr>
      <w:r w:rsidRPr="00AD1960">
        <w:rPr>
          <w:rFonts w:eastAsia="Times New Roman" w:cstheme="minorHAnsi"/>
          <w:lang w:eastAsia="en-GB"/>
        </w:rPr>
        <w:t xml:space="preserve">R.J.P. </w:t>
      </w:r>
      <w:r w:rsidRPr="00A478A2">
        <w:rPr>
          <w:rFonts w:eastAsia="Times New Roman" w:cstheme="minorHAnsi"/>
          <w:lang w:eastAsia="en-GB"/>
        </w:rPr>
        <w:t xml:space="preserve">and N.G. </w:t>
      </w:r>
      <w:r w:rsidRPr="00AD1960">
        <w:rPr>
          <w:rFonts w:eastAsia="Times New Roman" w:cstheme="minorHAnsi"/>
          <w:lang w:eastAsia="en-GB"/>
        </w:rPr>
        <w:t xml:space="preserve">conceived and designed the overall study. </w:t>
      </w:r>
      <w:r w:rsidRPr="00A478A2">
        <w:rPr>
          <w:rFonts w:eastAsia="Times New Roman" w:cstheme="minorHAnsi"/>
          <w:lang w:eastAsia="en-GB"/>
        </w:rPr>
        <w:t xml:space="preserve">C.B.., J.S., </w:t>
      </w:r>
      <w:r w:rsidRPr="00AD1960">
        <w:rPr>
          <w:rFonts w:eastAsia="Times New Roman" w:cstheme="minorHAnsi"/>
          <w:lang w:eastAsia="en-GB"/>
        </w:rPr>
        <w:t>R.J.P.</w:t>
      </w:r>
      <w:r>
        <w:rPr>
          <w:rFonts w:eastAsia="Times New Roman" w:cstheme="minorHAnsi"/>
          <w:lang w:eastAsia="en-GB"/>
        </w:rPr>
        <w:t xml:space="preserve">, and </w:t>
      </w:r>
      <w:r w:rsidRPr="00AD1960">
        <w:rPr>
          <w:rFonts w:eastAsia="Times New Roman" w:cstheme="minorHAnsi"/>
          <w:lang w:eastAsia="en-GB"/>
        </w:rPr>
        <w:t>P.A.B</w:t>
      </w:r>
      <w:r>
        <w:rPr>
          <w:rFonts w:eastAsia="Times New Roman" w:cstheme="minorHAnsi"/>
          <w:lang w:eastAsia="en-GB"/>
        </w:rPr>
        <w:t xml:space="preserve">. </w:t>
      </w:r>
      <w:r w:rsidRPr="00AD1960">
        <w:rPr>
          <w:rFonts w:eastAsia="Times New Roman" w:cstheme="minorHAnsi"/>
          <w:lang w:eastAsia="en-GB"/>
        </w:rPr>
        <w:t xml:space="preserve">designed and performed experiments. </w:t>
      </w:r>
      <w:r>
        <w:rPr>
          <w:rFonts w:eastAsia="Times New Roman" w:cstheme="minorHAnsi"/>
          <w:lang w:eastAsia="en-GB"/>
        </w:rPr>
        <w:t>V.S. provided binding data shown in Fig. S7. J.W. and D.M.C. contributed the AFM analysis (Fig. 5). D.L., A.D. and S.H. contributed the glycan analysis (Fig. S2). A.K., C.L. and V.S. contributed the raw transcriptomic data (</w:t>
      </w:r>
      <w:r w:rsidR="00582940">
        <w:rPr>
          <w:rFonts w:eastAsia="Times New Roman" w:cstheme="minorHAnsi"/>
          <w:lang w:eastAsia="en-GB"/>
        </w:rPr>
        <w:t>submitted to</w:t>
      </w:r>
      <w:r w:rsidR="00582940" w:rsidRPr="00582940">
        <w:rPr>
          <w:color w:val="000000" w:themeColor="text1"/>
        </w:rPr>
        <w:t xml:space="preserve"> </w:t>
      </w:r>
      <w:r w:rsidR="00582940">
        <w:rPr>
          <w:color w:val="000000" w:themeColor="text1"/>
        </w:rPr>
        <w:t xml:space="preserve">the European nucleotide archive under accession number </w:t>
      </w:r>
      <w:r w:rsidR="00582940" w:rsidRPr="00ED4FE9">
        <w:rPr>
          <w:color w:val="000000" w:themeColor="text1"/>
        </w:rPr>
        <w:t>PRJEB41654)</w:t>
      </w:r>
      <w:r w:rsidR="00582940">
        <w:rPr>
          <w:rFonts w:eastAsia="Times New Roman" w:cstheme="minorHAnsi"/>
          <w:lang w:eastAsia="en-GB"/>
        </w:rPr>
        <w:t xml:space="preserve"> </w:t>
      </w:r>
      <w:r>
        <w:rPr>
          <w:rFonts w:eastAsia="Times New Roman" w:cstheme="minorHAnsi"/>
          <w:lang w:eastAsia="en-GB"/>
        </w:rPr>
        <w:t xml:space="preserve"> which was analysed and interpreted by R.J.P. A</w:t>
      </w:r>
      <w:r w:rsidRPr="00AD1960">
        <w:rPr>
          <w:rFonts w:eastAsia="Times New Roman" w:cstheme="minorHAnsi"/>
          <w:lang w:eastAsia="en-GB"/>
        </w:rPr>
        <w:t>ll authors commented on drafts</w:t>
      </w:r>
      <w:r>
        <w:rPr>
          <w:rFonts w:eastAsia="Times New Roman" w:cstheme="minorHAnsi"/>
          <w:lang w:eastAsia="en-GB"/>
        </w:rPr>
        <w:t xml:space="preserve"> (written by R.J.P.)</w:t>
      </w:r>
      <w:r w:rsidRPr="00AD1960">
        <w:rPr>
          <w:rFonts w:eastAsia="Times New Roman" w:cstheme="minorHAnsi"/>
          <w:lang w:eastAsia="en-GB"/>
        </w:rPr>
        <w:t xml:space="preserve"> and reviewed the final manuscript. </w:t>
      </w:r>
    </w:p>
    <w:p w14:paraId="26B5F9C7" w14:textId="5DD5C2B0" w:rsidR="00163CA0" w:rsidRPr="00CD3C5D" w:rsidRDefault="00726CF9">
      <w:pPr>
        <w:spacing w:line="360" w:lineRule="auto"/>
        <w:rPr>
          <w:rFonts w:eastAsia="Times New Roman" w:cstheme="minorHAnsi"/>
          <w:lang w:eastAsia="en-GB"/>
        </w:rPr>
      </w:pPr>
      <w:r w:rsidRPr="00726CF9">
        <w:rPr>
          <w:rFonts w:eastAsia="Times New Roman" w:cstheme="minorHAnsi"/>
          <w:lang w:eastAsia="en-GB"/>
        </w:rPr>
        <w:t xml:space="preserve"> </w:t>
      </w:r>
    </w:p>
    <w:p w14:paraId="6916F8E8" w14:textId="77777777" w:rsidR="00CD3C5D" w:rsidRDefault="00163CA0" w:rsidP="00CD3C5D">
      <w:pPr>
        <w:spacing w:line="360" w:lineRule="auto"/>
        <w:rPr>
          <w:rFonts w:cstheme="minorHAnsi"/>
          <w:b/>
          <w:bCs/>
        </w:rPr>
      </w:pPr>
      <w:r w:rsidRPr="00A478A2">
        <w:rPr>
          <w:rFonts w:cstheme="minorHAnsi"/>
          <w:b/>
          <w:bCs/>
        </w:rPr>
        <w:t>Conflict of interest</w:t>
      </w:r>
    </w:p>
    <w:p w14:paraId="51AD7447" w14:textId="77777777" w:rsidR="00AE224E" w:rsidRDefault="00504FA8" w:rsidP="00CD3C5D">
      <w:pPr>
        <w:rPr>
          <w:rFonts w:eastAsia="Times New Roman" w:cstheme="minorHAnsi"/>
          <w:lang w:eastAsia="en-GB"/>
        </w:rPr>
      </w:pPr>
      <w:r>
        <w:rPr>
          <w:rFonts w:eastAsia="Times New Roman" w:cstheme="minorHAnsi"/>
          <w:lang w:eastAsia="en-GB"/>
        </w:rPr>
        <w:t xml:space="preserve">The patent describing the original hexamers is assigned to CSL Behring </w:t>
      </w:r>
      <w:proofErr w:type="spellStart"/>
      <w:r>
        <w:rPr>
          <w:rFonts w:eastAsia="Times New Roman" w:cstheme="minorHAnsi"/>
          <w:lang w:eastAsia="en-GB"/>
        </w:rPr>
        <w:t>Lengnau</w:t>
      </w:r>
      <w:proofErr w:type="spellEnd"/>
      <w:r w:rsidR="00AE224E">
        <w:rPr>
          <w:rFonts w:eastAsia="Times New Roman" w:cstheme="minorHAnsi"/>
          <w:lang w:eastAsia="en-GB"/>
        </w:rPr>
        <w:t xml:space="preserve"> AG</w:t>
      </w:r>
      <w:r>
        <w:rPr>
          <w:rFonts w:eastAsia="Times New Roman" w:cstheme="minorHAnsi"/>
          <w:lang w:eastAsia="en-GB"/>
        </w:rPr>
        <w:t xml:space="preserve">. </w:t>
      </w:r>
    </w:p>
    <w:p w14:paraId="50D9092A" w14:textId="70B184DA" w:rsidR="00A478A2" w:rsidRPr="00CD3C5D" w:rsidRDefault="00AE224E" w:rsidP="00CD3C5D">
      <w:pPr>
        <w:rPr>
          <w:rFonts w:cstheme="minorHAnsi"/>
          <w:b/>
          <w:bCs/>
        </w:rPr>
      </w:pPr>
      <w:r w:rsidRPr="00A478A2">
        <w:rPr>
          <w:rFonts w:eastAsia="Times New Roman" w:cstheme="minorHAnsi"/>
          <w:lang w:eastAsia="en-GB"/>
        </w:rPr>
        <w:t xml:space="preserve">R.J.P. and P.A.B. declare that </w:t>
      </w:r>
      <w:r>
        <w:rPr>
          <w:rFonts w:eastAsia="Times New Roman" w:cstheme="minorHAnsi"/>
          <w:lang w:eastAsia="en-GB"/>
        </w:rPr>
        <w:t>the molecules</w:t>
      </w:r>
      <w:r w:rsidRPr="00A478A2">
        <w:rPr>
          <w:rFonts w:eastAsia="Times New Roman" w:cstheme="minorHAnsi"/>
          <w:lang w:eastAsia="en-GB"/>
        </w:rPr>
        <w:t xml:space="preserve"> discussed within </w:t>
      </w:r>
      <w:r>
        <w:rPr>
          <w:rFonts w:eastAsia="Times New Roman" w:cstheme="minorHAnsi"/>
          <w:lang w:eastAsia="en-GB"/>
        </w:rPr>
        <w:t>are</w:t>
      </w:r>
      <w:r w:rsidRPr="00A478A2">
        <w:rPr>
          <w:rFonts w:eastAsia="Times New Roman" w:cstheme="minorHAnsi"/>
          <w:lang w:eastAsia="en-GB"/>
        </w:rPr>
        <w:t xml:space="preserve"> subject to</w:t>
      </w:r>
      <w:r>
        <w:rPr>
          <w:rFonts w:eastAsia="Times New Roman" w:cstheme="minorHAnsi"/>
          <w:lang w:eastAsia="en-GB"/>
        </w:rPr>
        <w:t xml:space="preserve"> </w:t>
      </w:r>
      <w:r w:rsidRPr="00A478A2">
        <w:rPr>
          <w:rFonts w:eastAsia="Times New Roman" w:cstheme="minorHAnsi"/>
          <w:lang w:eastAsia="en-GB"/>
        </w:rPr>
        <w:t xml:space="preserve">ongoing patent applications. </w:t>
      </w:r>
      <w:r w:rsidR="00A478A2" w:rsidRPr="00A478A2">
        <w:rPr>
          <w:rFonts w:eastAsia="Times New Roman" w:cstheme="minorHAnsi"/>
          <w:lang w:eastAsia="en-GB"/>
        </w:rPr>
        <w:t xml:space="preserve">The other authors have no financial conflicts of interest. </w:t>
      </w:r>
    </w:p>
    <w:p w14:paraId="2021F00B" w14:textId="77777777" w:rsidR="001F5D9A" w:rsidRDefault="001F5D9A">
      <w:pPr>
        <w:spacing w:line="360" w:lineRule="auto"/>
        <w:rPr>
          <w:rFonts w:cstheme="minorHAnsi"/>
          <w:b/>
          <w:bCs/>
        </w:rPr>
      </w:pPr>
    </w:p>
    <w:p w14:paraId="0C272091" w14:textId="77777777" w:rsidR="00A31995" w:rsidRDefault="00A31995">
      <w:pPr>
        <w:spacing w:line="360" w:lineRule="auto"/>
        <w:rPr>
          <w:rFonts w:cstheme="minorHAnsi"/>
          <w:b/>
          <w:bCs/>
        </w:rPr>
      </w:pPr>
    </w:p>
    <w:p w14:paraId="7FDEB965" w14:textId="77777777" w:rsidR="00A31995" w:rsidRDefault="00A31995">
      <w:pPr>
        <w:spacing w:line="360" w:lineRule="auto"/>
        <w:rPr>
          <w:rFonts w:cstheme="minorHAnsi"/>
          <w:b/>
          <w:bCs/>
        </w:rPr>
      </w:pPr>
    </w:p>
    <w:p w14:paraId="4BCB446A" w14:textId="77777777" w:rsidR="00A31995" w:rsidRDefault="00A31995">
      <w:pPr>
        <w:spacing w:line="360" w:lineRule="auto"/>
        <w:rPr>
          <w:rFonts w:cstheme="minorHAnsi"/>
          <w:b/>
          <w:bCs/>
        </w:rPr>
      </w:pPr>
    </w:p>
    <w:p w14:paraId="5A5683EC" w14:textId="77777777" w:rsidR="00A31995" w:rsidRDefault="00A31995">
      <w:pPr>
        <w:spacing w:line="360" w:lineRule="auto"/>
        <w:rPr>
          <w:rFonts w:cstheme="minorHAnsi"/>
          <w:b/>
          <w:bCs/>
        </w:rPr>
      </w:pPr>
    </w:p>
    <w:p w14:paraId="4B53CA6C" w14:textId="77777777" w:rsidR="00A31995" w:rsidRDefault="00A31995">
      <w:pPr>
        <w:spacing w:line="360" w:lineRule="auto"/>
        <w:rPr>
          <w:rFonts w:cstheme="minorHAnsi"/>
          <w:b/>
          <w:bCs/>
        </w:rPr>
      </w:pPr>
    </w:p>
    <w:p w14:paraId="208B73BC" w14:textId="77777777" w:rsidR="00A31995" w:rsidRDefault="00A31995">
      <w:pPr>
        <w:spacing w:line="360" w:lineRule="auto"/>
        <w:rPr>
          <w:rFonts w:cstheme="minorHAnsi"/>
          <w:b/>
          <w:bCs/>
        </w:rPr>
      </w:pPr>
    </w:p>
    <w:p w14:paraId="40BC4549" w14:textId="77777777" w:rsidR="00A31995" w:rsidRDefault="00A31995">
      <w:pPr>
        <w:spacing w:line="360" w:lineRule="auto"/>
        <w:rPr>
          <w:rFonts w:cstheme="minorHAnsi"/>
          <w:b/>
          <w:bCs/>
        </w:rPr>
      </w:pPr>
    </w:p>
    <w:p w14:paraId="1C9960BB" w14:textId="77777777" w:rsidR="00A31995" w:rsidRDefault="00A31995">
      <w:pPr>
        <w:spacing w:line="360" w:lineRule="auto"/>
        <w:rPr>
          <w:rFonts w:cstheme="minorHAnsi"/>
          <w:b/>
          <w:bCs/>
        </w:rPr>
      </w:pPr>
    </w:p>
    <w:p w14:paraId="266D41FD" w14:textId="7DB7C138" w:rsidR="00A31995" w:rsidRDefault="00A31995">
      <w:pPr>
        <w:spacing w:line="360" w:lineRule="auto"/>
        <w:rPr>
          <w:rFonts w:cstheme="minorHAnsi"/>
          <w:b/>
          <w:bCs/>
        </w:rPr>
      </w:pPr>
    </w:p>
    <w:p w14:paraId="0D7C6C45" w14:textId="61106C93" w:rsidR="00CD3C5D" w:rsidRDefault="00CD3C5D">
      <w:pPr>
        <w:spacing w:line="360" w:lineRule="auto"/>
        <w:rPr>
          <w:rFonts w:cstheme="minorHAnsi"/>
          <w:b/>
          <w:bCs/>
        </w:rPr>
      </w:pPr>
    </w:p>
    <w:p w14:paraId="4E223D4F" w14:textId="21C6130C" w:rsidR="00CD3C5D" w:rsidRDefault="00CD3C5D">
      <w:pPr>
        <w:spacing w:line="360" w:lineRule="auto"/>
        <w:rPr>
          <w:rFonts w:cstheme="minorHAnsi"/>
          <w:b/>
          <w:bCs/>
        </w:rPr>
      </w:pPr>
    </w:p>
    <w:p w14:paraId="1E46CA88" w14:textId="0F02156C" w:rsidR="008209A1" w:rsidRDefault="008209A1">
      <w:pPr>
        <w:spacing w:line="360" w:lineRule="auto"/>
        <w:rPr>
          <w:rFonts w:cstheme="minorHAnsi"/>
          <w:b/>
          <w:bCs/>
        </w:rPr>
      </w:pPr>
    </w:p>
    <w:p w14:paraId="5DFC97B7" w14:textId="7ABEC70C" w:rsidR="002676C6" w:rsidRDefault="002676C6">
      <w:pPr>
        <w:spacing w:line="360" w:lineRule="auto"/>
        <w:rPr>
          <w:rFonts w:cstheme="minorHAnsi"/>
          <w:b/>
          <w:bCs/>
        </w:rPr>
      </w:pPr>
    </w:p>
    <w:p w14:paraId="03E70EA6" w14:textId="79C7C962" w:rsidR="002676C6" w:rsidRDefault="002676C6">
      <w:pPr>
        <w:spacing w:line="360" w:lineRule="auto"/>
        <w:rPr>
          <w:rFonts w:cstheme="minorHAnsi"/>
          <w:b/>
          <w:bCs/>
        </w:rPr>
      </w:pPr>
    </w:p>
    <w:p w14:paraId="0085A885" w14:textId="066487F3" w:rsidR="002676C6" w:rsidRDefault="002676C6">
      <w:pPr>
        <w:spacing w:line="360" w:lineRule="auto"/>
        <w:rPr>
          <w:rFonts w:cstheme="minorHAnsi"/>
          <w:b/>
          <w:bCs/>
        </w:rPr>
      </w:pPr>
    </w:p>
    <w:p w14:paraId="59C03351" w14:textId="0E00C2F8" w:rsidR="000F2966" w:rsidRDefault="000F2966">
      <w:pPr>
        <w:spacing w:line="360" w:lineRule="auto"/>
        <w:rPr>
          <w:rFonts w:cstheme="minorHAnsi"/>
          <w:b/>
          <w:bCs/>
        </w:rPr>
      </w:pPr>
    </w:p>
    <w:p w14:paraId="4E446CC6" w14:textId="037C3069" w:rsidR="000F2966" w:rsidRDefault="000F2966">
      <w:pPr>
        <w:spacing w:line="360" w:lineRule="auto"/>
        <w:rPr>
          <w:rFonts w:cstheme="minorHAnsi"/>
          <w:b/>
          <w:bCs/>
        </w:rPr>
      </w:pPr>
    </w:p>
    <w:p w14:paraId="4E59D907" w14:textId="02DA43BD" w:rsidR="000F2966" w:rsidRDefault="000F2966">
      <w:pPr>
        <w:spacing w:line="360" w:lineRule="auto"/>
        <w:rPr>
          <w:rFonts w:cstheme="minorHAnsi"/>
          <w:b/>
          <w:bCs/>
        </w:rPr>
      </w:pPr>
    </w:p>
    <w:p w14:paraId="0A654EE7" w14:textId="765B6E26" w:rsidR="000F2966" w:rsidRDefault="000F2966">
      <w:pPr>
        <w:spacing w:line="360" w:lineRule="auto"/>
        <w:rPr>
          <w:rFonts w:cstheme="minorHAnsi"/>
          <w:b/>
          <w:bCs/>
        </w:rPr>
      </w:pPr>
    </w:p>
    <w:p w14:paraId="2C9D9C52" w14:textId="60333D7D" w:rsidR="000F2966" w:rsidRDefault="000F2966">
      <w:pPr>
        <w:spacing w:line="360" w:lineRule="auto"/>
        <w:rPr>
          <w:rFonts w:cstheme="minorHAnsi"/>
          <w:b/>
          <w:bCs/>
        </w:rPr>
      </w:pPr>
    </w:p>
    <w:p w14:paraId="28CAD840" w14:textId="77777777" w:rsidR="000F2966" w:rsidRDefault="000F2966">
      <w:pPr>
        <w:spacing w:line="360" w:lineRule="auto"/>
        <w:rPr>
          <w:rFonts w:cstheme="minorHAnsi"/>
          <w:b/>
          <w:bCs/>
        </w:rPr>
      </w:pPr>
    </w:p>
    <w:p w14:paraId="51029A2E" w14:textId="3ECF012F" w:rsidR="00163CA0" w:rsidRPr="00A478A2" w:rsidRDefault="00163CA0">
      <w:pPr>
        <w:spacing w:line="360" w:lineRule="auto"/>
        <w:rPr>
          <w:rFonts w:cstheme="minorHAnsi"/>
          <w:b/>
          <w:bCs/>
        </w:rPr>
      </w:pPr>
      <w:r w:rsidRPr="00A478A2">
        <w:rPr>
          <w:rFonts w:cstheme="minorHAnsi"/>
          <w:b/>
          <w:bCs/>
        </w:rPr>
        <w:lastRenderedPageBreak/>
        <w:t xml:space="preserve">References </w:t>
      </w:r>
    </w:p>
    <w:p w14:paraId="6BE1BBC9" w14:textId="77777777" w:rsidR="006D049F" w:rsidRPr="00AD1960" w:rsidRDefault="006D049F">
      <w:pPr>
        <w:spacing w:line="360" w:lineRule="auto"/>
        <w:rPr>
          <w:rFonts w:cstheme="minorHAnsi"/>
        </w:rPr>
      </w:pPr>
    </w:p>
    <w:p w14:paraId="6280AA35" w14:textId="1BDB581B" w:rsidR="00DC4AAC" w:rsidRPr="00DC4AAC" w:rsidRDefault="00AA1E20" w:rsidP="00DC4AAC">
      <w:pPr>
        <w:widowControl w:val="0"/>
        <w:autoSpaceDE w:val="0"/>
        <w:autoSpaceDN w:val="0"/>
        <w:adjustRightInd w:val="0"/>
        <w:spacing w:line="360" w:lineRule="auto"/>
        <w:ind w:left="640" w:hanging="640"/>
        <w:rPr>
          <w:rFonts w:ascii="Calibri" w:hAnsi="Calibri" w:cs="Calibri"/>
          <w:noProof/>
        </w:rPr>
      </w:pPr>
      <w:r>
        <w:fldChar w:fldCharType="begin" w:fldLock="1"/>
      </w:r>
      <w:r w:rsidR="00F02349">
        <w:instrText xml:space="preserve">ADDIN Mendeley Bibliography CSL_BIBLIOGRAPHY </w:instrText>
      </w:r>
      <w:r>
        <w:fldChar w:fldCharType="separate"/>
      </w:r>
      <w:r w:rsidR="00DC4AAC" w:rsidRPr="00DC4AAC">
        <w:rPr>
          <w:rFonts w:ascii="Calibri" w:hAnsi="Calibri" w:cs="Calibri"/>
          <w:noProof/>
        </w:rPr>
        <w:t xml:space="preserve">1. </w:t>
      </w:r>
      <w:r w:rsidR="00DC4AAC" w:rsidRPr="00DC4AAC">
        <w:rPr>
          <w:rFonts w:ascii="Calibri" w:hAnsi="Calibri" w:cs="Calibri"/>
          <w:noProof/>
        </w:rPr>
        <w:tab/>
        <w:t xml:space="preserve">Orange JS, Hossny EM, Weiler CR, Ballow M, Berger M, Bonilla F a., et al. Use of intravenous immunoglobulin in human disease: A review of evidence by members of the Primary Immunodeficiency Committee of the American Academy of Allergy, Asthma and Immunology. J Allergy Clin Immunol. 2006;117(4 SUPPL.):525–53. </w:t>
      </w:r>
    </w:p>
    <w:p w14:paraId="7D0EB04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 </w:t>
      </w:r>
      <w:r w:rsidRPr="00DC4AAC">
        <w:rPr>
          <w:rFonts w:ascii="Calibri" w:hAnsi="Calibri" w:cs="Calibri"/>
          <w:noProof/>
        </w:rPr>
        <w:tab/>
        <w:t>Lünemann JD, Nimmerjahn F, Dalakas MC. Intravenous immunoglobulin in neurology--mode of action and clinical efficacy. Nat Rev Neurol [Internet]. 2015;11(2):80–9. Available from: http://www.ncbi.nlm.nih.gov/pubmed/25561275</w:t>
      </w:r>
    </w:p>
    <w:p w14:paraId="378EB213"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 </w:t>
      </w:r>
      <w:r w:rsidRPr="00DC4AAC">
        <w:rPr>
          <w:rFonts w:ascii="Calibri" w:hAnsi="Calibri" w:cs="Calibri"/>
          <w:noProof/>
        </w:rPr>
        <w:tab/>
        <w:t>Zuercher AW, Spirig R, Baz Morelli A, Käsermann F. IVIG in autoimmune disease — Potential next generation biologics. Autoimmun Rev [Internet]. 2016; Available from: http://linkinghub.elsevier.com/retrieve/pii/S1568997216300751</w:t>
      </w:r>
    </w:p>
    <w:p w14:paraId="7852419D"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 </w:t>
      </w:r>
      <w:r w:rsidRPr="00DC4AAC">
        <w:rPr>
          <w:rFonts w:ascii="Calibri" w:hAnsi="Calibri" w:cs="Calibri"/>
          <w:noProof/>
        </w:rPr>
        <w:tab/>
        <w:t xml:space="preserve">Goodfellow JA, Willison HJ. Guillain-Barré syndrome: A century of progress. Nat Rev Neurol. 2016;12:723–31. </w:t>
      </w:r>
    </w:p>
    <w:p w14:paraId="06AC2584"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 </w:t>
      </w:r>
      <w:r w:rsidRPr="00DC4AAC">
        <w:rPr>
          <w:rFonts w:ascii="Calibri" w:hAnsi="Calibri" w:cs="Calibri"/>
          <w:noProof/>
        </w:rPr>
        <w:tab/>
        <w:t xml:space="preserve">Elsone L, Panicker J, Mutch K, Boggild M, Appleton R, Jacob A. Role of intravenous immunoglobulin in the treatment of acute relapses of neuromyelitis optica: Experience in 10 patients. Mult Scler J. 2014;20:501–4. </w:t>
      </w:r>
    </w:p>
    <w:p w14:paraId="1527E7A3"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 </w:t>
      </w:r>
      <w:r w:rsidRPr="00DC4AAC">
        <w:rPr>
          <w:rFonts w:ascii="Calibri" w:hAnsi="Calibri" w:cs="Calibri"/>
          <w:noProof/>
        </w:rPr>
        <w:tab/>
        <w:t>Ballow M. The IgG molecule as a biological immune response modifier: Mechanisms of action of intravenous immune serum globulin in autoimmune and inflammatory disorders. J Allergy Clin Immunol [Internet]. 2011;127(2):315–23. Available from: http://dx.doi.org/10.1016/j.jaci.2010.10.030</w:t>
      </w:r>
    </w:p>
    <w:p w14:paraId="36EE11E9"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 </w:t>
      </w:r>
      <w:r w:rsidRPr="00DC4AAC">
        <w:rPr>
          <w:rFonts w:ascii="Calibri" w:hAnsi="Calibri" w:cs="Calibri"/>
          <w:noProof/>
        </w:rPr>
        <w:tab/>
        <w:t>Schwab I, Nimmerjahn F. Intravenous immunoglobulin therapy: how does IgG modulate the immune system? Nat Rev Immunol [Internet]. 2013;13(3):176–89. Available from: http://dx.doi.org/10.1038/nri3401%5Cnpapers3://publication/doi/10.1038/nri3401</w:t>
      </w:r>
    </w:p>
    <w:p w14:paraId="6631EC3D"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8. </w:t>
      </w:r>
      <w:r w:rsidRPr="00DC4AAC">
        <w:rPr>
          <w:rFonts w:ascii="Calibri" w:hAnsi="Calibri" w:cs="Calibri"/>
          <w:noProof/>
        </w:rPr>
        <w:tab/>
        <w:t xml:space="preserve">Janke AD, Giuliani F, Yong VW. IVIg attenuates T cell-mediated killing of human neurons. J Neuroimmunol. 2006;177:181–8. </w:t>
      </w:r>
    </w:p>
    <w:p w14:paraId="2440BCC6"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9. </w:t>
      </w:r>
      <w:r w:rsidRPr="00DC4AAC">
        <w:rPr>
          <w:rFonts w:ascii="Calibri" w:hAnsi="Calibri" w:cs="Calibri"/>
          <w:noProof/>
        </w:rPr>
        <w:tab/>
        <w:t xml:space="preserve">Kessel A, Peri R, Haj T, Snir A, Slobodin G, Sabo E, et al. IVIg attenuates TLR-9 activation in B cells from SLE patients. J Clin Immunol. 2011;31:30–8. </w:t>
      </w:r>
    </w:p>
    <w:p w14:paraId="6296BEE3"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10. </w:t>
      </w:r>
      <w:r w:rsidRPr="00DC4AAC">
        <w:rPr>
          <w:rFonts w:ascii="Calibri" w:hAnsi="Calibri" w:cs="Calibri"/>
          <w:noProof/>
        </w:rPr>
        <w:tab/>
        <w:t xml:space="preserve">Jacobi C, Claus M, Wildemann B, Wingert S, Korporal M, Römisch J, et al. Exposure of NK cells to intravenous immunoglobulin induces IFNγ release and degranulation but inhibits their cytotoxic activity. Clin Immunol. 2009;133:393–401. </w:t>
      </w:r>
    </w:p>
    <w:p w14:paraId="4C25E4D4"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11. </w:t>
      </w:r>
      <w:r w:rsidRPr="00DC4AAC">
        <w:rPr>
          <w:rFonts w:ascii="Calibri" w:hAnsi="Calibri" w:cs="Calibri"/>
          <w:noProof/>
        </w:rPr>
        <w:tab/>
        <w:t xml:space="preserve">Crow AR, Brinc D, Lazarus AH. New insight into the mechanism of action of IVIg: The role of </w:t>
      </w:r>
      <w:r w:rsidRPr="00DC4AAC">
        <w:rPr>
          <w:rFonts w:ascii="Calibri" w:hAnsi="Calibri" w:cs="Calibri"/>
          <w:noProof/>
        </w:rPr>
        <w:lastRenderedPageBreak/>
        <w:t xml:space="preserve">dendritic cells. J Thromb Haemost. 2009;7:S245–8. </w:t>
      </w:r>
    </w:p>
    <w:p w14:paraId="64C8751A"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12. </w:t>
      </w:r>
      <w:r w:rsidRPr="00DC4AAC">
        <w:rPr>
          <w:rFonts w:ascii="Calibri" w:hAnsi="Calibri" w:cs="Calibri"/>
          <w:noProof/>
        </w:rPr>
        <w:tab/>
        <w:t xml:space="preserve">Usuki S, Taguchi K, Thompson SA, Chapman PB, Yu RK. Novel anti-idiotype antibody therapy for lipooligosaccharide-induced experimental autoimmune neuritis: Use relevant to Guillain-Barré syndrome. J Neurosci Res. 2010;88:1651–63. </w:t>
      </w:r>
    </w:p>
    <w:p w14:paraId="79414959"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13. </w:t>
      </w:r>
      <w:r w:rsidRPr="00DC4AAC">
        <w:rPr>
          <w:rFonts w:ascii="Calibri" w:hAnsi="Calibri" w:cs="Calibri"/>
          <w:noProof/>
        </w:rPr>
        <w:tab/>
        <w:t xml:space="preserve">Pincetic A, Bournazos S, DiLillo DJ, Maamary J, Wang TT, Dahan R, et al. Type I and type II Fc receptors regulate innate and adaptive immunity. Nat Immunol. 2014;15(8):707–16. </w:t>
      </w:r>
    </w:p>
    <w:p w14:paraId="58A7D28B"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14. </w:t>
      </w:r>
      <w:r w:rsidRPr="00DC4AAC">
        <w:rPr>
          <w:rFonts w:ascii="Calibri" w:hAnsi="Calibri" w:cs="Calibri"/>
          <w:noProof/>
        </w:rPr>
        <w:tab/>
        <w:t xml:space="preserve">Piepers S, Jansen MD, Cats EA, van Sorge NM, van den Berg LH, van der Pol WL. IVIg inhibits classical pathway activity and anti-GM1 IgM-mediated complement deposition in MMN. J Neuroimmunol. 2010;229:256–62. </w:t>
      </w:r>
    </w:p>
    <w:p w14:paraId="3944F809"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15. </w:t>
      </w:r>
      <w:r w:rsidRPr="00DC4AAC">
        <w:rPr>
          <w:rFonts w:ascii="Calibri" w:hAnsi="Calibri" w:cs="Calibri"/>
          <w:noProof/>
        </w:rPr>
        <w:tab/>
        <w:t xml:space="preserve">Harrer MD, von Büdingen HC, Stoppini L, Alliod C, Pouly S, Fischer K, et al. Live imaging of remyelination after antibody-mediated demyelination in an ex-vivo model for immune mediated CNS damage. Exp Neurol. 2009;216(2):431–8. </w:t>
      </w:r>
    </w:p>
    <w:p w14:paraId="25EC4D6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16. </w:t>
      </w:r>
      <w:r w:rsidRPr="00DC4AAC">
        <w:rPr>
          <w:rFonts w:ascii="Calibri" w:hAnsi="Calibri" w:cs="Calibri"/>
          <w:noProof/>
        </w:rPr>
        <w:tab/>
        <w:t>Sobottka B, Harrer MD, Ziegler U, Fischer K, Wiendl H, Hünig T, et al. Collateral bystander damage by myelin-directed CD8+ T cells causes axonal loss. Am J Pathol [Internet]. 2009;175(3):1160–6. Available from: http://www.ncbi.nlm.nih.gov/pubmed/19700745%5Cnhttp://www.pubmedcentral.nih.gov/articlerender.fcgi?artid=PMC2731134</w:t>
      </w:r>
    </w:p>
    <w:p w14:paraId="75635ED5"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17. </w:t>
      </w:r>
      <w:r w:rsidRPr="00DC4AAC">
        <w:rPr>
          <w:rFonts w:ascii="Calibri" w:hAnsi="Calibri" w:cs="Calibri"/>
          <w:noProof/>
        </w:rPr>
        <w:tab/>
        <w:t xml:space="preserve">Sobottka B, Ziegler U, Kaech A, Becher B, Goebels N. CNS live imaging reveals a new mechanism of myelination: The liquid croissant model. Glia. 2011;59(12):1841–9. </w:t>
      </w:r>
    </w:p>
    <w:p w14:paraId="003A0479"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18. </w:t>
      </w:r>
      <w:r w:rsidRPr="00DC4AAC">
        <w:rPr>
          <w:rFonts w:ascii="Calibri" w:hAnsi="Calibri" w:cs="Calibri"/>
          <w:noProof/>
        </w:rPr>
        <w:tab/>
        <w:t>Winter M, Baksmeier C, Steckel J, Barman S, Malviya M, Harrer-Kuster M, et al. Dose-dependent inhibition of demyelination and microglia activation by IVIG. Ann Clin Transl Neurol [Internet]. 2016;3(11):828–43. Available from: http://doi.wiley.com/10.1002/acn3.326</w:t>
      </w:r>
    </w:p>
    <w:p w14:paraId="4CCA496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19. </w:t>
      </w:r>
      <w:r w:rsidRPr="00DC4AAC">
        <w:rPr>
          <w:rFonts w:ascii="Calibri" w:hAnsi="Calibri" w:cs="Calibri"/>
          <w:noProof/>
        </w:rPr>
        <w:tab/>
        <w:t xml:space="preserve">Wright A, Morrison SL. Effect of altered CH2-associated carbohydrate structure on the functional properties and in vivo fate of chimeric mouse-human immunoglobulin G1. J Exp Med. 1994;180(3):1087–96. </w:t>
      </w:r>
    </w:p>
    <w:p w14:paraId="076FF900"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20. </w:t>
      </w:r>
      <w:r w:rsidRPr="00DC4AAC">
        <w:rPr>
          <w:rFonts w:ascii="Calibri" w:hAnsi="Calibri" w:cs="Calibri"/>
          <w:noProof/>
        </w:rPr>
        <w:tab/>
        <w:t>Diebolder CA, Beurskens FJ, de Jong RN, Koning RI, Strumane K, Lindorfer MA, et al. Complement is activated by IgG hexamers assembled at the cell surface. Science [Internet]. 2014 Mar 14 [cited 2014 Nov 11];343(6176):1260–3. Available from: http://www.pubmedcentral.nih.gov/articlerender.fcgi?artid=4250092&amp;tool=pmcentrez&amp;rendertype=abstract</w:t>
      </w:r>
    </w:p>
    <w:p w14:paraId="6DB03669"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21. </w:t>
      </w:r>
      <w:r w:rsidRPr="00DC4AAC">
        <w:rPr>
          <w:rFonts w:ascii="Calibri" w:hAnsi="Calibri" w:cs="Calibri"/>
          <w:noProof/>
        </w:rPr>
        <w:tab/>
        <w:t xml:space="preserve">Roux KH, Tankersley DL. A view of the human idiotypic repertoire. Electron microscopic and </w:t>
      </w:r>
      <w:r w:rsidRPr="00DC4AAC">
        <w:rPr>
          <w:rFonts w:ascii="Calibri" w:hAnsi="Calibri" w:cs="Calibri"/>
          <w:noProof/>
        </w:rPr>
        <w:lastRenderedPageBreak/>
        <w:t xml:space="preserve">immunologic analyses of spontaneous idiotype-anti-idiotype dimers in pooled human IgG. J Immunol. 1990;144:1387–95. </w:t>
      </w:r>
    </w:p>
    <w:p w14:paraId="1C2449F1"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22. </w:t>
      </w:r>
      <w:r w:rsidRPr="00DC4AAC">
        <w:rPr>
          <w:rFonts w:ascii="Calibri" w:hAnsi="Calibri" w:cs="Calibri"/>
          <w:noProof/>
        </w:rPr>
        <w:tab/>
        <w:t xml:space="preserve">Svačina MKR, Röth P, Bobylev I, Sprenger A, Zhang G, Sheikh KA, et al. Changes of Serum IgG Dimer Levels after Treatment with IVIg in Guillain-Barré Syndrome. J Neuroimmune Pharmacol. 2019;14:642–8. </w:t>
      </w:r>
    </w:p>
    <w:p w14:paraId="37355654"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23. </w:t>
      </w:r>
      <w:r w:rsidRPr="00DC4AAC">
        <w:rPr>
          <w:rFonts w:ascii="Calibri" w:hAnsi="Calibri" w:cs="Calibri"/>
          <w:noProof/>
        </w:rPr>
        <w:tab/>
        <w:t xml:space="preserve">Czajkowsky DM, Hu J, Shao Z, Pleass RJ. Fc-fusion proteins: New developments and future perspectives. Vol. 4, EMBO Molecular Medicine. 2012. p. 1015–28. </w:t>
      </w:r>
    </w:p>
    <w:p w14:paraId="143D9BB3"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24. </w:t>
      </w:r>
      <w:r w:rsidRPr="00DC4AAC">
        <w:rPr>
          <w:rFonts w:ascii="Calibri" w:hAnsi="Calibri" w:cs="Calibri"/>
          <w:noProof/>
        </w:rPr>
        <w:tab/>
        <w:t xml:space="preserve">Czajkowsky DM, Andersen JT, Fuchs A, Wilson TJ, Mekhaiel D, Colonna M, et al. Developing the IVIG biomimetic, Hexa-Fc, for drug and vaccine applications. Sci Rep. 2015;5:9526. </w:t>
      </w:r>
    </w:p>
    <w:p w14:paraId="1A8AEAE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25. </w:t>
      </w:r>
      <w:r w:rsidRPr="00DC4AAC">
        <w:rPr>
          <w:rFonts w:ascii="Calibri" w:hAnsi="Calibri" w:cs="Calibri"/>
          <w:noProof/>
        </w:rPr>
        <w:tab/>
        <w:t xml:space="preserve">Imbach P, D’Apuzzo V, Hirt A. High-dose intravenous gammaglobulin for idiopathic thrombocytopenic purpura in childhood. Lancet. 1981;1(8232):1228–30. </w:t>
      </w:r>
    </w:p>
    <w:p w14:paraId="5E63A28C"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26. </w:t>
      </w:r>
      <w:r w:rsidRPr="00DC4AAC">
        <w:rPr>
          <w:rFonts w:ascii="Calibri" w:hAnsi="Calibri" w:cs="Calibri"/>
          <w:noProof/>
        </w:rPr>
        <w:tab/>
        <w:t xml:space="preserve">Mekhaiel DNA, Czajkowsky DM, Andersen JT, Shi J, El-Faham M, Doenhoff M, et al. Polymeric human Fc-fusion proteins with modified effector functions. Sci Rep. 2011;1(124). </w:t>
      </w:r>
    </w:p>
    <w:p w14:paraId="2F5FB8E4"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27. </w:t>
      </w:r>
      <w:r w:rsidRPr="00DC4AAC">
        <w:rPr>
          <w:rFonts w:ascii="Calibri" w:hAnsi="Calibri" w:cs="Calibri"/>
          <w:noProof/>
        </w:rPr>
        <w:tab/>
        <w:t xml:space="preserve">Tradtrantip L, Felix CM, Spirig R, Morelli AB, Verkman AS. Recombinant IgG1 Fc hexamers block cytotoxicity and pathological changes in experimental in vitro and rat models of neuromyelitis optica. Neuropharmacology. 2018;133:345–53. </w:t>
      </w:r>
    </w:p>
    <w:p w14:paraId="0644C91D"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28. </w:t>
      </w:r>
      <w:r w:rsidRPr="00DC4AAC">
        <w:rPr>
          <w:rFonts w:ascii="Calibri" w:hAnsi="Calibri" w:cs="Calibri"/>
          <w:noProof/>
        </w:rPr>
        <w:tab/>
        <w:t xml:space="preserve">Spirig R, Campbell IK, Koernig S, Chen C-G, Lewis BJB, Butcher R, et al. rIgG1 Fc Hexamer Inhibits Antibody-Mediated Autoimmune Disease via Effects on Complement and FcγRs. J Immunol. 2018;200:2542–53. </w:t>
      </w:r>
    </w:p>
    <w:p w14:paraId="17E41F8D"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29. </w:t>
      </w:r>
      <w:r w:rsidRPr="00DC4AAC">
        <w:rPr>
          <w:rFonts w:ascii="Calibri" w:hAnsi="Calibri" w:cs="Calibri"/>
          <w:noProof/>
        </w:rPr>
        <w:tab/>
        <w:t xml:space="preserve">Mellquist JL, Kasturi L, Spitalnik SL, Shakin-Eshleman SH. The amino acid following an Asn-X-Ser/Thr sequon is an important determinant of N-linked core glycosylation efficiency. Biochemistry. 1998;37(19):6833–7. </w:t>
      </w:r>
    </w:p>
    <w:p w14:paraId="259B18AD"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30. </w:t>
      </w:r>
      <w:r w:rsidRPr="00DC4AAC">
        <w:rPr>
          <w:rFonts w:ascii="Calibri" w:hAnsi="Calibri" w:cs="Calibri"/>
          <w:noProof/>
        </w:rPr>
        <w:tab/>
        <w:t xml:space="preserve">Blundell PA, Le NPL, Allen J, Watanabe Y, Pleass RJ. Engineering the fragment crystallizable (Fc) region of human IgG1 multimers and monomers to fine-tune interactions with sialic acid-dependent receptors. J Biol Chem. 2017;292:12994–3007. </w:t>
      </w:r>
    </w:p>
    <w:p w14:paraId="4A0E5E05"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31. </w:t>
      </w:r>
      <w:r w:rsidRPr="00DC4AAC">
        <w:rPr>
          <w:rFonts w:ascii="Calibri" w:hAnsi="Calibri" w:cs="Calibri"/>
          <w:noProof/>
        </w:rPr>
        <w:tab/>
        <w:t xml:space="preserve">Blundell PA, Lu D, Dell A, Haslam S, Pleass RJ. Choice of Host Cell Line Is Essential for the Functional Glycosylation of the Fc Region of Human IgG1 Inhibitors of Influenza B Viruses. J Immunol. 2020;204(4):1022–34. </w:t>
      </w:r>
    </w:p>
    <w:p w14:paraId="2439AFF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32. </w:t>
      </w:r>
      <w:r w:rsidRPr="00DC4AAC">
        <w:rPr>
          <w:rFonts w:ascii="Calibri" w:hAnsi="Calibri" w:cs="Calibri"/>
          <w:noProof/>
        </w:rPr>
        <w:tab/>
        <w:t xml:space="preserve">Blundell PA, Lu D, Wilkinson M, Dell A, Haslam S, Pleass RJ. Insertion of N-Terminal Hinge Glycosylation Enhances Interactions of the Fc Region of Human IgG1 Monomers with Glycan-Dependent Receptors and Blocks Hemagglutination by the Influenza Virus. J Immunol. 2019;202:1595–611. </w:t>
      </w:r>
    </w:p>
    <w:p w14:paraId="54219CBB"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lastRenderedPageBreak/>
        <w:t xml:space="preserve">33. </w:t>
      </w:r>
      <w:r w:rsidRPr="00DC4AAC">
        <w:rPr>
          <w:rFonts w:ascii="Calibri" w:hAnsi="Calibri" w:cs="Calibri"/>
          <w:noProof/>
        </w:rPr>
        <w:tab/>
        <w:t xml:space="preserve">Loo T, Patchett ML, Norris GE, Lott JS. Using secretion to solve a solubility problem: high-yield expression in Escherichia  coli and purification of the bacterial glycoamidase PNGase F. Protein Expr Purif. 2002 Feb;24(1):90–8. </w:t>
      </w:r>
    </w:p>
    <w:p w14:paraId="28869CA2"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34. </w:t>
      </w:r>
      <w:r w:rsidRPr="00DC4AAC">
        <w:rPr>
          <w:rFonts w:ascii="Calibri" w:hAnsi="Calibri" w:cs="Calibri"/>
          <w:noProof/>
        </w:rPr>
        <w:tab/>
        <w:t xml:space="preserve">Christine E. Thomson, Anne M. Hunter, Ian R. Griffiths, Julia M. Edgar  and MCM. Murine Spinal Cord Explants: A Model For Evaluating Axonal Growth and Myelination In Vitro. J Neurosci Res. 2007;3253:3244–53. </w:t>
      </w:r>
    </w:p>
    <w:p w14:paraId="4F33BF81"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35. </w:t>
      </w:r>
      <w:r w:rsidRPr="00DC4AAC">
        <w:rPr>
          <w:rFonts w:ascii="Calibri" w:hAnsi="Calibri" w:cs="Calibri"/>
          <w:noProof/>
        </w:rPr>
        <w:tab/>
        <w:t xml:space="preserve">Thomson CE, McCulloch M, Sorenson A, Barnett SC, Seed B V., Griffiths IR, et al. Myelinated, synapsing cultures of murine spinal cord - Validation as an in vitro model of the central nervous system. Eur J Neurosci. 2008;28:1518–35. </w:t>
      </w:r>
    </w:p>
    <w:p w14:paraId="0F468ABD"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36. </w:t>
      </w:r>
      <w:r w:rsidRPr="00DC4AAC">
        <w:rPr>
          <w:rFonts w:ascii="Calibri" w:hAnsi="Calibri" w:cs="Calibri"/>
          <w:noProof/>
        </w:rPr>
        <w:tab/>
        <w:t xml:space="preserve">Sorensen A, Moffat K, Thomson C, Barnett SC. Astrocytes, but not olfactory ensheathing cells or Schwann cells, promote myelination of CNS axons in vitro. Glia. 2008;56:750–63. </w:t>
      </w:r>
    </w:p>
    <w:p w14:paraId="20452418"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37. </w:t>
      </w:r>
      <w:r w:rsidRPr="00DC4AAC">
        <w:rPr>
          <w:rFonts w:ascii="Calibri" w:hAnsi="Calibri" w:cs="Calibri"/>
          <w:noProof/>
        </w:rPr>
        <w:tab/>
        <w:t xml:space="preserve">Le Bras B, Chatzopoulou E, Heydon K, Martínez S, Ikenaka K, Prestoz L, et al. Oligodendrocyte development in the embryonic brain: the contribution of the plp  lineage. Int J Dev Biol. 2005;49(2–3):209–20. </w:t>
      </w:r>
    </w:p>
    <w:p w14:paraId="17865F60"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38. </w:t>
      </w:r>
      <w:r w:rsidRPr="00DC4AAC">
        <w:rPr>
          <w:rFonts w:ascii="Calibri" w:hAnsi="Calibri" w:cs="Calibri"/>
          <w:noProof/>
        </w:rPr>
        <w:tab/>
        <w:t xml:space="preserve">Spassky N, Goujet-Zalc C, Parmantier E, Olivier C, Martinez S, Ivanova A, et al. Multiple restricted origin of oligodendrocytes. J Neurosci. 1998 Oct;18(20):8331–43. </w:t>
      </w:r>
    </w:p>
    <w:p w14:paraId="19059143"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39. </w:t>
      </w:r>
      <w:r w:rsidRPr="00DC4AAC">
        <w:rPr>
          <w:rFonts w:ascii="Calibri" w:hAnsi="Calibri" w:cs="Calibri"/>
          <w:noProof/>
        </w:rPr>
        <w:tab/>
        <w:t xml:space="preserve">Jung S, Aliberti J, Graemmel P, Sunshine MJ, Kreutzberg GW, Sher A, et al. Analysis of Fractalkine Receptor CX3CR1 Function by Targeted Deletion and Green Fluorescent Protein Reporter Gene Insertion. Mol Cell Biol. 2000;20:4106–14. </w:t>
      </w:r>
    </w:p>
    <w:p w14:paraId="05A27157"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40. </w:t>
      </w:r>
      <w:r w:rsidRPr="00DC4AAC">
        <w:rPr>
          <w:rFonts w:ascii="Calibri" w:hAnsi="Calibri" w:cs="Calibri"/>
          <w:noProof/>
        </w:rPr>
        <w:tab/>
        <w:t xml:space="preserve">Stoppini L, Buchs PA, Muller D. A simple method for organotypic cultures of nervous tissue. J Neurosci Methods. 1991 Apr;37(2):173–82. </w:t>
      </w:r>
    </w:p>
    <w:p w14:paraId="43E2BA59"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41. </w:t>
      </w:r>
      <w:r w:rsidRPr="00DC4AAC">
        <w:rPr>
          <w:rFonts w:ascii="Calibri" w:hAnsi="Calibri" w:cs="Calibri"/>
          <w:noProof/>
        </w:rPr>
        <w:tab/>
        <w:t xml:space="preserve">Kuenzle S, von Büdingen H-C, Meier M, Harrer MD, Urich E, Becher B, et al. Pathogen specificity and autoimmunity are distinct features of antigen-driven immune  responses in neuroborreliosis. Infect Immun. 2007 Aug;75(8):3842–7. </w:t>
      </w:r>
    </w:p>
    <w:p w14:paraId="6C13B475"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42. </w:t>
      </w:r>
      <w:r w:rsidRPr="00DC4AAC">
        <w:rPr>
          <w:rFonts w:ascii="Calibri" w:hAnsi="Calibri" w:cs="Calibri"/>
          <w:noProof/>
        </w:rPr>
        <w:tab/>
        <w:t xml:space="preserve">Carpenter AE, Jones TR, Lamprecht MR, Clarke C, Kang IH, Friman O, et al. CellProfiler: Image analysis software for identifying and quantifying cell phenotypes. Genome Biol. 2006;7:100–11. </w:t>
      </w:r>
    </w:p>
    <w:p w14:paraId="4AFEDB53"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43. </w:t>
      </w:r>
      <w:r w:rsidRPr="00DC4AAC">
        <w:rPr>
          <w:rFonts w:ascii="Calibri" w:hAnsi="Calibri" w:cs="Calibri"/>
          <w:noProof/>
        </w:rPr>
        <w:tab/>
        <w:t xml:space="preserve">Kim D, Langmead B, Salzberg SL. HISAT: A fast spliced aligner with low memory requirements. Nat Methods. 2015;12:357–60. </w:t>
      </w:r>
    </w:p>
    <w:p w14:paraId="2E30CB81"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44. </w:t>
      </w:r>
      <w:r w:rsidRPr="00DC4AAC">
        <w:rPr>
          <w:rFonts w:ascii="Calibri" w:hAnsi="Calibri" w:cs="Calibri"/>
          <w:noProof/>
        </w:rPr>
        <w:tab/>
        <w:t xml:space="preserve">Liao Y, Smyth GK, Shi W. FeatureCounts: An efficient general purpose program for assigning sequence reads to genomic features. Bioinformatics. 2014;30:923–30. </w:t>
      </w:r>
    </w:p>
    <w:p w14:paraId="20FBF13A"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45. </w:t>
      </w:r>
      <w:r w:rsidRPr="00DC4AAC">
        <w:rPr>
          <w:rFonts w:ascii="Calibri" w:hAnsi="Calibri" w:cs="Calibri"/>
          <w:noProof/>
        </w:rPr>
        <w:tab/>
        <w:t xml:space="preserve">Robinson MD, McCarthy DJ, Smyth GK. edgeR: A Bioconductor package for differential </w:t>
      </w:r>
      <w:r w:rsidRPr="00DC4AAC">
        <w:rPr>
          <w:rFonts w:ascii="Calibri" w:hAnsi="Calibri" w:cs="Calibri"/>
          <w:noProof/>
        </w:rPr>
        <w:lastRenderedPageBreak/>
        <w:t xml:space="preserve">expression analysis of digital gene expression data. Bioinformatics. 2010;26:139–40. </w:t>
      </w:r>
    </w:p>
    <w:p w14:paraId="7C61FDFB"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46. </w:t>
      </w:r>
      <w:r w:rsidRPr="00DC4AAC">
        <w:rPr>
          <w:rFonts w:ascii="Calibri" w:hAnsi="Calibri" w:cs="Calibri"/>
          <w:noProof/>
        </w:rPr>
        <w:tab/>
        <w:t xml:space="preserve">Lund J, Takahashi N, Pound JD, Goodall M, Jefferis R. Multiple Interactions of IgG with Its Core Oligosaccharide Can Modulate Recognition by Complement and Human Fcy Receptor I and Influence the Synthesis of Its Oligosaccharide Chains. J Immunol. 1996;157:4963–9. </w:t>
      </w:r>
    </w:p>
    <w:p w14:paraId="56598410"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47. </w:t>
      </w:r>
      <w:r w:rsidRPr="00DC4AAC">
        <w:rPr>
          <w:rFonts w:ascii="Calibri" w:hAnsi="Calibri" w:cs="Calibri"/>
          <w:noProof/>
        </w:rPr>
        <w:tab/>
        <w:t xml:space="preserve">Washburn N, Schwab I, Ortiz D, Bhatnagar N, Lansing JC, Medeiros A, et al. Controlled tetra-Fc sialylation of IVIg results in a drug candidate with consistent enhanced anti-inflammatory activity. Proc Natl Acad Sci U S A. 2015;112(11):E1297–306. </w:t>
      </w:r>
    </w:p>
    <w:p w14:paraId="432C39A5"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48. </w:t>
      </w:r>
      <w:r w:rsidRPr="00DC4AAC">
        <w:rPr>
          <w:rFonts w:ascii="Calibri" w:hAnsi="Calibri" w:cs="Calibri"/>
          <w:noProof/>
        </w:rPr>
        <w:tab/>
        <w:t xml:space="preserve">Deniz E, Erman B. Long noncoding RNA (lincRNA), a new paradigm in gene expression control. Funct Integr Genomics. 2017;17:135–43. </w:t>
      </w:r>
    </w:p>
    <w:p w14:paraId="12AC54F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49. </w:t>
      </w:r>
      <w:r w:rsidRPr="00DC4AAC">
        <w:rPr>
          <w:rFonts w:ascii="Calibri" w:hAnsi="Calibri" w:cs="Calibri"/>
          <w:noProof/>
        </w:rPr>
        <w:tab/>
        <w:t xml:space="preserve">DePaula-Silva AB, Gorbea C, Doty DJ, Libbey JE, Sanchez JMS, Hanak TJ, et al. Differential transcriptional profiles identify microglial- and macrophage-specific gene markers expressed during virus-induced neuroinflammation. J Neuroinflammation. 2019;16(152):doi.org/10.1186/s12974-019-1545-x. </w:t>
      </w:r>
    </w:p>
    <w:p w14:paraId="78457D3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50. </w:t>
      </w:r>
      <w:r w:rsidRPr="00DC4AAC">
        <w:rPr>
          <w:rFonts w:ascii="Calibri" w:hAnsi="Calibri" w:cs="Calibri"/>
          <w:noProof/>
        </w:rPr>
        <w:tab/>
        <w:t xml:space="preserve">Cao L, Liu S, Li Y, Yang G, Luo Y, Li S, et al. The Nuclear Matrix Protein SAFA Surveils Viral RNA and Facilitates Immunity by Activating Antiviral Enhancers and Super-enhancers. Cell Host Microbe. 2019;26:369–84. </w:t>
      </w:r>
    </w:p>
    <w:p w14:paraId="1CE2C616"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51. </w:t>
      </w:r>
      <w:r w:rsidRPr="00DC4AAC">
        <w:rPr>
          <w:rFonts w:ascii="Calibri" w:hAnsi="Calibri" w:cs="Calibri"/>
          <w:noProof/>
        </w:rPr>
        <w:tab/>
        <w:t xml:space="preserve">Pul R, Kopadze T, Skripuletz T, Voss E V., Kieseier BC, Stangel M. Polyclonal immunoglobulins (IVIg) induce expression of MMP-9 in microglia. J Neuroimmunol. 2009;217:46–50. </w:t>
      </w:r>
    </w:p>
    <w:p w14:paraId="42D5F88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52. </w:t>
      </w:r>
      <w:r w:rsidRPr="00DC4AAC">
        <w:rPr>
          <w:rFonts w:ascii="Calibri" w:hAnsi="Calibri" w:cs="Calibri"/>
          <w:noProof/>
        </w:rPr>
        <w:tab/>
        <w:t xml:space="preserve">Stangel M, Joly E, Scolding NJ, Compston DAS. Normal polyclonal immunoglobulins ('IVIg’) inhibit microglial phagocytosis in vitro. J Neuroimmunol. 2000;106:137–44. </w:t>
      </w:r>
    </w:p>
    <w:p w14:paraId="25AD5321"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53. </w:t>
      </w:r>
      <w:r w:rsidRPr="00DC4AAC">
        <w:rPr>
          <w:rFonts w:ascii="Calibri" w:hAnsi="Calibri" w:cs="Calibri"/>
          <w:noProof/>
        </w:rPr>
        <w:tab/>
        <w:t xml:space="preserve">Stangel M, Compston A. Polyclonal immunoglobulins (IVIg) modulate nitric oxide production and microglial functions in vitro via Fc receptors. J Neuroimmunol. 2001;112:63–71. </w:t>
      </w:r>
    </w:p>
    <w:p w14:paraId="055ACFEA"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54. </w:t>
      </w:r>
      <w:r w:rsidRPr="00DC4AAC">
        <w:rPr>
          <w:rFonts w:ascii="Calibri" w:hAnsi="Calibri" w:cs="Calibri"/>
          <w:noProof/>
        </w:rPr>
        <w:tab/>
        <w:t xml:space="preserve">Pul R, Nguyen D, Schmitz U, Marx P, Stangel M. Comparison of intravenous immunoglobulin preparations on microglial function in vitro: More potent immunomodulatory capacity of an IgM/IgA-enriched preparation. Clin Neuropharmacol. 2002;25:254–9. </w:t>
      </w:r>
    </w:p>
    <w:p w14:paraId="07E6FCF5"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55. </w:t>
      </w:r>
      <w:r w:rsidRPr="00DC4AAC">
        <w:rPr>
          <w:rFonts w:ascii="Calibri" w:hAnsi="Calibri" w:cs="Calibri"/>
          <w:noProof/>
        </w:rPr>
        <w:tab/>
        <w:t xml:space="preserve">Kumar N, Arthur CP, Ciferri C, Matsumoto ML. Structure of the secretory immunoglobulin A core. Science. 2020;367:1008–14. </w:t>
      </w:r>
    </w:p>
    <w:p w14:paraId="4382F847"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56. </w:t>
      </w:r>
      <w:r w:rsidRPr="00DC4AAC">
        <w:rPr>
          <w:rFonts w:ascii="Calibri" w:hAnsi="Calibri" w:cs="Calibri"/>
          <w:noProof/>
        </w:rPr>
        <w:tab/>
        <w:t xml:space="preserve">Li Y, Wang G, Li N, Wang Y, Zhu Q, Chu H, et al. Structural insights into immunoglobulin M. Science. 2020 Feb 6;367:1014–7. </w:t>
      </w:r>
    </w:p>
    <w:p w14:paraId="127B9B41"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57. </w:t>
      </w:r>
      <w:r w:rsidRPr="00DC4AAC">
        <w:rPr>
          <w:rFonts w:ascii="Calibri" w:hAnsi="Calibri" w:cs="Calibri"/>
          <w:noProof/>
        </w:rPr>
        <w:tab/>
        <w:t xml:space="preserve">Sharp TH, Boyle AL, Diebolder CA, Kros A, Koster AJ, Gros P. Insights into IgM-mediated complement activation based on in situ structures of IgM-C1-C4b. Proc Natl Acad Sci U S A. 2019;116:11900–5. </w:t>
      </w:r>
    </w:p>
    <w:p w14:paraId="2AFFCFD3"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lastRenderedPageBreak/>
        <w:t xml:space="preserve">58. </w:t>
      </w:r>
      <w:r w:rsidRPr="00DC4AAC">
        <w:rPr>
          <w:rFonts w:ascii="Calibri" w:hAnsi="Calibri" w:cs="Calibri"/>
          <w:noProof/>
        </w:rPr>
        <w:tab/>
        <w:t xml:space="preserve">Querol L, Devaux J, Rojas-Garcia R, Illa I. Autoantibodies in chronic inflammatory neuropathies: Diagnostic and therapeutic implications. Nat Rev Neurol. 2017;13:533–47. </w:t>
      </w:r>
    </w:p>
    <w:p w14:paraId="32D4A8D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59. </w:t>
      </w:r>
      <w:r w:rsidRPr="00DC4AAC">
        <w:rPr>
          <w:rFonts w:ascii="Calibri" w:hAnsi="Calibri" w:cs="Calibri"/>
          <w:noProof/>
        </w:rPr>
        <w:tab/>
        <w:t xml:space="preserve">Zhang X, Owens J, Olsen HS, So E, Burch E, McCroskey MC, et al. A recombinant human IgG1 Fc multimer designed to mimic the active fraction of IVIG in autoimmunity. JCI Insight. 2019;4(2). </w:t>
      </w:r>
    </w:p>
    <w:p w14:paraId="235F36F9"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60. </w:t>
      </w:r>
      <w:r w:rsidRPr="00DC4AAC">
        <w:rPr>
          <w:rFonts w:ascii="Calibri" w:hAnsi="Calibri" w:cs="Calibri"/>
          <w:noProof/>
        </w:rPr>
        <w:tab/>
        <w:t xml:space="preserve">Richard A, Corvol JC, Debs R, Reach P, Tahiri K, Carpentier W, et al. Transcriptome analysis of peripheral blood in chronic inflammatory demyelinating polyradiculoneuropathy patients identifies TNFR1 and TLR pathways in the IVIg response. Med (United States). 2016;95:e3370. </w:t>
      </w:r>
    </w:p>
    <w:p w14:paraId="16CCBEA2"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61. </w:t>
      </w:r>
      <w:r w:rsidRPr="00DC4AAC">
        <w:rPr>
          <w:rFonts w:ascii="Calibri" w:hAnsi="Calibri" w:cs="Calibri"/>
          <w:noProof/>
        </w:rPr>
        <w:tab/>
        <w:t xml:space="preserve">Sadeghpour S, Ghafouri-Fard S, Mazdeh M, Nicknafs F, Nazer N, Sayad A, et al. Over-Expression of Immune-Related lncRNAs in Inflammatory Demyelinating Polyradiculoneuropathies. J Mol Neurosci. 2020;(Oct 15):doi: 10.1007/s12031-020-01721-6. </w:t>
      </w:r>
    </w:p>
    <w:p w14:paraId="47BA0DF7"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62. </w:t>
      </w:r>
      <w:r w:rsidRPr="00DC4AAC">
        <w:rPr>
          <w:rFonts w:ascii="Calibri" w:hAnsi="Calibri" w:cs="Calibri"/>
          <w:noProof/>
        </w:rPr>
        <w:tab/>
        <w:t xml:space="preserve">Han J, Zhu K, Zhang XM, Harris RA. Enforced microglial depletion and repopulation as a promising strategy for the treatment of neurological disorders. Glia. 2019;67(2):217–31. </w:t>
      </w:r>
    </w:p>
    <w:p w14:paraId="47B690A6"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63. </w:t>
      </w:r>
      <w:r w:rsidRPr="00DC4AAC">
        <w:rPr>
          <w:rFonts w:ascii="Calibri" w:hAnsi="Calibri" w:cs="Calibri"/>
          <w:noProof/>
        </w:rPr>
        <w:tab/>
        <w:t>Chen M, Arumugam T V., Leanage G, Tieng QM, Yadav A, Ullmann JFP, et al. Disease-modifying effect of intravenous immunoglobulin in an experimental model of epilepsy. Sci Rep [Internet]. 2017;7(July 2016):1–9. Available from: http://dx.doi.org/10.1038/srep40528</w:t>
      </w:r>
    </w:p>
    <w:p w14:paraId="41D81AEE"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64. </w:t>
      </w:r>
      <w:r w:rsidRPr="00DC4AAC">
        <w:rPr>
          <w:rFonts w:ascii="Calibri" w:hAnsi="Calibri" w:cs="Calibri"/>
          <w:noProof/>
        </w:rPr>
        <w:tab/>
        <w:t xml:space="preserve">Morgan EL, Tempelis CH. The requirement for the Fc portion of antibody in antigen-antibody complex-mediated suppression. J Immunol. 1978;120(5):1669–71. </w:t>
      </w:r>
    </w:p>
    <w:p w14:paraId="1A8DE226"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65. </w:t>
      </w:r>
      <w:r w:rsidRPr="00DC4AAC">
        <w:rPr>
          <w:rFonts w:ascii="Calibri" w:hAnsi="Calibri" w:cs="Calibri"/>
          <w:noProof/>
        </w:rPr>
        <w:tab/>
        <w:t xml:space="preserve">Basta M, Van Goor F, Luccioli S, Billings EM, Vortmeyer AO, Baranyi L, et al. F(ab)’2-mediated neutralization of C3a and C5a anaphylatoxins: A novel effector function of immunoglobulins. Nat Med. 2003;9:431–8. </w:t>
      </w:r>
    </w:p>
    <w:p w14:paraId="50297C6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66. </w:t>
      </w:r>
      <w:r w:rsidRPr="00DC4AAC">
        <w:rPr>
          <w:rFonts w:ascii="Calibri" w:hAnsi="Calibri" w:cs="Calibri"/>
          <w:noProof/>
        </w:rPr>
        <w:tab/>
        <w:t xml:space="preserve">Lutz HU, Späth PJ. Anti-inflammatory effect of intravenous immunoglobulin mediated through modulation of complement activation. Clin Rev Allergy Immunol. 2005;29:207–12. </w:t>
      </w:r>
    </w:p>
    <w:p w14:paraId="629783BE"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67. </w:t>
      </w:r>
      <w:r w:rsidRPr="00DC4AAC">
        <w:rPr>
          <w:rFonts w:ascii="Calibri" w:hAnsi="Calibri" w:cs="Calibri"/>
          <w:noProof/>
        </w:rPr>
        <w:tab/>
        <w:t>Zhou H, Olsen H, So E, Mérigeon E, Rybin D, Owens J, et al. A fully recombinant human IgG1 Fc multimer (GL-2045) inhibits complement-mediated cytotoxicity and induces iC3b. Blood Adv [Internet]. 2017;1:504–15. Available from: http://www.bloodadvances.org/content/1/8/504?sso-checked=true</w:t>
      </w:r>
    </w:p>
    <w:p w14:paraId="69A5EC8F"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68. </w:t>
      </w:r>
      <w:r w:rsidRPr="00DC4AAC">
        <w:rPr>
          <w:rFonts w:ascii="Calibri" w:hAnsi="Calibri" w:cs="Calibri"/>
          <w:noProof/>
        </w:rPr>
        <w:tab/>
        <w:t xml:space="preserve">Ugurlar D, Howes SC, De Kreuk BJ, Koning RI, De Jong RN, Beurskens FJ, et al. Structures of C1-IgG1 provide insights into how danger pattern recognition activates complement. Science. 2018;359:794–7. </w:t>
      </w:r>
    </w:p>
    <w:p w14:paraId="1D71104E"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69. </w:t>
      </w:r>
      <w:r w:rsidRPr="00DC4AAC">
        <w:rPr>
          <w:rFonts w:ascii="Calibri" w:hAnsi="Calibri" w:cs="Calibri"/>
          <w:noProof/>
        </w:rPr>
        <w:tab/>
        <w:t>Ido S, Kimiya H, Kobayashi K, Kominami H, Matsushige K, Yamada H. Immunoactive two-</w:t>
      </w:r>
      <w:r w:rsidRPr="00DC4AAC">
        <w:rPr>
          <w:rFonts w:ascii="Calibri" w:hAnsi="Calibri" w:cs="Calibri"/>
          <w:noProof/>
        </w:rPr>
        <w:lastRenderedPageBreak/>
        <w:t xml:space="preserve">dimensional self-assembly of monoclonal antibodies in aqueous solution revealed by atomic force microscopy. Nat Mater. 2014;13:264–70. </w:t>
      </w:r>
    </w:p>
    <w:p w14:paraId="158B3876"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70. </w:t>
      </w:r>
      <w:r w:rsidRPr="00DC4AAC">
        <w:rPr>
          <w:rFonts w:ascii="Calibri" w:hAnsi="Calibri" w:cs="Calibri"/>
          <w:noProof/>
        </w:rPr>
        <w:tab/>
        <w:t>Kaneko Y, Nimmerjahn F, Ravetch J V. Anti-inflammatory activity of immunoglobulin G resulting from Fc sialylation. Science (80- ) [Internet]. 2006;313(5787):670–3. Available from: http://www.ncbi.nlm.nih.gov/pubmed/24072822%5Cnhttp://www.ncbi.nlm.nih.gov/pubmed/16888140</w:t>
      </w:r>
    </w:p>
    <w:p w14:paraId="1901BC38"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71. </w:t>
      </w:r>
      <w:r w:rsidRPr="00DC4AAC">
        <w:rPr>
          <w:rFonts w:ascii="Calibri" w:hAnsi="Calibri" w:cs="Calibri"/>
          <w:noProof/>
        </w:rPr>
        <w:tab/>
        <w:t xml:space="preserve">Anthony RM, Nimmerjahn F, Ashline DJ, Reinhold VN, Paulson JC, Ravetch J V. Recapitulation of IVIG anti-inflammatory activity with a recombinant IgG Fc. Science. 2008;320:373–6. </w:t>
      </w:r>
    </w:p>
    <w:p w14:paraId="729E7068"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72. </w:t>
      </w:r>
      <w:r w:rsidRPr="00DC4AAC">
        <w:rPr>
          <w:rFonts w:ascii="Calibri" w:hAnsi="Calibri" w:cs="Calibri"/>
          <w:noProof/>
        </w:rPr>
        <w:tab/>
        <w:t>Anthony RM, Wermeling F, Karlsson MCI, Ravetch J V. Identification of a receptor required for the anti-inflammatory activity of IVIG. Proc Natl Acad Sci U S A [Internet]. 2008;105(50):19571–8. Available from: http://www.pnas.org/content/105/50/19571</w:t>
      </w:r>
    </w:p>
    <w:p w14:paraId="434B2B3C"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73. </w:t>
      </w:r>
      <w:r w:rsidRPr="00DC4AAC">
        <w:rPr>
          <w:rFonts w:ascii="Calibri" w:hAnsi="Calibri" w:cs="Calibri"/>
          <w:noProof/>
        </w:rPr>
        <w:tab/>
        <w:t xml:space="preserve">Park JY, Choi H jwa, Prabagar MGV, Choi WS, Kim SJ, Cheong C, et al. The C-type lectin CD209b is expressed on microglia and it mediates the uptake of capsular polysaccharides of Streptococcus pneumoniae. Neurosci Lett. 2009;450:246–51. </w:t>
      </w:r>
    </w:p>
    <w:p w14:paraId="35C6748A"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74. </w:t>
      </w:r>
      <w:r w:rsidRPr="00DC4AAC">
        <w:rPr>
          <w:rFonts w:ascii="Calibri" w:hAnsi="Calibri" w:cs="Calibri"/>
          <w:noProof/>
        </w:rPr>
        <w:tab/>
        <w:t xml:space="preserve">Campbell IK, Miescher S, Branch DR, Mott PJ, Lazarus AH, Han D, et al. Therapeutic Effect of IVIG on Inflammatory Arthritis in Mice Is Dependent on the Fc Portion and Independent of Sialylation or Basophils. J Immunol. 2014;192:5031–8. </w:t>
      </w:r>
    </w:p>
    <w:p w14:paraId="1971A083"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75. </w:t>
      </w:r>
      <w:r w:rsidRPr="00DC4AAC">
        <w:rPr>
          <w:rFonts w:ascii="Calibri" w:hAnsi="Calibri" w:cs="Calibri"/>
          <w:noProof/>
        </w:rPr>
        <w:tab/>
        <w:t xml:space="preserve">Yu X, Vasiljevic S, Mitchell DA, Crispin M, Scanlan CN. Dissecting the molecular mechanism of IVIg therapy: The interaction between serum IgG and DC-SIGN is independent of antibody glycoform or Fc domain. J Mol Biol. 2013;425:1253–8. </w:t>
      </w:r>
    </w:p>
    <w:p w14:paraId="372774EB"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76. </w:t>
      </w:r>
      <w:r w:rsidRPr="00DC4AAC">
        <w:rPr>
          <w:rFonts w:ascii="Calibri" w:hAnsi="Calibri" w:cs="Calibri"/>
          <w:noProof/>
        </w:rPr>
        <w:tab/>
        <w:t>Pepinsky RB, Shao Z, Ji B, Wang Q, Meng G, Walus L, et al. Exposure Levels of Anti-LINGO-1 Li81 Antibody in the Central Nervous System and Dose-Efficacy Relationships in Rat Spinal Cord Remyelination Models after Systemic Administration. J Pharmacol Exp Ther [Internet]. 2011;339(2):519–29. Available from: http://jpet.aspetjournals.org/cgi/doi/10.1124/jpet.111.183483</w:t>
      </w:r>
    </w:p>
    <w:p w14:paraId="7FBD1F1A"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77. </w:t>
      </w:r>
      <w:r w:rsidRPr="00DC4AAC">
        <w:rPr>
          <w:rFonts w:ascii="Calibri" w:hAnsi="Calibri" w:cs="Calibri"/>
          <w:noProof/>
        </w:rPr>
        <w:tab/>
        <w:t>St-Amour I, Paré I, Alata W, Coulombe K, Ringuette-Goulet C, Drouin-Ouellet J, et al. Brain Bioavailability of Human Intravenous Immunoglobulin and its Transport through the Murine Blood–Brain Barrier. J Cereb Blood Flow Metab [Internet]. 2013;33(12):1983–92. Available from: http://journals.sagepub.com/doi/10.1038/jcbfm.2013.160</w:t>
      </w:r>
    </w:p>
    <w:p w14:paraId="155F3071"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78. </w:t>
      </w:r>
      <w:r w:rsidRPr="00DC4AAC">
        <w:rPr>
          <w:rFonts w:ascii="Calibri" w:hAnsi="Calibri" w:cs="Calibri"/>
          <w:noProof/>
        </w:rPr>
        <w:tab/>
        <w:t xml:space="preserve">Hawkins CP, Munro PMG, Mackenzie F, Kesselring J, Tofts PS, Boulay EPGHD, et al. Duration </w:t>
      </w:r>
      <w:r w:rsidRPr="00DC4AAC">
        <w:rPr>
          <w:rFonts w:ascii="Calibri" w:hAnsi="Calibri" w:cs="Calibri"/>
          <w:noProof/>
        </w:rPr>
        <w:lastRenderedPageBreak/>
        <w:t xml:space="preserve">and selectivity of blood-brain barrier breakdown in chronic relapsing experimental allergic encephalomyelitis studied by gadolinium-dtpa and protein markers. Brain. 1990;113(2):365–78. </w:t>
      </w:r>
    </w:p>
    <w:p w14:paraId="7FD22C99"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79. </w:t>
      </w:r>
      <w:r w:rsidRPr="00DC4AAC">
        <w:rPr>
          <w:rFonts w:ascii="Calibri" w:hAnsi="Calibri" w:cs="Calibri"/>
          <w:noProof/>
        </w:rPr>
        <w:tab/>
        <w:t xml:space="preserve">Zhang G, Massaad CA, Gao T, Pillai L, Bogdanova N, Ghauri S, et al. Sialylated intravenous immunoglobulin suppress anti-ganglioside antibody mediated nerve injury. Exp Neurol. 2016;282:49–55. </w:t>
      </w:r>
    </w:p>
    <w:p w14:paraId="3D05E9B6"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80. </w:t>
      </w:r>
      <w:r w:rsidRPr="00DC4AAC">
        <w:rPr>
          <w:rFonts w:ascii="Calibri" w:hAnsi="Calibri" w:cs="Calibri"/>
          <w:noProof/>
        </w:rPr>
        <w:tab/>
        <w:t xml:space="preserve">Finke JM, Ayres KR, Brisbin RP, Hill HA, Wing EE, Banks WA. Antibody blood-brain barrier efflux is modulated by glycan modification. Biochim Biophys Acta - Gen Subj. 2017;1861(9):2228–39. </w:t>
      </w:r>
    </w:p>
    <w:p w14:paraId="26E3B5F9" w14:textId="77777777" w:rsidR="00DC4AAC" w:rsidRPr="00DC4AAC" w:rsidRDefault="00DC4AAC" w:rsidP="00DC4AAC">
      <w:pPr>
        <w:widowControl w:val="0"/>
        <w:autoSpaceDE w:val="0"/>
        <w:autoSpaceDN w:val="0"/>
        <w:adjustRightInd w:val="0"/>
        <w:spacing w:line="360" w:lineRule="auto"/>
        <w:ind w:left="640" w:hanging="640"/>
        <w:rPr>
          <w:rFonts w:ascii="Calibri" w:hAnsi="Calibri" w:cs="Calibri"/>
          <w:noProof/>
        </w:rPr>
      </w:pPr>
      <w:r w:rsidRPr="00DC4AAC">
        <w:rPr>
          <w:rFonts w:ascii="Calibri" w:hAnsi="Calibri" w:cs="Calibri"/>
          <w:noProof/>
        </w:rPr>
        <w:t xml:space="preserve">81. </w:t>
      </w:r>
      <w:r w:rsidRPr="00DC4AAC">
        <w:rPr>
          <w:rFonts w:ascii="Calibri" w:hAnsi="Calibri" w:cs="Calibri"/>
          <w:noProof/>
        </w:rPr>
        <w:tab/>
        <w:t xml:space="preserve">Györffy BA, Kun J, Török G, Bulyáki É, Borhegyi Z, Gulyássy P, et al. Local apoptotic-like mechanisms underlie complement-mediated synaptic pruning. Proc Natl Acad Sci. 2018 Jun 12;115(24):6303–8. </w:t>
      </w:r>
    </w:p>
    <w:p w14:paraId="1992014E" w14:textId="08C8D68B" w:rsidR="00E171F4" w:rsidRDefault="00AA1E20" w:rsidP="00DC4AAC">
      <w:pPr>
        <w:widowControl w:val="0"/>
        <w:autoSpaceDE w:val="0"/>
        <w:autoSpaceDN w:val="0"/>
        <w:adjustRightInd w:val="0"/>
        <w:spacing w:line="360" w:lineRule="auto"/>
        <w:ind w:left="640" w:hanging="640"/>
      </w:pPr>
      <w:r>
        <w:fldChar w:fldCharType="end"/>
      </w:r>
    </w:p>
    <w:p w14:paraId="1148D2B9" w14:textId="7EB94909" w:rsidR="00A42C50" w:rsidRDefault="00A42C50" w:rsidP="00453FAC">
      <w:pPr>
        <w:widowControl w:val="0"/>
        <w:autoSpaceDE w:val="0"/>
        <w:autoSpaceDN w:val="0"/>
        <w:adjustRightInd w:val="0"/>
        <w:spacing w:line="360" w:lineRule="auto"/>
        <w:ind w:left="640" w:hanging="640"/>
      </w:pPr>
    </w:p>
    <w:p w14:paraId="2533EC56" w14:textId="481ED76E" w:rsidR="00631182" w:rsidRDefault="00631182" w:rsidP="00453FAC">
      <w:pPr>
        <w:widowControl w:val="0"/>
        <w:autoSpaceDE w:val="0"/>
        <w:autoSpaceDN w:val="0"/>
        <w:adjustRightInd w:val="0"/>
        <w:spacing w:line="360" w:lineRule="auto"/>
        <w:ind w:left="640" w:hanging="640"/>
      </w:pPr>
    </w:p>
    <w:p w14:paraId="623B6256" w14:textId="655132EF" w:rsidR="00631182" w:rsidRDefault="00631182" w:rsidP="00453FAC">
      <w:pPr>
        <w:widowControl w:val="0"/>
        <w:autoSpaceDE w:val="0"/>
        <w:autoSpaceDN w:val="0"/>
        <w:adjustRightInd w:val="0"/>
        <w:spacing w:line="360" w:lineRule="auto"/>
        <w:ind w:left="640" w:hanging="640"/>
      </w:pPr>
    </w:p>
    <w:p w14:paraId="74ECDC43" w14:textId="016F9BA9" w:rsidR="00B729CD" w:rsidRDefault="00B729CD" w:rsidP="00B729CD">
      <w:pPr>
        <w:widowControl w:val="0"/>
        <w:autoSpaceDE w:val="0"/>
        <w:autoSpaceDN w:val="0"/>
        <w:adjustRightInd w:val="0"/>
        <w:spacing w:line="360" w:lineRule="auto"/>
        <w:rPr>
          <w:b/>
          <w:bCs/>
          <w:sz w:val="28"/>
          <w:szCs w:val="28"/>
        </w:rPr>
      </w:pPr>
    </w:p>
    <w:p w14:paraId="31B34862" w14:textId="718D2330" w:rsidR="007B3A92" w:rsidRDefault="007B3A92" w:rsidP="00B729CD">
      <w:pPr>
        <w:widowControl w:val="0"/>
        <w:autoSpaceDE w:val="0"/>
        <w:autoSpaceDN w:val="0"/>
        <w:adjustRightInd w:val="0"/>
        <w:spacing w:line="360" w:lineRule="auto"/>
        <w:rPr>
          <w:b/>
          <w:bCs/>
          <w:sz w:val="28"/>
          <w:szCs w:val="28"/>
        </w:rPr>
      </w:pPr>
    </w:p>
    <w:p w14:paraId="4E8BE950" w14:textId="14864500" w:rsidR="000F2966" w:rsidRDefault="000F2966" w:rsidP="00B729CD">
      <w:pPr>
        <w:widowControl w:val="0"/>
        <w:autoSpaceDE w:val="0"/>
        <w:autoSpaceDN w:val="0"/>
        <w:adjustRightInd w:val="0"/>
        <w:spacing w:line="360" w:lineRule="auto"/>
        <w:rPr>
          <w:b/>
          <w:bCs/>
          <w:sz w:val="28"/>
          <w:szCs w:val="28"/>
        </w:rPr>
      </w:pPr>
    </w:p>
    <w:p w14:paraId="7E11D794" w14:textId="01103375" w:rsidR="000F2966" w:rsidRDefault="000F2966" w:rsidP="00B729CD">
      <w:pPr>
        <w:widowControl w:val="0"/>
        <w:autoSpaceDE w:val="0"/>
        <w:autoSpaceDN w:val="0"/>
        <w:adjustRightInd w:val="0"/>
        <w:spacing w:line="360" w:lineRule="auto"/>
        <w:rPr>
          <w:b/>
          <w:bCs/>
          <w:sz w:val="28"/>
          <w:szCs w:val="28"/>
        </w:rPr>
      </w:pPr>
    </w:p>
    <w:p w14:paraId="6592BF88" w14:textId="753EDB6B" w:rsidR="000F2966" w:rsidRDefault="000F2966" w:rsidP="00B729CD">
      <w:pPr>
        <w:widowControl w:val="0"/>
        <w:autoSpaceDE w:val="0"/>
        <w:autoSpaceDN w:val="0"/>
        <w:adjustRightInd w:val="0"/>
        <w:spacing w:line="360" w:lineRule="auto"/>
        <w:rPr>
          <w:b/>
          <w:bCs/>
          <w:sz w:val="28"/>
          <w:szCs w:val="28"/>
        </w:rPr>
      </w:pPr>
    </w:p>
    <w:p w14:paraId="07749096" w14:textId="2EE3B7CF" w:rsidR="000F2966" w:rsidRDefault="000F2966" w:rsidP="00B729CD">
      <w:pPr>
        <w:widowControl w:val="0"/>
        <w:autoSpaceDE w:val="0"/>
        <w:autoSpaceDN w:val="0"/>
        <w:adjustRightInd w:val="0"/>
        <w:spacing w:line="360" w:lineRule="auto"/>
        <w:rPr>
          <w:b/>
          <w:bCs/>
          <w:sz w:val="28"/>
          <w:szCs w:val="28"/>
        </w:rPr>
      </w:pPr>
    </w:p>
    <w:p w14:paraId="710F5996" w14:textId="403E700F" w:rsidR="000F2966" w:rsidRDefault="000F2966" w:rsidP="00B729CD">
      <w:pPr>
        <w:widowControl w:val="0"/>
        <w:autoSpaceDE w:val="0"/>
        <w:autoSpaceDN w:val="0"/>
        <w:adjustRightInd w:val="0"/>
        <w:spacing w:line="360" w:lineRule="auto"/>
        <w:rPr>
          <w:b/>
          <w:bCs/>
          <w:sz w:val="28"/>
          <w:szCs w:val="28"/>
        </w:rPr>
      </w:pPr>
    </w:p>
    <w:p w14:paraId="365DB4D5" w14:textId="340AFE6A" w:rsidR="000F2966" w:rsidRDefault="000F2966" w:rsidP="00B729CD">
      <w:pPr>
        <w:widowControl w:val="0"/>
        <w:autoSpaceDE w:val="0"/>
        <w:autoSpaceDN w:val="0"/>
        <w:adjustRightInd w:val="0"/>
        <w:spacing w:line="360" w:lineRule="auto"/>
        <w:rPr>
          <w:b/>
          <w:bCs/>
          <w:sz w:val="28"/>
          <w:szCs w:val="28"/>
        </w:rPr>
      </w:pPr>
    </w:p>
    <w:p w14:paraId="24CF06FF" w14:textId="5BF0B6F0" w:rsidR="000F2966" w:rsidRDefault="000F2966" w:rsidP="00B729CD">
      <w:pPr>
        <w:widowControl w:val="0"/>
        <w:autoSpaceDE w:val="0"/>
        <w:autoSpaceDN w:val="0"/>
        <w:adjustRightInd w:val="0"/>
        <w:spacing w:line="360" w:lineRule="auto"/>
        <w:rPr>
          <w:b/>
          <w:bCs/>
          <w:sz w:val="28"/>
          <w:szCs w:val="28"/>
        </w:rPr>
      </w:pPr>
    </w:p>
    <w:p w14:paraId="3CA6FDDD" w14:textId="11F79812" w:rsidR="000F2966" w:rsidRDefault="000F2966" w:rsidP="00B729CD">
      <w:pPr>
        <w:widowControl w:val="0"/>
        <w:autoSpaceDE w:val="0"/>
        <w:autoSpaceDN w:val="0"/>
        <w:adjustRightInd w:val="0"/>
        <w:spacing w:line="360" w:lineRule="auto"/>
        <w:rPr>
          <w:b/>
          <w:bCs/>
          <w:sz w:val="28"/>
          <w:szCs w:val="28"/>
        </w:rPr>
      </w:pPr>
    </w:p>
    <w:p w14:paraId="6291A9DA" w14:textId="4798837A" w:rsidR="000F2966" w:rsidRDefault="000F2966" w:rsidP="00B729CD">
      <w:pPr>
        <w:widowControl w:val="0"/>
        <w:autoSpaceDE w:val="0"/>
        <w:autoSpaceDN w:val="0"/>
        <w:adjustRightInd w:val="0"/>
        <w:spacing w:line="360" w:lineRule="auto"/>
        <w:rPr>
          <w:b/>
          <w:bCs/>
          <w:sz w:val="28"/>
          <w:szCs w:val="28"/>
        </w:rPr>
      </w:pPr>
    </w:p>
    <w:p w14:paraId="40F8A933" w14:textId="20F02426" w:rsidR="000F2966" w:rsidRDefault="000F2966" w:rsidP="00B729CD">
      <w:pPr>
        <w:widowControl w:val="0"/>
        <w:autoSpaceDE w:val="0"/>
        <w:autoSpaceDN w:val="0"/>
        <w:adjustRightInd w:val="0"/>
        <w:spacing w:line="360" w:lineRule="auto"/>
        <w:rPr>
          <w:b/>
          <w:bCs/>
          <w:sz w:val="28"/>
          <w:szCs w:val="28"/>
        </w:rPr>
      </w:pPr>
    </w:p>
    <w:p w14:paraId="1031FE4B" w14:textId="77777777" w:rsidR="000F2966" w:rsidRDefault="000F2966" w:rsidP="00B729CD">
      <w:pPr>
        <w:widowControl w:val="0"/>
        <w:autoSpaceDE w:val="0"/>
        <w:autoSpaceDN w:val="0"/>
        <w:adjustRightInd w:val="0"/>
        <w:spacing w:line="360" w:lineRule="auto"/>
        <w:rPr>
          <w:b/>
          <w:bCs/>
          <w:sz w:val="28"/>
          <w:szCs w:val="28"/>
        </w:rPr>
      </w:pPr>
    </w:p>
    <w:p w14:paraId="1141FD5E" w14:textId="77777777" w:rsidR="007B3A92" w:rsidRDefault="007B3A92" w:rsidP="00B729CD">
      <w:pPr>
        <w:widowControl w:val="0"/>
        <w:autoSpaceDE w:val="0"/>
        <w:autoSpaceDN w:val="0"/>
        <w:adjustRightInd w:val="0"/>
        <w:spacing w:line="360" w:lineRule="auto"/>
        <w:rPr>
          <w:b/>
          <w:bCs/>
          <w:sz w:val="28"/>
          <w:szCs w:val="28"/>
        </w:rPr>
      </w:pPr>
    </w:p>
    <w:p w14:paraId="5B9399CA" w14:textId="165278B1" w:rsidR="00F5609E" w:rsidRPr="0094062B" w:rsidRDefault="008053B0" w:rsidP="00B729CD">
      <w:pPr>
        <w:widowControl w:val="0"/>
        <w:autoSpaceDE w:val="0"/>
        <w:autoSpaceDN w:val="0"/>
        <w:adjustRightInd w:val="0"/>
        <w:spacing w:line="360" w:lineRule="auto"/>
        <w:rPr>
          <w:rFonts w:cstheme="minorHAnsi"/>
          <w:b/>
          <w:bCs/>
        </w:rPr>
      </w:pPr>
      <w:r w:rsidRPr="007C454B">
        <w:rPr>
          <w:b/>
          <w:bCs/>
        </w:rPr>
        <w:t xml:space="preserve">Table 1. </w:t>
      </w:r>
      <w:r w:rsidRPr="007C454B">
        <w:rPr>
          <w:rFonts w:cstheme="minorHAnsi"/>
          <w:b/>
          <w:bCs/>
        </w:rPr>
        <w:t>Properties of selected leads manufactured in CHO-S cells</w:t>
      </w:r>
    </w:p>
    <w:tbl>
      <w:tblPr>
        <w:tblStyle w:val="TableGrid"/>
        <w:tblW w:w="10490" w:type="dxa"/>
        <w:tblInd w:w="-714" w:type="dxa"/>
        <w:tblLayout w:type="fixed"/>
        <w:tblLook w:val="04A0" w:firstRow="1" w:lastRow="0" w:firstColumn="1" w:lastColumn="0" w:noHBand="0" w:noVBand="1"/>
      </w:tblPr>
      <w:tblGrid>
        <w:gridCol w:w="1555"/>
        <w:gridCol w:w="1281"/>
        <w:gridCol w:w="1559"/>
        <w:gridCol w:w="1559"/>
        <w:gridCol w:w="1559"/>
        <w:gridCol w:w="1560"/>
        <w:gridCol w:w="1417"/>
      </w:tblGrid>
      <w:tr w:rsidR="00827D54" w:rsidRPr="00970289" w14:paraId="7657BEED" w14:textId="77777777" w:rsidTr="0094062B">
        <w:tc>
          <w:tcPr>
            <w:tcW w:w="1555" w:type="dxa"/>
          </w:tcPr>
          <w:p w14:paraId="19706592" w14:textId="335443DF" w:rsidR="008053B0" w:rsidRPr="0094062B" w:rsidRDefault="00827D54" w:rsidP="001D7300">
            <w:pPr>
              <w:rPr>
                <w:rFonts w:cstheme="minorHAnsi"/>
                <w:b/>
                <w:bCs/>
                <w:sz w:val="20"/>
                <w:szCs w:val="20"/>
              </w:rPr>
            </w:pPr>
            <w:r w:rsidRPr="0094062B">
              <w:rPr>
                <w:rFonts w:cstheme="minorHAnsi"/>
                <w:b/>
                <w:bCs/>
                <w:sz w:val="20"/>
                <w:szCs w:val="20"/>
              </w:rPr>
              <w:t>Construct</w:t>
            </w:r>
            <w:r w:rsidR="0094062B" w:rsidRPr="0094062B">
              <w:rPr>
                <w:rFonts w:cstheme="minorHAnsi"/>
                <w:b/>
                <w:bCs/>
                <w:sz w:val="20"/>
                <w:szCs w:val="20"/>
              </w:rPr>
              <w:t xml:space="preserve"> name</w:t>
            </w:r>
          </w:p>
        </w:tc>
        <w:tc>
          <w:tcPr>
            <w:tcW w:w="1281" w:type="dxa"/>
          </w:tcPr>
          <w:p w14:paraId="07F55B3F" w14:textId="77777777" w:rsidR="008053B0" w:rsidRPr="0094062B" w:rsidRDefault="008053B0" w:rsidP="001D7300">
            <w:pPr>
              <w:rPr>
                <w:rFonts w:cstheme="minorHAnsi"/>
                <w:b/>
                <w:bCs/>
                <w:sz w:val="20"/>
                <w:szCs w:val="20"/>
              </w:rPr>
            </w:pPr>
            <w:r w:rsidRPr="0094062B">
              <w:rPr>
                <w:rFonts w:cstheme="minorHAnsi"/>
                <w:b/>
                <w:bCs/>
                <w:sz w:val="20"/>
                <w:szCs w:val="20"/>
              </w:rPr>
              <w:t>IgG1-Fc</w:t>
            </w:r>
          </w:p>
        </w:tc>
        <w:tc>
          <w:tcPr>
            <w:tcW w:w="1559" w:type="dxa"/>
          </w:tcPr>
          <w:p w14:paraId="6ABA451E" w14:textId="4505B78D" w:rsidR="008053B0" w:rsidRPr="0094062B" w:rsidRDefault="00827D54" w:rsidP="001D7300">
            <w:pPr>
              <w:rPr>
                <w:rFonts w:cstheme="minorHAnsi"/>
                <w:b/>
                <w:bCs/>
                <w:sz w:val="20"/>
                <w:szCs w:val="20"/>
              </w:rPr>
            </w:pPr>
            <w:r w:rsidRPr="0094062B">
              <w:rPr>
                <w:rFonts w:cstheme="minorHAnsi"/>
                <w:b/>
                <w:bCs/>
                <w:sz w:val="20"/>
                <w:szCs w:val="20"/>
              </w:rPr>
              <w:t>D221N/C309L/N297A/C575A</w:t>
            </w:r>
          </w:p>
        </w:tc>
        <w:tc>
          <w:tcPr>
            <w:tcW w:w="1559" w:type="dxa"/>
          </w:tcPr>
          <w:p w14:paraId="06FA89D0" w14:textId="53D9F48D" w:rsidR="008053B0" w:rsidRPr="0094062B" w:rsidRDefault="00827D54" w:rsidP="001D7300">
            <w:pPr>
              <w:rPr>
                <w:rFonts w:cstheme="minorHAnsi"/>
                <w:b/>
                <w:bCs/>
                <w:sz w:val="20"/>
                <w:szCs w:val="20"/>
              </w:rPr>
            </w:pPr>
            <w:r w:rsidRPr="0094062B">
              <w:rPr>
                <w:rFonts w:cstheme="minorHAnsi"/>
                <w:b/>
                <w:bCs/>
                <w:sz w:val="20"/>
                <w:szCs w:val="20"/>
              </w:rPr>
              <w:t>D221N/C575A</w:t>
            </w:r>
          </w:p>
        </w:tc>
        <w:tc>
          <w:tcPr>
            <w:tcW w:w="1559" w:type="dxa"/>
          </w:tcPr>
          <w:p w14:paraId="548591FB" w14:textId="7F04231C" w:rsidR="008053B0" w:rsidRPr="0094062B" w:rsidRDefault="00827D54" w:rsidP="001D7300">
            <w:pPr>
              <w:rPr>
                <w:rFonts w:cstheme="minorHAnsi"/>
                <w:b/>
                <w:bCs/>
                <w:sz w:val="20"/>
                <w:szCs w:val="20"/>
              </w:rPr>
            </w:pPr>
            <w:r w:rsidRPr="0094062B">
              <w:rPr>
                <w:rFonts w:cstheme="minorHAnsi"/>
                <w:b/>
                <w:bCs/>
                <w:sz w:val="20"/>
                <w:szCs w:val="20"/>
              </w:rPr>
              <w:t>D221N/C309L/N297A/N563A/C575A</w:t>
            </w:r>
          </w:p>
        </w:tc>
        <w:tc>
          <w:tcPr>
            <w:tcW w:w="1560" w:type="dxa"/>
          </w:tcPr>
          <w:p w14:paraId="233E2479" w14:textId="6EBB10B0" w:rsidR="008053B0" w:rsidRPr="0094062B" w:rsidRDefault="00827D54" w:rsidP="001D7300">
            <w:pPr>
              <w:rPr>
                <w:rFonts w:cstheme="minorHAnsi"/>
                <w:b/>
                <w:bCs/>
                <w:sz w:val="20"/>
                <w:szCs w:val="20"/>
              </w:rPr>
            </w:pPr>
            <w:r w:rsidRPr="0094062B">
              <w:rPr>
                <w:rFonts w:cstheme="minorHAnsi"/>
                <w:b/>
                <w:bCs/>
                <w:sz w:val="20"/>
                <w:szCs w:val="20"/>
              </w:rPr>
              <w:t>D221N/C309L/N563A/C575A</w:t>
            </w:r>
          </w:p>
        </w:tc>
        <w:tc>
          <w:tcPr>
            <w:tcW w:w="1417" w:type="dxa"/>
          </w:tcPr>
          <w:p w14:paraId="220A0B14" w14:textId="38C50355" w:rsidR="008053B0" w:rsidRPr="0094062B" w:rsidRDefault="00827D54" w:rsidP="001D7300">
            <w:pPr>
              <w:rPr>
                <w:rFonts w:cstheme="minorHAnsi"/>
                <w:b/>
                <w:bCs/>
                <w:sz w:val="20"/>
                <w:szCs w:val="20"/>
              </w:rPr>
            </w:pPr>
            <w:r w:rsidRPr="0094062B">
              <w:rPr>
                <w:rFonts w:cstheme="minorHAnsi"/>
                <w:b/>
                <w:bCs/>
                <w:sz w:val="20"/>
                <w:szCs w:val="20"/>
              </w:rPr>
              <w:t>N563A/C575A</w:t>
            </w:r>
          </w:p>
        </w:tc>
      </w:tr>
      <w:tr w:rsidR="00827D54" w:rsidRPr="00970289" w14:paraId="5C3F59A4" w14:textId="77777777" w:rsidTr="0094062B">
        <w:trPr>
          <w:trHeight w:val="1658"/>
        </w:trPr>
        <w:tc>
          <w:tcPr>
            <w:tcW w:w="1555" w:type="dxa"/>
          </w:tcPr>
          <w:p w14:paraId="350B5F87" w14:textId="77777777" w:rsidR="008053B0" w:rsidRPr="0094062B" w:rsidRDefault="0094062B" w:rsidP="001D7300">
            <w:pPr>
              <w:rPr>
                <w:rFonts w:cstheme="minorHAnsi"/>
                <w:b/>
                <w:bCs/>
                <w:sz w:val="20"/>
                <w:szCs w:val="20"/>
              </w:rPr>
            </w:pPr>
            <w:r w:rsidRPr="0094062B">
              <w:rPr>
                <w:rFonts w:cstheme="minorHAnsi"/>
                <w:b/>
                <w:bCs/>
                <w:sz w:val="20"/>
                <w:szCs w:val="20"/>
              </w:rPr>
              <w:t>Cartoon</w:t>
            </w:r>
          </w:p>
          <w:p w14:paraId="1F4480F0" w14:textId="1B29902F" w:rsidR="0094062B" w:rsidRPr="00970289" w:rsidRDefault="0094062B" w:rsidP="001D7300">
            <w:pPr>
              <w:rPr>
                <w:rFonts w:cstheme="minorHAnsi"/>
                <w:sz w:val="20"/>
                <w:szCs w:val="20"/>
              </w:rPr>
            </w:pPr>
            <w:r w:rsidRPr="0094062B">
              <w:rPr>
                <w:rFonts w:cstheme="minorHAnsi"/>
                <w:b/>
                <w:bCs/>
                <w:sz w:val="20"/>
                <w:szCs w:val="20"/>
              </w:rPr>
              <w:t>representation</w:t>
            </w:r>
          </w:p>
        </w:tc>
        <w:tc>
          <w:tcPr>
            <w:tcW w:w="1281" w:type="dxa"/>
          </w:tcPr>
          <w:p w14:paraId="22132DF6" w14:textId="77777777" w:rsidR="008053B0" w:rsidRPr="00970289" w:rsidRDefault="008053B0" w:rsidP="001D7300">
            <w:pPr>
              <w:rPr>
                <w:rFonts w:cstheme="minorHAnsi"/>
                <w:sz w:val="20"/>
                <w:szCs w:val="20"/>
              </w:rPr>
            </w:pPr>
            <w:r w:rsidRPr="00970289">
              <w:rPr>
                <w:rFonts w:cstheme="minorHAnsi"/>
                <w:noProof/>
                <w:sz w:val="20"/>
                <w:szCs w:val="20"/>
              </w:rPr>
              <w:drawing>
                <wp:anchor distT="0" distB="0" distL="114300" distR="114300" simplePos="0" relativeHeight="251659264" behindDoc="1" locked="0" layoutInCell="1" allowOverlap="1" wp14:anchorId="65C502A1" wp14:editId="5202C749">
                  <wp:simplePos x="0" y="0"/>
                  <wp:positionH relativeFrom="column">
                    <wp:posOffset>72390</wp:posOffset>
                  </wp:positionH>
                  <wp:positionV relativeFrom="paragraph">
                    <wp:posOffset>147378</wp:posOffset>
                  </wp:positionV>
                  <wp:extent cx="374650" cy="676910"/>
                  <wp:effectExtent l="0" t="0" r="6350" b="0"/>
                  <wp:wrapTight wrapText="bothSides">
                    <wp:wrapPolygon edited="0">
                      <wp:start x="0" y="0"/>
                      <wp:lineTo x="0" y="21073"/>
                      <wp:lineTo x="21234" y="21073"/>
                      <wp:lineTo x="212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4650" cy="67691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tcPr>
          <w:p w14:paraId="54D707BD" w14:textId="77777777" w:rsidR="008053B0" w:rsidRPr="00970289" w:rsidRDefault="008053B0" w:rsidP="001D7300">
            <w:pPr>
              <w:rPr>
                <w:rFonts w:cstheme="minorHAnsi"/>
                <w:sz w:val="20"/>
                <w:szCs w:val="20"/>
              </w:rPr>
            </w:pPr>
            <w:r w:rsidRPr="00970289">
              <w:rPr>
                <w:rFonts w:cstheme="minorHAnsi"/>
                <w:noProof/>
                <w:sz w:val="20"/>
                <w:szCs w:val="20"/>
              </w:rPr>
              <w:drawing>
                <wp:anchor distT="0" distB="0" distL="114300" distR="114300" simplePos="0" relativeHeight="251660288" behindDoc="1" locked="0" layoutInCell="1" allowOverlap="1" wp14:anchorId="4FA40B78" wp14:editId="6358CD2A">
                  <wp:simplePos x="0" y="0"/>
                  <wp:positionH relativeFrom="column">
                    <wp:posOffset>120938</wp:posOffset>
                  </wp:positionH>
                  <wp:positionV relativeFrom="paragraph">
                    <wp:posOffset>76200</wp:posOffset>
                  </wp:positionV>
                  <wp:extent cx="315191" cy="889000"/>
                  <wp:effectExtent l="0" t="0" r="2540" b="0"/>
                  <wp:wrapTight wrapText="bothSides">
                    <wp:wrapPolygon edited="0">
                      <wp:start x="0" y="0"/>
                      <wp:lineTo x="0" y="21291"/>
                      <wp:lineTo x="20903" y="21291"/>
                      <wp:lineTo x="209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191" cy="88900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tcPr>
          <w:p w14:paraId="5850C18A" w14:textId="77777777" w:rsidR="008053B0" w:rsidRPr="00970289" w:rsidRDefault="008053B0" w:rsidP="001D7300">
            <w:pPr>
              <w:rPr>
                <w:rFonts w:cstheme="minorHAnsi"/>
                <w:sz w:val="20"/>
                <w:szCs w:val="20"/>
              </w:rPr>
            </w:pPr>
            <w:r w:rsidRPr="00970289">
              <w:rPr>
                <w:rFonts w:cstheme="minorHAnsi"/>
                <w:noProof/>
                <w:sz w:val="20"/>
                <w:szCs w:val="20"/>
              </w:rPr>
              <w:drawing>
                <wp:anchor distT="0" distB="0" distL="114300" distR="114300" simplePos="0" relativeHeight="251661312" behindDoc="1" locked="0" layoutInCell="1" allowOverlap="1" wp14:anchorId="60C3A48A" wp14:editId="4C8C2BA2">
                  <wp:simplePos x="0" y="0"/>
                  <wp:positionH relativeFrom="column">
                    <wp:posOffset>122844</wp:posOffset>
                  </wp:positionH>
                  <wp:positionV relativeFrom="paragraph">
                    <wp:posOffset>76027</wp:posOffset>
                  </wp:positionV>
                  <wp:extent cx="314325" cy="911225"/>
                  <wp:effectExtent l="0" t="0" r="3175" b="3175"/>
                  <wp:wrapTight wrapText="bothSides">
                    <wp:wrapPolygon edited="0">
                      <wp:start x="0" y="0"/>
                      <wp:lineTo x="0" y="21374"/>
                      <wp:lineTo x="20945" y="21374"/>
                      <wp:lineTo x="209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4325" cy="911225"/>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tcPr>
          <w:p w14:paraId="2D1DA9D8" w14:textId="77777777" w:rsidR="008053B0" w:rsidRPr="00970289" w:rsidRDefault="008053B0" w:rsidP="001D7300">
            <w:pPr>
              <w:rPr>
                <w:rFonts w:cstheme="minorHAnsi"/>
                <w:sz w:val="20"/>
                <w:szCs w:val="20"/>
              </w:rPr>
            </w:pPr>
            <w:r w:rsidRPr="00970289">
              <w:rPr>
                <w:rFonts w:cstheme="minorHAnsi"/>
                <w:noProof/>
                <w:sz w:val="20"/>
                <w:szCs w:val="20"/>
              </w:rPr>
              <w:drawing>
                <wp:anchor distT="0" distB="0" distL="114300" distR="114300" simplePos="0" relativeHeight="251662336" behindDoc="1" locked="0" layoutInCell="1" allowOverlap="1" wp14:anchorId="3872B61A" wp14:editId="23C0CB87">
                  <wp:simplePos x="0" y="0"/>
                  <wp:positionH relativeFrom="column">
                    <wp:posOffset>-24130</wp:posOffset>
                  </wp:positionH>
                  <wp:positionV relativeFrom="paragraph">
                    <wp:posOffset>122555</wp:posOffset>
                  </wp:positionV>
                  <wp:extent cx="755015" cy="754380"/>
                  <wp:effectExtent l="0" t="0" r="0" b="0"/>
                  <wp:wrapTight wrapText="bothSides">
                    <wp:wrapPolygon edited="0">
                      <wp:start x="0" y="0"/>
                      <wp:lineTo x="0" y="21091"/>
                      <wp:lineTo x="21073" y="21091"/>
                      <wp:lineTo x="210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015" cy="754380"/>
                          </a:xfrm>
                          <a:prstGeom prst="rect">
                            <a:avLst/>
                          </a:prstGeom>
                        </pic:spPr>
                      </pic:pic>
                    </a:graphicData>
                  </a:graphic>
                  <wp14:sizeRelH relativeFrom="page">
                    <wp14:pctWidth>0</wp14:pctWidth>
                  </wp14:sizeRelH>
                  <wp14:sizeRelV relativeFrom="page">
                    <wp14:pctHeight>0</wp14:pctHeight>
                  </wp14:sizeRelV>
                </wp:anchor>
              </w:drawing>
            </w:r>
          </w:p>
        </w:tc>
        <w:tc>
          <w:tcPr>
            <w:tcW w:w="1560" w:type="dxa"/>
          </w:tcPr>
          <w:p w14:paraId="66098DB8" w14:textId="77777777" w:rsidR="008053B0" w:rsidRPr="00970289" w:rsidRDefault="008053B0" w:rsidP="001D7300">
            <w:pPr>
              <w:rPr>
                <w:rFonts w:cstheme="minorHAnsi"/>
                <w:sz w:val="20"/>
                <w:szCs w:val="20"/>
              </w:rPr>
            </w:pPr>
            <w:r w:rsidRPr="00970289">
              <w:rPr>
                <w:rFonts w:cstheme="minorHAnsi"/>
                <w:noProof/>
                <w:sz w:val="20"/>
                <w:szCs w:val="20"/>
              </w:rPr>
              <w:drawing>
                <wp:anchor distT="0" distB="0" distL="114300" distR="114300" simplePos="0" relativeHeight="251663360" behindDoc="1" locked="0" layoutInCell="1" allowOverlap="1" wp14:anchorId="364CC9D8" wp14:editId="3AE8281B">
                  <wp:simplePos x="0" y="0"/>
                  <wp:positionH relativeFrom="column">
                    <wp:posOffset>3810</wp:posOffset>
                  </wp:positionH>
                  <wp:positionV relativeFrom="paragraph">
                    <wp:posOffset>157480</wp:posOffset>
                  </wp:positionV>
                  <wp:extent cx="798830" cy="719455"/>
                  <wp:effectExtent l="0" t="0" r="1270" b="4445"/>
                  <wp:wrapTight wrapText="bothSides">
                    <wp:wrapPolygon edited="0">
                      <wp:start x="0" y="0"/>
                      <wp:lineTo x="0" y="21352"/>
                      <wp:lineTo x="21291" y="21352"/>
                      <wp:lineTo x="212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8830" cy="719455"/>
                          </a:xfrm>
                          <a:prstGeom prst="rect">
                            <a:avLst/>
                          </a:prstGeom>
                        </pic:spPr>
                      </pic:pic>
                    </a:graphicData>
                  </a:graphic>
                  <wp14:sizeRelH relativeFrom="page">
                    <wp14:pctWidth>0</wp14:pctWidth>
                  </wp14:sizeRelH>
                  <wp14:sizeRelV relativeFrom="page">
                    <wp14:pctHeight>0</wp14:pctHeight>
                  </wp14:sizeRelV>
                </wp:anchor>
              </w:drawing>
            </w:r>
          </w:p>
        </w:tc>
        <w:tc>
          <w:tcPr>
            <w:tcW w:w="1417" w:type="dxa"/>
          </w:tcPr>
          <w:p w14:paraId="178ECC46" w14:textId="77777777" w:rsidR="008053B0" w:rsidRPr="00970289" w:rsidRDefault="008053B0" w:rsidP="001D7300">
            <w:pPr>
              <w:rPr>
                <w:rFonts w:cstheme="minorHAnsi"/>
                <w:sz w:val="20"/>
                <w:szCs w:val="20"/>
              </w:rPr>
            </w:pPr>
            <w:r w:rsidRPr="00970289">
              <w:rPr>
                <w:rFonts w:cstheme="minorHAnsi"/>
                <w:noProof/>
                <w:sz w:val="20"/>
                <w:szCs w:val="20"/>
              </w:rPr>
              <w:drawing>
                <wp:anchor distT="0" distB="0" distL="114300" distR="114300" simplePos="0" relativeHeight="251664384" behindDoc="1" locked="0" layoutInCell="1" allowOverlap="1" wp14:anchorId="775755F8" wp14:editId="6C89F3D7">
                  <wp:simplePos x="0" y="0"/>
                  <wp:positionH relativeFrom="column">
                    <wp:posOffset>-2540</wp:posOffset>
                  </wp:positionH>
                  <wp:positionV relativeFrom="paragraph">
                    <wp:posOffset>179705</wp:posOffset>
                  </wp:positionV>
                  <wp:extent cx="798195" cy="699135"/>
                  <wp:effectExtent l="0" t="0" r="1905" b="0"/>
                  <wp:wrapTight wrapText="bothSides">
                    <wp:wrapPolygon edited="0">
                      <wp:start x="0" y="0"/>
                      <wp:lineTo x="0" y="21188"/>
                      <wp:lineTo x="21308" y="21188"/>
                      <wp:lineTo x="213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8195" cy="699135"/>
                          </a:xfrm>
                          <a:prstGeom prst="rect">
                            <a:avLst/>
                          </a:prstGeom>
                        </pic:spPr>
                      </pic:pic>
                    </a:graphicData>
                  </a:graphic>
                  <wp14:sizeRelH relativeFrom="page">
                    <wp14:pctWidth>0</wp14:pctWidth>
                  </wp14:sizeRelH>
                  <wp14:sizeRelV relativeFrom="page">
                    <wp14:pctHeight>0</wp14:pctHeight>
                  </wp14:sizeRelV>
                </wp:anchor>
              </w:drawing>
            </w:r>
          </w:p>
        </w:tc>
      </w:tr>
      <w:tr w:rsidR="00827D54" w:rsidRPr="00970289" w14:paraId="7EDAA0C0" w14:textId="77777777" w:rsidTr="0094062B">
        <w:tc>
          <w:tcPr>
            <w:tcW w:w="1555" w:type="dxa"/>
          </w:tcPr>
          <w:p w14:paraId="055EDBF9" w14:textId="77777777" w:rsidR="008053B0" w:rsidRPr="00FF65A8" w:rsidRDefault="008053B0" w:rsidP="001D7300">
            <w:pPr>
              <w:rPr>
                <w:rFonts w:cstheme="minorHAnsi"/>
                <w:b/>
                <w:bCs/>
                <w:sz w:val="20"/>
                <w:szCs w:val="20"/>
              </w:rPr>
            </w:pPr>
            <w:r w:rsidRPr="00FF65A8">
              <w:rPr>
                <w:rFonts w:cstheme="minorHAnsi"/>
                <w:b/>
                <w:bCs/>
                <w:sz w:val="20"/>
                <w:szCs w:val="20"/>
              </w:rPr>
              <w:t>State by SDS-PAGE</w:t>
            </w:r>
          </w:p>
        </w:tc>
        <w:tc>
          <w:tcPr>
            <w:tcW w:w="1281" w:type="dxa"/>
          </w:tcPr>
          <w:p w14:paraId="4BDFBD88" w14:textId="77777777" w:rsidR="008053B0" w:rsidRDefault="002F4C55" w:rsidP="001D7300">
            <w:pPr>
              <w:rPr>
                <w:rFonts w:cstheme="minorHAnsi"/>
                <w:sz w:val="21"/>
                <w:szCs w:val="21"/>
              </w:rPr>
            </w:pPr>
            <w:r>
              <w:rPr>
                <w:rFonts w:cstheme="minorHAnsi"/>
                <w:sz w:val="21"/>
                <w:szCs w:val="21"/>
              </w:rPr>
              <w:t>-</w:t>
            </w:r>
            <w:r w:rsidR="008053B0" w:rsidRPr="00970289">
              <w:rPr>
                <w:rFonts w:cstheme="minorHAnsi"/>
                <w:sz w:val="21"/>
                <w:szCs w:val="21"/>
              </w:rPr>
              <w:t>monomer</w:t>
            </w:r>
          </w:p>
          <w:p w14:paraId="7CC1CC88" w14:textId="77777777" w:rsidR="000832F3" w:rsidRDefault="000832F3" w:rsidP="001D7300">
            <w:pPr>
              <w:rPr>
                <w:rFonts w:cstheme="minorHAnsi"/>
                <w:sz w:val="21"/>
                <w:szCs w:val="21"/>
              </w:rPr>
            </w:pPr>
          </w:p>
          <w:p w14:paraId="5A994A20" w14:textId="77777777" w:rsidR="000832F3" w:rsidRDefault="000832F3" w:rsidP="001D7300">
            <w:pPr>
              <w:rPr>
                <w:rFonts w:cstheme="minorHAnsi"/>
                <w:sz w:val="21"/>
                <w:szCs w:val="21"/>
              </w:rPr>
            </w:pPr>
          </w:p>
          <w:p w14:paraId="5353E525" w14:textId="77777777" w:rsidR="000832F3" w:rsidRDefault="000832F3" w:rsidP="001D7300">
            <w:pPr>
              <w:rPr>
                <w:rFonts w:cstheme="minorHAnsi"/>
                <w:sz w:val="21"/>
                <w:szCs w:val="21"/>
              </w:rPr>
            </w:pPr>
          </w:p>
          <w:p w14:paraId="23298872" w14:textId="3411D111" w:rsidR="000832F3" w:rsidRPr="00970289" w:rsidRDefault="000832F3" w:rsidP="001D7300">
            <w:pPr>
              <w:rPr>
                <w:rFonts w:cstheme="minorHAnsi"/>
                <w:sz w:val="21"/>
                <w:szCs w:val="21"/>
              </w:rPr>
            </w:pPr>
          </w:p>
        </w:tc>
        <w:tc>
          <w:tcPr>
            <w:tcW w:w="1559" w:type="dxa"/>
          </w:tcPr>
          <w:p w14:paraId="0B643E9B" w14:textId="438CAA9E"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monomer</w:t>
            </w:r>
          </w:p>
        </w:tc>
        <w:tc>
          <w:tcPr>
            <w:tcW w:w="1559" w:type="dxa"/>
          </w:tcPr>
          <w:p w14:paraId="1FC274D6" w14:textId="067A3C81"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monomer</w:t>
            </w:r>
          </w:p>
          <w:p w14:paraId="0208F5E3" w14:textId="1A6FD0D2"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dimer</w:t>
            </w:r>
          </w:p>
          <w:p w14:paraId="6B83D20E" w14:textId="19C72F25" w:rsidR="002F4C55" w:rsidRDefault="002F4C55" w:rsidP="001D7300">
            <w:pPr>
              <w:rPr>
                <w:rFonts w:cstheme="minorHAnsi"/>
                <w:sz w:val="21"/>
                <w:szCs w:val="21"/>
              </w:rPr>
            </w:pPr>
            <w:r>
              <w:rPr>
                <w:rFonts w:cstheme="minorHAnsi"/>
                <w:sz w:val="21"/>
                <w:szCs w:val="21"/>
              </w:rPr>
              <w:t>-</w:t>
            </w:r>
            <w:r w:rsidR="008053B0" w:rsidRPr="00970289">
              <w:rPr>
                <w:rFonts w:cstheme="minorHAnsi"/>
                <w:sz w:val="21"/>
                <w:szCs w:val="21"/>
              </w:rPr>
              <w:t>trimer</w:t>
            </w:r>
            <w:r>
              <w:rPr>
                <w:rFonts w:cstheme="minorHAnsi"/>
                <w:sz w:val="21"/>
                <w:szCs w:val="21"/>
              </w:rPr>
              <w:t xml:space="preserve"> </w:t>
            </w:r>
          </w:p>
          <w:p w14:paraId="0968622E" w14:textId="77777777" w:rsidR="002F4C55" w:rsidRDefault="002F4C55" w:rsidP="001D7300">
            <w:pPr>
              <w:rPr>
                <w:rFonts w:cstheme="minorHAnsi"/>
                <w:sz w:val="21"/>
                <w:szCs w:val="21"/>
              </w:rPr>
            </w:pPr>
          </w:p>
          <w:p w14:paraId="2CCDA529" w14:textId="1BD637EB" w:rsidR="002F4C55" w:rsidRPr="00970289" w:rsidRDefault="002F4C55" w:rsidP="001D7300">
            <w:pPr>
              <w:rPr>
                <w:rFonts w:cstheme="minorHAnsi"/>
                <w:sz w:val="21"/>
                <w:szCs w:val="21"/>
              </w:rPr>
            </w:pPr>
            <w:r>
              <w:rPr>
                <w:rFonts w:cstheme="minorHAnsi"/>
                <w:sz w:val="21"/>
                <w:szCs w:val="21"/>
              </w:rPr>
              <w:t xml:space="preserve">Cys-309 </w:t>
            </w:r>
            <w:r w:rsidR="000832F3">
              <w:rPr>
                <w:rFonts w:cstheme="minorHAnsi"/>
                <w:sz w:val="21"/>
                <w:szCs w:val="21"/>
              </w:rPr>
              <w:t>multimers possible</w:t>
            </w:r>
          </w:p>
        </w:tc>
        <w:tc>
          <w:tcPr>
            <w:tcW w:w="1559" w:type="dxa"/>
          </w:tcPr>
          <w:p w14:paraId="6845E95D" w14:textId="0AFD4824"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non-covalent</w:t>
            </w:r>
          </w:p>
          <w:p w14:paraId="5D1692F7" w14:textId="77777777" w:rsidR="008053B0" w:rsidRPr="00970289" w:rsidRDefault="008053B0" w:rsidP="001D7300">
            <w:pPr>
              <w:rPr>
                <w:rFonts w:cstheme="minorHAnsi"/>
                <w:sz w:val="21"/>
                <w:szCs w:val="21"/>
              </w:rPr>
            </w:pPr>
            <w:r>
              <w:rPr>
                <w:rFonts w:cstheme="minorHAnsi"/>
                <w:sz w:val="21"/>
                <w:szCs w:val="21"/>
              </w:rPr>
              <w:t>monomers</w:t>
            </w:r>
          </w:p>
        </w:tc>
        <w:tc>
          <w:tcPr>
            <w:tcW w:w="1560" w:type="dxa"/>
          </w:tcPr>
          <w:p w14:paraId="4610E313" w14:textId="31C553D0"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non-covalent</w:t>
            </w:r>
          </w:p>
          <w:p w14:paraId="10E42579" w14:textId="77777777" w:rsidR="008053B0" w:rsidRPr="00970289" w:rsidRDefault="008053B0" w:rsidP="001D7300">
            <w:pPr>
              <w:rPr>
                <w:rFonts w:cstheme="minorHAnsi"/>
                <w:sz w:val="21"/>
                <w:szCs w:val="21"/>
              </w:rPr>
            </w:pPr>
            <w:r w:rsidRPr="00970289">
              <w:rPr>
                <w:rFonts w:cstheme="minorHAnsi"/>
                <w:sz w:val="21"/>
                <w:szCs w:val="21"/>
              </w:rPr>
              <w:t>m</w:t>
            </w:r>
            <w:r>
              <w:rPr>
                <w:rFonts w:cstheme="minorHAnsi"/>
                <w:sz w:val="21"/>
                <w:szCs w:val="21"/>
              </w:rPr>
              <w:t>onomers</w:t>
            </w:r>
          </w:p>
        </w:tc>
        <w:tc>
          <w:tcPr>
            <w:tcW w:w="1417" w:type="dxa"/>
          </w:tcPr>
          <w:p w14:paraId="41C74A31" w14:textId="7A2D1805" w:rsidR="002F4C55" w:rsidRDefault="002F4C55" w:rsidP="001D7300">
            <w:pPr>
              <w:rPr>
                <w:rFonts w:cstheme="minorHAnsi"/>
                <w:sz w:val="21"/>
                <w:szCs w:val="21"/>
              </w:rPr>
            </w:pPr>
            <w:r>
              <w:rPr>
                <w:rFonts w:cstheme="minorHAnsi"/>
                <w:sz w:val="21"/>
                <w:szCs w:val="21"/>
              </w:rPr>
              <w:t>-c</w:t>
            </w:r>
            <w:r w:rsidR="008053B0" w:rsidRPr="00970289">
              <w:rPr>
                <w:rFonts w:cstheme="minorHAnsi"/>
                <w:sz w:val="21"/>
                <w:szCs w:val="21"/>
              </w:rPr>
              <w:t>ovalent</w:t>
            </w:r>
            <w:r w:rsidR="00C50DF5">
              <w:rPr>
                <w:rFonts w:cstheme="minorHAnsi"/>
                <w:sz w:val="21"/>
                <w:szCs w:val="21"/>
              </w:rPr>
              <w:t xml:space="preserve"> multimers </w:t>
            </w:r>
          </w:p>
          <w:p w14:paraId="052F652C" w14:textId="77777777" w:rsidR="002F4C55" w:rsidRDefault="002F4C55" w:rsidP="001D7300">
            <w:pPr>
              <w:rPr>
                <w:rFonts w:cstheme="minorHAnsi"/>
                <w:sz w:val="21"/>
                <w:szCs w:val="21"/>
              </w:rPr>
            </w:pPr>
          </w:p>
          <w:p w14:paraId="0CAC72A1" w14:textId="77777777" w:rsidR="002F4C55" w:rsidRDefault="002F4C55" w:rsidP="001D7300">
            <w:pPr>
              <w:rPr>
                <w:rFonts w:cstheme="minorHAnsi"/>
                <w:sz w:val="21"/>
                <w:szCs w:val="21"/>
              </w:rPr>
            </w:pPr>
          </w:p>
          <w:p w14:paraId="58DF0549" w14:textId="6E518CE6" w:rsidR="008053B0" w:rsidRPr="00970289" w:rsidRDefault="00C50DF5" w:rsidP="001D7300">
            <w:pPr>
              <w:rPr>
                <w:rFonts w:cstheme="minorHAnsi"/>
                <w:sz w:val="21"/>
                <w:szCs w:val="21"/>
              </w:rPr>
            </w:pPr>
            <w:r>
              <w:rPr>
                <w:rFonts w:cstheme="minorHAnsi"/>
                <w:sz w:val="21"/>
                <w:szCs w:val="21"/>
              </w:rPr>
              <w:t>Cys-309</w:t>
            </w:r>
            <w:r w:rsidR="002F4C55">
              <w:rPr>
                <w:rFonts w:cstheme="minorHAnsi"/>
                <w:sz w:val="21"/>
                <w:szCs w:val="21"/>
              </w:rPr>
              <w:t xml:space="preserve"> </w:t>
            </w:r>
            <w:r w:rsidR="000832F3">
              <w:rPr>
                <w:rFonts w:cstheme="minorHAnsi"/>
                <w:sz w:val="21"/>
                <w:szCs w:val="21"/>
              </w:rPr>
              <w:t>multimers possible</w:t>
            </w:r>
          </w:p>
        </w:tc>
      </w:tr>
      <w:tr w:rsidR="00827D54" w:rsidRPr="00970289" w14:paraId="67578AA9" w14:textId="77777777" w:rsidTr="0094062B">
        <w:tc>
          <w:tcPr>
            <w:tcW w:w="1555" w:type="dxa"/>
          </w:tcPr>
          <w:p w14:paraId="2455E0C9" w14:textId="77777777" w:rsidR="008053B0" w:rsidRPr="00FF65A8" w:rsidRDefault="008053B0" w:rsidP="001D7300">
            <w:pPr>
              <w:rPr>
                <w:rFonts w:cstheme="minorHAnsi"/>
                <w:b/>
                <w:bCs/>
                <w:sz w:val="20"/>
                <w:szCs w:val="20"/>
              </w:rPr>
            </w:pPr>
            <w:r w:rsidRPr="00FF65A8">
              <w:rPr>
                <w:rFonts w:cstheme="minorHAnsi"/>
                <w:b/>
                <w:bCs/>
                <w:sz w:val="20"/>
                <w:szCs w:val="20"/>
              </w:rPr>
              <w:t>State by SEC</w:t>
            </w:r>
          </w:p>
        </w:tc>
        <w:tc>
          <w:tcPr>
            <w:tcW w:w="1281" w:type="dxa"/>
          </w:tcPr>
          <w:p w14:paraId="0D9D3C64" w14:textId="2EFF6045"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monomer</w:t>
            </w:r>
          </w:p>
        </w:tc>
        <w:tc>
          <w:tcPr>
            <w:tcW w:w="1559" w:type="dxa"/>
          </w:tcPr>
          <w:p w14:paraId="642272BC" w14:textId="161CF2A3"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monomer</w:t>
            </w:r>
          </w:p>
        </w:tc>
        <w:tc>
          <w:tcPr>
            <w:tcW w:w="1559" w:type="dxa"/>
          </w:tcPr>
          <w:p w14:paraId="18988F29" w14:textId="6F951A33"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monomer</w:t>
            </w:r>
          </w:p>
          <w:p w14:paraId="2FB8CAD9" w14:textId="461AFF34"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dimer</w:t>
            </w:r>
          </w:p>
          <w:p w14:paraId="5F4AAE16" w14:textId="14BD3E4B"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trimer</w:t>
            </w:r>
          </w:p>
        </w:tc>
        <w:tc>
          <w:tcPr>
            <w:tcW w:w="1559" w:type="dxa"/>
          </w:tcPr>
          <w:p w14:paraId="4F05783A" w14:textId="3B0B72E7"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non-covalent</w:t>
            </w:r>
          </w:p>
          <w:p w14:paraId="1FE23B0A" w14:textId="77777777" w:rsidR="008053B0" w:rsidRPr="00970289" w:rsidRDefault="008053B0" w:rsidP="001D7300">
            <w:pPr>
              <w:rPr>
                <w:rFonts w:cstheme="minorHAnsi"/>
                <w:sz w:val="21"/>
                <w:szCs w:val="21"/>
              </w:rPr>
            </w:pPr>
            <w:r w:rsidRPr="00970289">
              <w:rPr>
                <w:rFonts w:cstheme="minorHAnsi"/>
                <w:sz w:val="21"/>
                <w:szCs w:val="21"/>
              </w:rPr>
              <w:t>multimer</w:t>
            </w:r>
            <w:r>
              <w:rPr>
                <w:rFonts w:cstheme="minorHAnsi"/>
                <w:sz w:val="21"/>
                <w:szCs w:val="21"/>
              </w:rPr>
              <w:t>s</w:t>
            </w:r>
          </w:p>
        </w:tc>
        <w:tc>
          <w:tcPr>
            <w:tcW w:w="1560" w:type="dxa"/>
          </w:tcPr>
          <w:p w14:paraId="44FFACAC" w14:textId="4143CF7A"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non-covalent</w:t>
            </w:r>
          </w:p>
          <w:p w14:paraId="1F902B9C" w14:textId="77777777" w:rsidR="008053B0" w:rsidRPr="00970289" w:rsidRDefault="008053B0" w:rsidP="001D7300">
            <w:pPr>
              <w:rPr>
                <w:rFonts w:cstheme="minorHAnsi"/>
                <w:sz w:val="21"/>
                <w:szCs w:val="21"/>
              </w:rPr>
            </w:pPr>
            <w:r w:rsidRPr="00970289">
              <w:rPr>
                <w:rFonts w:cstheme="minorHAnsi"/>
                <w:sz w:val="21"/>
                <w:szCs w:val="21"/>
              </w:rPr>
              <w:t>multimer</w:t>
            </w:r>
            <w:r>
              <w:rPr>
                <w:rFonts w:cstheme="minorHAnsi"/>
                <w:sz w:val="21"/>
                <w:szCs w:val="21"/>
              </w:rPr>
              <w:t>s</w:t>
            </w:r>
          </w:p>
        </w:tc>
        <w:tc>
          <w:tcPr>
            <w:tcW w:w="1417" w:type="dxa"/>
          </w:tcPr>
          <w:p w14:paraId="78E5D370" w14:textId="617B40B4" w:rsidR="008053B0" w:rsidRPr="00970289" w:rsidRDefault="002F4C55" w:rsidP="001D7300">
            <w:pPr>
              <w:rPr>
                <w:rFonts w:cstheme="minorHAnsi"/>
                <w:sz w:val="21"/>
                <w:szCs w:val="21"/>
              </w:rPr>
            </w:pPr>
            <w:r>
              <w:rPr>
                <w:rFonts w:cstheme="minorHAnsi"/>
                <w:sz w:val="21"/>
                <w:szCs w:val="21"/>
              </w:rPr>
              <w:t>-</w:t>
            </w:r>
            <w:r w:rsidR="008053B0" w:rsidRPr="00970289">
              <w:rPr>
                <w:rFonts w:cstheme="minorHAnsi"/>
                <w:sz w:val="21"/>
                <w:szCs w:val="21"/>
              </w:rPr>
              <w:t>covalent</w:t>
            </w:r>
          </w:p>
          <w:p w14:paraId="23ED72BD" w14:textId="77777777" w:rsidR="008053B0" w:rsidRPr="00970289" w:rsidRDefault="008053B0" w:rsidP="001D7300">
            <w:pPr>
              <w:rPr>
                <w:rFonts w:cstheme="minorHAnsi"/>
                <w:sz w:val="21"/>
                <w:szCs w:val="21"/>
              </w:rPr>
            </w:pPr>
            <w:r w:rsidRPr="00970289">
              <w:rPr>
                <w:rFonts w:cstheme="minorHAnsi"/>
                <w:sz w:val="21"/>
                <w:szCs w:val="21"/>
              </w:rPr>
              <w:t>multimer</w:t>
            </w:r>
            <w:r>
              <w:rPr>
                <w:rFonts w:cstheme="minorHAnsi"/>
                <w:sz w:val="21"/>
                <w:szCs w:val="21"/>
              </w:rPr>
              <w:t>s</w:t>
            </w:r>
          </w:p>
        </w:tc>
      </w:tr>
      <w:tr w:rsidR="00827D54" w:rsidRPr="00970289" w14:paraId="219FCAB0" w14:textId="77777777" w:rsidTr="0094062B">
        <w:tc>
          <w:tcPr>
            <w:tcW w:w="1555" w:type="dxa"/>
          </w:tcPr>
          <w:p w14:paraId="246F529B" w14:textId="77777777" w:rsidR="008053B0" w:rsidRPr="00FF65A8" w:rsidRDefault="008053B0" w:rsidP="001D7300">
            <w:pPr>
              <w:rPr>
                <w:rFonts w:cstheme="minorHAnsi"/>
                <w:b/>
                <w:bCs/>
                <w:sz w:val="20"/>
                <w:szCs w:val="20"/>
              </w:rPr>
            </w:pPr>
            <w:r w:rsidRPr="00FF65A8">
              <w:rPr>
                <w:rFonts w:cstheme="minorHAnsi"/>
                <w:b/>
                <w:bCs/>
                <w:sz w:val="20"/>
                <w:szCs w:val="20"/>
              </w:rPr>
              <w:t>Sialylation</w:t>
            </w:r>
          </w:p>
        </w:tc>
        <w:tc>
          <w:tcPr>
            <w:tcW w:w="1281" w:type="dxa"/>
          </w:tcPr>
          <w:p w14:paraId="5DC0DCA6" w14:textId="6D0533E8" w:rsidR="008053B0" w:rsidRPr="00970289" w:rsidRDefault="002F4C55" w:rsidP="001D7300">
            <w:pPr>
              <w:rPr>
                <w:rFonts w:cstheme="minorHAnsi"/>
                <w:sz w:val="20"/>
                <w:szCs w:val="20"/>
              </w:rPr>
            </w:pPr>
            <w:r>
              <w:rPr>
                <w:rFonts w:cstheme="minorHAnsi"/>
                <w:sz w:val="20"/>
                <w:szCs w:val="20"/>
              </w:rPr>
              <w:t>-</w:t>
            </w:r>
            <w:r w:rsidR="008053B0">
              <w:rPr>
                <w:rFonts w:cstheme="minorHAnsi"/>
                <w:sz w:val="20"/>
                <w:szCs w:val="20"/>
              </w:rPr>
              <w:t>s</w:t>
            </w:r>
            <w:r w:rsidR="008053B0" w:rsidRPr="00970289">
              <w:rPr>
                <w:rFonts w:cstheme="minorHAnsi"/>
                <w:sz w:val="20"/>
                <w:szCs w:val="20"/>
              </w:rPr>
              <w:t xml:space="preserve">imple </w:t>
            </w:r>
          </w:p>
          <w:p w14:paraId="4ADDAC10" w14:textId="77777777" w:rsidR="008053B0" w:rsidRPr="00970289" w:rsidRDefault="008053B0" w:rsidP="001D7300">
            <w:pPr>
              <w:rPr>
                <w:rFonts w:cstheme="minorHAnsi"/>
                <w:sz w:val="20"/>
                <w:szCs w:val="20"/>
              </w:rPr>
            </w:pPr>
          </w:p>
        </w:tc>
        <w:tc>
          <w:tcPr>
            <w:tcW w:w="1559" w:type="dxa"/>
          </w:tcPr>
          <w:p w14:paraId="351EC0E6" w14:textId="7BA54FFA" w:rsidR="008053B0" w:rsidRPr="00970289" w:rsidRDefault="002F4C55" w:rsidP="001D7300">
            <w:pPr>
              <w:rPr>
                <w:rFonts w:cstheme="minorHAnsi"/>
                <w:sz w:val="20"/>
                <w:szCs w:val="20"/>
              </w:rPr>
            </w:pPr>
            <w:r>
              <w:rPr>
                <w:rFonts w:cstheme="minorHAnsi"/>
                <w:sz w:val="20"/>
                <w:szCs w:val="20"/>
              </w:rPr>
              <w:t>-</w:t>
            </w:r>
            <w:r w:rsidR="008053B0">
              <w:rPr>
                <w:rFonts w:cstheme="minorHAnsi"/>
                <w:sz w:val="20"/>
                <w:szCs w:val="20"/>
              </w:rPr>
              <w:t>c</w:t>
            </w:r>
            <w:r w:rsidR="008053B0" w:rsidRPr="00970289">
              <w:rPr>
                <w:rFonts w:cstheme="minorHAnsi"/>
                <w:sz w:val="20"/>
                <w:szCs w:val="20"/>
              </w:rPr>
              <w:t xml:space="preserve">omplex </w:t>
            </w:r>
          </w:p>
          <w:p w14:paraId="77DAFE49" w14:textId="77777777" w:rsidR="008053B0" w:rsidRPr="00970289" w:rsidRDefault="008053B0" w:rsidP="001D7300">
            <w:pPr>
              <w:rPr>
                <w:rFonts w:cstheme="minorHAnsi"/>
                <w:sz w:val="20"/>
                <w:szCs w:val="20"/>
              </w:rPr>
            </w:pPr>
          </w:p>
        </w:tc>
        <w:tc>
          <w:tcPr>
            <w:tcW w:w="1559" w:type="dxa"/>
          </w:tcPr>
          <w:p w14:paraId="275A2258" w14:textId="0FFA1E0A" w:rsidR="008053B0" w:rsidRPr="00970289" w:rsidRDefault="002F4C55" w:rsidP="001D7300">
            <w:pPr>
              <w:rPr>
                <w:rFonts w:cstheme="minorHAnsi"/>
                <w:sz w:val="20"/>
                <w:szCs w:val="20"/>
              </w:rPr>
            </w:pPr>
            <w:r>
              <w:rPr>
                <w:rFonts w:cstheme="minorHAnsi"/>
                <w:sz w:val="20"/>
                <w:szCs w:val="20"/>
              </w:rPr>
              <w:t>-</w:t>
            </w:r>
            <w:r w:rsidR="008053B0">
              <w:rPr>
                <w:rFonts w:cstheme="minorHAnsi"/>
                <w:sz w:val="20"/>
                <w:szCs w:val="20"/>
              </w:rPr>
              <w:t>s</w:t>
            </w:r>
            <w:r w:rsidR="008053B0" w:rsidRPr="00970289">
              <w:rPr>
                <w:rFonts w:cstheme="minorHAnsi"/>
                <w:sz w:val="20"/>
                <w:szCs w:val="20"/>
              </w:rPr>
              <w:t>imple</w:t>
            </w:r>
          </w:p>
          <w:p w14:paraId="47E44C21" w14:textId="77777777" w:rsidR="008053B0" w:rsidRPr="00970289" w:rsidRDefault="008053B0" w:rsidP="001D7300">
            <w:pPr>
              <w:rPr>
                <w:rFonts w:cstheme="minorHAnsi"/>
                <w:sz w:val="20"/>
                <w:szCs w:val="20"/>
              </w:rPr>
            </w:pPr>
          </w:p>
        </w:tc>
        <w:tc>
          <w:tcPr>
            <w:tcW w:w="1559" w:type="dxa"/>
          </w:tcPr>
          <w:p w14:paraId="1C4976BE" w14:textId="095F0E9F" w:rsidR="008053B0" w:rsidRPr="00970289" w:rsidRDefault="002F4C55" w:rsidP="001D7300">
            <w:pPr>
              <w:rPr>
                <w:rFonts w:cstheme="minorHAnsi"/>
                <w:sz w:val="20"/>
                <w:szCs w:val="20"/>
              </w:rPr>
            </w:pPr>
            <w:r>
              <w:rPr>
                <w:rFonts w:cstheme="minorHAnsi"/>
                <w:sz w:val="20"/>
                <w:szCs w:val="20"/>
              </w:rPr>
              <w:t>-</w:t>
            </w:r>
            <w:r w:rsidR="008053B0">
              <w:rPr>
                <w:rFonts w:cstheme="minorHAnsi"/>
                <w:sz w:val="20"/>
                <w:szCs w:val="20"/>
              </w:rPr>
              <w:t>c</w:t>
            </w:r>
            <w:r w:rsidR="008053B0" w:rsidRPr="00970289">
              <w:rPr>
                <w:rFonts w:cstheme="minorHAnsi"/>
                <w:sz w:val="20"/>
                <w:szCs w:val="20"/>
              </w:rPr>
              <w:t xml:space="preserve">omplex </w:t>
            </w:r>
          </w:p>
          <w:p w14:paraId="495D07F4" w14:textId="77777777" w:rsidR="008053B0" w:rsidRPr="00970289" w:rsidRDefault="008053B0" w:rsidP="001D7300">
            <w:pPr>
              <w:rPr>
                <w:rFonts w:cstheme="minorHAnsi"/>
                <w:sz w:val="20"/>
                <w:szCs w:val="20"/>
              </w:rPr>
            </w:pPr>
          </w:p>
        </w:tc>
        <w:tc>
          <w:tcPr>
            <w:tcW w:w="1560" w:type="dxa"/>
          </w:tcPr>
          <w:p w14:paraId="1106E692" w14:textId="1EC0AAF4" w:rsidR="008053B0" w:rsidRPr="00970289" w:rsidRDefault="002F4C55" w:rsidP="001D7300">
            <w:pPr>
              <w:rPr>
                <w:rFonts w:cstheme="minorHAnsi"/>
                <w:sz w:val="20"/>
                <w:szCs w:val="20"/>
              </w:rPr>
            </w:pPr>
            <w:r>
              <w:rPr>
                <w:rFonts w:cstheme="minorHAnsi"/>
                <w:sz w:val="20"/>
                <w:szCs w:val="20"/>
              </w:rPr>
              <w:t>-</w:t>
            </w:r>
            <w:r w:rsidR="008053B0">
              <w:rPr>
                <w:rFonts w:cstheme="minorHAnsi"/>
                <w:sz w:val="20"/>
                <w:szCs w:val="20"/>
              </w:rPr>
              <w:t>s</w:t>
            </w:r>
            <w:r w:rsidR="008053B0" w:rsidRPr="00970289">
              <w:rPr>
                <w:rFonts w:cstheme="minorHAnsi"/>
                <w:sz w:val="20"/>
                <w:szCs w:val="20"/>
              </w:rPr>
              <w:t>imple</w:t>
            </w:r>
          </w:p>
          <w:p w14:paraId="50C83B17" w14:textId="77777777" w:rsidR="008053B0" w:rsidRPr="00970289" w:rsidRDefault="008053B0" w:rsidP="001D7300">
            <w:pPr>
              <w:rPr>
                <w:rFonts w:cstheme="minorHAnsi"/>
                <w:sz w:val="20"/>
                <w:szCs w:val="20"/>
              </w:rPr>
            </w:pPr>
          </w:p>
        </w:tc>
        <w:tc>
          <w:tcPr>
            <w:tcW w:w="1417" w:type="dxa"/>
          </w:tcPr>
          <w:p w14:paraId="2C8FC935" w14:textId="606B072A" w:rsidR="008053B0" w:rsidRPr="00970289" w:rsidRDefault="002F4C55" w:rsidP="001D7300">
            <w:pPr>
              <w:rPr>
                <w:rFonts w:cstheme="minorHAnsi"/>
                <w:sz w:val="20"/>
                <w:szCs w:val="20"/>
              </w:rPr>
            </w:pPr>
            <w:r>
              <w:rPr>
                <w:rFonts w:cstheme="minorHAnsi"/>
                <w:sz w:val="20"/>
                <w:szCs w:val="20"/>
              </w:rPr>
              <w:t>-</w:t>
            </w:r>
            <w:r w:rsidR="008053B0">
              <w:rPr>
                <w:rFonts w:cstheme="minorHAnsi"/>
                <w:sz w:val="20"/>
                <w:szCs w:val="20"/>
              </w:rPr>
              <w:t>s</w:t>
            </w:r>
            <w:r w:rsidR="008053B0" w:rsidRPr="00970289">
              <w:rPr>
                <w:rFonts w:cstheme="minorHAnsi"/>
                <w:sz w:val="20"/>
                <w:szCs w:val="20"/>
              </w:rPr>
              <w:t>imple</w:t>
            </w:r>
          </w:p>
          <w:p w14:paraId="2326C6A7" w14:textId="77777777" w:rsidR="008053B0" w:rsidRPr="00970289" w:rsidRDefault="008053B0" w:rsidP="001D7300">
            <w:pPr>
              <w:rPr>
                <w:rFonts w:cstheme="minorHAnsi"/>
                <w:sz w:val="20"/>
                <w:szCs w:val="20"/>
              </w:rPr>
            </w:pPr>
          </w:p>
        </w:tc>
      </w:tr>
      <w:tr w:rsidR="00827D54" w:rsidRPr="00970289" w14:paraId="0A0F9DE9" w14:textId="77777777" w:rsidTr="0094062B">
        <w:tc>
          <w:tcPr>
            <w:tcW w:w="1555" w:type="dxa"/>
          </w:tcPr>
          <w:p w14:paraId="5CBA9285" w14:textId="0A5B08FF" w:rsidR="008053B0" w:rsidRPr="00FF65A8" w:rsidRDefault="00A139ED" w:rsidP="001D7300">
            <w:pPr>
              <w:rPr>
                <w:rFonts w:cstheme="minorHAnsi"/>
                <w:b/>
                <w:bCs/>
                <w:sz w:val="20"/>
                <w:szCs w:val="20"/>
              </w:rPr>
            </w:pPr>
            <w:r>
              <w:rPr>
                <w:rFonts w:cstheme="minorHAnsi"/>
                <w:b/>
                <w:bCs/>
                <w:sz w:val="20"/>
                <w:szCs w:val="20"/>
              </w:rPr>
              <w:t>30 min b</w:t>
            </w:r>
            <w:r w:rsidR="008053B0">
              <w:rPr>
                <w:rFonts w:cstheme="minorHAnsi"/>
                <w:b/>
                <w:bCs/>
                <w:sz w:val="20"/>
                <w:szCs w:val="20"/>
              </w:rPr>
              <w:t xml:space="preserve">inding to </w:t>
            </w:r>
            <w:r>
              <w:rPr>
                <w:rFonts w:cstheme="minorHAnsi"/>
                <w:b/>
                <w:bCs/>
                <w:sz w:val="20"/>
                <w:szCs w:val="20"/>
              </w:rPr>
              <w:t>m</w:t>
            </w:r>
            <w:r w:rsidR="008053B0">
              <w:rPr>
                <w:rFonts w:cstheme="minorHAnsi"/>
                <w:b/>
                <w:bCs/>
                <w:sz w:val="20"/>
                <w:szCs w:val="20"/>
              </w:rPr>
              <w:t>icroglia</w:t>
            </w:r>
            <w:r>
              <w:rPr>
                <w:rFonts w:cstheme="minorHAnsi"/>
                <w:b/>
                <w:bCs/>
                <w:sz w:val="20"/>
                <w:szCs w:val="20"/>
              </w:rPr>
              <w:t xml:space="preserve"> </w:t>
            </w:r>
          </w:p>
        </w:tc>
        <w:tc>
          <w:tcPr>
            <w:tcW w:w="1281" w:type="dxa"/>
          </w:tcPr>
          <w:p w14:paraId="7C93D9CB" w14:textId="2F260FAA" w:rsidR="008053B0" w:rsidRPr="006F617B" w:rsidRDefault="00A139ED" w:rsidP="001D7300">
            <w:pPr>
              <w:rPr>
                <w:rFonts w:cstheme="minorHAnsi"/>
                <w:sz w:val="32"/>
                <w:szCs w:val="32"/>
              </w:rPr>
            </w:pPr>
            <w:r>
              <w:rPr>
                <w:rFonts w:cstheme="minorHAnsi"/>
                <w:sz w:val="32"/>
                <w:szCs w:val="32"/>
              </w:rPr>
              <w:t>+</w:t>
            </w:r>
          </w:p>
        </w:tc>
        <w:tc>
          <w:tcPr>
            <w:tcW w:w="1559" w:type="dxa"/>
          </w:tcPr>
          <w:p w14:paraId="4F174D03" w14:textId="672819D2" w:rsidR="008053B0" w:rsidRPr="006F617B" w:rsidRDefault="00A139ED" w:rsidP="001D7300">
            <w:pPr>
              <w:rPr>
                <w:rFonts w:cstheme="minorHAnsi"/>
                <w:sz w:val="32"/>
                <w:szCs w:val="32"/>
              </w:rPr>
            </w:pPr>
            <w:r>
              <w:rPr>
                <w:rFonts w:cstheme="minorHAnsi"/>
                <w:sz w:val="32"/>
                <w:szCs w:val="32"/>
              </w:rPr>
              <w:t>-</w:t>
            </w:r>
            <w:r w:rsidR="00FD39DE">
              <w:rPr>
                <w:rFonts w:cstheme="minorHAnsi"/>
                <w:sz w:val="32"/>
                <w:szCs w:val="32"/>
              </w:rPr>
              <w:t>/+</w:t>
            </w:r>
          </w:p>
        </w:tc>
        <w:tc>
          <w:tcPr>
            <w:tcW w:w="1559" w:type="dxa"/>
          </w:tcPr>
          <w:p w14:paraId="4BF24721" w14:textId="6C07F3B2" w:rsidR="008053B0" w:rsidRPr="006F617B" w:rsidRDefault="008053B0" w:rsidP="001D7300">
            <w:pPr>
              <w:rPr>
                <w:rFonts w:cstheme="minorHAnsi"/>
                <w:sz w:val="32"/>
                <w:szCs w:val="32"/>
              </w:rPr>
            </w:pPr>
            <w:r w:rsidRPr="006F617B">
              <w:rPr>
                <w:rFonts w:cstheme="minorHAnsi"/>
                <w:sz w:val="32"/>
                <w:szCs w:val="32"/>
              </w:rPr>
              <w:t>+</w:t>
            </w:r>
            <w:r w:rsidR="00A139ED">
              <w:rPr>
                <w:rFonts w:cstheme="minorHAnsi"/>
                <w:sz w:val="32"/>
                <w:szCs w:val="32"/>
              </w:rPr>
              <w:t>+</w:t>
            </w:r>
          </w:p>
        </w:tc>
        <w:tc>
          <w:tcPr>
            <w:tcW w:w="1559" w:type="dxa"/>
          </w:tcPr>
          <w:p w14:paraId="289F8B11" w14:textId="52AEFBF7" w:rsidR="008053B0" w:rsidRPr="006F617B" w:rsidRDefault="008053B0" w:rsidP="001D7300">
            <w:pPr>
              <w:rPr>
                <w:rFonts w:cstheme="minorHAnsi"/>
                <w:sz w:val="32"/>
                <w:szCs w:val="32"/>
              </w:rPr>
            </w:pPr>
            <w:r w:rsidRPr="006F617B">
              <w:rPr>
                <w:rFonts w:cstheme="minorHAnsi"/>
                <w:sz w:val="32"/>
                <w:szCs w:val="32"/>
              </w:rPr>
              <w:t>-</w:t>
            </w:r>
            <w:r w:rsidR="00FD39DE">
              <w:rPr>
                <w:rFonts w:cstheme="minorHAnsi"/>
                <w:sz w:val="32"/>
                <w:szCs w:val="32"/>
              </w:rPr>
              <w:t>/+</w:t>
            </w:r>
          </w:p>
        </w:tc>
        <w:tc>
          <w:tcPr>
            <w:tcW w:w="1560" w:type="dxa"/>
          </w:tcPr>
          <w:p w14:paraId="0BA6C8FF" w14:textId="77777777" w:rsidR="008053B0" w:rsidRPr="006F617B" w:rsidRDefault="008053B0" w:rsidP="001D7300">
            <w:pPr>
              <w:rPr>
                <w:rFonts w:cstheme="minorHAnsi"/>
                <w:sz w:val="32"/>
                <w:szCs w:val="32"/>
              </w:rPr>
            </w:pPr>
            <w:r w:rsidRPr="006F617B">
              <w:rPr>
                <w:rFonts w:cstheme="minorHAnsi"/>
                <w:sz w:val="32"/>
                <w:szCs w:val="32"/>
              </w:rPr>
              <w:t>++</w:t>
            </w:r>
          </w:p>
        </w:tc>
        <w:tc>
          <w:tcPr>
            <w:tcW w:w="1417" w:type="dxa"/>
          </w:tcPr>
          <w:p w14:paraId="18798C7F" w14:textId="77777777" w:rsidR="008053B0" w:rsidRPr="006F617B" w:rsidRDefault="008053B0" w:rsidP="001D7300">
            <w:pPr>
              <w:rPr>
                <w:rFonts w:cstheme="minorHAnsi"/>
                <w:sz w:val="32"/>
                <w:szCs w:val="32"/>
              </w:rPr>
            </w:pPr>
            <w:r w:rsidRPr="006F617B">
              <w:rPr>
                <w:rFonts w:cstheme="minorHAnsi"/>
                <w:sz w:val="32"/>
                <w:szCs w:val="32"/>
              </w:rPr>
              <w:t>+++</w:t>
            </w:r>
          </w:p>
        </w:tc>
      </w:tr>
      <w:tr w:rsidR="00A139ED" w:rsidRPr="00970289" w14:paraId="1B2741E7" w14:textId="77777777" w:rsidTr="0094062B">
        <w:tc>
          <w:tcPr>
            <w:tcW w:w="1555" w:type="dxa"/>
          </w:tcPr>
          <w:p w14:paraId="20617416" w14:textId="143FC586" w:rsidR="00A139ED" w:rsidRDefault="00A139ED" w:rsidP="001D7300">
            <w:pPr>
              <w:rPr>
                <w:rFonts w:cstheme="minorHAnsi"/>
                <w:b/>
                <w:bCs/>
                <w:sz w:val="20"/>
                <w:szCs w:val="20"/>
              </w:rPr>
            </w:pPr>
            <w:r>
              <w:rPr>
                <w:rFonts w:cstheme="minorHAnsi"/>
                <w:b/>
                <w:bCs/>
                <w:sz w:val="20"/>
                <w:szCs w:val="20"/>
              </w:rPr>
              <w:t xml:space="preserve">24 hr binding </w:t>
            </w:r>
          </w:p>
          <w:p w14:paraId="114FBAD1" w14:textId="04023329" w:rsidR="00A139ED" w:rsidRDefault="002F4C55" w:rsidP="001D7300">
            <w:pPr>
              <w:rPr>
                <w:rFonts w:cstheme="minorHAnsi"/>
                <w:b/>
                <w:bCs/>
                <w:sz w:val="20"/>
                <w:szCs w:val="20"/>
              </w:rPr>
            </w:pPr>
            <w:r>
              <w:rPr>
                <w:rFonts w:cstheme="minorHAnsi"/>
                <w:b/>
                <w:bCs/>
                <w:sz w:val="20"/>
                <w:szCs w:val="20"/>
              </w:rPr>
              <w:t>t</w:t>
            </w:r>
            <w:r w:rsidR="00A139ED">
              <w:rPr>
                <w:rFonts w:cstheme="minorHAnsi"/>
                <w:b/>
                <w:bCs/>
                <w:sz w:val="20"/>
                <w:szCs w:val="20"/>
              </w:rPr>
              <w:t>o microglia</w:t>
            </w:r>
          </w:p>
        </w:tc>
        <w:tc>
          <w:tcPr>
            <w:tcW w:w="1281" w:type="dxa"/>
          </w:tcPr>
          <w:p w14:paraId="3ABEA26B" w14:textId="6233BEE1" w:rsidR="00A139ED" w:rsidRPr="006F617B" w:rsidRDefault="00A139ED" w:rsidP="001D7300">
            <w:pPr>
              <w:rPr>
                <w:rFonts w:cstheme="minorHAnsi"/>
                <w:sz w:val="32"/>
                <w:szCs w:val="32"/>
              </w:rPr>
            </w:pPr>
            <w:r>
              <w:rPr>
                <w:rFonts w:cstheme="minorHAnsi"/>
                <w:sz w:val="32"/>
                <w:szCs w:val="32"/>
              </w:rPr>
              <w:t>+</w:t>
            </w:r>
          </w:p>
        </w:tc>
        <w:tc>
          <w:tcPr>
            <w:tcW w:w="1559" w:type="dxa"/>
          </w:tcPr>
          <w:p w14:paraId="3E69A914" w14:textId="55C22BA3" w:rsidR="00A139ED" w:rsidRPr="006F617B" w:rsidRDefault="00A139ED" w:rsidP="001D7300">
            <w:pPr>
              <w:rPr>
                <w:rFonts w:cstheme="minorHAnsi"/>
                <w:sz w:val="32"/>
                <w:szCs w:val="32"/>
              </w:rPr>
            </w:pPr>
            <w:r>
              <w:rPr>
                <w:rFonts w:cstheme="minorHAnsi"/>
                <w:sz w:val="32"/>
                <w:szCs w:val="32"/>
              </w:rPr>
              <w:t>+</w:t>
            </w:r>
          </w:p>
        </w:tc>
        <w:tc>
          <w:tcPr>
            <w:tcW w:w="1559" w:type="dxa"/>
          </w:tcPr>
          <w:p w14:paraId="768845AB" w14:textId="485E6A54" w:rsidR="00A139ED" w:rsidRPr="006F617B" w:rsidRDefault="00A139ED" w:rsidP="001D7300">
            <w:pPr>
              <w:rPr>
                <w:rFonts w:cstheme="minorHAnsi"/>
                <w:sz w:val="32"/>
                <w:szCs w:val="32"/>
              </w:rPr>
            </w:pPr>
            <w:r>
              <w:rPr>
                <w:rFonts w:cstheme="minorHAnsi"/>
                <w:sz w:val="32"/>
                <w:szCs w:val="32"/>
              </w:rPr>
              <w:t>++</w:t>
            </w:r>
          </w:p>
        </w:tc>
        <w:tc>
          <w:tcPr>
            <w:tcW w:w="1559" w:type="dxa"/>
          </w:tcPr>
          <w:p w14:paraId="64E5B66B" w14:textId="41B7FA05" w:rsidR="00A139ED" w:rsidRPr="006F617B" w:rsidRDefault="00FD39DE" w:rsidP="001D7300">
            <w:pPr>
              <w:rPr>
                <w:rFonts w:cstheme="minorHAnsi"/>
                <w:sz w:val="32"/>
                <w:szCs w:val="32"/>
              </w:rPr>
            </w:pPr>
            <w:r>
              <w:rPr>
                <w:rFonts w:cstheme="minorHAnsi"/>
                <w:sz w:val="32"/>
                <w:szCs w:val="32"/>
              </w:rPr>
              <w:t>+</w:t>
            </w:r>
          </w:p>
        </w:tc>
        <w:tc>
          <w:tcPr>
            <w:tcW w:w="1560" w:type="dxa"/>
          </w:tcPr>
          <w:p w14:paraId="5B94061B" w14:textId="18F67E70" w:rsidR="00A139ED" w:rsidRPr="006F617B" w:rsidRDefault="00A139ED" w:rsidP="001D7300">
            <w:pPr>
              <w:rPr>
                <w:rFonts w:cstheme="minorHAnsi"/>
                <w:sz w:val="32"/>
                <w:szCs w:val="32"/>
              </w:rPr>
            </w:pPr>
            <w:r>
              <w:rPr>
                <w:rFonts w:cstheme="minorHAnsi"/>
                <w:sz w:val="32"/>
                <w:szCs w:val="32"/>
              </w:rPr>
              <w:t>++</w:t>
            </w:r>
          </w:p>
        </w:tc>
        <w:tc>
          <w:tcPr>
            <w:tcW w:w="1417" w:type="dxa"/>
          </w:tcPr>
          <w:p w14:paraId="58BB0E7A" w14:textId="5D4077B9" w:rsidR="00A139ED" w:rsidRPr="006F617B" w:rsidRDefault="00A139ED" w:rsidP="001D7300">
            <w:pPr>
              <w:rPr>
                <w:rFonts w:cstheme="minorHAnsi"/>
                <w:sz w:val="32"/>
                <w:szCs w:val="32"/>
              </w:rPr>
            </w:pPr>
            <w:r>
              <w:rPr>
                <w:rFonts w:cstheme="minorHAnsi"/>
                <w:sz w:val="32"/>
                <w:szCs w:val="32"/>
              </w:rPr>
              <w:t>+++</w:t>
            </w:r>
          </w:p>
        </w:tc>
      </w:tr>
      <w:tr w:rsidR="00827D54" w:rsidRPr="00970289" w14:paraId="27C3FD21" w14:textId="77777777" w:rsidTr="0094062B">
        <w:tc>
          <w:tcPr>
            <w:tcW w:w="1555" w:type="dxa"/>
          </w:tcPr>
          <w:p w14:paraId="4C5EAC45" w14:textId="77777777" w:rsidR="008053B0" w:rsidRDefault="008053B0" w:rsidP="001D7300">
            <w:pPr>
              <w:rPr>
                <w:rFonts w:cstheme="minorHAnsi"/>
                <w:b/>
                <w:bCs/>
                <w:sz w:val="20"/>
                <w:szCs w:val="20"/>
              </w:rPr>
            </w:pPr>
            <w:r>
              <w:rPr>
                <w:rFonts w:cstheme="minorHAnsi"/>
                <w:b/>
                <w:bCs/>
                <w:sz w:val="20"/>
                <w:szCs w:val="20"/>
              </w:rPr>
              <w:t xml:space="preserve">Binding to other CNS cells </w:t>
            </w:r>
          </w:p>
        </w:tc>
        <w:tc>
          <w:tcPr>
            <w:tcW w:w="1281" w:type="dxa"/>
          </w:tcPr>
          <w:p w14:paraId="6703B5BF" w14:textId="77777777" w:rsidR="008053B0" w:rsidRPr="006F617B" w:rsidRDefault="008053B0" w:rsidP="001D7300">
            <w:pPr>
              <w:rPr>
                <w:rFonts w:cstheme="minorHAnsi"/>
                <w:sz w:val="32"/>
                <w:szCs w:val="32"/>
              </w:rPr>
            </w:pPr>
            <w:r w:rsidRPr="006F617B">
              <w:rPr>
                <w:rFonts w:cstheme="minorHAnsi"/>
                <w:sz w:val="32"/>
                <w:szCs w:val="32"/>
              </w:rPr>
              <w:t>-</w:t>
            </w:r>
          </w:p>
        </w:tc>
        <w:tc>
          <w:tcPr>
            <w:tcW w:w="1559" w:type="dxa"/>
          </w:tcPr>
          <w:p w14:paraId="146042B2" w14:textId="77777777" w:rsidR="008053B0" w:rsidRPr="006F617B" w:rsidRDefault="008053B0" w:rsidP="001D7300">
            <w:pPr>
              <w:rPr>
                <w:rFonts w:cstheme="minorHAnsi"/>
                <w:sz w:val="32"/>
                <w:szCs w:val="32"/>
              </w:rPr>
            </w:pPr>
            <w:r w:rsidRPr="006F617B">
              <w:rPr>
                <w:rFonts w:cstheme="minorHAnsi"/>
                <w:sz w:val="32"/>
                <w:szCs w:val="32"/>
              </w:rPr>
              <w:t>-</w:t>
            </w:r>
          </w:p>
        </w:tc>
        <w:tc>
          <w:tcPr>
            <w:tcW w:w="1559" w:type="dxa"/>
          </w:tcPr>
          <w:p w14:paraId="4BEB6621" w14:textId="77777777" w:rsidR="008053B0" w:rsidRPr="006F617B" w:rsidRDefault="008053B0" w:rsidP="001D7300">
            <w:pPr>
              <w:rPr>
                <w:rFonts w:cstheme="minorHAnsi"/>
                <w:sz w:val="32"/>
                <w:szCs w:val="32"/>
              </w:rPr>
            </w:pPr>
            <w:r w:rsidRPr="006F617B">
              <w:rPr>
                <w:rFonts w:cstheme="minorHAnsi"/>
                <w:sz w:val="32"/>
                <w:szCs w:val="32"/>
              </w:rPr>
              <w:t>-</w:t>
            </w:r>
          </w:p>
        </w:tc>
        <w:tc>
          <w:tcPr>
            <w:tcW w:w="1559" w:type="dxa"/>
          </w:tcPr>
          <w:p w14:paraId="20B9D40F" w14:textId="77777777" w:rsidR="008053B0" w:rsidRPr="006F617B" w:rsidRDefault="008053B0" w:rsidP="001D7300">
            <w:pPr>
              <w:rPr>
                <w:rFonts w:cstheme="minorHAnsi"/>
                <w:sz w:val="32"/>
                <w:szCs w:val="32"/>
              </w:rPr>
            </w:pPr>
            <w:r w:rsidRPr="006F617B">
              <w:rPr>
                <w:rFonts w:cstheme="minorHAnsi"/>
                <w:sz w:val="32"/>
                <w:szCs w:val="32"/>
              </w:rPr>
              <w:t>-</w:t>
            </w:r>
          </w:p>
        </w:tc>
        <w:tc>
          <w:tcPr>
            <w:tcW w:w="1560" w:type="dxa"/>
          </w:tcPr>
          <w:p w14:paraId="140915A6" w14:textId="77777777" w:rsidR="008053B0" w:rsidRPr="006F617B" w:rsidRDefault="008053B0" w:rsidP="001D7300">
            <w:pPr>
              <w:rPr>
                <w:rFonts w:cstheme="minorHAnsi"/>
                <w:sz w:val="32"/>
                <w:szCs w:val="32"/>
              </w:rPr>
            </w:pPr>
            <w:r w:rsidRPr="006F617B">
              <w:rPr>
                <w:rFonts w:cstheme="minorHAnsi"/>
                <w:sz w:val="32"/>
                <w:szCs w:val="32"/>
              </w:rPr>
              <w:t>-</w:t>
            </w:r>
          </w:p>
        </w:tc>
        <w:tc>
          <w:tcPr>
            <w:tcW w:w="1417" w:type="dxa"/>
          </w:tcPr>
          <w:p w14:paraId="3B903EBF" w14:textId="77777777" w:rsidR="008053B0" w:rsidRPr="006F617B" w:rsidRDefault="008053B0" w:rsidP="001D7300">
            <w:pPr>
              <w:rPr>
                <w:rFonts w:cstheme="minorHAnsi"/>
                <w:sz w:val="32"/>
                <w:szCs w:val="32"/>
              </w:rPr>
            </w:pPr>
            <w:r w:rsidRPr="006F617B">
              <w:rPr>
                <w:rFonts w:cstheme="minorHAnsi"/>
                <w:sz w:val="32"/>
                <w:szCs w:val="32"/>
              </w:rPr>
              <w:t>-</w:t>
            </w:r>
          </w:p>
        </w:tc>
      </w:tr>
      <w:tr w:rsidR="00827D54" w:rsidRPr="00970289" w14:paraId="69F465C3" w14:textId="77777777" w:rsidTr="0094062B">
        <w:tc>
          <w:tcPr>
            <w:tcW w:w="1555" w:type="dxa"/>
          </w:tcPr>
          <w:p w14:paraId="24D2A95E" w14:textId="77777777" w:rsidR="008053B0" w:rsidRDefault="008053B0" w:rsidP="001D7300">
            <w:pPr>
              <w:rPr>
                <w:rFonts w:cstheme="minorHAnsi"/>
                <w:b/>
                <w:bCs/>
                <w:sz w:val="20"/>
                <w:szCs w:val="20"/>
              </w:rPr>
            </w:pPr>
            <w:r>
              <w:rPr>
                <w:rFonts w:cstheme="minorHAnsi"/>
                <w:b/>
                <w:bCs/>
                <w:sz w:val="20"/>
                <w:szCs w:val="20"/>
              </w:rPr>
              <w:t>Binding to low-affinity Fc</w:t>
            </w:r>
            <w:r w:rsidRPr="004A3DC4">
              <w:rPr>
                <w:rFonts w:ascii="Symbol" w:hAnsi="Symbol" w:cstheme="minorHAnsi"/>
                <w:b/>
                <w:bCs/>
                <w:sz w:val="20"/>
                <w:szCs w:val="20"/>
              </w:rPr>
              <w:t>g</w:t>
            </w:r>
            <w:r>
              <w:rPr>
                <w:rFonts w:cstheme="minorHAnsi"/>
                <w:b/>
                <w:bCs/>
                <w:sz w:val="20"/>
                <w:szCs w:val="20"/>
              </w:rPr>
              <w:t>-receptors</w:t>
            </w:r>
          </w:p>
        </w:tc>
        <w:tc>
          <w:tcPr>
            <w:tcW w:w="1281" w:type="dxa"/>
          </w:tcPr>
          <w:p w14:paraId="40B82E79" w14:textId="0BD634C1" w:rsidR="008053B0" w:rsidRPr="006F617B" w:rsidRDefault="003302D1" w:rsidP="001D7300">
            <w:pPr>
              <w:rPr>
                <w:rFonts w:cstheme="minorHAnsi"/>
                <w:sz w:val="32"/>
                <w:szCs w:val="32"/>
              </w:rPr>
            </w:pPr>
            <w:r>
              <w:rPr>
                <w:rFonts w:cstheme="minorHAnsi"/>
                <w:sz w:val="32"/>
                <w:szCs w:val="32"/>
              </w:rPr>
              <w:t>+</w:t>
            </w:r>
          </w:p>
        </w:tc>
        <w:tc>
          <w:tcPr>
            <w:tcW w:w="1559" w:type="dxa"/>
          </w:tcPr>
          <w:p w14:paraId="74DBC20D" w14:textId="77777777" w:rsidR="008053B0" w:rsidRPr="006F617B" w:rsidRDefault="008053B0" w:rsidP="001D7300">
            <w:pPr>
              <w:rPr>
                <w:rFonts w:cstheme="minorHAnsi"/>
                <w:sz w:val="32"/>
                <w:szCs w:val="32"/>
              </w:rPr>
            </w:pPr>
            <w:r>
              <w:rPr>
                <w:rFonts w:cstheme="minorHAnsi"/>
                <w:sz w:val="32"/>
                <w:szCs w:val="32"/>
              </w:rPr>
              <w:t>-</w:t>
            </w:r>
          </w:p>
        </w:tc>
        <w:tc>
          <w:tcPr>
            <w:tcW w:w="1559" w:type="dxa"/>
          </w:tcPr>
          <w:p w14:paraId="2DB074B8" w14:textId="77777777" w:rsidR="008053B0" w:rsidRPr="006F617B" w:rsidRDefault="008053B0" w:rsidP="001D7300">
            <w:pPr>
              <w:rPr>
                <w:rFonts w:cstheme="minorHAnsi"/>
                <w:sz w:val="32"/>
                <w:szCs w:val="32"/>
              </w:rPr>
            </w:pPr>
            <w:r>
              <w:rPr>
                <w:rFonts w:cstheme="minorHAnsi"/>
                <w:sz w:val="32"/>
                <w:szCs w:val="32"/>
              </w:rPr>
              <w:t>+</w:t>
            </w:r>
          </w:p>
        </w:tc>
        <w:tc>
          <w:tcPr>
            <w:tcW w:w="1559" w:type="dxa"/>
          </w:tcPr>
          <w:p w14:paraId="657A8464" w14:textId="234824B6" w:rsidR="008053B0" w:rsidRPr="006F617B" w:rsidRDefault="008053B0" w:rsidP="001D7300">
            <w:pPr>
              <w:rPr>
                <w:rFonts w:cstheme="minorHAnsi"/>
                <w:sz w:val="32"/>
                <w:szCs w:val="32"/>
              </w:rPr>
            </w:pPr>
            <w:r>
              <w:rPr>
                <w:rFonts w:cstheme="minorHAnsi"/>
                <w:sz w:val="32"/>
                <w:szCs w:val="32"/>
              </w:rPr>
              <w:t>-</w:t>
            </w:r>
            <w:r w:rsidR="00C50DF5">
              <w:rPr>
                <w:rFonts w:cstheme="minorHAnsi"/>
                <w:sz w:val="32"/>
                <w:szCs w:val="32"/>
              </w:rPr>
              <w:t>/+</w:t>
            </w:r>
          </w:p>
        </w:tc>
        <w:tc>
          <w:tcPr>
            <w:tcW w:w="1560" w:type="dxa"/>
          </w:tcPr>
          <w:p w14:paraId="2835F075" w14:textId="77777777" w:rsidR="008053B0" w:rsidRPr="006F617B" w:rsidRDefault="008053B0" w:rsidP="001D7300">
            <w:pPr>
              <w:rPr>
                <w:rFonts w:cstheme="minorHAnsi"/>
                <w:sz w:val="32"/>
                <w:szCs w:val="32"/>
              </w:rPr>
            </w:pPr>
            <w:r>
              <w:rPr>
                <w:rFonts w:cstheme="minorHAnsi"/>
                <w:sz w:val="32"/>
                <w:szCs w:val="32"/>
              </w:rPr>
              <w:t>++</w:t>
            </w:r>
          </w:p>
        </w:tc>
        <w:tc>
          <w:tcPr>
            <w:tcW w:w="1417" w:type="dxa"/>
          </w:tcPr>
          <w:p w14:paraId="38568335" w14:textId="77777777" w:rsidR="008053B0" w:rsidRPr="006F617B" w:rsidRDefault="008053B0" w:rsidP="001D7300">
            <w:pPr>
              <w:rPr>
                <w:rFonts w:cstheme="minorHAnsi"/>
                <w:sz w:val="32"/>
                <w:szCs w:val="32"/>
              </w:rPr>
            </w:pPr>
            <w:r>
              <w:rPr>
                <w:rFonts w:cstheme="minorHAnsi"/>
                <w:sz w:val="32"/>
                <w:szCs w:val="32"/>
              </w:rPr>
              <w:t>+++</w:t>
            </w:r>
          </w:p>
        </w:tc>
      </w:tr>
      <w:tr w:rsidR="00827D54" w:rsidRPr="00970289" w14:paraId="6FA0B19C" w14:textId="77777777" w:rsidTr="0094062B">
        <w:tc>
          <w:tcPr>
            <w:tcW w:w="1555" w:type="dxa"/>
          </w:tcPr>
          <w:p w14:paraId="5FF0DE0D" w14:textId="77777777" w:rsidR="008053B0" w:rsidRDefault="008053B0" w:rsidP="001D7300">
            <w:pPr>
              <w:rPr>
                <w:rFonts w:cstheme="minorHAnsi"/>
                <w:b/>
                <w:bCs/>
                <w:sz w:val="20"/>
                <w:szCs w:val="20"/>
              </w:rPr>
            </w:pPr>
            <w:r>
              <w:rPr>
                <w:rFonts w:cstheme="minorHAnsi"/>
                <w:b/>
                <w:bCs/>
                <w:sz w:val="20"/>
                <w:szCs w:val="20"/>
              </w:rPr>
              <w:t>Binding to glycan receptors</w:t>
            </w:r>
          </w:p>
        </w:tc>
        <w:tc>
          <w:tcPr>
            <w:tcW w:w="1281" w:type="dxa"/>
          </w:tcPr>
          <w:p w14:paraId="36838E5C" w14:textId="3B36021D" w:rsidR="008053B0" w:rsidRPr="006F617B" w:rsidRDefault="00C50DF5" w:rsidP="001D7300">
            <w:pPr>
              <w:rPr>
                <w:rFonts w:cstheme="minorHAnsi"/>
                <w:sz w:val="32"/>
                <w:szCs w:val="32"/>
              </w:rPr>
            </w:pPr>
            <w:r>
              <w:rPr>
                <w:rFonts w:cstheme="minorHAnsi"/>
                <w:sz w:val="32"/>
                <w:szCs w:val="32"/>
              </w:rPr>
              <w:t>+</w:t>
            </w:r>
          </w:p>
        </w:tc>
        <w:tc>
          <w:tcPr>
            <w:tcW w:w="1559" w:type="dxa"/>
          </w:tcPr>
          <w:p w14:paraId="6FF94000" w14:textId="77777777" w:rsidR="008053B0" w:rsidRPr="006F617B" w:rsidRDefault="008053B0" w:rsidP="001D7300">
            <w:pPr>
              <w:rPr>
                <w:rFonts w:cstheme="minorHAnsi"/>
                <w:sz w:val="32"/>
                <w:szCs w:val="32"/>
              </w:rPr>
            </w:pPr>
            <w:r>
              <w:rPr>
                <w:rFonts w:cstheme="minorHAnsi"/>
                <w:sz w:val="32"/>
                <w:szCs w:val="32"/>
              </w:rPr>
              <w:t>+</w:t>
            </w:r>
          </w:p>
        </w:tc>
        <w:tc>
          <w:tcPr>
            <w:tcW w:w="1559" w:type="dxa"/>
          </w:tcPr>
          <w:p w14:paraId="4819455F" w14:textId="77777777" w:rsidR="008053B0" w:rsidRPr="006F617B" w:rsidRDefault="008053B0" w:rsidP="001D7300">
            <w:pPr>
              <w:rPr>
                <w:rFonts w:cstheme="minorHAnsi"/>
                <w:sz w:val="32"/>
                <w:szCs w:val="32"/>
              </w:rPr>
            </w:pPr>
            <w:r>
              <w:rPr>
                <w:rFonts w:cstheme="minorHAnsi"/>
                <w:sz w:val="32"/>
                <w:szCs w:val="32"/>
              </w:rPr>
              <w:t>+</w:t>
            </w:r>
          </w:p>
        </w:tc>
        <w:tc>
          <w:tcPr>
            <w:tcW w:w="1559" w:type="dxa"/>
          </w:tcPr>
          <w:p w14:paraId="0C8733A4" w14:textId="2B9BEFB2" w:rsidR="008053B0" w:rsidRPr="00C50DF5" w:rsidRDefault="00C50DF5" w:rsidP="001D7300">
            <w:pPr>
              <w:rPr>
                <w:rFonts w:cstheme="minorHAnsi"/>
                <w:sz w:val="20"/>
                <w:szCs w:val="20"/>
              </w:rPr>
            </w:pPr>
            <w:r w:rsidRPr="00C50DF5">
              <w:rPr>
                <w:rFonts w:cstheme="minorHAnsi"/>
                <w:sz w:val="20"/>
                <w:szCs w:val="20"/>
              </w:rPr>
              <w:t>Not tested</w:t>
            </w:r>
          </w:p>
        </w:tc>
        <w:tc>
          <w:tcPr>
            <w:tcW w:w="1560" w:type="dxa"/>
          </w:tcPr>
          <w:p w14:paraId="39D4E429" w14:textId="77777777" w:rsidR="008053B0" w:rsidRPr="006F617B" w:rsidRDefault="008053B0" w:rsidP="001D7300">
            <w:pPr>
              <w:rPr>
                <w:rFonts w:cstheme="minorHAnsi"/>
                <w:sz w:val="32"/>
                <w:szCs w:val="32"/>
              </w:rPr>
            </w:pPr>
            <w:r>
              <w:rPr>
                <w:rFonts w:cstheme="minorHAnsi"/>
                <w:sz w:val="32"/>
                <w:szCs w:val="32"/>
              </w:rPr>
              <w:t>++</w:t>
            </w:r>
          </w:p>
        </w:tc>
        <w:tc>
          <w:tcPr>
            <w:tcW w:w="1417" w:type="dxa"/>
          </w:tcPr>
          <w:p w14:paraId="3741BA9C" w14:textId="77777777" w:rsidR="008053B0" w:rsidRPr="006F617B" w:rsidRDefault="008053B0" w:rsidP="001D7300">
            <w:pPr>
              <w:rPr>
                <w:rFonts w:cstheme="minorHAnsi"/>
                <w:sz w:val="32"/>
                <w:szCs w:val="32"/>
              </w:rPr>
            </w:pPr>
            <w:r>
              <w:rPr>
                <w:rFonts w:cstheme="minorHAnsi"/>
                <w:sz w:val="32"/>
                <w:szCs w:val="32"/>
              </w:rPr>
              <w:t>+++</w:t>
            </w:r>
          </w:p>
        </w:tc>
      </w:tr>
      <w:tr w:rsidR="00827D54" w:rsidRPr="00970289" w14:paraId="08F5AFD5" w14:textId="77777777" w:rsidTr="0094062B">
        <w:tc>
          <w:tcPr>
            <w:tcW w:w="1555" w:type="dxa"/>
          </w:tcPr>
          <w:p w14:paraId="02CA9DB2" w14:textId="77777777" w:rsidR="008053B0" w:rsidRPr="00FF65A8" w:rsidRDefault="008053B0" w:rsidP="001D7300">
            <w:pPr>
              <w:rPr>
                <w:rFonts w:cstheme="minorHAnsi"/>
                <w:b/>
                <w:bCs/>
                <w:sz w:val="20"/>
                <w:szCs w:val="20"/>
              </w:rPr>
            </w:pPr>
            <w:r>
              <w:rPr>
                <w:rFonts w:cstheme="minorHAnsi"/>
                <w:b/>
                <w:bCs/>
                <w:sz w:val="20"/>
                <w:szCs w:val="20"/>
              </w:rPr>
              <w:t>C1q fixed</w:t>
            </w:r>
          </w:p>
        </w:tc>
        <w:tc>
          <w:tcPr>
            <w:tcW w:w="1281" w:type="dxa"/>
          </w:tcPr>
          <w:p w14:paraId="3210580F" w14:textId="77777777" w:rsidR="008053B0" w:rsidRPr="006F617B" w:rsidRDefault="008053B0" w:rsidP="001D7300">
            <w:pPr>
              <w:rPr>
                <w:rFonts w:cstheme="minorHAnsi"/>
                <w:sz w:val="32"/>
                <w:szCs w:val="32"/>
              </w:rPr>
            </w:pPr>
            <w:r>
              <w:rPr>
                <w:rFonts w:cstheme="minorHAnsi"/>
                <w:sz w:val="32"/>
                <w:szCs w:val="32"/>
              </w:rPr>
              <w:t>-/</w:t>
            </w:r>
            <w:r w:rsidRPr="006F617B">
              <w:rPr>
                <w:rFonts w:cstheme="minorHAnsi"/>
                <w:sz w:val="32"/>
                <w:szCs w:val="32"/>
              </w:rPr>
              <w:t>+</w:t>
            </w:r>
          </w:p>
        </w:tc>
        <w:tc>
          <w:tcPr>
            <w:tcW w:w="1559" w:type="dxa"/>
          </w:tcPr>
          <w:p w14:paraId="380EF93D" w14:textId="77777777" w:rsidR="008053B0" w:rsidRPr="006F617B" w:rsidRDefault="008053B0" w:rsidP="001D7300">
            <w:pPr>
              <w:rPr>
                <w:rFonts w:cstheme="minorHAnsi"/>
                <w:sz w:val="32"/>
                <w:szCs w:val="32"/>
              </w:rPr>
            </w:pPr>
            <w:r w:rsidRPr="006F617B">
              <w:rPr>
                <w:rFonts w:cstheme="minorHAnsi"/>
                <w:sz w:val="32"/>
                <w:szCs w:val="32"/>
              </w:rPr>
              <w:t>-</w:t>
            </w:r>
          </w:p>
        </w:tc>
        <w:tc>
          <w:tcPr>
            <w:tcW w:w="1559" w:type="dxa"/>
          </w:tcPr>
          <w:p w14:paraId="317C7613" w14:textId="77777777" w:rsidR="008053B0" w:rsidRPr="006F617B" w:rsidRDefault="008053B0" w:rsidP="001D7300">
            <w:pPr>
              <w:rPr>
                <w:rFonts w:cstheme="minorHAnsi"/>
                <w:sz w:val="32"/>
                <w:szCs w:val="32"/>
              </w:rPr>
            </w:pPr>
            <w:r w:rsidRPr="006F617B">
              <w:rPr>
                <w:rFonts w:cstheme="minorHAnsi"/>
                <w:sz w:val="32"/>
                <w:szCs w:val="32"/>
              </w:rPr>
              <w:t>-</w:t>
            </w:r>
          </w:p>
        </w:tc>
        <w:tc>
          <w:tcPr>
            <w:tcW w:w="1559" w:type="dxa"/>
          </w:tcPr>
          <w:p w14:paraId="0ECA735F" w14:textId="77777777" w:rsidR="008053B0" w:rsidRPr="006F617B" w:rsidRDefault="008053B0" w:rsidP="001D7300">
            <w:pPr>
              <w:rPr>
                <w:rFonts w:cstheme="minorHAnsi"/>
                <w:sz w:val="32"/>
                <w:szCs w:val="32"/>
              </w:rPr>
            </w:pPr>
            <w:r w:rsidRPr="006F617B">
              <w:rPr>
                <w:rFonts w:cstheme="minorHAnsi"/>
                <w:sz w:val="32"/>
                <w:szCs w:val="32"/>
              </w:rPr>
              <w:t>-</w:t>
            </w:r>
          </w:p>
        </w:tc>
        <w:tc>
          <w:tcPr>
            <w:tcW w:w="1560" w:type="dxa"/>
          </w:tcPr>
          <w:p w14:paraId="07B8CD65" w14:textId="77777777" w:rsidR="008053B0" w:rsidRPr="006F617B" w:rsidRDefault="008053B0" w:rsidP="001D7300">
            <w:pPr>
              <w:rPr>
                <w:rFonts w:cstheme="minorHAnsi"/>
                <w:sz w:val="32"/>
                <w:szCs w:val="32"/>
              </w:rPr>
            </w:pPr>
            <w:r w:rsidRPr="006F617B">
              <w:rPr>
                <w:rFonts w:cstheme="minorHAnsi"/>
                <w:sz w:val="32"/>
                <w:szCs w:val="32"/>
              </w:rPr>
              <w:t>++</w:t>
            </w:r>
          </w:p>
        </w:tc>
        <w:tc>
          <w:tcPr>
            <w:tcW w:w="1417" w:type="dxa"/>
          </w:tcPr>
          <w:p w14:paraId="57AC52EA" w14:textId="77777777" w:rsidR="008053B0" w:rsidRPr="006F617B" w:rsidRDefault="008053B0" w:rsidP="001D7300">
            <w:pPr>
              <w:rPr>
                <w:rFonts w:cstheme="minorHAnsi"/>
                <w:sz w:val="32"/>
                <w:szCs w:val="32"/>
              </w:rPr>
            </w:pPr>
            <w:r w:rsidRPr="006F617B">
              <w:rPr>
                <w:rFonts w:cstheme="minorHAnsi"/>
                <w:sz w:val="32"/>
                <w:szCs w:val="32"/>
              </w:rPr>
              <w:t>+++</w:t>
            </w:r>
          </w:p>
        </w:tc>
      </w:tr>
      <w:tr w:rsidR="00827D54" w:rsidRPr="00970289" w14:paraId="158FDE56" w14:textId="77777777" w:rsidTr="0094062B">
        <w:tc>
          <w:tcPr>
            <w:tcW w:w="1555" w:type="dxa"/>
          </w:tcPr>
          <w:p w14:paraId="5467232B" w14:textId="77777777" w:rsidR="008053B0" w:rsidRDefault="008053B0" w:rsidP="001D7300">
            <w:pPr>
              <w:rPr>
                <w:rFonts w:cstheme="minorHAnsi"/>
                <w:b/>
                <w:bCs/>
                <w:sz w:val="20"/>
                <w:szCs w:val="20"/>
              </w:rPr>
            </w:pPr>
            <w:r>
              <w:rPr>
                <w:rFonts w:cstheme="minorHAnsi"/>
                <w:b/>
                <w:bCs/>
                <w:sz w:val="20"/>
                <w:szCs w:val="20"/>
              </w:rPr>
              <w:t>C5b-9 fixed</w:t>
            </w:r>
          </w:p>
        </w:tc>
        <w:tc>
          <w:tcPr>
            <w:tcW w:w="1281" w:type="dxa"/>
          </w:tcPr>
          <w:p w14:paraId="13BD0995" w14:textId="77777777" w:rsidR="008053B0" w:rsidRPr="006F617B" w:rsidRDefault="008053B0" w:rsidP="001D7300">
            <w:pPr>
              <w:rPr>
                <w:rFonts w:cstheme="minorHAnsi"/>
                <w:sz w:val="32"/>
                <w:szCs w:val="32"/>
              </w:rPr>
            </w:pPr>
            <w:r w:rsidRPr="006F617B">
              <w:rPr>
                <w:rFonts w:cstheme="minorHAnsi"/>
                <w:sz w:val="32"/>
                <w:szCs w:val="32"/>
              </w:rPr>
              <w:t>-</w:t>
            </w:r>
          </w:p>
        </w:tc>
        <w:tc>
          <w:tcPr>
            <w:tcW w:w="1559" w:type="dxa"/>
          </w:tcPr>
          <w:p w14:paraId="56254E41" w14:textId="77777777" w:rsidR="008053B0" w:rsidRPr="006F617B" w:rsidRDefault="008053B0" w:rsidP="001D7300">
            <w:pPr>
              <w:rPr>
                <w:rFonts w:cstheme="minorHAnsi"/>
                <w:sz w:val="32"/>
                <w:szCs w:val="32"/>
              </w:rPr>
            </w:pPr>
            <w:r w:rsidRPr="006F617B">
              <w:rPr>
                <w:rFonts w:cstheme="minorHAnsi"/>
                <w:sz w:val="32"/>
                <w:szCs w:val="32"/>
              </w:rPr>
              <w:t>-</w:t>
            </w:r>
          </w:p>
        </w:tc>
        <w:tc>
          <w:tcPr>
            <w:tcW w:w="1559" w:type="dxa"/>
          </w:tcPr>
          <w:p w14:paraId="7037E522" w14:textId="77777777" w:rsidR="008053B0" w:rsidRPr="006F617B" w:rsidRDefault="008053B0" w:rsidP="001D7300">
            <w:pPr>
              <w:rPr>
                <w:rFonts w:cstheme="minorHAnsi"/>
                <w:sz w:val="32"/>
                <w:szCs w:val="32"/>
              </w:rPr>
            </w:pPr>
            <w:r w:rsidRPr="006F617B">
              <w:rPr>
                <w:rFonts w:cstheme="minorHAnsi"/>
                <w:sz w:val="32"/>
                <w:szCs w:val="32"/>
              </w:rPr>
              <w:t>++</w:t>
            </w:r>
          </w:p>
        </w:tc>
        <w:tc>
          <w:tcPr>
            <w:tcW w:w="1559" w:type="dxa"/>
          </w:tcPr>
          <w:p w14:paraId="2B5E3B2B" w14:textId="77777777" w:rsidR="008053B0" w:rsidRPr="006F617B" w:rsidRDefault="008053B0" w:rsidP="001D7300">
            <w:pPr>
              <w:rPr>
                <w:rFonts w:cstheme="minorHAnsi"/>
                <w:sz w:val="32"/>
                <w:szCs w:val="32"/>
              </w:rPr>
            </w:pPr>
            <w:r w:rsidRPr="006F617B">
              <w:rPr>
                <w:rFonts w:cstheme="minorHAnsi"/>
                <w:sz w:val="32"/>
                <w:szCs w:val="32"/>
              </w:rPr>
              <w:t>-</w:t>
            </w:r>
            <w:r>
              <w:rPr>
                <w:rFonts w:cstheme="minorHAnsi"/>
                <w:sz w:val="32"/>
                <w:szCs w:val="32"/>
              </w:rPr>
              <w:t>/+</w:t>
            </w:r>
          </w:p>
        </w:tc>
        <w:tc>
          <w:tcPr>
            <w:tcW w:w="1560" w:type="dxa"/>
          </w:tcPr>
          <w:p w14:paraId="5910B729" w14:textId="77777777" w:rsidR="008053B0" w:rsidRPr="006F617B" w:rsidRDefault="008053B0" w:rsidP="001D7300">
            <w:pPr>
              <w:rPr>
                <w:rFonts w:cstheme="minorHAnsi"/>
                <w:sz w:val="32"/>
                <w:szCs w:val="32"/>
              </w:rPr>
            </w:pPr>
            <w:r w:rsidRPr="006F617B">
              <w:rPr>
                <w:rFonts w:cstheme="minorHAnsi"/>
                <w:sz w:val="32"/>
                <w:szCs w:val="32"/>
              </w:rPr>
              <w:t>++</w:t>
            </w:r>
          </w:p>
        </w:tc>
        <w:tc>
          <w:tcPr>
            <w:tcW w:w="1417" w:type="dxa"/>
          </w:tcPr>
          <w:p w14:paraId="714F983A" w14:textId="77777777" w:rsidR="008053B0" w:rsidRPr="006F617B" w:rsidRDefault="008053B0" w:rsidP="001D7300">
            <w:pPr>
              <w:rPr>
                <w:rFonts w:cstheme="minorHAnsi"/>
                <w:sz w:val="32"/>
                <w:szCs w:val="32"/>
              </w:rPr>
            </w:pPr>
            <w:r w:rsidRPr="006F617B">
              <w:rPr>
                <w:rFonts w:cstheme="minorHAnsi"/>
                <w:sz w:val="32"/>
                <w:szCs w:val="32"/>
              </w:rPr>
              <w:t>-</w:t>
            </w:r>
          </w:p>
        </w:tc>
      </w:tr>
      <w:tr w:rsidR="00827D54" w:rsidRPr="00970289" w14:paraId="63CA27E3" w14:textId="77777777" w:rsidTr="0094062B">
        <w:tc>
          <w:tcPr>
            <w:tcW w:w="1555" w:type="dxa"/>
          </w:tcPr>
          <w:p w14:paraId="4B51470F" w14:textId="77777777" w:rsidR="008053B0" w:rsidRDefault="008053B0" w:rsidP="001D7300">
            <w:pPr>
              <w:rPr>
                <w:rFonts w:cstheme="minorHAnsi"/>
                <w:b/>
                <w:bCs/>
                <w:sz w:val="20"/>
                <w:szCs w:val="20"/>
              </w:rPr>
            </w:pPr>
            <w:r>
              <w:rPr>
                <w:rFonts w:cstheme="minorHAnsi"/>
                <w:b/>
                <w:bCs/>
                <w:sz w:val="20"/>
                <w:szCs w:val="20"/>
              </w:rPr>
              <w:t>Inhibits demyelination in OSC model</w:t>
            </w:r>
          </w:p>
        </w:tc>
        <w:tc>
          <w:tcPr>
            <w:tcW w:w="1281" w:type="dxa"/>
          </w:tcPr>
          <w:p w14:paraId="081FDEAC" w14:textId="77777777" w:rsidR="008053B0" w:rsidRPr="006F617B" w:rsidRDefault="008053B0" w:rsidP="001D7300">
            <w:pPr>
              <w:rPr>
                <w:rFonts w:cstheme="minorHAnsi"/>
                <w:sz w:val="32"/>
                <w:szCs w:val="32"/>
              </w:rPr>
            </w:pPr>
            <w:r>
              <w:rPr>
                <w:rFonts w:cstheme="minorHAnsi"/>
                <w:sz w:val="32"/>
                <w:szCs w:val="32"/>
              </w:rPr>
              <w:t>-</w:t>
            </w:r>
          </w:p>
        </w:tc>
        <w:tc>
          <w:tcPr>
            <w:tcW w:w="1559" w:type="dxa"/>
          </w:tcPr>
          <w:p w14:paraId="49AE2641" w14:textId="77777777" w:rsidR="008053B0" w:rsidRPr="006F617B" w:rsidRDefault="008053B0" w:rsidP="001D7300">
            <w:pPr>
              <w:rPr>
                <w:rFonts w:cstheme="minorHAnsi"/>
                <w:sz w:val="32"/>
                <w:szCs w:val="32"/>
              </w:rPr>
            </w:pPr>
            <w:r>
              <w:rPr>
                <w:rFonts w:cstheme="minorHAnsi"/>
                <w:sz w:val="32"/>
                <w:szCs w:val="32"/>
              </w:rPr>
              <w:t>-</w:t>
            </w:r>
          </w:p>
        </w:tc>
        <w:tc>
          <w:tcPr>
            <w:tcW w:w="1559" w:type="dxa"/>
          </w:tcPr>
          <w:p w14:paraId="38FE672D" w14:textId="77777777" w:rsidR="008053B0" w:rsidRPr="006F617B" w:rsidRDefault="008053B0" w:rsidP="001D7300">
            <w:pPr>
              <w:rPr>
                <w:rFonts w:cstheme="minorHAnsi"/>
                <w:sz w:val="32"/>
                <w:szCs w:val="32"/>
              </w:rPr>
            </w:pPr>
            <w:r>
              <w:rPr>
                <w:rFonts w:cstheme="minorHAnsi"/>
                <w:sz w:val="32"/>
                <w:szCs w:val="32"/>
              </w:rPr>
              <w:t>++</w:t>
            </w:r>
          </w:p>
        </w:tc>
        <w:tc>
          <w:tcPr>
            <w:tcW w:w="1559" w:type="dxa"/>
          </w:tcPr>
          <w:p w14:paraId="12C901D7" w14:textId="77777777" w:rsidR="008053B0" w:rsidRPr="00BA2A00" w:rsidRDefault="008053B0" w:rsidP="001D7300">
            <w:pPr>
              <w:rPr>
                <w:rFonts w:cstheme="minorHAnsi"/>
                <w:sz w:val="20"/>
                <w:szCs w:val="20"/>
              </w:rPr>
            </w:pPr>
            <w:r w:rsidRPr="00BA2A00">
              <w:rPr>
                <w:rFonts w:cstheme="minorHAnsi"/>
                <w:sz w:val="20"/>
                <w:szCs w:val="20"/>
              </w:rPr>
              <w:t>Not tested</w:t>
            </w:r>
          </w:p>
        </w:tc>
        <w:tc>
          <w:tcPr>
            <w:tcW w:w="1560" w:type="dxa"/>
          </w:tcPr>
          <w:p w14:paraId="44585C70" w14:textId="77777777" w:rsidR="008053B0" w:rsidRPr="006F617B" w:rsidRDefault="008053B0" w:rsidP="001D7300">
            <w:pPr>
              <w:rPr>
                <w:rFonts w:cstheme="minorHAnsi"/>
                <w:sz w:val="32"/>
                <w:szCs w:val="32"/>
              </w:rPr>
            </w:pPr>
            <w:r>
              <w:rPr>
                <w:rFonts w:cstheme="minorHAnsi"/>
                <w:sz w:val="32"/>
                <w:szCs w:val="32"/>
              </w:rPr>
              <w:t>+++</w:t>
            </w:r>
          </w:p>
        </w:tc>
        <w:tc>
          <w:tcPr>
            <w:tcW w:w="1417" w:type="dxa"/>
          </w:tcPr>
          <w:p w14:paraId="0CDF0B88" w14:textId="77777777" w:rsidR="008053B0" w:rsidRPr="006F617B" w:rsidRDefault="008053B0" w:rsidP="001D7300">
            <w:pPr>
              <w:rPr>
                <w:rFonts w:cstheme="minorHAnsi"/>
                <w:sz w:val="32"/>
                <w:szCs w:val="32"/>
              </w:rPr>
            </w:pPr>
            <w:r>
              <w:rPr>
                <w:rFonts w:cstheme="minorHAnsi"/>
                <w:sz w:val="32"/>
                <w:szCs w:val="32"/>
              </w:rPr>
              <w:t>+++</w:t>
            </w:r>
          </w:p>
        </w:tc>
      </w:tr>
    </w:tbl>
    <w:p w14:paraId="340903A1" w14:textId="77777777" w:rsidR="0094062B" w:rsidRDefault="0094062B" w:rsidP="00A31995">
      <w:pPr>
        <w:ind w:right="425"/>
        <w:rPr>
          <w:rFonts w:cstheme="minorHAnsi"/>
          <w:sz w:val="22"/>
          <w:szCs w:val="22"/>
        </w:rPr>
      </w:pPr>
    </w:p>
    <w:p w14:paraId="5219EACD" w14:textId="00138B16" w:rsidR="008053B0" w:rsidRPr="00A31995" w:rsidRDefault="008053B0" w:rsidP="002F4C55">
      <w:pPr>
        <w:ind w:left="-142"/>
        <w:rPr>
          <w:rFonts w:cstheme="minorHAnsi"/>
          <w:sz w:val="22"/>
          <w:szCs w:val="22"/>
        </w:rPr>
      </w:pPr>
      <w:r w:rsidRPr="00B83726">
        <w:rPr>
          <w:rFonts w:cstheme="minorHAnsi"/>
          <w:b/>
          <w:bCs/>
          <w:sz w:val="22"/>
          <w:szCs w:val="22"/>
        </w:rPr>
        <w:t>Table 1. Properties of selected leads manufactured in CHO-S cells.</w:t>
      </w:r>
      <w:r w:rsidRPr="00970289">
        <w:rPr>
          <w:rFonts w:cstheme="minorHAnsi"/>
          <w:sz w:val="22"/>
          <w:szCs w:val="22"/>
        </w:rPr>
        <w:t xml:space="preserve"> </w:t>
      </w:r>
      <w:r>
        <w:rPr>
          <w:rFonts w:cstheme="minorHAnsi"/>
          <w:sz w:val="22"/>
          <w:szCs w:val="22"/>
        </w:rPr>
        <w:t>S</w:t>
      </w:r>
      <w:r w:rsidRPr="00970289">
        <w:rPr>
          <w:rFonts w:cstheme="minorHAnsi"/>
          <w:sz w:val="22"/>
          <w:szCs w:val="22"/>
        </w:rPr>
        <w:t>tructures of glycosylated leads as determined by SDS-PAGE</w:t>
      </w:r>
      <w:r>
        <w:rPr>
          <w:rFonts w:cstheme="minorHAnsi"/>
          <w:sz w:val="22"/>
          <w:szCs w:val="22"/>
        </w:rPr>
        <w:t xml:space="preserve"> (Fig. S1A)</w:t>
      </w:r>
      <w:r w:rsidRPr="00970289">
        <w:rPr>
          <w:rFonts w:cstheme="minorHAnsi"/>
          <w:sz w:val="22"/>
          <w:szCs w:val="22"/>
        </w:rPr>
        <w:t xml:space="preserve"> and size-exclusion chromatography</w:t>
      </w:r>
      <w:r>
        <w:rPr>
          <w:rFonts w:cstheme="minorHAnsi"/>
          <w:sz w:val="22"/>
          <w:szCs w:val="22"/>
        </w:rPr>
        <w:t xml:space="preserve"> (Fig. S1B)</w:t>
      </w:r>
      <w:r w:rsidRPr="00970289">
        <w:rPr>
          <w:rFonts w:cstheme="minorHAnsi"/>
          <w:sz w:val="22"/>
          <w:szCs w:val="22"/>
        </w:rPr>
        <w:t xml:space="preserve">. Blue circles represent location of N-linked glycans. </w:t>
      </w:r>
      <w:r>
        <w:rPr>
          <w:rFonts w:cstheme="minorHAnsi"/>
          <w:sz w:val="22"/>
          <w:szCs w:val="22"/>
        </w:rPr>
        <w:t>Glycosylation profiles for each protein</w:t>
      </w:r>
      <w:r w:rsidRPr="00970289">
        <w:rPr>
          <w:rFonts w:cstheme="minorHAnsi"/>
          <w:sz w:val="22"/>
          <w:szCs w:val="22"/>
        </w:rPr>
        <w:t xml:space="preserve"> </w:t>
      </w:r>
      <w:r>
        <w:rPr>
          <w:rFonts w:cstheme="minorHAnsi"/>
          <w:sz w:val="22"/>
          <w:szCs w:val="22"/>
        </w:rPr>
        <w:t xml:space="preserve">was </w:t>
      </w:r>
      <w:r w:rsidRPr="00970289">
        <w:rPr>
          <w:rFonts w:cstheme="minorHAnsi"/>
          <w:sz w:val="22"/>
          <w:szCs w:val="22"/>
        </w:rPr>
        <w:t>determined by MALDI mass spec</w:t>
      </w:r>
      <w:r>
        <w:rPr>
          <w:rFonts w:cstheme="minorHAnsi"/>
          <w:sz w:val="22"/>
          <w:szCs w:val="22"/>
        </w:rPr>
        <w:t xml:space="preserve"> (Fig. S2)</w:t>
      </w:r>
      <w:r w:rsidRPr="00970289">
        <w:rPr>
          <w:rFonts w:cstheme="minorHAnsi"/>
          <w:sz w:val="22"/>
          <w:szCs w:val="22"/>
        </w:rPr>
        <w:t xml:space="preserve">. Complex sialylation is defined as the presence of large tri- and tetra-antennary fully </w:t>
      </w:r>
      <w:proofErr w:type="spellStart"/>
      <w:r w:rsidRPr="00970289">
        <w:rPr>
          <w:rFonts w:cstheme="minorHAnsi"/>
          <w:sz w:val="22"/>
          <w:szCs w:val="22"/>
        </w:rPr>
        <w:t>sialylated</w:t>
      </w:r>
      <w:proofErr w:type="spellEnd"/>
      <w:r w:rsidRPr="00970289">
        <w:rPr>
          <w:rFonts w:cstheme="minorHAnsi"/>
          <w:sz w:val="22"/>
          <w:szCs w:val="22"/>
        </w:rPr>
        <w:t xml:space="preserve"> N-glycans e.g.</w:t>
      </w:r>
      <w:r w:rsidR="00CD3C5D">
        <w:rPr>
          <w:rFonts w:cstheme="minorHAnsi"/>
          <w:sz w:val="22"/>
          <w:szCs w:val="22"/>
        </w:rPr>
        <w:t>,</w:t>
      </w:r>
      <w:r w:rsidRPr="00970289">
        <w:rPr>
          <w:rFonts w:cstheme="minorHAnsi"/>
          <w:sz w:val="22"/>
          <w:szCs w:val="22"/>
        </w:rPr>
        <w:t xml:space="preserve"> m/z 3776 that are </w:t>
      </w:r>
      <w:r>
        <w:rPr>
          <w:rFonts w:cstheme="minorHAnsi"/>
          <w:sz w:val="22"/>
          <w:szCs w:val="22"/>
        </w:rPr>
        <w:t xml:space="preserve">absent from </w:t>
      </w:r>
      <w:r w:rsidRPr="00970289">
        <w:rPr>
          <w:rFonts w:cstheme="minorHAnsi"/>
          <w:sz w:val="22"/>
          <w:szCs w:val="22"/>
        </w:rPr>
        <w:t xml:space="preserve">simply </w:t>
      </w:r>
      <w:proofErr w:type="spellStart"/>
      <w:r w:rsidRPr="00970289">
        <w:rPr>
          <w:rFonts w:cstheme="minorHAnsi"/>
          <w:sz w:val="22"/>
          <w:szCs w:val="22"/>
        </w:rPr>
        <w:t>sialylated</w:t>
      </w:r>
      <w:proofErr w:type="spellEnd"/>
      <w:r w:rsidRPr="00970289">
        <w:rPr>
          <w:rFonts w:cstheme="minorHAnsi"/>
          <w:sz w:val="22"/>
          <w:szCs w:val="22"/>
        </w:rPr>
        <w:t xml:space="preserve"> Fcs</w:t>
      </w:r>
      <w:r>
        <w:rPr>
          <w:rFonts w:cstheme="minorHAnsi"/>
          <w:sz w:val="22"/>
          <w:szCs w:val="22"/>
        </w:rPr>
        <w:t xml:space="preserve"> (Fig. S2)</w:t>
      </w:r>
      <w:r w:rsidRPr="00970289">
        <w:rPr>
          <w:rFonts w:cstheme="minorHAnsi"/>
          <w:sz w:val="22"/>
          <w:szCs w:val="22"/>
        </w:rPr>
        <w:t xml:space="preserve">. </w:t>
      </w:r>
      <w:r>
        <w:rPr>
          <w:rFonts w:cstheme="minorHAnsi"/>
          <w:sz w:val="22"/>
          <w:szCs w:val="22"/>
        </w:rPr>
        <w:t xml:space="preserve">Binding of leads to individual human </w:t>
      </w:r>
      <w:proofErr w:type="spellStart"/>
      <w:r>
        <w:rPr>
          <w:rFonts w:cstheme="minorHAnsi"/>
          <w:sz w:val="22"/>
          <w:szCs w:val="22"/>
        </w:rPr>
        <w:t>Fc</w:t>
      </w:r>
      <w:r w:rsidRPr="004A3DC4">
        <w:rPr>
          <w:rFonts w:ascii="Symbol" w:hAnsi="Symbol" w:cstheme="minorHAnsi"/>
          <w:sz w:val="22"/>
          <w:szCs w:val="22"/>
        </w:rPr>
        <w:t>g</w:t>
      </w:r>
      <w:r>
        <w:rPr>
          <w:rFonts w:cstheme="minorHAnsi"/>
          <w:sz w:val="22"/>
          <w:szCs w:val="22"/>
        </w:rPr>
        <w:t>Rs</w:t>
      </w:r>
      <w:proofErr w:type="spellEnd"/>
      <w:r>
        <w:rPr>
          <w:rFonts w:cstheme="minorHAnsi"/>
          <w:sz w:val="22"/>
          <w:szCs w:val="22"/>
        </w:rPr>
        <w:t xml:space="preserve">, C- and I-type lectins and complement components are shown in Figures S4-S6. Binding to </w:t>
      </w:r>
      <w:r w:rsidR="00B41556">
        <w:rPr>
          <w:rFonts w:cstheme="minorHAnsi"/>
          <w:sz w:val="22"/>
          <w:szCs w:val="22"/>
        </w:rPr>
        <w:t xml:space="preserve">microglia in </w:t>
      </w:r>
      <w:r>
        <w:rPr>
          <w:rFonts w:cstheme="minorHAnsi"/>
          <w:sz w:val="22"/>
          <w:szCs w:val="22"/>
        </w:rPr>
        <w:t xml:space="preserve">CNS myelinating cultures is shown in Fig. S7. </w:t>
      </w:r>
      <w:r w:rsidRPr="00970289">
        <w:rPr>
          <w:rFonts w:cstheme="minorHAnsi"/>
          <w:sz w:val="22"/>
          <w:szCs w:val="22"/>
        </w:rPr>
        <w:t>Abbreviations</w:t>
      </w:r>
      <w:r>
        <w:rPr>
          <w:rFonts w:cstheme="minorHAnsi"/>
          <w:sz w:val="22"/>
          <w:szCs w:val="22"/>
        </w:rPr>
        <w:t>:</w:t>
      </w:r>
      <w:r w:rsidRPr="00970289">
        <w:rPr>
          <w:rFonts w:cstheme="minorHAnsi"/>
          <w:sz w:val="22"/>
          <w:szCs w:val="22"/>
        </w:rPr>
        <w:t xml:space="preserve"> SEC; size-exclusion chromatography; SDS-PAGE, </w:t>
      </w:r>
      <w:r w:rsidRPr="00970289">
        <w:rPr>
          <w:rFonts w:cstheme="minorHAnsi"/>
          <w:color w:val="222222"/>
          <w:sz w:val="21"/>
          <w:szCs w:val="21"/>
        </w:rPr>
        <w:t xml:space="preserve">sodium dodecyl </w:t>
      </w:r>
      <w:proofErr w:type="spellStart"/>
      <w:r w:rsidRPr="00970289">
        <w:rPr>
          <w:rFonts w:cstheme="minorHAnsi"/>
          <w:color w:val="222222"/>
          <w:sz w:val="21"/>
          <w:szCs w:val="21"/>
        </w:rPr>
        <w:t>sulfate</w:t>
      </w:r>
      <w:proofErr w:type="spellEnd"/>
      <w:r>
        <w:rPr>
          <w:rFonts w:cstheme="minorHAnsi"/>
          <w:color w:val="222222"/>
          <w:sz w:val="21"/>
          <w:szCs w:val="21"/>
        </w:rPr>
        <w:t>-</w:t>
      </w:r>
      <w:r w:rsidRPr="00970289">
        <w:rPr>
          <w:rFonts w:cstheme="minorHAnsi"/>
          <w:color w:val="222222"/>
          <w:sz w:val="21"/>
          <w:szCs w:val="21"/>
        </w:rPr>
        <w:t>polyacrylamide gel electrophoresis</w:t>
      </w:r>
      <w:r>
        <w:rPr>
          <w:rFonts w:cstheme="minorHAnsi"/>
          <w:color w:val="222222"/>
          <w:sz w:val="21"/>
          <w:szCs w:val="21"/>
        </w:rPr>
        <w:t xml:space="preserve">; red arrows indicate the 18 amino acid tailpiece that contains hydrophobic amino acids that encourage non-covalent attraction of Fc monomer units. </w:t>
      </w:r>
    </w:p>
    <w:p w14:paraId="2E6F8B3C" w14:textId="77777777" w:rsidR="00B41556" w:rsidRDefault="00B41556" w:rsidP="00BC0647">
      <w:pPr>
        <w:widowControl w:val="0"/>
        <w:autoSpaceDE w:val="0"/>
        <w:autoSpaceDN w:val="0"/>
        <w:adjustRightInd w:val="0"/>
        <w:spacing w:line="360" w:lineRule="auto"/>
        <w:ind w:left="640" w:hanging="640"/>
        <w:rPr>
          <w:b/>
          <w:bCs/>
          <w:sz w:val="28"/>
          <w:szCs w:val="28"/>
        </w:rPr>
      </w:pPr>
    </w:p>
    <w:p w14:paraId="7D3A5C0D" w14:textId="32958DD9" w:rsidR="00A42C50" w:rsidRDefault="00A42C50" w:rsidP="00BC0647">
      <w:pPr>
        <w:widowControl w:val="0"/>
        <w:autoSpaceDE w:val="0"/>
        <w:autoSpaceDN w:val="0"/>
        <w:adjustRightInd w:val="0"/>
        <w:spacing w:line="360" w:lineRule="auto"/>
        <w:ind w:left="640" w:hanging="640"/>
        <w:rPr>
          <w:b/>
          <w:bCs/>
          <w:sz w:val="28"/>
          <w:szCs w:val="28"/>
        </w:rPr>
      </w:pPr>
      <w:r w:rsidRPr="00A42C50">
        <w:rPr>
          <w:b/>
          <w:bCs/>
          <w:sz w:val="28"/>
          <w:szCs w:val="28"/>
        </w:rPr>
        <w:t>Legends</w:t>
      </w:r>
    </w:p>
    <w:p w14:paraId="42EA6020" w14:textId="77777777" w:rsidR="00A42C50" w:rsidRDefault="00A42C50" w:rsidP="005A29F8">
      <w:pPr>
        <w:widowControl w:val="0"/>
        <w:autoSpaceDE w:val="0"/>
        <w:autoSpaceDN w:val="0"/>
        <w:adjustRightInd w:val="0"/>
        <w:spacing w:line="360" w:lineRule="auto"/>
        <w:ind w:left="640" w:hanging="640"/>
        <w:rPr>
          <w:b/>
          <w:bCs/>
          <w:sz w:val="28"/>
          <w:szCs w:val="28"/>
        </w:rPr>
      </w:pPr>
    </w:p>
    <w:p w14:paraId="347679C7" w14:textId="77777777" w:rsidR="00A42C50" w:rsidRPr="00A42C50" w:rsidRDefault="00A42C50" w:rsidP="00D11EAE">
      <w:pPr>
        <w:widowControl w:val="0"/>
        <w:autoSpaceDE w:val="0"/>
        <w:autoSpaceDN w:val="0"/>
        <w:adjustRightInd w:val="0"/>
        <w:spacing w:line="360" w:lineRule="auto"/>
        <w:rPr>
          <w:b/>
          <w:bCs/>
        </w:rPr>
      </w:pPr>
      <w:r w:rsidRPr="00A42C50">
        <w:rPr>
          <w:b/>
          <w:bCs/>
        </w:rPr>
        <w:t xml:space="preserve">Table 1. </w:t>
      </w:r>
      <w:r w:rsidRPr="00BD193E">
        <w:t>Summary of Fc mutants investigated and their salient properties.</w:t>
      </w:r>
    </w:p>
    <w:p w14:paraId="402A8C14" w14:textId="77777777" w:rsidR="00A42C50" w:rsidRDefault="00A42C50" w:rsidP="0038519A">
      <w:pPr>
        <w:widowControl w:val="0"/>
        <w:autoSpaceDE w:val="0"/>
        <w:autoSpaceDN w:val="0"/>
        <w:adjustRightInd w:val="0"/>
        <w:spacing w:line="360" w:lineRule="auto"/>
        <w:rPr>
          <w:sz w:val="28"/>
          <w:szCs w:val="28"/>
        </w:rPr>
      </w:pPr>
    </w:p>
    <w:p w14:paraId="3B4CAB5D" w14:textId="6991E55B" w:rsidR="00A42C50" w:rsidRPr="00631182" w:rsidRDefault="00A42C50" w:rsidP="00502694">
      <w:pPr>
        <w:widowControl w:val="0"/>
        <w:autoSpaceDE w:val="0"/>
        <w:autoSpaceDN w:val="0"/>
        <w:adjustRightInd w:val="0"/>
        <w:spacing w:line="360" w:lineRule="auto"/>
        <w:ind w:right="-52"/>
        <w:rPr>
          <w:color w:val="FF0000"/>
        </w:rPr>
      </w:pPr>
      <w:r w:rsidRPr="00A42C50">
        <w:rPr>
          <w:b/>
          <w:bCs/>
        </w:rPr>
        <w:t>Fig</w:t>
      </w:r>
      <w:r w:rsidR="00BD193E">
        <w:rPr>
          <w:b/>
          <w:bCs/>
        </w:rPr>
        <w:t>ure</w:t>
      </w:r>
      <w:r w:rsidRPr="00A42C50">
        <w:rPr>
          <w:b/>
          <w:bCs/>
        </w:rPr>
        <w:t xml:space="preserve"> 1.</w:t>
      </w:r>
      <w:r w:rsidRPr="00A42C50">
        <w:t xml:space="preserve"> </w:t>
      </w:r>
      <w:r w:rsidRPr="00BD193E">
        <w:t xml:space="preserve">Therapeutic properties of IVIG depend, at least in part, on glycosylation. </w:t>
      </w:r>
      <w:r w:rsidRPr="00A42C50">
        <w:t>IVI</w:t>
      </w:r>
      <w:r>
        <w:t>G</w:t>
      </w:r>
      <w:r w:rsidRPr="00A42C50">
        <w:t xml:space="preserve"> was </w:t>
      </w:r>
      <w:r w:rsidR="00343B87">
        <w:t>de-glycos</w:t>
      </w:r>
      <w:r w:rsidRPr="00A42C50">
        <w:t xml:space="preserve">ylated, under non-denaturing reaction conditions by recombinant </w:t>
      </w:r>
      <w:proofErr w:type="spellStart"/>
      <w:r w:rsidRPr="00A42C50">
        <w:t>PNGase</w:t>
      </w:r>
      <w:proofErr w:type="spellEnd"/>
      <w:r w:rsidRPr="00A42C50">
        <w:t xml:space="preserve"> F. </w:t>
      </w:r>
      <w:r w:rsidR="00343B87">
        <w:t>De-glycos</w:t>
      </w:r>
      <w:r w:rsidRPr="00A42C50">
        <w:t>ylated as well as glycosylated (“wildtype”) IVIG w</w:t>
      </w:r>
      <w:r>
        <w:t>as</w:t>
      </w:r>
      <w:r w:rsidRPr="00A42C50">
        <w:t xml:space="preserve"> used to treat OSC during immune-mediated demyelination. </w:t>
      </w:r>
      <w:r w:rsidRPr="006F112F">
        <w:rPr>
          <w:b/>
          <w:iCs/>
        </w:rPr>
        <w:t>(A)</w:t>
      </w:r>
      <w:r w:rsidRPr="00A42C50">
        <w:t xml:space="preserve"> SDS-PAGE analysis of </w:t>
      </w:r>
      <w:r w:rsidR="00343B87">
        <w:t>de-glycos</w:t>
      </w:r>
      <w:r w:rsidRPr="00A42C50">
        <w:t>ylated (</w:t>
      </w:r>
      <w:proofErr w:type="spellStart"/>
      <w:r w:rsidRPr="00A42C50">
        <w:t>dIVI</w:t>
      </w:r>
      <w:r>
        <w:t>G</w:t>
      </w:r>
      <w:proofErr w:type="spellEnd"/>
      <w:r w:rsidRPr="00A42C50">
        <w:t>) as well as glycosylated IVIg (</w:t>
      </w:r>
      <w:proofErr w:type="spellStart"/>
      <w:r w:rsidRPr="00A42C50">
        <w:t>gIVI</w:t>
      </w:r>
      <w:r>
        <w:t>G</w:t>
      </w:r>
      <w:proofErr w:type="spellEnd"/>
      <w:r w:rsidRPr="00A42C50">
        <w:t xml:space="preserve">) under reducing and denaturing conditions: The shorter molecular size of </w:t>
      </w:r>
      <w:proofErr w:type="spellStart"/>
      <w:r w:rsidRPr="00A42C50">
        <w:t>dIVI</w:t>
      </w:r>
      <w:r>
        <w:t>G</w:t>
      </w:r>
      <w:proofErr w:type="spellEnd"/>
      <w:r w:rsidRPr="00A42C50">
        <w:t xml:space="preserve"> supports successful </w:t>
      </w:r>
      <w:r w:rsidR="00343B87">
        <w:t>de-glycos</w:t>
      </w:r>
      <w:r w:rsidRPr="00A42C50">
        <w:t>ylation.</w:t>
      </w:r>
      <w:r w:rsidRPr="00A42C50">
        <w:rPr>
          <w:b/>
        </w:rPr>
        <w:t xml:space="preserve"> </w:t>
      </w:r>
      <w:r w:rsidRPr="006F112F">
        <w:rPr>
          <w:b/>
          <w:iCs/>
        </w:rPr>
        <w:t>(B)</w:t>
      </w:r>
      <w:r>
        <w:rPr>
          <w:b/>
          <w:i/>
        </w:rPr>
        <w:t xml:space="preserve"> </w:t>
      </w:r>
      <w:r w:rsidR="00343B87">
        <w:t>De-glycos</w:t>
      </w:r>
      <w:r w:rsidRPr="00A42C50">
        <w:t>ylated IVI</w:t>
      </w:r>
      <w:r>
        <w:t>G</w:t>
      </w:r>
      <w:r w:rsidRPr="00A42C50">
        <w:t xml:space="preserve"> has reduced protective properties as compared to wildtype IVI</w:t>
      </w:r>
      <w:r>
        <w:t>G</w:t>
      </w:r>
      <w:r w:rsidRPr="00A42C50">
        <w:t>: OSC w</w:t>
      </w:r>
      <w:r>
        <w:t>as</w:t>
      </w:r>
      <w:r w:rsidRPr="00A42C50">
        <w:t xml:space="preserve"> demyelinated with 5 µg/mL anti-MOG antibody and </w:t>
      </w:r>
      <w:r w:rsidR="0022706D">
        <w:t>8</w:t>
      </w:r>
      <w:r w:rsidR="009B1ED8">
        <w:t xml:space="preserve">% </w:t>
      </w:r>
      <w:r w:rsidRPr="00A42C50">
        <w:t xml:space="preserve">complement (left column) in the presence or absence of either glycosylated or </w:t>
      </w:r>
      <w:r w:rsidR="00343B87">
        <w:t>de-glycos</w:t>
      </w:r>
      <w:r w:rsidRPr="00A42C50">
        <w:t>ylated IVIG (6 mg/ml). Demyelination was visualized and quantified via GFP expression of oligodendrocytes and myelin under regulatory elements of the myelin protein PLP. For the quantification of the relative myelin contents of OSC during demyelination, PLP-GFP expression was documented daily in living OSC: While glycosylated IVI</w:t>
      </w:r>
      <w:r>
        <w:t>G</w:t>
      </w:r>
      <w:r w:rsidRPr="00A42C50">
        <w:t xml:space="preserve"> protect from immune-mediated demyelination (middle column), this protection was reduced when using </w:t>
      </w:r>
      <w:r w:rsidR="00343B87">
        <w:t>de-glycos</w:t>
      </w:r>
      <w:r w:rsidRPr="00A42C50">
        <w:t>ylated IVI</w:t>
      </w:r>
      <w:r>
        <w:t>G</w:t>
      </w:r>
      <w:r w:rsidRPr="00A42C50">
        <w:t xml:space="preserve"> (right column), scale bar = 1 m</w:t>
      </w:r>
      <w:r w:rsidR="00DF0061">
        <w:t>m</w:t>
      </w:r>
      <w:r w:rsidRPr="00A42C50">
        <w:t xml:space="preserve">. </w:t>
      </w:r>
      <w:r w:rsidRPr="006F112F">
        <w:rPr>
          <w:b/>
          <w:iCs/>
        </w:rPr>
        <w:t>(C)</w:t>
      </w:r>
      <w:r>
        <w:rPr>
          <w:b/>
          <w:i/>
        </w:rPr>
        <w:t xml:space="preserve"> </w:t>
      </w:r>
      <w:r w:rsidR="00DF0061">
        <w:t xml:space="preserve">Quantification of the GFP+ area relative to day 0 (n=7-8 OSC per group); PLP-GFP expression confirmed reduced protection by </w:t>
      </w:r>
      <w:r w:rsidR="00343B87">
        <w:t>de-glycos</w:t>
      </w:r>
      <w:r w:rsidR="00DF0061">
        <w:t xml:space="preserve">ylated IVIG. Significant differences were calculated in respect to the demyelinated control using one-way analysis of variance and Dunnett’s post hoc test. *P≤ 0.05. Values are depicted as mean </w:t>
      </w:r>
      <w:r w:rsidR="00DF0061">
        <w:rPr>
          <w:rFonts w:ascii="Arial" w:hAnsi="Arial" w:cs="Arial"/>
          <w:color w:val="202122"/>
          <w:sz w:val="18"/>
          <w:szCs w:val="18"/>
          <w:shd w:val="clear" w:color="auto" w:fill="FFFFFF"/>
        </w:rPr>
        <w:t>±</w:t>
      </w:r>
      <w:r w:rsidR="00DF0061">
        <w:t xml:space="preserve"> SEM.</w:t>
      </w:r>
      <w:r w:rsidR="00DF0061" w:rsidRPr="00631182">
        <w:rPr>
          <w:color w:val="FF0000"/>
        </w:rPr>
        <w:t xml:space="preserve"> </w:t>
      </w:r>
    </w:p>
    <w:p w14:paraId="0756EF4C" w14:textId="77777777" w:rsidR="00A42C50" w:rsidRDefault="00A42C50" w:rsidP="00502694">
      <w:pPr>
        <w:widowControl w:val="0"/>
        <w:autoSpaceDE w:val="0"/>
        <w:autoSpaceDN w:val="0"/>
        <w:adjustRightInd w:val="0"/>
        <w:spacing w:line="360" w:lineRule="auto"/>
        <w:ind w:right="-52"/>
        <w:rPr>
          <w:sz w:val="28"/>
          <w:szCs w:val="28"/>
        </w:rPr>
      </w:pPr>
    </w:p>
    <w:p w14:paraId="6BA5A1B0" w14:textId="090E6140" w:rsidR="00554917" w:rsidRDefault="00B3240E" w:rsidP="00554917">
      <w:pPr>
        <w:spacing w:line="360" w:lineRule="auto"/>
        <w:ind w:right="-52"/>
        <w:contextualSpacing/>
      </w:pPr>
      <w:r w:rsidRPr="00B3240E">
        <w:rPr>
          <w:b/>
          <w:bCs/>
        </w:rPr>
        <w:t>Fig</w:t>
      </w:r>
      <w:r w:rsidR="00BD193E">
        <w:rPr>
          <w:b/>
          <w:bCs/>
        </w:rPr>
        <w:t>ure</w:t>
      </w:r>
      <w:r w:rsidRPr="00B3240E">
        <w:rPr>
          <w:b/>
          <w:bCs/>
        </w:rPr>
        <w:t xml:space="preserve"> 2.</w:t>
      </w:r>
      <w:r>
        <w:t xml:space="preserve"> </w:t>
      </w:r>
      <w:r w:rsidRPr="00B3240E">
        <w:rPr>
          <w:rFonts w:cstheme="minorHAnsi"/>
          <w:b/>
        </w:rPr>
        <w:t xml:space="preserve"> </w:t>
      </w:r>
      <w:r w:rsidRPr="00BD193E">
        <w:rPr>
          <w:rFonts w:cstheme="minorHAnsi"/>
          <w:bCs/>
        </w:rPr>
        <w:t>Glycosylated Fc leads show variable protection from immune-mediated demyelination.</w:t>
      </w:r>
      <w:r>
        <w:rPr>
          <w:rFonts w:cstheme="minorHAnsi"/>
          <w:b/>
        </w:rPr>
        <w:t xml:space="preserve"> </w:t>
      </w:r>
      <w:r w:rsidR="00554917">
        <w:rPr>
          <w:rFonts w:cstheme="minorHAnsi"/>
          <w:b/>
        </w:rPr>
        <w:t xml:space="preserve">(A) </w:t>
      </w:r>
      <w:r w:rsidRPr="00B3240E">
        <w:rPr>
          <w:rFonts w:cstheme="minorHAnsi"/>
        </w:rPr>
        <w:t>OSCs were demyelinated with 5 µg/mL anti-MOG antibody and complement for three days absence (column</w:t>
      </w:r>
      <w:r w:rsidR="00554917">
        <w:rPr>
          <w:rFonts w:cstheme="minorHAnsi"/>
        </w:rPr>
        <w:t xml:space="preserve"> 1</w:t>
      </w:r>
      <w:r w:rsidRPr="00B3240E">
        <w:rPr>
          <w:rFonts w:cstheme="minorHAnsi"/>
        </w:rPr>
        <w:t>) or presence of either WT-IVIG (6 mg/ml</w:t>
      </w:r>
      <w:r w:rsidR="00554917">
        <w:rPr>
          <w:rFonts w:cstheme="minorHAnsi"/>
        </w:rPr>
        <w:t>,</w:t>
      </w:r>
      <w:r w:rsidRPr="00B3240E">
        <w:rPr>
          <w:rFonts w:cstheme="minorHAnsi"/>
        </w:rPr>
        <w:t xml:space="preserve"> column</w:t>
      </w:r>
      <w:r w:rsidR="00554917">
        <w:rPr>
          <w:rFonts w:cstheme="minorHAnsi"/>
        </w:rPr>
        <w:t xml:space="preserve"> 3</w:t>
      </w:r>
      <w:r w:rsidRPr="00B3240E">
        <w:rPr>
          <w:rFonts w:cstheme="minorHAnsi"/>
        </w:rPr>
        <w:t>); non-protecting Fc</w:t>
      </w:r>
      <w:r w:rsidR="008C2A6F">
        <w:rPr>
          <w:rFonts w:cstheme="minorHAnsi"/>
        </w:rPr>
        <w:t xml:space="preserve"> </w:t>
      </w:r>
      <w:r w:rsidRPr="00B3240E">
        <w:rPr>
          <w:rFonts w:cstheme="minorHAnsi"/>
        </w:rPr>
        <w:t>backbone (1 mg/ml, column</w:t>
      </w:r>
      <w:r w:rsidR="00554917">
        <w:rPr>
          <w:rFonts w:cstheme="minorHAnsi"/>
        </w:rPr>
        <w:t xml:space="preserve"> 7</w:t>
      </w:r>
      <w:r w:rsidRPr="00B3240E">
        <w:rPr>
          <w:rFonts w:cstheme="minorHAnsi"/>
        </w:rPr>
        <w:t>) or different glycosylated Fc leads (protective Fc</w:t>
      </w:r>
      <w:r w:rsidR="008C2A6F">
        <w:rPr>
          <w:rFonts w:cstheme="minorHAnsi"/>
        </w:rPr>
        <w:t xml:space="preserve"> </w:t>
      </w:r>
      <w:r w:rsidRPr="00B3240E">
        <w:rPr>
          <w:rFonts w:cstheme="minorHAnsi"/>
        </w:rPr>
        <w:t>construct</w:t>
      </w:r>
      <w:r w:rsidR="00554917">
        <w:rPr>
          <w:rFonts w:cstheme="minorHAnsi"/>
        </w:rPr>
        <w:t>s</w:t>
      </w:r>
      <w:r w:rsidRPr="00B3240E">
        <w:rPr>
          <w:rFonts w:cstheme="minorHAnsi"/>
        </w:rPr>
        <w:t xml:space="preserve"> in column</w:t>
      </w:r>
      <w:r w:rsidR="00554917">
        <w:rPr>
          <w:rFonts w:cstheme="minorHAnsi"/>
        </w:rPr>
        <w:t>s</w:t>
      </w:r>
      <w:r w:rsidRPr="00B3240E">
        <w:rPr>
          <w:rFonts w:cstheme="minorHAnsi"/>
        </w:rPr>
        <w:t xml:space="preserve"> </w:t>
      </w:r>
      <w:r w:rsidR="00554917">
        <w:rPr>
          <w:rFonts w:cstheme="minorHAnsi"/>
        </w:rPr>
        <w:t>5, 6, 8</w:t>
      </w:r>
      <w:r w:rsidRPr="00B3240E">
        <w:rPr>
          <w:rFonts w:cstheme="minorHAnsi"/>
        </w:rPr>
        <w:t>; 1 mg/ml)</w:t>
      </w:r>
      <w:r w:rsidR="00DF0061">
        <w:rPr>
          <w:rFonts w:cstheme="minorHAnsi"/>
        </w:rPr>
        <w:t>; n = 4-20 OSC per group)</w:t>
      </w:r>
      <w:r w:rsidRPr="00B3240E">
        <w:rPr>
          <w:rFonts w:cstheme="minorHAnsi"/>
        </w:rPr>
        <w:t xml:space="preserve"> </w:t>
      </w:r>
      <w:r w:rsidR="00554917" w:rsidRPr="008E1462">
        <w:rPr>
          <w:rFonts w:cstheme="minorHAnsi"/>
          <w:b/>
          <w:bCs/>
        </w:rPr>
        <w:t>(B)</w:t>
      </w:r>
      <w:r w:rsidR="00554917">
        <w:rPr>
          <w:rFonts w:cstheme="minorHAnsi"/>
        </w:rPr>
        <w:t xml:space="preserve"> Two protective glycosylated Fc leads (D221N/C309L/N563A/C575A and N563A/C575A) inhibit demyelination at 10</w:t>
      </w:r>
      <w:r w:rsidR="00554917" w:rsidRPr="006F112F">
        <w:rPr>
          <w:rFonts w:ascii="Symbol" w:hAnsi="Symbol" w:cstheme="minorHAnsi"/>
        </w:rPr>
        <w:t>m</w:t>
      </w:r>
      <w:r w:rsidR="00554917">
        <w:rPr>
          <w:rFonts w:cstheme="minorHAnsi"/>
        </w:rPr>
        <w:t>g/ml</w:t>
      </w:r>
      <w:r w:rsidR="00DF0061">
        <w:rPr>
          <w:rFonts w:cstheme="minorHAnsi"/>
        </w:rPr>
        <w:t xml:space="preserve"> (n= 12-17 OSC per group)</w:t>
      </w:r>
      <w:r w:rsidR="00554917">
        <w:rPr>
          <w:rFonts w:cstheme="minorHAnsi"/>
        </w:rPr>
        <w:t xml:space="preserve">. (C) Titration of the N563A/C575A mutant shown in </w:t>
      </w:r>
      <w:r w:rsidR="008E1462">
        <w:rPr>
          <w:rFonts w:cstheme="minorHAnsi"/>
        </w:rPr>
        <w:t>(</w:t>
      </w:r>
      <w:r w:rsidR="00554917">
        <w:rPr>
          <w:rFonts w:cstheme="minorHAnsi"/>
        </w:rPr>
        <w:t xml:space="preserve">A) and </w:t>
      </w:r>
      <w:r w:rsidR="008E1462">
        <w:rPr>
          <w:rFonts w:cstheme="minorHAnsi"/>
        </w:rPr>
        <w:t>(</w:t>
      </w:r>
      <w:r w:rsidR="00554917">
        <w:rPr>
          <w:rFonts w:cstheme="minorHAnsi"/>
        </w:rPr>
        <w:t>B).</w:t>
      </w:r>
      <w:r w:rsidR="00554917">
        <w:t xml:space="preserve"> </w:t>
      </w:r>
      <w:r w:rsidR="00554917" w:rsidRPr="00B3240E">
        <w:t xml:space="preserve">Demyelination was quantified by GFP fluorescence emitted from myelin </w:t>
      </w:r>
      <w:r w:rsidR="006A0C84">
        <w:t>of OSCs prepared from</w:t>
      </w:r>
      <w:r w:rsidR="00554917" w:rsidRPr="00B3240E">
        <w:t xml:space="preserve"> transgenic mice </w:t>
      </w:r>
      <w:r w:rsidR="00554917" w:rsidRPr="00B3240E">
        <w:lastRenderedPageBreak/>
        <w:t>expressing GFP under regulatory elements of the myelin protein PLP</w:t>
      </w:r>
      <w:r w:rsidR="00DF0061">
        <w:t xml:space="preserve"> (n = 4-20</w:t>
      </w:r>
      <w:r w:rsidR="00DF0061" w:rsidRPr="00680B6A">
        <w:t xml:space="preserve"> OSC per group</w:t>
      </w:r>
      <w:r w:rsidR="00DF0061">
        <w:t>)</w:t>
      </w:r>
      <w:r w:rsidR="00DF0061" w:rsidRPr="00B3240E">
        <w:t>.</w:t>
      </w:r>
      <w:r w:rsidR="00DF0061">
        <w:t xml:space="preserve"> Scale bars 1 m</w:t>
      </w:r>
      <w:r w:rsidR="00DF0061" w:rsidRPr="008C2CEC">
        <w:t>m</w:t>
      </w:r>
      <w:r w:rsidR="00DF0061">
        <w:t xml:space="preserve">. </w:t>
      </w:r>
      <w:bookmarkStart w:id="0" w:name="OLE_LINK2"/>
      <w:r w:rsidR="00DF0061">
        <w:t xml:space="preserve">Significant differences were calculated in respect to the demyelinated control using one-way analysis of variance and Dunnett’s post hoc test. *P ≤ 0.05. Values are depicted as mean </w:t>
      </w:r>
      <w:r w:rsidR="00DF0061">
        <w:rPr>
          <w:rFonts w:ascii="Arial" w:hAnsi="Arial" w:cs="Arial"/>
          <w:color w:val="202122"/>
          <w:sz w:val="18"/>
          <w:szCs w:val="18"/>
          <w:shd w:val="clear" w:color="auto" w:fill="FFFFFF"/>
        </w:rPr>
        <w:t>±</w:t>
      </w:r>
      <w:r w:rsidR="00DF0061">
        <w:t xml:space="preserve"> SEM</w:t>
      </w:r>
      <w:bookmarkEnd w:id="0"/>
      <w:r w:rsidR="00554917" w:rsidRPr="00B3240E">
        <w:t>.</w:t>
      </w:r>
      <w:r w:rsidR="00554917">
        <w:t xml:space="preserve"> </w:t>
      </w:r>
    </w:p>
    <w:p w14:paraId="20DFC53C" w14:textId="602BF22E" w:rsidR="002B215F" w:rsidRDefault="002B215F" w:rsidP="00422E5C">
      <w:pPr>
        <w:spacing w:line="360" w:lineRule="auto"/>
        <w:ind w:right="-52"/>
        <w:contextualSpacing/>
      </w:pPr>
    </w:p>
    <w:p w14:paraId="4E0476FF" w14:textId="2FE88315" w:rsidR="000F2222" w:rsidRPr="000F2222" w:rsidRDefault="000F2222" w:rsidP="000F2222">
      <w:pPr>
        <w:spacing w:line="360" w:lineRule="auto"/>
        <w:ind w:right="-52"/>
        <w:contextualSpacing/>
      </w:pPr>
      <w:r w:rsidRPr="000F2222">
        <w:rPr>
          <w:b/>
          <w:bCs/>
        </w:rPr>
        <w:t>Fig</w:t>
      </w:r>
      <w:r w:rsidR="00BD193E">
        <w:rPr>
          <w:b/>
          <w:bCs/>
        </w:rPr>
        <w:t>ure</w:t>
      </w:r>
      <w:r w:rsidRPr="000F2222">
        <w:rPr>
          <w:b/>
          <w:bCs/>
        </w:rPr>
        <w:t xml:space="preserve"> 3. </w:t>
      </w:r>
      <w:r w:rsidRPr="00BD193E">
        <w:t xml:space="preserve">Incubation of OSCs from </w:t>
      </w:r>
      <w:r w:rsidRPr="00BD193E">
        <w:rPr>
          <w:lang w:val="en-US"/>
        </w:rPr>
        <w:t>CX</w:t>
      </w:r>
      <w:r w:rsidRPr="00BD193E">
        <w:rPr>
          <w:vertAlign w:val="subscript"/>
          <w:lang w:val="en-US"/>
        </w:rPr>
        <w:t>3</w:t>
      </w:r>
      <w:r w:rsidRPr="00BD193E">
        <w:rPr>
          <w:lang w:val="en-US"/>
        </w:rPr>
        <w:t>CR1</w:t>
      </w:r>
      <w:r w:rsidRPr="00BD193E">
        <w:rPr>
          <w:vertAlign w:val="superscript"/>
          <w:lang w:val="en-US"/>
        </w:rPr>
        <w:t>+/GFP</w:t>
      </w:r>
      <w:r w:rsidRPr="00BD193E">
        <w:t xml:space="preserve"> transgenic mice with Fc fragments.</w:t>
      </w:r>
      <w:r w:rsidRPr="000F2222">
        <w:t xml:space="preserve"> OSC were incubated with 10 µg/ml fluorescence-labelled recombinant Fc fragments either alone or together with 7% rabbit complement</w:t>
      </w:r>
      <w:r w:rsidR="00A543AE">
        <w:t>, and in the absence of the anti-MOG antibody</w:t>
      </w:r>
      <w:r>
        <w:t>.</w:t>
      </w:r>
      <w:r w:rsidRPr="000F2222">
        <w:t xml:space="preserve"> </w:t>
      </w:r>
      <w:r w:rsidRPr="000F2222">
        <w:rPr>
          <w:b/>
          <w:bCs/>
        </w:rPr>
        <w:t>(A)</w:t>
      </w:r>
      <w:r w:rsidRPr="000F2222">
        <w:t xml:space="preserve"> </w:t>
      </w:r>
      <w:r w:rsidRPr="000F2222">
        <w:rPr>
          <w:lang w:val="en-US"/>
        </w:rPr>
        <w:t>CX</w:t>
      </w:r>
      <w:r w:rsidRPr="000F2222">
        <w:rPr>
          <w:vertAlign w:val="subscript"/>
          <w:lang w:val="en-US"/>
        </w:rPr>
        <w:t>3</w:t>
      </w:r>
      <w:r w:rsidRPr="000F2222">
        <w:rPr>
          <w:lang w:val="en-US"/>
        </w:rPr>
        <w:t>CR1</w:t>
      </w:r>
      <w:r w:rsidRPr="000F2222">
        <w:rPr>
          <w:vertAlign w:val="superscript"/>
          <w:lang w:val="en-US"/>
        </w:rPr>
        <w:t>+/GFP</w:t>
      </w:r>
      <w:r w:rsidR="00A543AE">
        <w:t>-</w:t>
      </w:r>
      <w:r w:rsidRPr="000F2222">
        <w:t xml:space="preserve">positive microglia cells were reduced by treatment with </w:t>
      </w:r>
      <w:r w:rsidRPr="000F2222">
        <w:rPr>
          <w:lang w:val="de-DE"/>
        </w:rPr>
        <w:t xml:space="preserve">N563A/C575A and complement but not by treatment with N563A/C575A alone. The other </w:t>
      </w:r>
      <w:r>
        <w:rPr>
          <w:lang w:val="de-DE"/>
        </w:rPr>
        <w:t>F</w:t>
      </w:r>
      <w:r w:rsidRPr="000F2222">
        <w:rPr>
          <w:lang w:val="de-DE"/>
        </w:rPr>
        <w:t xml:space="preserve">c constructs did not affect </w:t>
      </w:r>
      <w:r w:rsidRPr="000F2222">
        <w:rPr>
          <w:lang w:val="en-US"/>
        </w:rPr>
        <w:t>CX</w:t>
      </w:r>
      <w:r w:rsidRPr="000F2222">
        <w:rPr>
          <w:vertAlign w:val="subscript"/>
          <w:lang w:val="en-US"/>
        </w:rPr>
        <w:t>3</w:t>
      </w:r>
      <w:r w:rsidRPr="000F2222">
        <w:rPr>
          <w:lang w:val="en-US"/>
        </w:rPr>
        <w:t>CR1</w:t>
      </w:r>
      <w:r w:rsidRPr="000F2222">
        <w:rPr>
          <w:vertAlign w:val="superscript"/>
          <w:lang w:val="en-US"/>
        </w:rPr>
        <w:t>+/GFP</w:t>
      </w:r>
      <w:r w:rsidRPr="000F2222">
        <w:t>-</w:t>
      </w:r>
      <w:r w:rsidR="00A543AE">
        <w:t xml:space="preserve"> </w:t>
      </w:r>
      <w:r w:rsidRPr="000F2222">
        <w:t xml:space="preserve">positive microglia cells. </w:t>
      </w:r>
      <w:r w:rsidRPr="000F2222">
        <w:rPr>
          <w:lang w:val="en-US"/>
        </w:rPr>
        <w:t>Overviews: scale bar 1 mm, enlargement: scale bar 250 µm.</w:t>
      </w:r>
      <w:r w:rsidRPr="000F2222">
        <w:t xml:space="preserve"> </w:t>
      </w:r>
      <w:r w:rsidRPr="000F2222">
        <w:rPr>
          <w:b/>
          <w:bCs/>
        </w:rPr>
        <w:t xml:space="preserve">(B) </w:t>
      </w:r>
      <w:r w:rsidRPr="000F2222">
        <w:t xml:space="preserve">After three days, OSC were fixed, stained with </w:t>
      </w:r>
      <w:r>
        <w:t xml:space="preserve">either </w:t>
      </w:r>
      <w:r w:rsidRPr="000F2222">
        <w:t xml:space="preserve">anti-Iba1 antibody or anti-CD68 antibody to analyse microglia and activated microglia via confocal microscopy. In OSCs treated with </w:t>
      </w:r>
      <w:r w:rsidRPr="000F2222">
        <w:rPr>
          <w:lang w:val="de-DE"/>
        </w:rPr>
        <w:t>N563A/C575A and complement, signals of Iba1 a</w:t>
      </w:r>
      <w:r>
        <w:rPr>
          <w:lang w:val="de-DE"/>
        </w:rPr>
        <w:t>nd</w:t>
      </w:r>
      <w:r w:rsidRPr="000F2222">
        <w:rPr>
          <w:lang w:val="de-DE"/>
        </w:rPr>
        <w:t xml:space="preserve"> CD68 were reduced. </w:t>
      </w:r>
      <w:r w:rsidRPr="000F2222">
        <w:rPr>
          <w:lang w:val="en-US"/>
        </w:rPr>
        <w:t>Stack images were taken with a distance of 5 µm and displayed as maximum projection</w:t>
      </w:r>
      <w:r w:rsidRPr="000F2222">
        <w:t xml:space="preserve"> (scale bar = 50 µm</w:t>
      </w:r>
      <w:r w:rsidRPr="00B95A2F">
        <w:t>).</w:t>
      </w:r>
      <w:r w:rsidR="00A543AE" w:rsidRPr="00B95A2F">
        <w:t xml:space="preserve"> Similar results were observed in experiments where the anti-MOG antibody was included</w:t>
      </w:r>
      <w:r w:rsidR="00856A6B" w:rsidRPr="00B95A2F">
        <w:t xml:space="preserve"> with the complement</w:t>
      </w:r>
      <w:r w:rsidR="007B3A92">
        <w:t xml:space="preserve"> (Table S1)</w:t>
      </w:r>
      <w:r w:rsidR="00A543AE" w:rsidRPr="00B95A2F">
        <w:t>.</w:t>
      </w:r>
      <w:r w:rsidR="007B3A92">
        <w:t xml:space="preserve"> </w:t>
      </w:r>
    </w:p>
    <w:p w14:paraId="641310FE" w14:textId="77777777" w:rsidR="000F2222" w:rsidRDefault="000F2222" w:rsidP="00422E5C">
      <w:pPr>
        <w:spacing w:line="360" w:lineRule="auto"/>
        <w:ind w:right="-52"/>
        <w:contextualSpacing/>
      </w:pPr>
    </w:p>
    <w:p w14:paraId="54AD903E" w14:textId="6F68D879" w:rsidR="002B215F" w:rsidRPr="00317837" w:rsidRDefault="002B215F" w:rsidP="002B215F">
      <w:pPr>
        <w:spacing w:line="360" w:lineRule="auto"/>
        <w:rPr>
          <w:rFonts w:eastAsia="Times New Roman" w:cstheme="minorHAnsi"/>
          <w:lang w:eastAsia="en-GB"/>
        </w:rPr>
      </w:pPr>
      <w:r>
        <w:rPr>
          <w:rFonts w:cstheme="minorHAnsi"/>
          <w:b/>
          <w:bCs/>
        </w:rPr>
        <w:t>Fig</w:t>
      </w:r>
      <w:r w:rsidR="00BD193E">
        <w:rPr>
          <w:rFonts w:cstheme="minorHAnsi"/>
          <w:b/>
          <w:bCs/>
        </w:rPr>
        <w:t>ure</w:t>
      </w:r>
      <w:r>
        <w:rPr>
          <w:rFonts w:cstheme="minorHAnsi"/>
          <w:b/>
          <w:bCs/>
        </w:rPr>
        <w:t xml:space="preserve"> </w:t>
      </w:r>
      <w:r w:rsidR="000F2222">
        <w:rPr>
          <w:rFonts w:cstheme="minorHAnsi"/>
          <w:b/>
          <w:bCs/>
        </w:rPr>
        <w:t>4</w:t>
      </w:r>
      <w:r>
        <w:rPr>
          <w:rFonts w:cstheme="minorHAnsi"/>
          <w:b/>
          <w:bCs/>
        </w:rPr>
        <w:t xml:space="preserve">. </w:t>
      </w:r>
      <w:r w:rsidRPr="00BD193E">
        <w:rPr>
          <w:rFonts w:cstheme="minorHAnsi"/>
        </w:rPr>
        <w:t>A model for Fc multimerization and interaction with C1q.</w:t>
      </w:r>
      <w:r w:rsidRPr="000915CC">
        <w:rPr>
          <w:rFonts w:cstheme="minorHAnsi"/>
          <w:b/>
          <w:bCs/>
        </w:rPr>
        <w:t xml:space="preserve"> </w:t>
      </w:r>
      <w:r w:rsidR="00BB485A" w:rsidRPr="000F2222">
        <w:rPr>
          <w:b/>
          <w:color w:val="000000" w:themeColor="text1"/>
        </w:rPr>
        <w:t>(A)</w:t>
      </w:r>
      <w:r w:rsidR="00BB485A" w:rsidRPr="000F2222">
        <w:rPr>
          <w:color w:val="000000" w:themeColor="text1"/>
        </w:rPr>
        <w:t xml:space="preserve"> AFM images of</w:t>
      </w:r>
      <w:r w:rsidR="00C60251">
        <w:rPr>
          <w:color w:val="000000" w:themeColor="text1"/>
        </w:rPr>
        <w:t xml:space="preserve"> the</w:t>
      </w:r>
      <w:r w:rsidR="00BB485A" w:rsidRPr="000F2222">
        <w:rPr>
          <w:color w:val="000000" w:themeColor="text1"/>
        </w:rPr>
        <w:t xml:space="preserve"> D221N/N563A/C575A molecule reveal</w:t>
      </w:r>
      <w:r w:rsidR="002C1800">
        <w:rPr>
          <w:color w:val="000000" w:themeColor="text1"/>
        </w:rPr>
        <w:t>s</w:t>
      </w:r>
      <w:r w:rsidR="00BB485A" w:rsidRPr="000F2222">
        <w:rPr>
          <w:color w:val="000000" w:themeColor="text1"/>
        </w:rPr>
        <w:t xml:space="preserve"> a wide range of structures and sizes, many of which clearly consist of multiples of globular elliptical domains that are of the expected size (~10 to 12 nm in lateral dimension, ~3 nm in height) of individual Fc fragments. The lower panels (each 38 x 38 nm</w:t>
      </w:r>
      <w:r w:rsidR="00BB485A" w:rsidRPr="000F2222">
        <w:rPr>
          <w:color w:val="000000" w:themeColor="text1"/>
          <w:vertAlign w:val="superscript"/>
        </w:rPr>
        <w:t>2</w:t>
      </w:r>
      <w:r w:rsidR="00BB485A" w:rsidRPr="000F2222">
        <w:rPr>
          <w:color w:val="000000" w:themeColor="text1"/>
        </w:rPr>
        <w:t xml:space="preserve">) show isolated complexes containing from one to more than eight Fc fragments. Scale bar: 100 nm. </w:t>
      </w:r>
      <w:r w:rsidR="00BB485A" w:rsidRPr="000F2222">
        <w:rPr>
          <w:b/>
          <w:color w:val="000000" w:themeColor="text1"/>
        </w:rPr>
        <w:t>(B)</w:t>
      </w:r>
      <w:r w:rsidR="00BB485A" w:rsidRPr="000F2222">
        <w:rPr>
          <w:color w:val="000000" w:themeColor="text1"/>
        </w:rPr>
        <w:t xml:space="preserve"> Distribution of the distances between individual Fc fragments within single complexes, showing that most of these distances are within the range of inter-C1q head distances (9 to 18 nm) observed in C1q/IgG and C1q/IgM complexes.</w:t>
      </w:r>
      <w:r w:rsidR="00BB485A" w:rsidRPr="000F2222">
        <w:rPr>
          <w:rFonts w:eastAsia="Times New Roman" w:cstheme="minorHAnsi"/>
          <w:color w:val="000000" w:themeColor="text1"/>
          <w:shd w:val="clear" w:color="auto" w:fill="FFFFFF"/>
          <w:lang w:eastAsia="en-GB"/>
        </w:rPr>
        <w:t xml:space="preserve"> </w:t>
      </w:r>
      <w:r w:rsidRPr="000F2222">
        <w:rPr>
          <w:rFonts w:eastAsia="Times New Roman" w:cstheme="minorHAnsi"/>
          <w:b/>
          <w:bCs/>
          <w:color w:val="000000" w:themeColor="text1"/>
          <w:lang w:eastAsia="en-GB"/>
        </w:rPr>
        <w:t>(</w:t>
      </w:r>
      <w:r w:rsidR="00A31995" w:rsidRPr="000F2222">
        <w:rPr>
          <w:rFonts w:eastAsia="Times New Roman" w:cstheme="minorHAnsi"/>
          <w:b/>
          <w:bCs/>
          <w:color w:val="000000" w:themeColor="text1"/>
          <w:lang w:eastAsia="en-GB"/>
        </w:rPr>
        <w:t>C</w:t>
      </w:r>
      <w:r w:rsidRPr="000F2222">
        <w:rPr>
          <w:rFonts w:eastAsia="Times New Roman" w:cstheme="minorHAnsi"/>
          <w:b/>
          <w:bCs/>
          <w:color w:val="000000" w:themeColor="text1"/>
          <w:lang w:eastAsia="en-GB"/>
        </w:rPr>
        <w:t>)</w:t>
      </w:r>
      <w:r w:rsidRPr="000F2222">
        <w:rPr>
          <w:rFonts w:eastAsia="Times New Roman" w:cstheme="minorHAnsi"/>
          <w:color w:val="000000" w:themeColor="text1"/>
          <w:lang w:eastAsia="en-GB"/>
        </w:rPr>
        <w:t xml:space="preserve"> </w:t>
      </w:r>
      <w:r w:rsidR="00A31995" w:rsidRPr="000F2222">
        <w:rPr>
          <w:rFonts w:cstheme="minorHAnsi"/>
          <w:color w:val="000000" w:themeColor="text1"/>
        </w:rPr>
        <w:t xml:space="preserve">The </w:t>
      </w:r>
      <w:r w:rsidRPr="000F2222">
        <w:rPr>
          <w:rFonts w:cstheme="minorHAnsi"/>
          <w:color w:val="000000" w:themeColor="text1"/>
        </w:rPr>
        <w:t>D221</w:t>
      </w:r>
      <w:r w:rsidRPr="000915CC">
        <w:rPr>
          <w:rFonts w:cstheme="minorHAnsi"/>
        </w:rPr>
        <w:t>N/N563A/C575A</w:t>
      </w:r>
      <w:r w:rsidR="00A31995">
        <w:rPr>
          <w:rFonts w:cstheme="minorHAnsi"/>
        </w:rPr>
        <w:t xml:space="preserve"> </w:t>
      </w:r>
      <w:r w:rsidRPr="000915CC">
        <w:rPr>
          <w:rFonts w:cstheme="minorHAnsi"/>
        </w:rPr>
        <w:t xml:space="preserve">aligned in </w:t>
      </w:r>
      <w:proofErr w:type="spellStart"/>
      <w:r w:rsidRPr="000915CC">
        <w:rPr>
          <w:rFonts w:cstheme="minorHAnsi"/>
        </w:rPr>
        <w:t>Pymol</w:t>
      </w:r>
      <w:proofErr w:type="spellEnd"/>
      <w:r w:rsidRPr="000915CC">
        <w:rPr>
          <w:rFonts w:cstheme="minorHAnsi"/>
        </w:rPr>
        <w:t xml:space="preserve"> onto the cryo</w:t>
      </w:r>
      <w:r w:rsidRPr="00317837">
        <w:rPr>
          <w:rFonts w:cstheme="minorHAnsi"/>
        </w:rPr>
        <w:t>-EM structure of IgM (</w:t>
      </w:r>
      <w:proofErr w:type="spellStart"/>
      <w:r w:rsidRPr="00317837">
        <w:rPr>
          <w:rFonts w:cstheme="minorHAnsi"/>
        </w:rPr>
        <w:t>pdb</w:t>
      </w:r>
      <w:proofErr w:type="spellEnd"/>
      <w:r>
        <w:rPr>
          <w:rFonts w:cstheme="minorHAnsi"/>
        </w:rPr>
        <w:t>;</w:t>
      </w:r>
      <w:r w:rsidRPr="00317837">
        <w:rPr>
          <w:rFonts w:cstheme="minorHAnsi"/>
        </w:rPr>
        <w:t xml:space="preserve"> 6KXS</w:t>
      </w:r>
      <w:r>
        <w:rPr>
          <w:rFonts w:cstheme="minorHAnsi"/>
        </w:rPr>
        <w:t>,</w:t>
      </w:r>
      <w:r w:rsidRPr="00317837">
        <w:rPr>
          <w:rFonts w:cstheme="minorHAnsi"/>
        </w:rPr>
        <w:t xml:space="preserve"> shown in black). One Fc heavy chain is shown in cyan, the other in magenta, and the N-linked oligosaccharides attached to the hinge are shown in their respective heavy chain colour</w:t>
      </w:r>
      <w:r>
        <w:rPr>
          <w:rFonts w:cstheme="minorHAnsi"/>
        </w:rPr>
        <w:t xml:space="preserve"> terminating in sialic acid (green)</w:t>
      </w:r>
      <w:r w:rsidRPr="00317837">
        <w:rPr>
          <w:rFonts w:cstheme="minorHAnsi"/>
        </w:rPr>
        <w:t>. The 7</w:t>
      </w:r>
      <w:r w:rsidRPr="00317837">
        <w:rPr>
          <w:rFonts w:eastAsia="Times New Roman" w:cstheme="minorHAnsi"/>
          <w:color w:val="222222"/>
          <w:shd w:val="clear" w:color="auto" w:fill="FFFFFF"/>
          <w:lang w:eastAsia="en-GB"/>
        </w:rPr>
        <w:t>Å</w:t>
      </w:r>
      <w:r>
        <w:rPr>
          <w:rFonts w:eastAsia="Times New Roman" w:cstheme="minorHAnsi"/>
          <w:lang w:eastAsia="en-GB"/>
        </w:rPr>
        <w:t xml:space="preserve"> </w:t>
      </w:r>
      <w:r w:rsidRPr="00317837">
        <w:rPr>
          <w:rFonts w:cstheme="minorHAnsi"/>
        </w:rPr>
        <w:t>structure of C1q in complex with IgG1 (</w:t>
      </w:r>
      <w:proofErr w:type="spellStart"/>
      <w:r w:rsidRPr="00317837">
        <w:rPr>
          <w:rFonts w:cstheme="minorHAnsi"/>
        </w:rPr>
        <w:t>pdb</w:t>
      </w:r>
      <w:proofErr w:type="spellEnd"/>
      <w:r w:rsidRPr="00317837">
        <w:rPr>
          <w:rFonts w:cstheme="minorHAnsi"/>
        </w:rPr>
        <w:t xml:space="preserve">, 6FCZ) allowed the globular head domains of C1q (shown in red) to be mapped onto the Fc. </w:t>
      </w:r>
      <w:r>
        <w:rPr>
          <w:rFonts w:cstheme="minorHAnsi"/>
        </w:rPr>
        <w:t>Residue Lys-322 that is critical for C1q binding is shown in blue spheres on each of the Fc heavy chains.</w:t>
      </w:r>
      <w:r w:rsidR="00A31995">
        <w:rPr>
          <w:rFonts w:cstheme="minorHAnsi"/>
        </w:rPr>
        <w:t xml:space="preserve"> </w:t>
      </w:r>
      <w:r w:rsidR="00A31995" w:rsidRPr="00BB485A">
        <w:rPr>
          <w:rFonts w:cstheme="minorHAnsi"/>
          <w:b/>
          <w:bCs/>
        </w:rPr>
        <w:t>(D)</w:t>
      </w:r>
      <w:r w:rsidR="00A31995">
        <w:rPr>
          <w:rFonts w:cstheme="minorHAnsi"/>
        </w:rPr>
        <w:t xml:space="preserve"> </w:t>
      </w:r>
      <w:r w:rsidR="00542BCC">
        <w:rPr>
          <w:rFonts w:cstheme="minorHAnsi"/>
        </w:rPr>
        <w:t>Panel C magnified to show the accessibility of the C1q binding site.</w:t>
      </w:r>
    </w:p>
    <w:p w14:paraId="1ABBA3F4" w14:textId="77777777" w:rsidR="002B215F" w:rsidRPr="008E1462" w:rsidRDefault="002B215F" w:rsidP="00422E5C">
      <w:pPr>
        <w:spacing w:line="360" w:lineRule="auto"/>
        <w:ind w:right="-52"/>
        <w:contextualSpacing/>
      </w:pPr>
    </w:p>
    <w:p w14:paraId="41028A53" w14:textId="77777777" w:rsidR="000F2966" w:rsidRDefault="000F2966" w:rsidP="005D039D">
      <w:pPr>
        <w:spacing w:line="360" w:lineRule="auto"/>
        <w:ind w:right="-52"/>
        <w:contextualSpacing/>
        <w:rPr>
          <w:b/>
          <w:bCs/>
        </w:rPr>
      </w:pPr>
    </w:p>
    <w:p w14:paraId="3A2BB5B4" w14:textId="076B78B6" w:rsidR="005D039D" w:rsidRDefault="005D039D" w:rsidP="005D039D">
      <w:pPr>
        <w:spacing w:line="360" w:lineRule="auto"/>
        <w:ind w:right="-52"/>
        <w:contextualSpacing/>
        <w:rPr>
          <w:b/>
          <w:bCs/>
        </w:rPr>
      </w:pPr>
      <w:r>
        <w:rPr>
          <w:b/>
          <w:bCs/>
        </w:rPr>
        <w:t>Data availability statement</w:t>
      </w:r>
    </w:p>
    <w:p w14:paraId="30D2C540" w14:textId="20FA7F66" w:rsidR="005D039D" w:rsidRDefault="005D039D" w:rsidP="005D039D">
      <w:pPr>
        <w:spacing w:line="360" w:lineRule="auto"/>
        <w:ind w:right="-52"/>
        <w:contextualSpacing/>
        <w:rPr>
          <w:b/>
          <w:bCs/>
        </w:rPr>
      </w:pPr>
      <w:r>
        <w:rPr>
          <w:rFonts w:eastAsia="Times New Roman" w:cstheme="minorHAnsi"/>
          <w:lang w:eastAsia="en-GB"/>
        </w:rPr>
        <w:t>The raw transcriptomic data is submitted to</w:t>
      </w:r>
      <w:r w:rsidRPr="00582940">
        <w:rPr>
          <w:color w:val="000000" w:themeColor="text1"/>
        </w:rPr>
        <w:t xml:space="preserve"> </w:t>
      </w:r>
      <w:r>
        <w:rPr>
          <w:color w:val="000000" w:themeColor="text1"/>
        </w:rPr>
        <w:t>the European nucleotide archive under accession number PRJEB41654.</w:t>
      </w:r>
    </w:p>
    <w:p w14:paraId="3663D620" w14:textId="77777777" w:rsidR="005D039D" w:rsidRDefault="005D039D" w:rsidP="005D039D">
      <w:pPr>
        <w:spacing w:line="360" w:lineRule="auto"/>
        <w:ind w:right="-52"/>
        <w:contextualSpacing/>
        <w:rPr>
          <w:b/>
          <w:bCs/>
        </w:rPr>
      </w:pPr>
    </w:p>
    <w:p w14:paraId="3EC28F3A" w14:textId="508B2379" w:rsidR="005D039D" w:rsidRDefault="005D039D" w:rsidP="005D039D">
      <w:pPr>
        <w:spacing w:line="360" w:lineRule="auto"/>
        <w:ind w:right="-52"/>
        <w:contextualSpacing/>
      </w:pPr>
      <w:r w:rsidRPr="005D039D">
        <w:rPr>
          <w:b/>
          <w:bCs/>
        </w:rPr>
        <w:t>Funding statement</w:t>
      </w:r>
    </w:p>
    <w:p w14:paraId="3022D643" w14:textId="2CC939FE" w:rsidR="00841AAB" w:rsidRPr="00AC032D" w:rsidRDefault="005D039D" w:rsidP="005D039D">
      <w:pPr>
        <w:spacing w:line="360" w:lineRule="auto"/>
        <w:ind w:right="-52"/>
        <w:contextualSpacing/>
      </w:pPr>
      <w:r w:rsidRPr="00726CF9">
        <w:t xml:space="preserve">This work was supported by an Innovator Grant from the Wellcome Trust </w:t>
      </w:r>
      <w:r>
        <w:t xml:space="preserve">to RP and NG </w:t>
      </w:r>
      <w:r w:rsidRPr="00726CF9">
        <w:t xml:space="preserve">(208938/Z/17/Z) and an institutional MRC Confidence in Concepts award </w:t>
      </w:r>
      <w:r w:rsidRPr="00726CF9">
        <w:rPr>
          <w:rFonts w:ascii="Calibri" w:eastAsia="Times New Roman" w:hAnsi="Calibri" w:cs="Calibri"/>
          <w:color w:val="000000"/>
          <w:lang w:eastAsia="en-GB"/>
        </w:rPr>
        <w:t>2017-18 MM9 MC_PC_17167</w:t>
      </w:r>
      <w:r w:rsidRPr="00726CF9">
        <w:rPr>
          <w:rFonts w:cs="Arial"/>
        </w:rPr>
        <w:t xml:space="preserve">. Also, by the Biotechnology and Biological Sciences Research Council grant BBF0083091 (A. Dell and S.M. Haslam), MRC MC UU 12014/8 and </w:t>
      </w:r>
      <w:r w:rsidRPr="00726CF9">
        <w:rPr>
          <w:rFonts w:ascii="Calibri" w:eastAsia="Times New Roman" w:hAnsi="Calibri" w:cs="Calibri"/>
          <w:color w:val="000000"/>
          <w:lang w:eastAsia="en-GB"/>
        </w:rPr>
        <w:t>MC</w:t>
      </w:r>
      <w:r>
        <w:rPr>
          <w:rFonts w:ascii="Calibri" w:eastAsia="Times New Roman" w:hAnsi="Calibri" w:cs="Calibri"/>
          <w:color w:val="000000"/>
          <w:lang w:eastAsia="en-GB"/>
        </w:rPr>
        <w:t xml:space="preserve"> </w:t>
      </w:r>
      <w:r w:rsidRPr="00726CF9">
        <w:rPr>
          <w:rFonts w:ascii="Calibri" w:eastAsia="Times New Roman" w:hAnsi="Calibri" w:cs="Calibri"/>
          <w:color w:val="000000"/>
          <w:lang w:eastAsia="en-GB"/>
        </w:rPr>
        <w:t>UU</w:t>
      </w:r>
      <w:r>
        <w:rPr>
          <w:rFonts w:ascii="Calibri" w:eastAsia="Times New Roman" w:hAnsi="Calibri" w:cs="Calibri"/>
          <w:color w:val="000000"/>
          <w:lang w:eastAsia="en-GB"/>
        </w:rPr>
        <w:t xml:space="preserve"> </w:t>
      </w:r>
      <w:r w:rsidRPr="00726CF9">
        <w:rPr>
          <w:rFonts w:ascii="Calibri" w:eastAsia="Times New Roman" w:hAnsi="Calibri" w:cs="Calibri"/>
          <w:color w:val="000000"/>
          <w:lang w:eastAsia="en-GB"/>
        </w:rPr>
        <w:t>12014/12</w:t>
      </w:r>
      <w:r w:rsidRPr="00726CF9">
        <w:rPr>
          <w:rFonts w:ascii="Times New Roman" w:eastAsia="Times New Roman" w:hAnsi="Times New Roman" w:cs="Times New Roman"/>
          <w:lang w:eastAsia="en-GB"/>
        </w:rPr>
        <w:t xml:space="preserve"> </w:t>
      </w:r>
      <w:r w:rsidRPr="00726CF9">
        <w:rPr>
          <w:rFonts w:cs="Arial"/>
        </w:rPr>
        <w:t>(A. Kohl</w:t>
      </w:r>
      <w:r>
        <w:rPr>
          <w:rFonts w:cs="Arial"/>
        </w:rPr>
        <w:t xml:space="preserve"> and</w:t>
      </w:r>
      <w:r w:rsidRPr="00726CF9">
        <w:rPr>
          <w:rFonts w:cs="Arial"/>
        </w:rPr>
        <w:t xml:space="preserve"> Q. Gu</w:t>
      </w:r>
      <w:r>
        <w:rPr>
          <w:rFonts w:cs="Arial"/>
        </w:rPr>
        <w:t>, A. Filipe.</w:t>
      </w:r>
      <w:r w:rsidRPr="00726CF9">
        <w:rPr>
          <w:rFonts w:cs="Arial"/>
        </w:rPr>
        <w:t xml:space="preserve"> respectively) and by grants (31670722, 31971151, and 81627801) from the National Science Foundation of China (D.M.C).</w:t>
      </w:r>
    </w:p>
    <w:sectPr w:rsidR="00841AAB" w:rsidRPr="00AC032D" w:rsidSect="0094062B">
      <w:footerReference w:type="even" r:id="rId17"/>
      <w:footerReference w:type="default" r:id="rId18"/>
      <w:pgSz w:w="11900" w:h="16840"/>
      <w:pgMar w:top="1454" w:right="821"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5EDB6" w14:textId="77777777" w:rsidR="009962F7" w:rsidRDefault="009962F7" w:rsidP="00F02349">
      <w:r>
        <w:separator/>
      </w:r>
    </w:p>
  </w:endnote>
  <w:endnote w:type="continuationSeparator" w:id="0">
    <w:p w14:paraId="470FC060" w14:textId="77777777" w:rsidR="009962F7" w:rsidRDefault="009962F7" w:rsidP="00F02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7620707"/>
      <w:docPartObj>
        <w:docPartGallery w:val="Page Numbers (Bottom of Page)"/>
        <w:docPartUnique/>
      </w:docPartObj>
    </w:sdtPr>
    <w:sdtEndPr>
      <w:rPr>
        <w:rStyle w:val="PageNumber"/>
      </w:rPr>
    </w:sdtEndPr>
    <w:sdtContent>
      <w:p w14:paraId="7605DBE0" w14:textId="77777777" w:rsidR="0069710E" w:rsidRDefault="0069710E" w:rsidP="00754EA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D11FD4" w14:textId="77777777" w:rsidR="0069710E" w:rsidRDefault="00697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3063"/>
      <w:docPartObj>
        <w:docPartGallery w:val="Page Numbers (Bottom of Page)"/>
        <w:docPartUnique/>
      </w:docPartObj>
    </w:sdtPr>
    <w:sdtEndPr>
      <w:rPr>
        <w:rStyle w:val="PageNumber"/>
      </w:rPr>
    </w:sdtEndPr>
    <w:sdtContent>
      <w:p w14:paraId="23C3220B" w14:textId="0ED2DF55" w:rsidR="0069710E" w:rsidRDefault="0069710E" w:rsidP="00754EA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0FFDC65B" w14:textId="77777777" w:rsidR="0069710E" w:rsidRDefault="00697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BBC9A" w14:textId="77777777" w:rsidR="009962F7" w:rsidRDefault="009962F7" w:rsidP="00F02349">
      <w:r>
        <w:separator/>
      </w:r>
    </w:p>
  </w:footnote>
  <w:footnote w:type="continuationSeparator" w:id="0">
    <w:p w14:paraId="6739C9F5" w14:textId="77777777" w:rsidR="009962F7" w:rsidRDefault="009962F7" w:rsidP="00F02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66AC"/>
    <w:multiLevelType w:val="hybridMultilevel"/>
    <w:tmpl w:val="971EDB16"/>
    <w:lvl w:ilvl="0" w:tplc="A59CED7E">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1" w15:restartNumberingAfterBreak="0">
    <w:nsid w:val="212B38C4"/>
    <w:multiLevelType w:val="hybridMultilevel"/>
    <w:tmpl w:val="DC70400C"/>
    <w:lvl w:ilvl="0" w:tplc="A236780A">
      <w:start w:val="1"/>
      <w:numFmt w:val="decimal"/>
      <w:lvlText w:val="%1)"/>
      <w:lvlJc w:val="left"/>
      <w:pPr>
        <w:ind w:left="720" w:hanging="360"/>
      </w:pPr>
      <w:rPr>
        <w:rFonts w:asciiTheme="minorHAnsi" w:eastAsiaTheme="minorHAnsi" w:hAnsiTheme="minorHAnsi" w:cstheme="minorHAns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05D6486"/>
    <w:multiLevelType w:val="hybridMultilevel"/>
    <w:tmpl w:val="2712336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AE6"/>
    <w:rsid w:val="000003FD"/>
    <w:rsid w:val="0000173C"/>
    <w:rsid w:val="00002EA7"/>
    <w:rsid w:val="00004B86"/>
    <w:rsid w:val="000075B3"/>
    <w:rsid w:val="0003267F"/>
    <w:rsid w:val="00036179"/>
    <w:rsid w:val="0004074C"/>
    <w:rsid w:val="00045DCF"/>
    <w:rsid w:val="000461F2"/>
    <w:rsid w:val="00047702"/>
    <w:rsid w:val="00055C6F"/>
    <w:rsid w:val="0006003A"/>
    <w:rsid w:val="000615C6"/>
    <w:rsid w:val="00062902"/>
    <w:rsid w:val="00063151"/>
    <w:rsid w:val="00064D17"/>
    <w:rsid w:val="00064F8E"/>
    <w:rsid w:val="00065597"/>
    <w:rsid w:val="00067F35"/>
    <w:rsid w:val="00074053"/>
    <w:rsid w:val="00075267"/>
    <w:rsid w:val="00077311"/>
    <w:rsid w:val="0008030F"/>
    <w:rsid w:val="00081B87"/>
    <w:rsid w:val="00082BA4"/>
    <w:rsid w:val="000832F3"/>
    <w:rsid w:val="00091998"/>
    <w:rsid w:val="000926D7"/>
    <w:rsid w:val="00093B47"/>
    <w:rsid w:val="000A0E7F"/>
    <w:rsid w:val="000B0767"/>
    <w:rsid w:val="000B32FF"/>
    <w:rsid w:val="000B434C"/>
    <w:rsid w:val="000B5654"/>
    <w:rsid w:val="000C0F9C"/>
    <w:rsid w:val="000D73E9"/>
    <w:rsid w:val="000E05C3"/>
    <w:rsid w:val="000E2FB3"/>
    <w:rsid w:val="000F2222"/>
    <w:rsid w:val="000F2966"/>
    <w:rsid w:val="000F4628"/>
    <w:rsid w:val="000F7731"/>
    <w:rsid w:val="00100E3A"/>
    <w:rsid w:val="0011293B"/>
    <w:rsid w:val="00112C7F"/>
    <w:rsid w:val="00114E66"/>
    <w:rsid w:val="0011728C"/>
    <w:rsid w:val="00123E01"/>
    <w:rsid w:val="0013059B"/>
    <w:rsid w:val="00134988"/>
    <w:rsid w:val="001352D9"/>
    <w:rsid w:val="001443EC"/>
    <w:rsid w:val="00151B33"/>
    <w:rsid w:val="00156853"/>
    <w:rsid w:val="00160F2A"/>
    <w:rsid w:val="001614C9"/>
    <w:rsid w:val="0016166E"/>
    <w:rsid w:val="00163CA0"/>
    <w:rsid w:val="00164800"/>
    <w:rsid w:val="00164932"/>
    <w:rsid w:val="0016583D"/>
    <w:rsid w:val="00166B61"/>
    <w:rsid w:val="00171374"/>
    <w:rsid w:val="001850C8"/>
    <w:rsid w:val="00185DE5"/>
    <w:rsid w:val="00185E2A"/>
    <w:rsid w:val="00186A81"/>
    <w:rsid w:val="0018713E"/>
    <w:rsid w:val="00191BA8"/>
    <w:rsid w:val="00192F9A"/>
    <w:rsid w:val="0019507A"/>
    <w:rsid w:val="001A2F85"/>
    <w:rsid w:val="001B098B"/>
    <w:rsid w:val="001B2C9E"/>
    <w:rsid w:val="001B2EA4"/>
    <w:rsid w:val="001C2566"/>
    <w:rsid w:val="001D07F3"/>
    <w:rsid w:val="001D0BB9"/>
    <w:rsid w:val="001D334A"/>
    <w:rsid w:val="001D7300"/>
    <w:rsid w:val="001E132A"/>
    <w:rsid w:val="001E6C15"/>
    <w:rsid w:val="001E7BF0"/>
    <w:rsid w:val="001F0EB6"/>
    <w:rsid w:val="001F3F1C"/>
    <w:rsid w:val="001F48A7"/>
    <w:rsid w:val="001F5D9A"/>
    <w:rsid w:val="001F5DE1"/>
    <w:rsid w:val="00203FFB"/>
    <w:rsid w:val="00205F2E"/>
    <w:rsid w:val="0020603C"/>
    <w:rsid w:val="00210AD2"/>
    <w:rsid w:val="00210CA1"/>
    <w:rsid w:val="00211D2A"/>
    <w:rsid w:val="0021741C"/>
    <w:rsid w:val="0022057E"/>
    <w:rsid w:val="00222337"/>
    <w:rsid w:val="0022706D"/>
    <w:rsid w:val="00232756"/>
    <w:rsid w:val="00232CDE"/>
    <w:rsid w:val="00234320"/>
    <w:rsid w:val="00236990"/>
    <w:rsid w:val="0025320E"/>
    <w:rsid w:val="00256372"/>
    <w:rsid w:val="00264363"/>
    <w:rsid w:val="00265F4B"/>
    <w:rsid w:val="00267650"/>
    <w:rsid w:val="002676C6"/>
    <w:rsid w:val="00274EFE"/>
    <w:rsid w:val="00281145"/>
    <w:rsid w:val="002832DC"/>
    <w:rsid w:val="002876B7"/>
    <w:rsid w:val="00292858"/>
    <w:rsid w:val="00293CDD"/>
    <w:rsid w:val="00294C70"/>
    <w:rsid w:val="0029787A"/>
    <w:rsid w:val="002A0C7D"/>
    <w:rsid w:val="002A2546"/>
    <w:rsid w:val="002A7245"/>
    <w:rsid w:val="002B215F"/>
    <w:rsid w:val="002B4398"/>
    <w:rsid w:val="002C1800"/>
    <w:rsid w:val="002C2C44"/>
    <w:rsid w:val="002D5C6C"/>
    <w:rsid w:val="002D7175"/>
    <w:rsid w:val="002E23F8"/>
    <w:rsid w:val="002E5B3A"/>
    <w:rsid w:val="002F24F5"/>
    <w:rsid w:val="002F4C55"/>
    <w:rsid w:val="002F4EA1"/>
    <w:rsid w:val="002F7977"/>
    <w:rsid w:val="0030456F"/>
    <w:rsid w:val="0030539F"/>
    <w:rsid w:val="00327485"/>
    <w:rsid w:val="003302D1"/>
    <w:rsid w:val="00330572"/>
    <w:rsid w:val="0033454A"/>
    <w:rsid w:val="0033672D"/>
    <w:rsid w:val="00343B87"/>
    <w:rsid w:val="00345575"/>
    <w:rsid w:val="0035088D"/>
    <w:rsid w:val="00352886"/>
    <w:rsid w:val="00354D4C"/>
    <w:rsid w:val="00356047"/>
    <w:rsid w:val="0036595E"/>
    <w:rsid w:val="0037040D"/>
    <w:rsid w:val="0037213E"/>
    <w:rsid w:val="0038098C"/>
    <w:rsid w:val="00381970"/>
    <w:rsid w:val="0038519A"/>
    <w:rsid w:val="0039245E"/>
    <w:rsid w:val="003929DD"/>
    <w:rsid w:val="00395035"/>
    <w:rsid w:val="003B27B4"/>
    <w:rsid w:val="003B7464"/>
    <w:rsid w:val="003C1FEE"/>
    <w:rsid w:val="003C5E82"/>
    <w:rsid w:val="003C6203"/>
    <w:rsid w:val="003D3252"/>
    <w:rsid w:val="003D69ED"/>
    <w:rsid w:val="003E3945"/>
    <w:rsid w:val="003E3F38"/>
    <w:rsid w:val="003E73F8"/>
    <w:rsid w:val="003F3DF4"/>
    <w:rsid w:val="003F7C85"/>
    <w:rsid w:val="00402D24"/>
    <w:rsid w:val="00402E1A"/>
    <w:rsid w:val="00403721"/>
    <w:rsid w:val="0040507A"/>
    <w:rsid w:val="00406ADA"/>
    <w:rsid w:val="00410A0D"/>
    <w:rsid w:val="00414B74"/>
    <w:rsid w:val="004176A9"/>
    <w:rsid w:val="00422DD0"/>
    <w:rsid w:val="00422E5C"/>
    <w:rsid w:val="00432183"/>
    <w:rsid w:val="004323E2"/>
    <w:rsid w:val="0045284E"/>
    <w:rsid w:val="00453FAC"/>
    <w:rsid w:val="004544B5"/>
    <w:rsid w:val="00457AFA"/>
    <w:rsid w:val="00457B6D"/>
    <w:rsid w:val="00463F5A"/>
    <w:rsid w:val="00464520"/>
    <w:rsid w:val="004657B9"/>
    <w:rsid w:val="004724D9"/>
    <w:rsid w:val="0047542B"/>
    <w:rsid w:val="00475E94"/>
    <w:rsid w:val="004761E0"/>
    <w:rsid w:val="0048115D"/>
    <w:rsid w:val="00481533"/>
    <w:rsid w:val="00481EDD"/>
    <w:rsid w:val="00485498"/>
    <w:rsid w:val="00486321"/>
    <w:rsid w:val="00487592"/>
    <w:rsid w:val="00495DD7"/>
    <w:rsid w:val="00496E03"/>
    <w:rsid w:val="004A68EC"/>
    <w:rsid w:val="004B26E7"/>
    <w:rsid w:val="004B4AE9"/>
    <w:rsid w:val="004C49A2"/>
    <w:rsid w:val="004D2C6E"/>
    <w:rsid w:val="004D6382"/>
    <w:rsid w:val="004D7663"/>
    <w:rsid w:val="004D78DD"/>
    <w:rsid w:val="004E4486"/>
    <w:rsid w:val="004E6E50"/>
    <w:rsid w:val="004F0DBF"/>
    <w:rsid w:val="004F3D21"/>
    <w:rsid w:val="004F4725"/>
    <w:rsid w:val="00502694"/>
    <w:rsid w:val="00504E1B"/>
    <w:rsid w:val="00504FA8"/>
    <w:rsid w:val="0050729D"/>
    <w:rsid w:val="005078E5"/>
    <w:rsid w:val="00507C3A"/>
    <w:rsid w:val="005112CB"/>
    <w:rsid w:val="005209AD"/>
    <w:rsid w:val="00521DCB"/>
    <w:rsid w:val="00540DCE"/>
    <w:rsid w:val="00542121"/>
    <w:rsid w:val="00542BCC"/>
    <w:rsid w:val="0054423F"/>
    <w:rsid w:val="00544CF0"/>
    <w:rsid w:val="005464B7"/>
    <w:rsid w:val="00554917"/>
    <w:rsid w:val="00556019"/>
    <w:rsid w:val="00573A79"/>
    <w:rsid w:val="00582940"/>
    <w:rsid w:val="005835B3"/>
    <w:rsid w:val="00584537"/>
    <w:rsid w:val="00585DC4"/>
    <w:rsid w:val="00586A7F"/>
    <w:rsid w:val="005A29F8"/>
    <w:rsid w:val="005B1D7F"/>
    <w:rsid w:val="005B2543"/>
    <w:rsid w:val="005B3B34"/>
    <w:rsid w:val="005B7427"/>
    <w:rsid w:val="005C6ECB"/>
    <w:rsid w:val="005D039D"/>
    <w:rsid w:val="005D3ED7"/>
    <w:rsid w:val="005E03E0"/>
    <w:rsid w:val="005E5CE3"/>
    <w:rsid w:val="005F0BF3"/>
    <w:rsid w:val="005F3C20"/>
    <w:rsid w:val="005F47CD"/>
    <w:rsid w:val="005F79B1"/>
    <w:rsid w:val="00600886"/>
    <w:rsid w:val="00602904"/>
    <w:rsid w:val="00606486"/>
    <w:rsid w:val="00610665"/>
    <w:rsid w:val="0062055E"/>
    <w:rsid w:val="006212CA"/>
    <w:rsid w:val="00625223"/>
    <w:rsid w:val="00630346"/>
    <w:rsid w:val="00631182"/>
    <w:rsid w:val="00633189"/>
    <w:rsid w:val="00636501"/>
    <w:rsid w:val="0063713B"/>
    <w:rsid w:val="00646E63"/>
    <w:rsid w:val="0065162E"/>
    <w:rsid w:val="00653DD6"/>
    <w:rsid w:val="00665996"/>
    <w:rsid w:val="00674EFF"/>
    <w:rsid w:val="006753BE"/>
    <w:rsid w:val="006817D5"/>
    <w:rsid w:val="0068478E"/>
    <w:rsid w:val="00686145"/>
    <w:rsid w:val="00694641"/>
    <w:rsid w:val="0069710E"/>
    <w:rsid w:val="00697591"/>
    <w:rsid w:val="006A0B24"/>
    <w:rsid w:val="006A0C84"/>
    <w:rsid w:val="006A620A"/>
    <w:rsid w:val="006A7851"/>
    <w:rsid w:val="006B2B06"/>
    <w:rsid w:val="006B72D6"/>
    <w:rsid w:val="006B7628"/>
    <w:rsid w:val="006B7689"/>
    <w:rsid w:val="006D049F"/>
    <w:rsid w:val="006D2F0E"/>
    <w:rsid w:val="006F112F"/>
    <w:rsid w:val="006F1EA0"/>
    <w:rsid w:val="006F4958"/>
    <w:rsid w:val="006F5450"/>
    <w:rsid w:val="006F6DEA"/>
    <w:rsid w:val="007058D0"/>
    <w:rsid w:val="00711E8D"/>
    <w:rsid w:val="00717AE0"/>
    <w:rsid w:val="0072540B"/>
    <w:rsid w:val="00726CF9"/>
    <w:rsid w:val="00727F95"/>
    <w:rsid w:val="007356CB"/>
    <w:rsid w:val="007508A6"/>
    <w:rsid w:val="007528B8"/>
    <w:rsid w:val="00754EA4"/>
    <w:rsid w:val="00785E72"/>
    <w:rsid w:val="00794A3A"/>
    <w:rsid w:val="007965BC"/>
    <w:rsid w:val="007A355B"/>
    <w:rsid w:val="007A3BC3"/>
    <w:rsid w:val="007A5070"/>
    <w:rsid w:val="007A650B"/>
    <w:rsid w:val="007B05C2"/>
    <w:rsid w:val="007B1A74"/>
    <w:rsid w:val="007B3A92"/>
    <w:rsid w:val="007B413D"/>
    <w:rsid w:val="007B5923"/>
    <w:rsid w:val="007B6F2E"/>
    <w:rsid w:val="007C0060"/>
    <w:rsid w:val="007C3F93"/>
    <w:rsid w:val="007C4072"/>
    <w:rsid w:val="007C454B"/>
    <w:rsid w:val="007D2831"/>
    <w:rsid w:val="007D2C89"/>
    <w:rsid w:val="007E148F"/>
    <w:rsid w:val="007E16CD"/>
    <w:rsid w:val="007E5E16"/>
    <w:rsid w:val="007F1C52"/>
    <w:rsid w:val="00804B12"/>
    <w:rsid w:val="008053B0"/>
    <w:rsid w:val="00815CEB"/>
    <w:rsid w:val="00817D4A"/>
    <w:rsid w:val="008209A1"/>
    <w:rsid w:val="00821253"/>
    <w:rsid w:val="0082162A"/>
    <w:rsid w:val="00822CA2"/>
    <w:rsid w:val="00825184"/>
    <w:rsid w:val="00827D54"/>
    <w:rsid w:val="00831B27"/>
    <w:rsid w:val="00841AAB"/>
    <w:rsid w:val="0084313D"/>
    <w:rsid w:val="0084460D"/>
    <w:rsid w:val="0085473E"/>
    <w:rsid w:val="0085589B"/>
    <w:rsid w:val="00856A6B"/>
    <w:rsid w:val="00863330"/>
    <w:rsid w:val="0086537C"/>
    <w:rsid w:val="00867BB2"/>
    <w:rsid w:val="00874578"/>
    <w:rsid w:val="008760A9"/>
    <w:rsid w:val="00890E0D"/>
    <w:rsid w:val="008951EF"/>
    <w:rsid w:val="00896C32"/>
    <w:rsid w:val="008A27C5"/>
    <w:rsid w:val="008A2B73"/>
    <w:rsid w:val="008A3DD3"/>
    <w:rsid w:val="008A45B8"/>
    <w:rsid w:val="008A5188"/>
    <w:rsid w:val="008A7BCD"/>
    <w:rsid w:val="008C0A7C"/>
    <w:rsid w:val="008C2A6F"/>
    <w:rsid w:val="008C6DCC"/>
    <w:rsid w:val="008C7C1D"/>
    <w:rsid w:val="008E1462"/>
    <w:rsid w:val="008E165D"/>
    <w:rsid w:val="008E5743"/>
    <w:rsid w:val="008E61BD"/>
    <w:rsid w:val="008E72B0"/>
    <w:rsid w:val="008F6155"/>
    <w:rsid w:val="00900699"/>
    <w:rsid w:val="0090178D"/>
    <w:rsid w:val="009128E2"/>
    <w:rsid w:val="009130C2"/>
    <w:rsid w:val="00914D88"/>
    <w:rsid w:val="0092787C"/>
    <w:rsid w:val="0094062B"/>
    <w:rsid w:val="009419C2"/>
    <w:rsid w:val="00943940"/>
    <w:rsid w:val="00945D85"/>
    <w:rsid w:val="00947006"/>
    <w:rsid w:val="00954887"/>
    <w:rsid w:val="009557A8"/>
    <w:rsid w:val="00961D57"/>
    <w:rsid w:val="00962341"/>
    <w:rsid w:val="00973F8A"/>
    <w:rsid w:val="00991A07"/>
    <w:rsid w:val="009962F7"/>
    <w:rsid w:val="009A2848"/>
    <w:rsid w:val="009A4A7B"/>
    <w:rsid w:val="009B1ED8"/>
    <w:rsid w:val="009B3118"/>
    <w:rsid w:val="009C1B4F"/>
    <w:rsid w:val="009C5CF8"/>
    <w:rsid w:val="009C67C5"/>
    <w:rsid w:val="009D101C"/>
    <w:rsid w:val="009D102C"/>
    <w:rsid w:val="009D5BEB"/>
    <w:rsid w:val="009E054E"/>
    <w:rsid w:val="009E09DB"/>
    <w:rsid w:val="009E22D2"/>
    <w:rsid w:val="009E35D4"/>
    <w:rsid w:val="009E5D30"/>
    <w:rsid w:val="009E62F8"/>
    <w:rsid w:val="009E7D9B"/>
    <w:rsid w:val="009F3145"/>
    <w:rsid w:val="009F329D"/>
    <w:rsid w:val="009F40CE"/>
    <w:rsid w:val="009F4BE1"/>
    <w:rsid w:val="009F7FD1"/>
    <w:rsid w:val="00A035BF"/>
    <w:rsid w:val="00A07E34"/>
    <w:rsid w:val="00A139ED"/>
    <w:rsid w:val="00A14352"/>
    <w:rsid w:val="00A1511A"/>
    <w:rsid w:val="00A165FC"/>
    <w:rsid w:val="00A17A37"/>
    <w:rsid w:val="00A24660"/>
    <w:rsid w:val="00A258B0"/>
    <w:rsid w:val="00A2649F"/>
    <w:rsid w:val="00A31995"/>
    <w:rsid w:val="00A31C53"/>
    <w:rsid w:val="00A42AB0"/>
    <w:rsid w:val="00A42C50"/>
    <w:rsid w:val="00A4426F"/>
    <w:rsid w:val="00A478A2"/>
    <w:rsid w:val="00A51D60"/>
    <w:rsid w:val="00A543AE"/>
    <w:rsid w:val="00A55741"/>
    <w:rsid w:val="00A67535"/>
    <w:rsid w:val="00A7288B"/>
    <w:rsid w:val="00A73367"/>
    <w:rsid w:val="00A7392C"/>
    <w:rsid w:val="00A7503E"/>
    <w:rsid w:val="00A91B8A"/>
    <w:rsid w:val="00A9200C"/>
    <w:rsid w:val="00A92B5B"/>
    <w:rsid w:val="00A95A76"/>
    <w:rsid w:val="00AA1E20"/>
    <w:rsid w:val="00AA2A37"/>
    <w:rsid w:val="00AA70E2"/>
    <w:rsid w:val="00AB3935"/>
    <w:rsid w:val="00AC032D"/>
    <w:rsid w:val="00AC4AEC"/>
    <w:rsid w:val="00AC5E68"/>
    <w:rsid w:val="00AD1960"/>
    <w:rsid w:val="00AE0988"/>
    <w:rsid w:val="00AE0F33"/>
    <w:rsid w:val="00AE1C7A"/>
    <w:rsid w:val="00AE224E"/>
    <w:rsid w:val="00AE3C89"/>
    <w:rsid w:val="00AF455E"/>
    <w:rsid w:val="00AF5AFD"/>
    <w:rsid w:val="00B11537"/>
    <w:rsid w:val="00B14053"/>
    <w:rsid w:val="00B15B3A"/>
    <w:rsid w:val="00B15D2F"/>
    <w:rsid w:val="00B16095"/>
    <w:rsid w:val="00B256D8"/>
    <w:rsid w:val="00B26250"/>
    <w:rsid w:val="00B3240E"/>
    <w:rsid w:val="00B41556"/>
    <w:rsid w:val="00B44B0C"/>
    <w:rsid w:val="00B51D64"/>
    <w:rsid w:val="00B54E33"/>
    <w:rsid w:val="00B56077"/>
    <w:rsid w:val="00B571BA"/>
    <w:rsid w:val="00B63F52"/>
    <w:rsid w:val="00B6691E"/>
    <w:rsid w:val="00B70BBD"/>
    <w:rsid w:val="00B711B7"/>
    <w:rsid w:val="00B729CD"/>
    <w:rsid w:val="00B72F93"/>
    <w:rsid w:val="00B74F85"/>
    <w:rsid w:val="00B83726"/>
    <w:rsid w:val="00B86D9F"/>
    <w:rsid w:val="00B86EFD"/>
    <w:rsid w:val="00B91ACD"/>
    <w:rsid w:val="00B959D7"/>
    <w:rsid w:val="00B95A2F"/>
    <w:rsid w:val="00B95AEF"/>
    <w:rsid w:val="00B95BC2"/>
    <w:rsid w:val="00B95D1C"/>
    <w:rsid w:val="00BA051C"/>
    <w:rsid w:val="00BB485A"/>
    <w:rsid w:val="00BC0647"/>
    <w:rsid w:val="00BC0A48"/>
    <w:rsid w:val="00BC2379"/>
    <w:rsid w:val="00BC2C88"/>
    <w:rsid w:val="00BC6705"/>
    <w:rsid w:val="00BD193E"/>
    <w:rsid w:val="00BE06E9"/>
    <w:rsid w:val="00BE20C6"/>
    <w:rsid w:val="00BE383E"/>
    <w:rsid w:val="00BF11B3"/>
    <w:rsid w:val="00BF14CC"/>
    <w:rsid w:val="00BF3000"/>
    <w:rsid w:val="00BF4359"/>
    <w:rsid w:val="00C06AD9"/>
    <w:rsid w:val="00C076C9"/>
    <w:rsid w:val="00C077C6"/>
    <w:rsid w:val="00C16631"/>
    <w:rsid w:val="00C230D3"/>
    <w:rsid w:val="00C2363D"/>
    <w:rsid w:val="00C24BAB"/>
    <w:rsid w:val="00C26ED9"/>
    <w:rsid w:val="00C26F3F"/>
    <w:rsid w:val="00C279FE"/>
    <w:rsid w:val="00C301E9"/>
    <w:rsid w:val="00C37A81"/>
    <w:rsid w:val="00C504AA"/>
    <w:rsid w:val="00C50DF5"/>
    <w:rsid w:val="00C51F87"/>
    <w:rsid w:val="00C5483D"/>
    <w:rsid w:val="00C600F2"/>
    <w:rsid w:val="00C60251"/>
    <w:rsid w:val="00C61AE6"/>
    <w:rsid w:val="00C72E6C"/>
    <w:rsid w:val="00C766A2"/>
    <w:rsid w:val="00C770EB"/>
    <w:rsid w:val="00C804A1"/>
    <w:rsid w:val="00C87F22"/>
    <w:rsid w:val="00C94AC1"/>
    <w:rsid w:val="00C97BE9"/>
    <w:rsid w:val="00CA03DC"/>
    <w:rsid w:val="00CA11E1"/>
    <w:rsid w:val="00CB282D"/>
    <w:rsid w:val="00CB2DD7"/>
    <w:rsid w:val="00CB69F8"/>
    <w:rsid w:val="00CB7D3C"/>
    <w:rsid w:val="00CC1418"/>
    <w:rsid w:val="00CD27B8"/>
    <w:rsid w:val="00CD36EB"/>
    <w:rsid w:val="00CD3C5D"/>
    <w:rsid w:val="00CE1499"/>
    <w:rsid w:val="00CE4794"/>
    <w:rsid w:val="00CE773D"/>
    <w:rsid w:val="00CF0606"/>
    <w:rsid w:val="00CF472C"/>
    <w:rsid w:val="00D030BC"/>
    <w:rsid w:val="00D10636"/>
    <w:rsid w:val="00D11EAE"/>
    <w:rsid w:val="00D17646"/>
    <w:rsid w:val="00D17C03"/>
    <w:rsid w:val="00D3220C"/>
    <w:rsid w:val="00D3452A"/>
    <w:rsid w:val="00D402DF"/>
    <w:rsid w:val="00D42B99"/>
    <w:rsid w:val="00D43113"/>
    <w:rsid w:val="00D54537"/>
    <w:rsid w:val="00D54911"/>
    <w:rsid w:val="00D55055"/>
    <w:rsid w:val="00D57941"/>
    <w:rsid w:val="00D62420"/>
    <w:rsid w:val="00D710C0"/>
    <w:rsid w:val="00D74019"/>
    <w:rsid w:val="00D772B1"/>
    <w:rsid w:val="00D86540"/>
    <w:rsid w:val="00D95A57"/>
    <w:rsid w:val="00D97588"/>
    <w:rsid w:val="00DA1BB9"/>
    <w:rsid w:val="00DA78E4"/>
    <w:rsid w:val="00DB5150"/>
    <w:rsid w:val="00DC06F2"/>
    <w:rsid w:val="00DC3160"/>
    <w:rsid w:val="00DC4AAC"/>
    <w:rsid w:val="00DC5FA9"/>
    <w:rsid w:val="00DD181F"/>
    <w:rsid w:val="00DD24AB"/>
    <w:rsid w:val="00DD2627"/>
    <w:rsid w:val="00DD3300"/>
    <w:rsid w:val="00DD7991"/>
    <w:rsid w:val="00DE13E7"/>
    <w:rsid w:val="00DE4B32"/>
    <w:rsid w:val="00DF0061"/>
    <w:rsid w:val="00DF1EC2"/>
    <w:rsid w:val="00DF39A0"/>
    <w:rsid w:val="00E00F1A"/>
    <w:rsid w:val="00E11B73"/>
    <w:rsid w:val="00E1477B"/>
    <w:rsid w:val="00E16059"/>
    <w:rsid w:val="00E171F4"/>
    <w:rsid w:val="00E20472"/>
    <w:rsid w:val="00E21007"/>
    <w:rsid w:val="00E21D1E"/>
    <w:rsid w:val="00E24A7F"/>
    <w:rsid w:val="00E2528C"/>
    <w:rsid w:val="00E263AC"/>
    <w:rsid w:val="00E439A1"/>
    <w:rsid w:val="00E53519"/>
    <w:rsid w:val="00E715E6"/>
    <w:rsid w:val="00E76C3E"/>
    <w:rsid w:val="00E76D6B"/>
    <w:rsid w:val="00E8285E"/>
    <w:rsid w:val="00E8355D"/>
    <w:rsid w:val="00E9018E"/>
    <w:rsid w:val="00E91033"/>
    <w:rsid w:val="00E941C2"/>
    <w:rsid w:val="00E94BA6"/>
    <w:rsid w:val="00E963BA"/>
    <w:rsid w:val="00E97162"/>
    <w:rsid w:val="00E97E6C"/>
    <w:rsid w:val="00E97FDC"/>
    <w:rsid w:val="00EA0DF4"/>
    <w:rsid w:val="00EA7A4D"/>
    <w:rsid w:val="00EA7F24"/>
    <w:rsid w:val="00EB47C7"/>
    <w:rsid w:val="00EC2408"/>
    <w:rsid w:val="00EC2957"/>
    <w:rsid w:val="00EC3591"/>
    <w:rsid w:val="00EC7404"/>
    <w:rsid w:val="00ED08C3"/>
    <w:rsid w:val="00ED4FE9"/>
    <w:rsid w:val="00EE0E1F"/>
    <w:rsid w:val="00EE6426"/>
    <w:rsid w:val="00EF2A33"/>
    <w:rsid w:val="00F02349"/>
    <w:rsid w:val="00F0445D"/>
    <w:rsid w:val="00F04A34"/>
    <w:rsid w:val="00F05398"/>
    <w:rsid w:val="00F176D6"/>
    <w:rsid w:val="00F21A0A"/>
    <w:rsid w:val="00F26B0C"/>
    <w:rsid w:val="00F36104"/>
    <w:rsid w:val="00F46025"/>
    <w:rsid w:val="00F54781"/>
    <w:rsid w:val="00F5609E"/>
    <w:rsid w:val="00F62FB0"/>
    <w:rsid w:val="00F7055E"/>
    <w:rsid w:val="00F72670"/>
    <w:rsid w:val="00F82FC9"/>
    <w:rsid w:val="00F90801"/>
    <w:rsid w:val="00F92CB0"/>
    <w:rsid w:val="00F93360"/>
    <w:rsid w:val="00F95D2F"/>
    <w:rsid w:val="00FA14C6"/>
    <w:rsid w:val="00FB1C56"/>
    <w:rsid w:val="00FB21F7"/>
    <w:rsid w:val="00FB228F"/>
    <w:rsid w:val="00FB6ABB"/>
    <w:rsid w:val="00FC0445"/>
    <w:rsid w:val="00FC5C61"/>
    <w:rsid w:val="00FC696E"/>
    <w:rsid w:val="00FD39DE"/>
    <w:rsid w:val="00FD5731"/>
    <w:rsid w:val="00FE1D7E"/>
    <w:rsid w:val="00FE1EE9"/>
    <w:rsid w:val="00FE395A"/>
    <w:rsid w:val="00FE3B9F"/>
    <w:rsid w:val="00FE61F5"/>
    <w:rsid w:val="00FE64B9"/>
    <w:rsid w:val="00FE6CEB"/>
    <w:rsid w:val="00FF0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9D8479"/>
  <w15:docId w15:val="{322B6CA9-EB70-4D5F-9FE7-81C1F144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D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2349"/>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02349"/>
    <w:rPr>
      <w:color w:val="0000FF"/>
      <w:u w:val="single"/>
    </w:rPr>
  </w:style>
  <w:style w:type="character" w:customStyle="1" w:styleId="apple-converted-space">
    <w:name w:val="apple-converted-space"/>
    <w:basedOn w:val="DefaultParagraphFont"/>
    <w:rsid w:val="00F02349"/>
  </w:style>
  <w:style w:type="character" w:styleId="FollowedHyperlink">
    <w:name w:val="FollowedHyperlink"/>
    <w:basedOn w:val="DefaultParagraphFont"/>
    <w:uiPriority w:val="99"/>
    <w:semiHidden/>
    <w:unhideWhenUsed/>
    <w:rsid w:val="00F02349"/>
    <w:rPr>
      <w:color w:val="954F72" w:themeColor="followedHyperlink"/>
      <w:u w:val="single"/>
    </w:rPr>
  </w:style>
  <w:style w:type="paragraph" w:styleId="Footer">
    <w:name w:val="footer"/>
    <w:basedOn w:val="Normal"/>
    <w:link w:val="FooterChar"/>
    <w:uiPriority w:val="99"/>
    <w:unhideWhenUsed/>
    <w:rsid w:val="00F02349"/>
    <w:pPr>
      <w:tabs>
        <w:tab w:val="center" w:pos="4680"/>
        <w:tab w:val="right" w:pos="9360"/>
      </w:tabs>
    </w:pPr>
  </w:style>
  <w:style w:type="character" w:customStyle="1" w:styleId="FooterChar">
    <w:name w:val="Footer Char"/>
    <w:basedOn w:val="DefaultParagraphFont"/>
    <w:link w:val="Footer"/>
    <w:uiPriority w:val="99"/>
    <w:rsid w:val="00F02349"/>
  </w:style>
  <w:style w:type="character" w:styleId="PageNumber">
    <w:name w:val="page number"/>
    <w:basedOn w:val="DefaultParagraphFont"/>
    <w:uiPriority w:val="99"/>
    <w:semiHidden/>
    <w:unhideWhenUsed/>
    <w:rsid w:val="00F02349"/>
  </w:style>
  <w:style w:type="character" w:styleId="LineNumber">
    <w:name w:val="line number"/>
    <w:basedOn w:val="DefaultParagraphFont"/>
    <w:uiPriority w:val="99"/>
    <w:semiHidden/>
    <w:unhideWhenUsed/>
    <w:rsid w:val="00F02349"/>
  </w:style>
  <w:style w:type="paragraph" w:styleId="BalloonText">
    <w:name w:val="Balloon Text"/>
    <w:basedOn w:val="Normal"/>
    <w:link w:val="BalloonTextChar"/>
    <w:uiPriority w:val="99"/>
    <w:semiHidden/>
    <w:unhideWhenUsed/>
    <w:rsid w:val="00CE47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479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56019"/>
    <w:rPr>
      <w:sz w:val="16"/>
      <w:szCs w:val="16"/>
    </w:rPr>
  </w:style>
  <w:style w:type="paragraph" w:styleId="CommentText">
    <w:name w:val="annotation text"/>
    <w:basedOn w:val="Normal"/>
    <w:link w:val="CommentTextChar"/>
    <w:uiPriority w:val="99"/>
    <w:semiHidden/>
    <w:unhideWhenUsed/>
    <w:rsid w:val="00556019"/>
    <w:rPr>
      <w:sz w:val="20"/>
      <w:szCs w:val="20"/>
    </w:rPr>
  </w:style>
  <w:style w:type="character" w:customStyle="1" w:styleId="CommentTextChar">
    <w:name w:val="Comment Text Char"/>
    <w:basedOn w:val="DefaultParagraphFont"/>
    <w:link w:val="CommentText"/>
    <w:uiPriority w:val="99"/>
    <w:semiHidden/>
    <w:rsid w:val="00556019"/>
    <w:rPr>
      <w:sz w:val="20"/>
      <w:szCs w:val="20"/>
    </w:rPr>
  </w:style>
  <w:style w:type="paragraph" w:styleId="CommentSubject">
    <w:name w:val="annotation subject"/>
    <w:basedOn w:val="CommentText"/>
    <w:next w:val="CommentText"/>
    <w:link w:val="CommentSubjectChar"/>
    <w:uiPriority w:val="99"/>
    <w:semiHidden/>
    <w:unhideWhenUsed/>
    <w:rsid w:val="00556019"/>
    <w:rPr>
      <w:b/>
      <w:bCs/>
    </w:rPr>
  </w:style>
  <w:style w:type="character" w:customStyle="1" w:styleId="CommentSubjectChar">
    <w:name w:val="Comment Subject Char"/>
    <w:basedOn w:val="CommentTextChar"/>
    <w:link w:val="CommentSubject"/>
    <w:uiPriority w:val="99"/>
    <w:semiHidden/>
    <w:rsid w:val="00556019"/>
    <w:rPr>
      <w:b/>
      <w:bCs/>
      <w:sz w:val="20"/>
      <w:szCs w:val="20"/>
    </w:rPr>
  </w:style>
  <w:style w:type="paragraph" w:styleId="Revision">
    <w:name w:val="Revision"/>
    <w:hidden/>
    <w:uiPriority w:val="99"/>
    <w:semiHidden/>
    <w:rsid w:val="00D17646"/>
  </w:style>
  <w:style w:type="paragraph" w:styleId="ListParagraph">
    <w:name w:val="List Paragraph"/>
    <w:basedOn w:val="Normal"/>
    <w:uiPriority w:val="34"/>
    <w:qFormat/>
    <w:rsid w:val="00841AAB"/>
    <w:pPr>
      <w:ind w:left="720"/>
      <w:contextualSpacing/>
    </w:pPr>
  </w:style>
  <w:style w:type="table" w:styleId="TableGrid">
    <w:name w:val="Table Grid"/>
    <w:basedOn w:val="TableNormal"/>
    <w:uiPriority w:val="39"/>
    <w:rsid w:val="00805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32DC"/>
    <w:rPr>
      <w:color w:val="605E5C"/>
      <w:shd w:val="clear" w:color="auto" w:fill="E1DFDD"/>
    </w:rPr>
  </w:style>
  <w:style w:type="paragraph" w:styleId="Header">
    <w:name w:val="header"/>
    <w:basedOn w:val="Normal"/>
    <w:link w:val="HeaderChar"/>
    <w:uiPriority w:val="99"/>
    <w:unhideWhenUsed/>
    <w:rsid w:val="00856A6B"/>
    <w:pPr>
      <w:tabs>
        <w:tab w:val="center" w:pos="4680"/>
        <w:tab w:val="right" w:pos="9360"/>
      </w:tabs>
    </w:pPr>
  </w:style>
  <w:style w:type="character" w:customStyle="1" w:styleId="HeaderChar">
    <w:name w:val="Header Char"/>
    <w:basedOn w:val="DefaultParagraphFont"/>
    <w:link w:val="Header"/>
    <w:uiPriority w:val="99"/>
    <w:rsid w:val="00856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4460">
      <w:bodyDiv w:val="1"/>
      <w:marLeft w:val="0"/>
      <w:marRight w:val="0"/>
      <w:marTop w:val="0"/>
      <w:marBottom w:val="0"/>
      <w:divBdr>
        <w:top w:val="none" w:sz="0" w:space="0" w:color="auto"/>
        <w:left w:val="none" w:sz="0" w:space="0" w:color="auto"/>
        <w:bottom w:val="none" w:sz="0" w:space="0" w:color="auto"/>
        <w:right w:val="none" w:sz="0" w:space="0" w:color="auto"/>
      </w:divBdr>
      <w:divsChild>
        <w:div w:id="1770193486">
          <w:marLeft w:val="0"/>
          <w:marRight w:val="0"/>
          <w:marTop w:val="0"/>
          <w:marBottom w:val="0"/>
          <w:divBdr>
            <w:top w:val="none" w:sz="0" w:space="0" w:color="auto"/>
            <w:left w:val="none" w:sz="0" w:space="0" w:color="auto"/>
            <w:bottom w:val="none" w:sz="0" w:space="0" w:color="auto"/>
            <w:right w:val="none" w:sz="0" w:space="0" w:color="auto"/>
          </w:divBdr>
          <w:divsChild>
            <w:div w:id="1968077301">
              <w:marLeft w:val="0"/>
              <w:marRight w:val="0"/>
              <w:marTop w:val="0"/>
              <w:marBottom w:val="0"/>
              <w:divBdr>
                <w:top w:val="none" w:sz="0" w:space="0" w:color="auto"/>
                <w:left w:val="none" w:sz="0" w:space="0" w:color="auto"/>
                <w:bottom w:val="none" w:sz="0" w:space="0" w:color="auto"/>
                <w:right w:val="none" w:sz="0" w:space="0" w:color="auto"/>
              </w:divBdr>
              <w:divsChild>
                <w:div w:id="565185056">
                  <w:marLeft w:val="0"/>
                  <w:marRight w:val="0"/>
                  <w:marTop w:val="0"/>
                  <w:marBottom w:val="0"/>
                  <w:divBdr>
                    <w:top w:val="none" w:sz="0" w:space="0" w:color="auto"/>
                    <w:left w:val="none" w:sz="0" w:space="0" w:color="auto"/>
                    <w:bottom w:val="none" w:sz="0" w:space="0" w:color="auto"/>
                    <w:right w:val="none" w:sz="0" w:space="0" w:color="auto"/>
                  </w:divBdr>
                  <w:divsChild>
                    <w:div w:id="17654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70105">
      <w:bodyDiv w:val="1"/>
      <w:marLeft w:val="0"/>
      <w:marRight w:val="0"/>
      <w:marTop w:val="0"/>
      <w:marBottom w:val="0"/>
      <w:divBdr>
        <w:top w:val="none" w:sz="0" w:space="0" w:color="auto"/>
        <w:left w:val="none" w:sz="0" w:space="0" w:color="auto"/>
        <w:bottom w:val="none" w:sz="0" w:space="0" w:color="auto"/>
        <w:right w:val="none" w:sz="0" w:space="0" w:color="auto"/>
      </w:divBdr>
    </w:div>
    <w:div w:id="479880085">
      <w:bodyDiv w:val="1"/>
      <w:marLeft w:val="0"/>
      <w:marRight w:val="0"/>
      <w:marTop w:val="0"/>
      <w:marBottom w:val="0"/>
      <w:divBdr>
        <w:top w:val="none" w:sz="0" w:space="0" w:color="auto"/>
        <w:left w:val="none" w:sz="0" w:space="0" w:color="auto"/>
        <w:bottom w:val="none" w:sz="0" w:space="0" w:color="auto"/>
        <w:right w:val="none" w:sz="0" w:space="0" w:color="auto"/>
      </w:divBdr>
    </w:div>
    <w:div w:id="509293123">
      <w:bodyDiv w:val="1"/>
      <w:marLeft w:val="0"/>
      <w:marRight w:val="0"/>
      <w:marTop w:val="0"/>
      <w:marBottom w:val="0"/>
      <w:divBdr>
        <w:top w:val="none" w:sz="0" w:space="0" w:color="auto"/>
        <w:left w:val="none" w:sz="0" w:space="0" w:color="auto"/>
        <w:bottom w:val="none" w:sz="0" w:space="0" w:color="auto"/>
        <w:right w:val="none" w:sz="0" w:space="0" w:color="auto"/>
      </w:divBdr>
      <w:divsChild>
        <w:div w:id="550464944">
          <w:marLeft w:val="0"/>
          <w:marRight w:val="0"/>
          <w:marTop w:val="0"/>
          <w:marBottom w:val="0"/>
          <w:divBdr>
            <w:top w:val="none" w:sz="0" w:space="0" w:color="auto"/>
            <w:left w:val="none" w:sz="0" w:space="0" w:color="auto"/>
            <w:bottom w:val="none" w:sz="0" w:space="0" w:color="auto"/>
            <w:right w:val="none" w:sz="0" w:space="0" w:color="auto"/>
          </w:divBdr>
          <w:divsChild>
            <w:div w:id="1994292577">
              <w:marLeft w:val="0"/>
              <w:marRight w:val="0"/>
              <w:marTop w:val="0"/>
              <w:marBottom w:val="0"/>
              <w:divBdr>
                <w:top w:val="none" w:sz="0" w:space="0" w:color="auto"/>
                <w:left w:val="none" w:sz="0" w:space="0" w:color="auto"/>
                <w:bottom w:val="none" w:sz="0" w:space="0" w:color="auto"/>
                <w:right w:val="none" w:sz="0" w:space="0" w:color="auto"/>
              </w:divBdr>
              <w:divsChild>
                <w:div w:id="2102673782">
                  <w:marLeft w:val="0"/>
                  <w:marRight w:val="0"/>
                  <w:marTop w:val="0"/>
                  <w:marBottom w:val="0"/>
                  <w:divBdr>
                    <w:top w:val="none" w:sz="0" w:space="0" w:color="auto"/>
                    <w:left w:val="none" w:sz="0" w:space="0" w:color="auto"/>
                    <w:bottom w:val="none" w:sz="0" w:space="0" w:color="auto"/>
                    <w:right w:val="none" w:sz="0" w:space="0" w:color="auto"/>
                  </w:divBdr>
                  <w:divsChild>
                    <w:div w:id="19146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02973">
      <w:bodyDiv w:val="1"/>
      <w:marLeft w:val="0"/>
      <w:marRight w:val="0"/>
      <w:marTop w:val="0"/>
      <w:marBottom w:val="0"/>
      <w:divBdr>
        <w:top w:val="none" w:sz="0" w:space="0" w:color="auto"/>
        <w:left w:val="none" w:sz="0" w:space="0" w:color="auto"/>
        <w:bottom w:val="none" w:sz="0" w:space="0" w:color="auto"/>
        <w:right w:val="none" w:sz="0" w:space="0" w:color="auto"/>
      </w:divBdr>
    </w:div>
    <w:div w:id="640158895">
      <w:bodyDiv w:val="1"/>
      <w:marLeft w:val="0"/>
      <w:marRight w:val="0"/>
      <w:marTop w:val="0"/>
      <w:marBottom w:val="0"/>
      <w:divBdr>
        <w:top w:val="none" w:sz="0" w:space="0" w:color="auto"/>
        <w:left w:val="none" w:sz="0" w:space="0" w:color="auto"/>
        <w:bottom w:val="none" w:sz="0" w:space="0" w:color="auto"/>
        <w:right w:val="none" w:sz="0" w:space="0" w:color="auto"/>
      </w:divBdr>
      <w:divsChild>
        <w:div w:id="1307396285">
          <w:marLeft w:val="0"/>
          <w:marRight w:val="0"/>
          <w:marTop w:val="0"/>
          <w:marBottom w:val="0"/>
          <w:divBdr>
            <w:top w:val="none" w:sz="0" w:space="0" w:color="auto"/>
            <w:left w:val="none" w:sz="0" w:space="0" w:color="auto"/>
            <w:bottom w:val="none" w:sz="0" w:space="0" w:color="auto"/>
            <w:right w:val="none" w:sz="0" w:space="0" w:color="auto"/>
          </w:divBdr>
          <w:divsChild>
            <w:div w:id="1309437565">
              <w:marLeft w:val="0"/>
              <w:marRight w:val="0"/>
              <w:marTop w:val="0"/>
              <w:marBottom w:val="0"/>
              <w:divBdr>
                <w:top w:val="none" w:sz="0" w:space="0" w:color="auto"/>
                <w:left w:val="none" w:sz="0" w:space="0" w:color="auto"/>
                <w:bottom w:val="none" w:sz="0" w:space="0" w:color="auto"/>
                <w:right w:val="none" w:sz="0" w:space="0" w:color="auto"/>
              </w:divBdr>
              <w:divsChild>
                <w:div w:id="2048405396">
                  <w:marLeft w:val="0"/>
                  <w:marRight w:val="0"/>
                  <w:marTop w:val="0"/>
                  <w:marBottom w:val="0"/>
                  <w:divBdr>
                    <w:top w:val="none" w:sz="0" w:space="0" w:color="auto"/>
                    <w:left w:val="none" w:sz="0" w:space="0" w:color="auto"/>
                    <w:bottom w:val="none" w:sz="0" w:space="0" w:color="auto"/>
                    <w:right w:val="none" w:sz="0" w:space="0" w:color="auto"/>
                  </w:divBdr>
                  <w:divsChild>
                    <w:div w:id="1398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00506">
      <w:bodyDiv w:val="1"/>
      <w:marLeft w:val="0"/>
      <w:marRight w:val="0"/>
      <w:marTop w:val="0"/>
      <w:marBottom w:val="0"/>
      <w:divBdr>
        <w:top w:val="none" w:sz="0" w:space="0" w:color="auto"/>
        <w:left w:val="none" w:sz="0" w:space="0" w:color="auto"/>
        <w:bottom w:val="none" w:sz="0" w:space="0" w:color="auto"/>
        <w:right w:val="none" w:sz="0" w:space="0" w:color="auto"/>
      </w:divBdr>
      <w:divsChild>
        <w:div w:id="1579823982">
          <w:marLeft w:val="0"/>
          <w:marRight w:val="0"/>
          <w:marTop w:val="0"/>
          <w:marBottom w:val="0"/>
          <w:divBdr>
            <w:top w:val="none" w:sz="0" w:space="0" w:color="auto"/>
            <w:left w:val="none" w:sz="0" w:space="0" w:color="auto"/>
            <w:bottom w:val="none" w:sz="0" w:space="0" w:color="auto"/>
            <w:right w:val="none" w:sz="0" w:space="0" w:color="auto"/>
          </w:divBdr>
          <w:divsChild>
            <w:div w:id="714424897">
              <w:marLeft w:val="0"/>
              <w:marRight w:val="0"/>
              <w:marTop w:val="0"/>
              <w:marBottom w:val="0"/>
              <w:divBdr>
                <w:top w:val="none" w:sz="0" w:space="0" w:color="auto"/>
                <w:left w:val="none" w:sz="0" w:space="0" w:color="auto"/>
                <w:bottom w:val="none" w:sz="0" w:space="0" w:color="auto"/>
                <w:right w:val="none" w:sz="0" w:space="0" w:color="auto"/>
              </w:divBdr>
              <w:divsChild>
                <w:div w:id="687869697">
                  <w:marLeft w:val="0"/>
                  <w:marRight w:val="0"/>
                  <w:marTop w:val="0"/>
                  <w:marBottom w:val="0"/>
                  <w:divBdr>
                    <w:top w:val="none" w:sz="0" w:space="0" w:color="auto"/>
                    <w:left w:val="none" w:sz="0" w:space="0" w:color="auto"/>
                    <w:bottom w:val="none" w:sz="0" w:space="0" w:color="auto"/>
                    <w:right w:val="none" w:sz="0" w:space="0" w:color="auto"/>
                  </w:divBdr>
                  <w:divsChild>
                    <w:div w:id="2704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98137">
      <w:bodyDiv w:val="1"/>
      <w:marLeft w:val="0"/>
      <w:marRight w:val="0"/>
      <w:marTop w:val="0"/>
      <w:marBottom w:val="0"/>
      <w:divBdr>
        <w:top w:val="none" w:sz="0" w:space="0" w:color="auto"/>
        <w:left w:val="none" w:sz="0" w:space="0" w:color="auto"/>
        <w:bottom w:val="none" w:sz="0" w:space="0" w:color="auto"/>
        <w:right w:val="none" w:sz="0" w:space="0" w:color="auto"/>
      </w:divBdr>
    </w:div>
    <w:div w:id="865752507">
      <w:bodyDiv w:val="1"/>
      <w:marLeft w:val="0"/>
      <w:marRight w:val="0"/>
      <w:marTop w:val="0"/>
      <w:marBottom w:val="0"/>
      <w:divBdr>
        <w:top w:val="none" w:sz="0" w:space="0" w:color="auto"/>
        <w:left w:val="none" w:sz="0" w:space="0" w:color="auto"/>
        <w:bottom w:val="none" w:sz="0" w:space="0" w:color="auto"/>
        <w:right w:val="none" w:sz="0" w:space="0" w:color="auto"/>
      </w:divBdr>
    </w:div>
    <w:div w:id="988746343">
      <w:bodyDiv w:val="1"/>
      <w:marLeft w:val="0"/>
      <w:marRight w:val="0"/>
      <w:marTop w:val="0"/>
      <w:marBottom w:val="0"/>
      <w:divBdr>
        <w:top w:val="none" w:sz="0" w:space="0" w:color="auto"/>
        <w:left w:val="none" w:sz="0" w:space="0" w:color="auto"/>
        <w:bottom w:val="none" w:sz="0" w:space="0" w:color="auto"/>
        <w:right w:val="none" w:sz="0" w:space="0" w:color="auto"/>
      </w:divBdr>
    </w:div>
    <w:div w:id="1021783069">
      <w:bodyDiv w:val="1"/>
      <w:marLeft w:val="0"/>
      <w:marRight w:val="0"/>
      <w:marTop w:val="0"/>
      <w:marBottom w:val="0"/>
      <w:divBdr>
        <w:top w:val="none" w:sz="0" w:space="0" w:color="auto"/>
        <w:left w:val="none" w:sz="0" w:space="0" w:color="auto"/>
        <w:bottom w:val="none" w:sz="0" w:space="0" w:color="auto"/>
        <w:right w:val="none" w:sz="0" w:space="0" w:color="auto"/>
      </w:divBdr>
      <w:divsChild>
        <w:div w:id="160584972">
          <w:marLeft w:val="0"/>
          <w:marRight w:val="0"/>
          <w:marTop w:val="0"/>
          <w:marBottom w:val="0"/>
          <w:divBdr>
            <w:top w:val="none" w:sz="0" w:space="0" w:color="auto"/>
            <w:left w:val="none" w:sz="0" w:space="0" w:color="auto"/>
            <w:bottom w:val="none" w:sz="0" w:space="0" w:color="auto"/>
            <w:right w:val="none" w:sz="0" w:space="0" w:color="auto"/>
          </w:divBdr>
          <w:divsChild>
            <w:div w:id="604270590">
              <w:marLeft w:val="0"/>
              <w:marRight w:val="0"/>
              <w:marTop w:val="0"/>
              <w:marBottom w:val="0"/>
              <w:divBdr>
                <w:top w:val="none" w:sz="0" w:space="0" w:color="auto"/>
                <w:left w:val="none" w:sz="0" w:space="0" w:color="auto"/>
                <w:bottom w:val="none" w:sz="0" w:space="0" w:color="auto"/>
                <w:right w:val="none" w:sz="0" w:space="0" w:color="auto"/>
              </w:divBdr>
              <w:divsChild>
                <w:div w:id="1476528139">
                  <w:marLeft w:val="0"/>
                  <w:marRight w:val="0"/>
                  <w:marTop w:val="0"/>
                  <w:marBottom w:val="0"/>
                  <w:divBdr>
                    <w:top w:val="none" w:sz="0" w:space="0" w:color="auto"/>
                    <w:left w:val="none" w:sz="0" w:space="0" w:color="auto"/>
                    <w:bottom w:val="none" w:sz="0" w:space="0" w:color="auto"/>
                    <w:right w:val="none" w:sz="0" w:space="0" w:color="auto"/>
                  </w:divBdr>
                  <w:divsChild>
                    <w:div w:id="63796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242269">
      <w:bodyDiv w:val="1"/>
      <w:marLeft w:val="0"/>
      <w:marRight w:val="0"/>
      <w:marTop w:val="0"/>
      <w:marBottom w:val="0"/>
      <w:divBdr>
        <w:top w:val="none" w:sz="0" w:space="0" w:color="auto"/>
        <w:left w:val="none" w:sz="0" w:space="0" w:color="auto"/>
        <w:bottom w:val="none" w:sz="0" w:space="0" w:color="auto"/>
        <w:right w:val="none" w:sz="0" w:space="0" w:color="auto"/>
      </w:divBdr>
    </w:div>
    <w:div w:id="1284186752">
      <w:bodyDiv w:val="1"/>
      <w:marLeft w:val="0"/>
      <w:marRight w:val="0"/>
      <w:marTop w:val="0"/>
      <w:marBottom w:val="0"/>
      <w:divBdr>
        <w:top w:val="none" w:sz="0" w:space="0" w:color="auto"/>
        <w:left w:val="none" w:sz="0" w:space="0" w:color="auto"/>
        <w:bottom w:val="none" w:sz="0" w:space="0" w:color="auto"/>
        <w:right w:val="none" w:sz="0" w:space="0" w:color="auto"/>
      </w:divBdr>
    </w:div>
    <w:div w:id="1481457125">
      <w:bodyDiv w:val="1"/>
      <w:marLeft w:val="0"/>
      <w:marRight w:val="0"/>
      <w:marTop w:val="0"/>
      <w:marBottom w:val="0"/>
      <w:divBdr>
        <w:top w:val="none" w:sz="0" w:space="0" w:color="auto"/>
        <w:left w:val="none" w:sz="0" w:space="0" w:color="auto"/>
        <w:bottom w:val="none" w:sz="0" w:space="0" w:color="auto"/>
        <w:right w:val="none" w:sz="0" w:space="0" w:color="auto"/>
      </w:divBdr>
    </w:div>
    <w:div w:id="1536113350">
      <w:bodyDiv w:val="1"/>
      <w:marLeft w:val="0"/>
      <w:marRight w:val="0"/>
      <w:marTop w:val="0"/>
      <w:marBottom w:val="0"/>
      <w:divBdr>
        <w:top w:val="none" w:sz="0" w:space="0" w:color="auto"/>
        <w:left w:val="none" w:sz="0" w:space="0" w:color="auto"/>
        <w:bottom w:val="none" w:sz="0" w:space="0" w:color="auto"/>
        <w:right w:val="none" w:sz="0" w:space="0" w:color="auto"/>
      </w:divBdr>
    </w:div>
    <w:div w:id="1710375869">
      <w:bodyDiv w:val="1"/>
      <w:marLeft w:val="0"/>
      <w:marRight w:val="0"/>
      <w:marTop w:val="0"/>
      <w:marBottom w:val="0"/>
      <w:divBdr>
        <w:top w:val="none" w:sz="0" w:space="0" w:color="auto"/>
        <w:left w:val="none" w:sz="0" w:space="0" w:color="auto"/>
        <w:bottom w:val="none" w:sz="0" w:space="0" w:color="auto"/>
        <w:right w:val="none" w:sz="0" w:space="0" w:color="auto"/>
      </w:divBdr>
    </w:div>
    <w:div w:id="1850637779">
      <w:bodyDiv w:val="1"/>
      <w:marLeft w:val="0"/>
      <w:marRight w:val="0"/>
      <w:marTop w:val="0"/>
      <w:marBottom w:val="0"/>
      <w:divBdr>
        <w:top w:val="none" w:sz="0" w:space="0" w:color="auto"/>
        <w:left w:val="none" w:sz="0" w:space="0" w:color="auto"/>
        <w:bottom w:val="none" w:sz="0" w:space="0" w:color="auto"/>
        <w:right w:val="none" w:sz="0" w:space="0" w:color="auto"/>
      </w:divBdr>
    </w:div>
    <w:div w:id="186155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hard.pleass@lstmed.ac.uk"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www.bioinformatics.babraham.ac.uk/projects/trim_galor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muecs/cp"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AB7A5-7AB7-3C45-94B5-A50C9E56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55611</Words>
  <Characters>316988</Characters>
  <Application>Microsoft Office Word</Application>
  <DocSecurity>4</DocSecurity>
  <Lines>2641</Lines>
  <Paragraphs>743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Pleass</dc:creator>
  <cp:lastModifiedBy>Cathy Waldron</cp:lastModifiedBy>
  <cp:revision>2</cp:revision>
  <dcterms:created xsi:type="dcterms:W3CDTF">2021-04-22T11:34:00Z</dcterms:created>
  <dcterms:modified xsi:type="dcterms:W3CDTF">2021-04-22T11:34:00Z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f46bfff8-e33a-35fc-8a76-91fd40fd80e7</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http://www.zotero.org/styles/carbohydrate-polymers</vt:lpwstr>
  </property>
  <property fmtid="{D5CDD505-2E9C-101B-9397-08002B2CF9AE}" pid="7" name="Mendeley Recent Style Name 1_1">
    <vt:lpwstr>Carbohydrate Polymers</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http://www.zotero.org/styles/journal-of-neuroimmunology</vt:lpwstr>
  </property>
  <property fmtid="{D5CDD505-2E9C-101B-9397-08002B2CF9AE}" pid="11" name="Mendeley Recent Style Name 3_1">
    <vt:lpwstr>Journal of Neuroimmunology</vt:lpwstr>
  </property>
  <property fmtid="{D5CDD505-2E9C-101B-9397-08002B2CF9AE}" pid="12" name="Mendeley Recent Style Id 4_1">
    <vt:lpwstr>http://www.zotero.org/styles/modern-humanities-research-association</vt:lpwstr>
  </property>
  <property fmtid="{D5CDD505-2E9C-101B-9397-08002B2CF9AE}" pid="13" name="Mendeley Recent Style Name 4_1">
    <vt:lpwstr>Modern Humanities Research Association 3rd edition (note with bibliography)</vt:lpwstr>
  </property>
  <property fmtid="{D5CDD505-2E9C-101B-9397-08002B2CF9AE}" pid="14" name="Mendeley Recent Style Id 5_1">
    <vt:lpwstr>http://www.zotero.org/styles/modern-language-association</vt:lpwstr>
  </property>
  <property fmtid="{D5CDD505-2E9C-101B-9397-08002B2CF9AE}" pid="15" name="Mendeley Recent Style Name 5_1">
    <vt:lpwstr>Modern Language Association 8th edition</vt:lpwstr>
  </property>
  <property fmtid="{D5CDD505-2E9C-101B-9397-08002B2CF9AE}" pid="16" name="Mendeley Recent Style Id 6_1">
    <vt:lpwstr>http://www.zotero.org/styles/journal-of-biological-chemistry</vt:lpwstr>
  </property>
  <property fmtid="{D5CDD505-2E9C-101B-9397-08002B2CF9AE}" pid="17" name="Mendeley Recent Style Name 6_1">
    <vt:lpwstr>The Journal of Biological Chemistry</vt:lpwstr>
  </property>
  <property fmtid="{D5CDD505-2E9C-101B-9397-08002B2CF9AE}" pid="18" name="Mendeley Recent Style Id 7_1">
    <vt:lpwstr>http://www.zotero.org/styles/the-journal-of-immunology</vt:lpwstr>
  </property>
  <property fmtid="{D5CDD505-2E9C-101B-9397-08002B2CF9AE}" pid="19" name="Mendeley Recent Style Name 7_1">
    <vt:lpwstr>The Journal of Immunology</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http://www.zotero.org/styles/mabs</vt:lpwstr>
  </property>
  <property fmtid="{D5CDD505-2E9C-101B-9397-08002B2CF9AE}" pid="23" name="Mendeley Recent Style Name 9_1">
    <vt:lpwstr>mAbs</vt:lpwstr>
  </property>
  <property fmtid="{D5CDD505-2E9C-101B-9397-08002B2CF9AE}" pid="24" name="Mendeley Citation Style_1">
    <vt:lpwstr>http://www.zotero.org/styles/vancouver</vt:lpwstr>
  </property>
</Properties>
</file>