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B02D" w14:textId="77777777" w:rsidR="00FE6943" w:rsidRPr="003B7DD5" w:rsidRDefault="001A6175" w:rsidP="001A6175">
      <w:pPr>
        <w:pStyle w:val="MDPI12title"/>
        <w:rPr>
          <w:color w:val="auto"/>
        </w:rPr>
      </w:pPr>
      <w:r w:rsidRPr="003B7DD5">
        <w:rPr>
          <w:color w:val="auto"/>
        </w:rPr>
        <w:t>Fujifilm SILVAMP TB-LAM for the diagnosis of tuberculosis in Nigerian adults</w:t>
      </w:r>
    </w:p>
    <w:p w14:paraId="76D488B5" w14:textId="77777777" w:rsidR="00FE6943" w:rsidRPr="003B7DD5" w:rsidRDefault="001A6175" w:rsidP="001A6175">
      <w:pPr>
        <w:pStyle w:val="MDPI13authornames"/>
        <w:rPr>
          <w:color w:val="auto"/>
          <w:lang w:val="es-ES_tradnl"/>
        </w:rPr>
      </w:pPr>
      <w:r w:rsidRPr="003B7DD5">
        <w:rPr>
          <w:color w:val="auto"/>
          <w:lang w:val="es-ES_tradnl"/>
        </w:rPr>
        <w:t xml:space="preserve">Patricia Comella-del-Barrio </w:t>
      </w:r>
      <w:r w:rsidR="00FE6943" w:rsidRPr="003B7DD5">
        <w:rPr>
          <w:color w:val="auto"/>
          <w:vertAlign w:val="superscript"/>
          <w:lang w:val="es-ES_tradnl"/>
        </w:rPr>
        <w:t>1</w:t>
      </w:r>
      <w:r w:rsidR="00FE6943" w:rsidRPr="003B7DD5">
        <w:rPr>
          <w:color w:val="auto"/>
          <w:lang w:val="es-ES_tradnl"/>
        </w:rPr>
        <w:t xml:space="preserve">, </w:t>
      </w:r>
      <w:r w:rsidRPr="003B7DD5">
        <w:rPr>
          <w:color w:val="auto"/>
          <w:lang w:val="es-ES_tradnl"/>
        </w:rPr>
        <w:t>John S. Bimba</w:t>
      </w:r>
      <w:r w:rsidR="00FE6943" w:rsidRPr="003B7DD5">
        <w:rPr>
          <w:color w:val="auto"/>
          <w:lang w:val="es-ES_tradnl"/>
        </w:rPr>
        <w:t xml:space="preserve"> </w:t>
      </w:r>
      <w:proofErr w:type="gramStart"/>
      <w:r w:rsidR="00FE6943" w:rsidRPr="003B7DD5">
        <w:rPr>
          <w:color w:val="auto"/>
          <w:vertAlign w:val="superscript"/>
          <w:lang w:val="es-ES_tradnl"/>
        </w:rPr>
        <w:t>2</w:t>
      </w:r>
      <w:r w:rsidR="00FE6943" w:rsidRPr="003B7DD5">
        <w:rPr>
          <w:color w:val="auto"/>
          <w:lang w:val="es-ES_tradnl"/>
        </w:rPr>
        <w:t xml:space="preserve"> </w:t>
      </w:r>
      <w:r w:rsidRPr="003B7DD5">
        <w:rPr>
          <w:color w:val="auto"/>
          <w:lang w:val="es-ES_tradnl"/>
        </w:rPr>
        <w:t>,</w:t>
      </w:r>
      <w:proofErr w:type="gramEnd"/>
      <w:r w:rsidRPr="003B7DD5">
        <w:rPr>
          <w:color w:val="auto"/>
          <w:lang w:val="es-ES_tradnl"/>
        </w:rPr>
        <w:t xml:space="preserve"> </w:t>
      </w:r>
      <w:proofErr w:type="spellStart"/>
      <w:r w:rsidRPr="003B7DD5">
        <w:rPr>
          <w:color w:val="auto"/>
          <w:lang w:val="es-ES_tradnl"/>
        </w:rPr>
        <w:t>Ramota</w:t>
      </w:r>
      <w:proofErr w:type="spellEnd"/>
      <w:r w:rsidRPr="003B7DD5">
        <w:rPr>
          <w:color w:val="auto"/>
          <w:lang w:val="es-ES_tradnl"/>
        </w:rPr>
        <w:t xml:space="preserve"> </w:t>
      </w:r>
      <w:proofErr w:type="spellStart"/>
      <w:r w:rsidRPr="003B7DD5">
        <w:rPr>
          <w:color w:val="auto"/>
          <w:lang w:val="es-ES_tradnl"/>
        </w:rPr>
        <w:t>Adelakun</w:t>
      </w:r>
      <w:proofErr w:type="spellEnd"/>
      <w:r w:rsidRPr="003B7DD5">
        <w:rPr>
          <w:color w:val="auto"/>
          <w:lang w:val="es-ES_tradnl"/>
        </w:rPr>
        <w:t xml:space="preserve"> </w:t>
      </w:r>
      <w:r w:rsidRPr="003B7DD5">
        <w:rPr>
          <w:color w:val="auto"/>
          <w:vertAlign w:val="superscript"/>
          <w:lang w:val="es-ES_tradnl"/>
        </w:rPr>
        <w:t>3</w:t>
      </w:r>
      <w:r w:rsidRPr="003B7DD5">
        <w:rPr>
          <w:color w:val="auto"/>
          <w:lang w:val="es-ES_tradnl"/>
        </w:rPr>
        <w:t xml:space="preserve">, </w:t>
      </w:r>
      <w:proofErr w:type="spellStart"/>
      <w:r w:rsidRPr="003B7DD5">
        <w:rPr>
          <w:color w:val="auto"/>
          <w:lang w:val="es-ES_tradnl"/>
        </w:rPr>
        <w:t>Konstantina</w:t>
      </w:r>
      <w:proofErr w:type="spellEnd"/>
      <w:r w:rsidRPr="003B7DD5">
        <w:rPr>
          <w:color w:val="auto"/>
          <w:lang w:val="es-ES_tradnl"/>
        </w:rPr>
        <w:t xml:space="preserve"> Kontogianni </w:t>
      </w:r>
      <w:r w:rsidRPr="003B7DD5">
        <w:rPr>
          <w:color w:val="auto"/>
          <w:vertAlign w:val="superscript"/>
          <w:lang w:val="es-ES_tradnl"/>
        </w:rPr>
        <w:t>3</w:t>
      </w:r>
      <w:r w:rsidRPr="003B7DD5">
        <w:rPr>
          <w:color w:val="auto"/>
          <w:lang w:val="es-ES_tradnl"/>
        </w:rPr>
        <w:t xml:space="preserve">, Barbara Molina-Moya </w:t>
      </w:r>
      <w:r w:rsidRPr="003B7DD5">
        <w:rPr>
          <w:color w:val="auto"/>
          <w:vertAlign w:val="superscript"/>
          <w:lang w:val="es-ES_tradnl"/>
        </w:rPr>
        <w:t>1</w:t>
      </w:r>
      <w:r w:rsidRPr="003B7DD5">
        <w:rPr>
          <w:color w:val="auto"/>
          <w:lang w:val="es-ES_tradnl"/>
        </w:rPr>
        <w:t xml:space="preserve">, </w:t>
      </w:r>
      <w:proofErr w:type="spellStart"/>
      <w:r w:rsidRPr="003B7DD5">
        <w:rPr>
          <w:color w:val="auto"/>
          <w:lang w:val="es-ES_tradnl"/>
        </w:rPr>
        <w:t>Okoedoh</w:t>
      </w:r>
      <w:proofErr w:type="spellEnd"/>
      <w:r w:rsidRPr="003B7DD5">
        <w:rPr>
          <w:color w:val="auto"/>
          <w:lang w:val="es-ES_tradnl"/>
        </w:rPr>
        <w:t xml:space="preserve"> </w:t>
      </w:r>
      <w:proofErr w:type="spellStart"/>
      <w:r w:rsidRPr="003B7DD5">
        <w:rPr>
          <w:color w:val="auto"/>
          <w:lang w:val="es-ES_tradnl"/>
        </w:rPr>
        <w:t>Osazuwa</w:t>
      </w:r>
      <w:proofErr w:type="spellEnd"/>
      <w:r w:rsidRPr="003B7DD5">
        <w:rPr>
          <w:color w:val="auto"/>
          <w:lang w:val="es-ES_tradnl"/>
        </w:rPr>
        <w:t xml:space="preserve"> </w:t>
      </w:r>
      <w:r w:rsidRPr="003B7DD5">
        <w:rPr>
          <w:color w:val="auto"/>
          <w:vertAlign w:val="superscript"/>
          <w:lang w:val="es-ES_tradnl"/>
        </w:rPr>
        <w:t>1</w:t>
      </w:r>
      <w:r w:rsidRPr="003B7DD5">
        <w:rPr>
          <w:color w:val="auto"/>
          <w:lang w:val="es-ES_tradnl"/>
        </w:rPr>
        <w:t xml:space="preserve">, Jacob Creswell </w:t>
      </w:r>
      <w:r w:rsidRPr="003B7DD5">
        <w:rPr>
          <w:color w:val="auto"/>
          <w:vertAlign w:val="superscript"/>
          <w:lang w:val="es-ES_tradnl"/>
        </w:rPr>
        <w:t>4</w:t>
      </w:r>
      <w:r w:rsidRPr="003B7DD5">
        <w:rPr>
          <w:color w:val="auto"/>
          <w:lang w:val="es-ES_tradnl"/>
        </w:rPr>
        <w:t xml:space="preserve"> Luis E Cuevas </w:t>
      </w:r>
      <w:r w:rsidRPr="003B7DD5">
        <w:rPr>
          <w:color w:val="auto"/>
          <w:vertAlign w:val="superscript"/>
          <w:lang w:val="es-ES_tradnl"/>
        </w:rPr>
        <w:t>2,3,</w:t>
      </w:r>
      <w:r w:rsidRPr="003B7DD5">
        <w:rPr>
          <w:color w:val="auto"/>
          <w:lang w:val="es-ES_tradnl"/>
        </w:rPr>
        <w:t xml:space="preserve">* </w:t>
      </w:r>
      <w:r w:rsidR="00FE6943" w:rsidRPr="003B7DD5">
        <w:rPr>
          <w:color w:val="auto"/>
          <w:lang w:val="es-ES_tradnl"/>
        </w:rPr>
        <w:t xml:space="preserve">and </w:t>
      </w:r>
      <w:r w:rsidRPr="003B7DD5">
        <w:rPr>
          <w:color w:val="auto"/>
          <w:lang w:val="es-ES_tradnl"/>
        </w:rPr>
        <w:t>José Domínguez</w:t>
      </w:r>
      <w:r w:rsidR="00FE6943" w:rsidRPr="003B7DD5">
        <w:rPr>
          <w:color w:val="auto"/>
          <w:lang w:val="es-ES_tradnl"/>
        </w:rPr>
        <w:t xml:space="preserve"> </w:t>
      </w:r>
      <w:r w:rsidRPr="003B7DD5">
        <w:rPr>
          <w:color w:val="auto"/>
          <w:vertAlign w:val="superscript"/>
          <w:lang w:val="es-ES_tradnl"/>
        </w:rPr>
        <w:t>1</w:t>
      </w:r>
      <w:r w:rsidR="00FE6943" w:rsidRPr="003B7DD5">
        <w:rPr>
          <w:color w:val="auto"/>
          <w:vertAlign w:val="superscript"/>
          <w:lang w:val="es-ES_tradnl"/>
        </w:rPr>
        <w:t>,</w:t>
      </w:r>
      <w:r w:rsidRPr="003B7DD5">
        <w:rPr>
          <w:color w:val="auto"/>
          <w:lang w:val="es-ES_tradnl"/>
        </w:rPr>
        <w:t>*</w:t>
      </w:r>
    </w:p>
    <w:p w14:paraId="58E3985D" w14:textId="77777777" w:rsidR="00FE6943" w:rsidRPr="003B7DD5" w:rsidRDefault="00FE6943" w:rsidP="003B7DD5">
      <w:pPr>
        <w:pStyle w:val="MDPI16affiliation"/>
        <w:ind w:left="0" w:firstLine="0"/>
        <w:rPr>
          <w:color w:val="auto"/>
          <w:lang w:val="es-ES_tradnl"/>
        </w:rPr>
      </w:pPr>
      <w:r w:rsidRPr="003B7DD5">
        <w:rPr>
          <w:color w:val="auto"/>
          <w:vertAlign w:val="superscript"/>
          <w:lang w:val="es-ES_tradnl"/>
        </w:rPr>
        <w:t>1</w:t>
      </w:r>
      <w:r w:rsidRPr="003B7DD5">
        <w:rPr>
          <w:color w:val="auto"/>
          <w:lang w:val="es-ES_tradnl"/>
        </w:rPr>
        <w:tab/>
      </w:r>
      <w:proofErr w:type="spellStart"/>
      <w:r w:rsidR="001A6175" w:rsidRPr="003B7DD5">
        <w:rPr>
          <w:color w:val="auto"/>
          <w:lang w:val="es-ES_tradnl"/>
        </w:rPr>
        <w:t>Institut</w:t>
      </w:r>
      <w:proofErr w:type="spellEnd"/>
      <w:r w:rsidR="001A6175" w:rsidRPr="003B7DD5">
        <w:rPr>
          <w:color w:val="auto"/>
          <w:lang w:val="es-ES_tradnl"/>
        </w:rPr>
        <w:t xml:space="preserve"> </w:t>
      </w:r>
      <w:proofErr w:type="spellStart"/>
      <w:r w:rsidR="001A6175" w:rsidRPr="003B7DD5">
        <w:rPr>
          <w:color w:val="auto"/>
          <w:lang w:val="es-ES_tradnl"/>
        </w:rPr>
        <w:t>d’Investigació</w:t>
      </w:r>
      <w:proofErr w:type="spellEnd"/>
      <w:r w:rsidR="001A6175" w:rsidRPr="003B7DD5">
        <w:rPr>
          <w:color w:val="auto"/>
          <w:lang w:val="es-ES_tradnl"/>
        </w:rPr>
        <w:t xml:space="preserve"> </w:t>
      </w:r>
      <w:proofErr w:type="spellStart"/>
      <w:r w:rsidR="001A6175" w:rsidRPr="003B7DD5">
        <w:rPr>
          <w:color w:val="auto"/>
          <w:lang w:val="es-ES_tradnl"/>
        </w:rPr>
        <w:t>Germans</w:t>
      </w:r>
      <w:proofErr w:type="spellEnd"/>
      <w:r w:rsidR="001A6175" w:rsidRPr="003B7DD5">
        <w:rPr>
          <w:color w:val="auto"/>
          <w:lang w:val="es-ES_tradnl"/>
        </w:rPr>
        <w:t xml:space="preserve"> </w:t>
      </w:r>
      <w:proofErr w:type="spellStart"/>
      <w:r w:rsidR="001A6175" w:rsidRPr="003B7DD5">
        <w:rPr>
          <w:color w:val="auto"/>
          <w:lang w:val="es-ES_tradnl"/>
        </w:rPr>
        <w:t>Trias</w:t>
      </w:r>
      <w:proofErr w:type="spellEnd"/>
      <w:r w:rsidR="001A6175" w:rsidRPr="003B7DD5">
        <w:rPr>
          <w:color w:val="auto"/>
          <w:lang w:val="es-ES_tradnl"/>
        </w:rPr>
        <w:t xml:space="preserve"> i Pujol. CIBER Enfermedades Respiratorias (CIBERES). </w:t>
      </w:r>
      <w:proofErr w:type="spellStart"/>
      <w:r w:rsidR="001A6175" w:rsidRPr="003B7DD5">
        <w:rPr>
          <w:color w:val="auto"/>
          <w:lang w:val="es-ES_tradnl"/>
        </w:rPr>
        <w:t>Universitat</w:t>
      </w:r>
      <w:proofErr w:type="spellEnd"/>
      <w:r w:rsidR="001A6175" w:rsidRPr="003B7DD5">
        <w:rPr>
          <w:color w:val="auto"/>
          <w:lang w:val="es-ES_tradnl"/>
        </w:rPr>
        <w:t xml:space="preserve"> </w:t>
      </w:r>
      <w:proofErr w:type="spellStart"/>
      <w:r w:rsidR="001A6175" w:rsidRPr="003B7DD5">
        <w:rPr>
          <w:color w:val="auto"/>
          <w:lang w:val="es-ES_tradnl"/>
        </w:rPr>
        <w:t>Autònoma</w:t>
      </w:r>
      <w:proofErr w:type="spellEnd"/>
      <w:r w:rsidR="001A6175" w:rsidRPr="003B7DD5">
        <w:rPr>
          <w:color w:val="auto"/>
          <w:lang w:val="es-ES_tradnl"/>
        </w:rPr>
        <w:t xml:space="preserve"> de Barcelona Carretera del </w:t>
      </w:r>
      <w:proofErr w:type="spellStart"/>
      <w:r w:rsidR="001A6175" w:rsidRPr="003B7DD5">
        <w:rPr>
          <w:color w:val="auto"/>
          <w:lang w:val="es-ES_tradnl"/>
        </w:rPr>
        <w:t>Canyet</w:t>
      </w:r>
      <w:proofErr w:type="spellEnd"/>
      <w:r w:rsidR="001A6175" w:rsidRPr="003B7DD5">
        <w:rPr>
          <w:color w:val="auto"/>
          <w:lang w:val="es-ES_tradnl"/>
        </w:rPr>
        <w:t xml:space="preserve">, Camí de les </w:t>
      </w:r>
      <w:proofErr w:type="spellStart"/>
      <w:r w:rsidR="001A6175" w:rsidRPr="003B7DD5">
        <w:rPr>
          <w:color w:val="auto"/>
          <w:lang w:val="es-ES_tradnl"/>
        </w:rPr>
        <w:t>Escoles</w:t>
      </w:r>
      <w:proofErr w:type="spellEnd"/>
      <w:r w:rsidR="001A6175" w:rsidRPr="003B7DD5">
        <w:rPr>
          <w:color w:val="auto"/>
          <w:lang w:val="es-ES_tradnl"/>
        </w:rPr>
        <w:t xml:space="preserve"> s/n. Badalona, 08916, Barcelona, </w:t>
      </w:r>
      <w:proofErr w:type="spellStart"/>
      <w:r w:rsidR="001A6175" w:rsidRPr="003B7DD5">
        <w:rPr>
          <w:color w:val="auto"/>
          <w:lang w:val="es-ES_tradnl"/>
        </w:rPr>
        <w:t>Spain</w:t>
      </w:r>
      <w:proofErr w:type="spellEnd"/>
    </w:p>
    <w:p w14:paraId="2E590B5E" w14:textId="77777777" w:rsidR="00FE6943" w:rsidRPr="003B7DD5" w:rsidRDefault="00FE6943" w:rsidP="003B7DD5">
      <w:pPr>
        <w:pStyle w:val="MDPI16affiliation"/>
        <w:ind w:left="0" w:firstLine="0"/>
        <w:rPr>
          <w:color w:val="auto"/>
        </w:rPr>
      </w:pPr>
      <w:r w:rsidRPr="003B7DD5">
        <w:rPr>
          <w:color w:val="auto"/>
          <w:vertAlign w:val="superscript"/>
        </w:rPr>
        <w:t>2</w:t>
      </w:r>
      <w:r w:rsidRPr="003B7DD5">
        <w:rPr>
          <w:color w:val="auto"/>
        </w:rPr>
        <w:tab/>
      </w:r>
      <w:r w:rsidR="001A6175" w:rsidRPr="003B7DD5">
        <w:rPr>
          <w:color w:val="auto"/>
        </w:rPr>
        <w:t>Zankli Research Centre and Department of Community Medicine, Bingham University, 961105 Karu, Nigeria</w:t>
      </w:r>
    </w:p>
    <w:p w14:paraId="2915D7FC" w14:textId="77777777" w:rsidR="001A6175" w:rsidRPr="003B7DD5" w:rsidRDefault="001A6175" w:rsidP="003B7DD5">
      <w:pPr>
        <w:pStyle w:val="MDPI16affiliation"/>
        <w:ind w:left="0" w:firstLine="0"/>
        <w:rPr>
          <w:color w:val="auto"/>
        </w:rPr>
      </w:pPr>
      <w:r w:rsidRPr="003B7DD5">
        <w:rPr>
          <w:color w:val="auto"/>
          <w:vertAlign w:val="superscript"/>
        </w:rPr>
        <w:t>3</w:t>
      </w:r>
      <w:r w:rsidRPr="003B7DD5">
        <w:rPr>
          <w:color w:val="auto"/>
        </w:rPr>
        <w:tab/>
        <w:t>Department of Clinical Sciences, Liverpool School of Tropical Medicine. Pembroke Place, Liverpool L3 5QA, UK</w:t>
      </w:r>
    </w:p>
    <w:p w14:paraId="460BB949" w14:textId="77777777" w:rsidR="001A6175" w:rsidRPr="003B7DD5" w:rsidRDefault="001A6175" w:rsidP="003B7DD5">
      <w:pPr>
        <w:pStyle w:val="MDPI16affiliation"/>
        <w:ind w:left="0" w:firstLine="0"/>
        <w:rPr>
          <w:color w:val="auto"/>
        </w:rPr>
      </w:pPr>
      <w:r w:rsidRPr="003B7DD5">
        <w:rPr>
          <w:color w:val="auto"/>
          <w:vertAlign w:val="superscript"/>
        </w:rPr>
        <w:t>4</w:t>
      </w:r>
      <w:r w:rsidRPr="003B7DD5">
        <w:rPr>
          <w:color w:val="auto"/>
        </w:rPr>
        <w:tab/>
        <w:t>Stop TB Partnership, TB REACH, 1218 Geneva, Switzerland</w:t>
      </w:r>
    </w:p>
    <w:p w14:paraId="4ACFFE16" w14:textId="77777777" w:rsidR="00FE6943" w:rsidRPr="003B7DD5" w:rsidRDefault="00FE6943" w:rsidP="003B7DD5">
      <w:pPr>
        <w:pStyle w:val="MDPI16affiliation"/>
        <w:ind w:left="0" w:firstLine="0"/>
        <w:rPr>
          <w:color w:val="auto"/>
        </w:rPr>
      </w:pPr>
      <w:r w:rsidRPr="003B7DD5">
        <w:rPr>
          <w:color w:val="auto"/>
        </w:rPr>
        <w:t>*</w:t>
      </w:r>
      <w:r w:rsidRPr="003B7DD5">
        <w:rPr>
          <w:color w:val="auto"/>
        </w:rPr>
        <w:tab/>
        <w:t xml:space="preserve">Correspondence: </w:t>
      </w:r>
      <w:r w:rsidR="001A6175" w:rsidRPr="003B7DD5">
        <w:rPr>
          <w:color w:val="auto"/>
        </w:rPr>
        <w:t>jadominguez@igtp.cat</w:t>
      </w:r>
      <w:r w:rsidRPr="003B7DD5">
        <w:rPr>
          <w:color w:val="auto"/>
        </w:rPr>
        <w:t xml:space="preserve">; Tel.: </w:t>
      </w:r>
      <w:r w:rsidR="001A6175" w:rsidRPr="003B7DD5">
        <w:rPr>
          <w:color w:val="auto"/>
        </w:rPr>
        <w:t>+34 93 033 0537</w:t>
      </w:r>
    </w:p>
    <w:p w14:paraId="2853604B" w14:textId="77777777" w:rsidR="00FE6943" w:rsidRPr="003B7DD5" w:rsidRDefault="00FE6943" w:rsidP="003B7DD5">
      <w:pPr>
        <w:pStyle w:val="MDPI17abstract"/>
        <w:ind w:left="0"/>
        <w:rPr>
          <w:color w:val="auto"/>
          <w:szCs w:val="18"/>
        </w:rPr>
      </w:pPr>
      <w:r w:rsidRPr="003B7DD5">
        <w:rPr>
          <w:b/>
          <w:color w:val="auto"/>
          <w:szCs w:val="18"/>
        </w:rPr>
        <w:t xml:space="preserve">Abstract: </w:t>
      </w:r>
      <w:r w:rsidR="001A6175" w:rsidRPr="003B7DD5">
        <w:rPr>
          <w:color w:val="auto"/>
        </w:rPr>
        <w:t>There is a need for diagnostics for tuberculosis (TB) that are easy to use, able to screen non-sputum samples and to provide rapid results for the management of both immunocompromised and immunocompetent individuals. Fujifilm SILVAMP TB LAM (FujiLAM) assay, a new non-</w:t>
      </w:r>
      <w:proofErr w:type="gramStart"/>
      <w:r w:rsidR="001A6175" w:rsidRPr="003B7DD5">
        <w:rPr>
          <w:color w:val="auto"/>
        </w:rPr>
        <w:t>sputum based</w:t>
      </w:r>
      <w:proofErr w:type="gramEnd"/>
      <w:r w:rsidR="001A6175" w:rsidRPr="003B7DD5">
        <w:rPr>
          <w:color w:val="auto"/>
        </w:rPr>
        <w:t xml:space="preserve"> point of need test for the diagnosis of TB, could potentially address most of these needs. We evaluated the performance of FujiLAM in HIV-positive and HIV-negative patients with presumptive TB attending three district hospitals in Nigeria. Consecutive patients were asked to provide urine samples, on the spot, which were tested with FujiLAM. Results were compared against a positive culture and/or Xpert MTB/RIF, as the reference standard. Forty-five patients had bacteriologically confirmed TB and 159 had negative culture and Xpert MTB/RIF (no TB). FujiLAM test was positive in 23 (sensitivity 65.7%, 95%CI </w:t>
      </w:r>
      <w:r w:rsidR="001A6175" w:rsidRPr="003B7DD5">
        <w:rPr>
          <w:rFonts w:eastAsia="Calibri"/>
          <w:color w:val="auto"/>
        </w:rPr>
        <w:t>48-80</w:t>
      </w:r>
      <w:r w:rsidR="001A6175" w:rsidRPr="003B7DD5">
        <w:rPr>
          <w:color w:val="auto"/>
        </w:rPr>
        <w:t xml:space="preserve">) HIV-negative and 7 (70%, 95%CI </w:t>
      </w:r>
      <w:r w:rsidR="001A6175" w:rsidRPr="003B7DD5">
        <w:rPr>
          <w:rFonts w:eastAsia="Calibri"/>
          <w:color w:val="auto"/>
        </w:rPr>
        <w:t>35-92</w:t>
      </w:r>
      <w:r w:rsidR="001A6175" w:rsidRPr="003B7DD5">
        <w:rPr>
          <w:color w:val="auto"/>
        </w:rPr>
        <w:t xml:space="preserve">) HIV-positive patients with bacteriological confirmation of TB. FujiLAM was negative in 97 (specificity 99.0%, 95%CI </w:t>
      </w:r>
      <w:r w:rsidR="001A6175" w:rsidRPr="003B7DD5">
        <w:rPr>
          <w:rFonts w:eastAsia="Calibri"/>
          <w:color w:val="auto"/>
        </w:rPr>
        <w:t>94-100</w:t>
      </w:r>
      <w:r w:rsidR="001A6175" w:rsidRPr="003B7DD5">
        <w:rPr>
          <w:color w:val="auto"/>
        </w:rPr>
        <w:t xml:space="preserve">) HIV-negative and 56 (93.3%, 95%CI </w:t>
      </w:r>
      <w:r w:rsidR="001A6175" w:rsidRPr="003B7DD5">
        <w:rPr>
          <w:rFonts w:eastAsia="Calibri"/>
          <w:color w:val="auto"/>
        </w:rPr>
        <w:t>83-98</w:t>
      </w:r>
      <w:r w:rsidR="001A6175" w:rsidRPr="003B7DD5">
        <w:rPr>
          <w:color w:val="auto"/>
        </w:rPr>
        <w:t>) HIV-positive patients without TB. The FujiLAM test has good diagnostic accuracy for considering its application in both HIV-positive and HIV-negative patients with TB.</w:t>
      </w:r>
    </w:p>
    <w:p w14:paraId="21A1EFF8" w14:textId="77777777" w:rsidR="00FE6943" w:rsidRPr="003B7DD5" w:rsidRDefault="001A6175" w:rsidP="003B7DD5">
      <w:pPr>
        <w:pStyle w:val="MDPI18keywords"/>
        <w:ind w:left="0"/>
        <w:rPr>
          <w:color w:val="auto"/>
          <w:szCs w:val="18"/>
        </w:rPr>
      </w:pPr>
      <w:r w:rsidRPr="003B7DD5">
        <w:rPr>
          <w:b/>
          <w:color w:val="auto"/>
          <w:szCs w:val="18"/>
        </w:rPr>
        <w:t>Keywords:</w:t>
      </w:r>
      <w:r w:rsidR="00FE6943" w:rsidRPr="003B7DD5">
        <w:rPr>
          <w:b/>
          <w:color w:val="auto"/>
          <w:szCs w:val="18"/>
        </w:rPr>
        <w:t xml:space="preserve"> </w:t>
      </w:r>
      <w:r w:rsidRPr="003B7DD5">
        <w:rPr>
          <w:color w:val="auto"/>
        </w:rPr>
        <w:t>tuberculosis; diagnosis; lipoarabinomannan; LAM; HIV; urine; point-of-care</w:t>
      </w:r>
    </w:p>
    <w:p w14:paraId="5C7FC4F3" w14:textId="77777777" w:rsidR="00FE6943" w:rsidRPr="003B7DD5" w:rsidRDefault="00FE6943" w:rsidP="003B7DD5">
      <w:pPr>
        <w:pStyle w:val="MDPI19line"/>
        <w:pBdr>
          <w:bottom w:val="none" w:sz="0" w:space="0" w:color="auto"/>
        </w:pBdr>
        <w:rPr>
          <w:color w:val="auto"/>
        </w:rPr>
      </w:pPr>
    </w:p>
    <w:p w14:paraId="2CB37F89" w14:textId="77777777" w:rsidR="00FE6943" w:rsidRPr="003B7DD5" w:rsidRDefault="00FE6943" w:rsidP="003B7DD5">
      <w:pPr>
        <w:pStyle w:val="MDPI21heading1"/>
        <w:ind w:left="0"/>
        <w:rPr>
          <w:color w:val="auto"/>
          <w:lang w:eastAsia="zh-CN"/>
        </w:rPr>
      </w:pPr>
      <w:r w:rsidRPr="003B7DD5">
        <w:rPr>
          <w:color w:val="auto"/>
          <w:lang w:eastAsia="zh-CN"/>
        </w:rPr>
        <w:t>1. Introduction</w:t>
      </w:r>
    </w:p>
    <w:p w14:paraId="7D307BC3" w14:textId="77777777" w:rsidR="001A6175" w:rsidRPr="003B7DD5" w:rsidRDefault="001A6175" w:rsidP="003B7DD5">
      <w:pPr>
        <w:pStyle w:val="MDPI31text"/>
        <w:ind w:left="0"/>
        <w:rPr>
          <w:rFonts w:eastAsia="Calibri"/>
          <w:color w:val="auto"/>
        </w:rPr>
      </w:pPr>
      <w:r w:rsidRPr="003B7DD5">
        <w:rPr>
          <w:rFonts w:eastAsia="Calibri"/>
          <w:color w:val="auto"/>
        </w:rPr>
        <w:t xml:space="preserve">Tuberculosis (TB) </w:t>
      </w:r>
      <w:r w:rsidRPr="003B7DD5">
        <w:rPr>
          <w:color w:val="auto"/>
        </w:rPr>
        <w:t xml:space="preserve">continues to cause high morbidity and mortality </w:t>
      </w:r>
      <w:r w:rsidRPr="003B7DD5">
        <w:rPr>
          <w:rFonts w:eastAsia="Calibri"/>
          <w:color w:val="auto"/>
        </w:rPr>
        <w:t xml:space="preserve">worldwide </w:t>
      </w:r>
      <w:r w:rsidRPr="003B7DD5">
        <w:rPr>
          <w:rFonts w:eastAsia="Calibri"/>
          <w:color w:val="auto"/>
        </w:rPr>
        <w:fldChar w:fldCharType="begin" w:fldLock="1"/>
      </w:r>
      <w:r w:rsidRPr="003B7DD5">
        <w:rPr>
          <w:rFonts w:eastAsia="Calibri"/>
          <w:color w:val="auto"/>
        </w:rPr>
        <w:instrText>ADDIN CSL_CITATION {"citationItems":[{"id":"ITEM-1","itemData":{"ISBN":"9789241565714","abstract":"WHO has published a global TB report every year since 1997. The main aim of the report is to provide a comprehensive and up-to-date assessment of the TB epidemic, and of progress in prevention, diagnosis and treatment of the disease at global, regional and country levels. This is done in the context of recommended global TB strategies and targets endorsed by WHO’s Member States and broader development goals set by the United Nations.","author":[{"dropping-particle":"","family":"World Health Organization","given":"","non-dropping-particle":"","parse-names":false,"suffix":""}],"id":"ITEM-1","issue":"October 2010","issued":{"date-parts":[["2019"]]},"note":"As countries intensify efforts to improve TB diag-\nnosis and treatment and close gaps between incidence and notifications, the proportion of notified cases that are bacteriologically confirmed needs to be monitored, to ensure that people are correctly diagnosed and start- ed on the most effective treatment regimen as early as possible.","number-of-pages":"297","publisher-place":"Geneva","title":"Global Tuberculsis Report 2019","type":"report"},"uris":["http://www.mendeley.com/documents/?uuid=3866ca7b-d905-4eb3-bb1b-8c0f98472490"]}],"mendeley":{"formattedCitation":"[1]","plainTextFormattedCitation":"[1]","previouslyFormattedCitation":"[1]"},"properties":{"noteIndex":0},"schema":"https://github.com/citation-style-language/schema/raw/master/csl-citation.json"}</w:instrText>
      </w:r>
      <w:r w:rsidRPr="003B7DD5">
        <w:rPr>
          <w:rFonts w:eastAsia="Calibri"/>
          <w:color w:val="auto"/>
        </w:rPr>
        <w:fldChar w:fldCharType="separate"/>
      </w:r>
      <w:r w:rsidRPr="003B7DD5">
        <w:rPr>
          <w:rFonts w:eastAsia="Calibri"/>
          <w:noProof/>
          <w:color w:val="auto"/>
        </w:rPr>
        <w:t>[1]</w:t>
      </w:r>
      <w:r w:rsidRPr="003B7DD5">
        <w:rPr>
          <w:rFonts w:eastAsia="Calibri"/>
          <w:color w:val="auto"/>
        </w:rPr>
        <w:fldChar w:fldCharType="end"/>
      </w:r>
      <w:r w:rsidRPr="003B7DD5">
        <w:rPr>
          <w:rFonts w:eastAsia="Calibri"/>
          <w:color w:val="auto"/>
        </w:rPr>
        <w:t xml:space="preserve">. Despite increases in TB notifications in recent decades </w:t>
      </w:r>
      <w:r w:rsidRPr="003B7DD5">
        <w:rPr>
          <w:rFonts w:eastAsia="Calibri"/>
          <w:color w:val="auto"/>
        </w:rPr>
        <w:fldChar w:fldCharType="begin" w:fldLock="1"/>
      </w:r>
      <w:r w:rsidRPr="003B7DD5">
        <w:rPr>
          <w:rFonts w:eastAsia="Calibri"/>
          <w:color w:val="auto"/>
        </w:rPr>
        <w:instrText>ADDIN CSL_CITATION {"citationItems":[{"id":"ITEM-1","itemData":{"DOI":"10.1016/S1473-3099(13)70008-2","ISSN":"14733099","abstract":"Rapid progress has been made in the development of new diagnostic assays for tuberculosis in recent years. New technologies have been developed and assessed, and are now being implemented. The Xpert MTB/RIF assay, which enables simultaneous detection of Mycobacterium tuberculosis (MTB) and rifampicin (RIF) resistance, was endorsed by WHO in December, 2010. This assay was specifically recommended for use as the initial diagnostic test for suspected drug-resistant or HIV-associated pulmonary tuberculosis. By June, 2012, two-thirds of countries with a high tuberculosis burden and half of countries with a high multidrug-resistant tuberculosis burden had incorporated the assay into their national tuberculosis programme guidelines. Although the development of the Xpert MTB/RIF assay is undoubtedly a landmark event, clinical and programmatic effects and cost-effectiveness remain to be defined. We review the rapidly growing body of scientific literature and discuss the advantages and challenges of using the Xpert MTB/RIF assay in areas where tuberculosis is endemic. We also review other prospects within the developmental pipeline. A rapid, accurate point-of-care diagnostic test that is affordable and can be readily implemented is urgently needed. Investment in the tuberculosis diagnostics pipeline should remain a major priority for funders and researchers. © 2013 Elsevier Ltd.","author":[{"dropping-particle":"","family":"Lawn","given":"Stephen D.","non-dropping-particle":"","parse-names":false,"suffix":""},{"dropping-particle":"","family":"Mwaba","given":"Peter","non-dropping-particle":"","parse-names":false,"suffix":""},{"dropping-particle":"","family":"Bates","given":"Matthew","non-dropping-particle":"","parse-names":false,"suffix":""},{"dropping-particle":"","family":"Piatek","given":"Amy","non-dropping-particle":"","parse-names":false,"suffix":""},{"dropping-particle":"","family":"Alexander","given":"Heather","non-dropping-particle":"","parse-names":false,"suffix":""},{"dropping-particle":"","family":"Marais","given":"Ben J.","non-dropping-particle":"","parse-names":false,"suffix":""},{"dropping-particle":"","family":"Cuevas","given":"Luis E.","non-dropping-particle":"","parse-names":false,"suffix":""},{"dropping-particle":"","family":"McHugh","given":"Timothy D.","non-dropping-particle":"","parse-names":false,"suffix":""},{"dropping-particle":"","family":"Zijenah","given":"Lynn","non-dropping-particle":"","parse-names":false,"suffix":""},{"dropping-particle":"","family":"Kapata","given":"Nathan","non-dropping-particle":"","parse-names":false,"suffix":""},{"dropping-particle":"","family":"Abubakar","given":"Ibrahim","non-dropping-particle":"","parse-names":false,"suffix":""},{"dropping-particle":"","family":"McNerney","given":"Ruth","non-dropping-particle":"","parse-names":false,"suffix":""},{"dropping-particle":"","family":"Hoelscher","given":"Michael","non-dropping-particle":"","parse-names":false,"suffix":""},{"dropping-particle":"","family":"Memish","given":"Ziad A.","non-dropping-particle":"","parse-names":false,"suffix":""},{"dropping-particle":"","family":"Migliori","given":"Giovanni Battista","non-dropping-particle":"","parse-names":false,"suffix":""},{"dropping-particle":"","family":"Kim","given":"Peter","non-dropping-particle":"","parse-names":false,"suffix":""},{"dropping-particle":"","family":"Maeurer","given":"Markus","non-dropping-particle":"","parse-names":false,"suffix":""},{"dropping-particle":"","family":"Schito","given":"Marco","non-dropping-particle":"","parse-names":false,"suffix":""},{"dropping-particle":"","family":"Zumla","given":"Alimuddin","non-dropping-particle":"","parse-names":false,"suffix":""}],"container-title":"The Lancet Infectious Diseases","id":"ITEM-1","issue":"4","issued":{"date-parts":[["2013"]]},"page":"349-361","title":"Advances in tuberculosis diagnostics: The Xpert MTB/RIF assay and future prospects for a point-of-care test","type":"article-journal","volume":"13"},"uris":["http://www.mendeley.com/documents/?uuid=346f2c5c-088c-464c-aa96-d2b0bfd501d4"]}],"mendeley":{"formattedCitation":"[2]","plainTextFormattedCitation":"[2]","previouslyFormattedCitation":"[2]"},"properties":{"noteIndex":0},"schema":"https://github.com/citation-style-language/schema/raw/master/csl-citation.json"}</w:instrText>
      </w:r>
      <w:r w:rsidRPr="003B7DD5">
        <w:rPr>
          <w:rFonts w:eastAsia="Calibri"/>
          <w:color w:val="auto"/>
        </w:rPr>
        <w:fldChar w:fldCharType="separate"/>
      </w:r>
      <w:r w:rsidRPr="003B7DD5">
        <w:rPr>
          <w:rFonts w:eastAsia="Calibri"/>
          <w:noProof/>
          <w:color w:val="auto"/>
        </w:rPr>
        <w:t>[2]</w:t>
      </w:r>
      <w:r w:rsidRPr="003B7DD5">
        <w:rPr>
          <w:rFonts w:eastAsia="Calibri"/>
          <w:color w:val="auto"/>
        </w:rPr>
        <w:fldChar w:fldCharType="end"/>
      </w:r>
      <w:r w:rsidRPr="003B7DD5">
        <w:rPr>
          <w:rFonts w:eastAsia="Calibri"/>
          <w:color w:val="auto"/>
        </w:rPr>
        <w:t xml:space="preserve">, and a major expansion in the use of the World Health Organization (WHO)-recommended molecular diagnostics (WRDs), 2.9 of the ten million estimated people who develop TB are missed by national TB programs each year. </w:t>
      </w:r>
    </w:p>
    <w:p w14:paraId="4808F59B" w14:textId="77777777" w:rsidR="001A6175" w:rsidRPr="003B7DD5" w:rsidRDefault="001A6175" w:rsidP="003B7DD5">
      <w:pPr>
        <w:pStyle w:val="MDPI31text"/>
        <w:ind w:left="0"/>
        <w:rPr>
          <w:rFonts w:eastAsia="Calibri"/>
          <w:color w:val="auto"/>
        </w:rPr>
      </w:pPr>
      <w:r w:rsidRPr="003B7DD5">
        <w:rPr>
          <w:rFonts w:eastAsia="Calibri"/>
          <w:color w:val="auto"/>
        </w:rPr>
        <w:t xml:space="preserve">A major drawback of current WRDs is the poor timeliness of test results, which often return to the clinic several hours or days later, when clinical decisions have been taken and the patients have left the premises </w:t>
      </w:r>
      <w:r w:rsidRPr="003B7DD5">
        <w:rPr>
          <w:rFonts w:eastAsia="Calibri"/>
          <w:color w:val="auto"/>
        </w:rPr>
        <w:fldChar w:fldCharType="begin" w:fldLock="1"/>
      </w:r>
      <w:r w:rsidRPr="003B7DD5">
        <w:rPr>
          <w:rFonts w:eastAsia="Calibri"/>
          <w:color w:val="auto"/>
        </w:rPr>
        <w:instrText>ADDIN CSL_CITATION {"citationItems":[{"id":"ITEM-1","itemData":{"DOI":"10.1136/bmjgh-2019-002280","ISSN":"20597908","abstract":"Background Drug-resistant tuberculosis burdens fragile health systems in sub-Saharan Africa (SSA), complicated by high prevalence of HIV. Several African countries reported large gaps between estimated incidence and diagnosed or treated cases. Our review aimed to identify barriers and facilitators influencing diagnosis and treatment for drug-resistant tuberculosis (DR-TB) in SSA, which is necessary to develop effective strategies to find the missing incident cases and improve quality of care. Methods Using an integrative design, we reviewed and narratively synthesised qualitative, quantitative and mixed-methods studies from nine electronic databases: Medline, Global Health, CINAHL, EMBASE, Scopus, Web of Science, International Journal of Tuberculosis and Lung Disease, PubMed and Google Scholar (January 2006 to June 2019). Results Of 3181 original studies identified, 55 full texts were screened, and 29 retained. The studies included were from 6 countries, mostly South Africa. Barriers and facilitators to DR-TB care were identified at the health system and patient levels. Predominant health system barriers were laboratory operational issues, provider knowledge and attitudes and information management. Facilitators included GeneXpert MTB/RIF (Xpert) diagnosis and decentralisation of services. At the patient level, predominant barriers were patients being lost to follow-up or dying due to lengthy diagnostic and treatment delays, negative public sector care perceptions, family, work or school commitments and using private sector care. Some patient-level facilitators were HIV positivity and having more symptoms. Conclusion Case detection and treatment for DR-TB in SSA currently relies on individual patients presenting voluntarily to the hospital for care. Specific interventions targeting identified barriers may improve rates and timeliness of detection and treatment.","author":[{"dropping-particle":"","family":"Oga-Omenka","given":"Charity","non-dropping-particle":"","parse-names":false,"suffix":""},{"dropping-particle":"","family":"Tseja-Akinrin","given":"Azhee","non-dropping-particle":"","parse-names":false,"suffix":""},{"dropping-particle":"","family":"Sen","given":"Paulami","non-dropping-particle":"","parse-names":false,"suffix":""},{"dropping-particle":"","family":"Mac-Seing","given":"Muriel","non-dropping-particle":"","parse-names":false,"suffix":""},{"dropping-particle":"","family":"Agbaje","given":"Aderonke","non-dropping-particle":"","parse-names":false,"suffix":""},{"dropping-particle":"","family":"Menzies","given":"Dick","non-dropping-particle":"","parse-names":false,"suffix":""},{"dropping-particle":"","family":"Zarowsky","given":"Christina","non-dropping-particle":"","parse-names":false,"suffix":""}],"container-title":"BMJ Global Health","id":"ITEM-1","issue":"7","issued":{"date-parts":[["2020","7","2"]]},"page":"2280","publisher":"BMJ Publishing Group","title":"Factors influencing diagnosis and treatment initiation for multidrug-resistant/rifampicin-resistant tuberculosis in six sub-Saharan African countries: A mixed-methods systematic review","type":"article","volume":"5"},"uris":["http://www.mendeley.com/documents/?uuid=d05bd8b6-5b57-374e-9d88-e674d2e3e820"]}],"mendeley":{"formattedCitation":"[3]","plainTextFormattedCitation":"[3]"},"properties":{"noteIndex":0},"schema":"https://github.com/citation-style-language/schema/raw/master/csl-citation.json"}</w:instrText>
      </w:r>
      <w:r w:rsidRPr="003B7DD5">
        <w:rPr>
          <w:rFonts w:eastAsia="Calibri"/>
          <w:color w:val="auto"/>
        </w:rPr>
        <w:fldChar w:fldCharType="separate"/>
      </w:r>
      <w:r w:rsidRPr="003B7DD5">
        <w:rPr>
          <w:rFonts w:eastAsia="Calibri"/>
          <w:noProof/>
          <w:color w:val="auto"/>
        </w:rPr>
        <w:t>[3]</w:t>
      </w:r>
      <w:r w:rsidRPr="003B7DD5">
        <w:rPr>
          <w:rFonts w:eastAsia="Calibri"/>
          <w:color w:val="auto"/>
        </w:rPr>
        <w:fldChar w:fldCharType="end"/>
      </w:r>
      <w:r w:rsidRPr="003B7DD5">
        <w:rPr>
          <w:rFonts w:eastAsia="Calibri"/>
          <w:color w:val="auto"/>
        </w:rPr>
        <w:t xml:space="preserve">. It is </w:t>
      </w:r>
      <w:proofErr w:type="spellStart"/>
      <w:r w:rsidRPr="003B7DD5">
        <w:rPr>
          <w:rFonts w:eastAsia="Calibri"/>
          <w:color w:val="auto"/>
        </w:rPr>
        <w:t>recognised</w:t>
      </w:r>
      <w:proofErr w:type="spellEnd"/>
      <w:r w:rsidRPr="003B7DD5">
        <w:rPr>
          <w:rFonts w:eastAsia="Calibri"/>
          <w:color w:val="auto"/>
        </w:rPr>
        <w:t xml:space="preserve"> that, to be impactful, diagnostic test results need to be available at the time of patient management, to guide treatment initiation and to reduce pre-treatment losses to follow up </w:t>
      </w:r>
      <w:r w:rsidRPr="003B7DD5">
        <w:rPr>
          <w:rFonts w:eastAsia="Calibri"/>
          <w:color w:val="auto"/>
        </w:rPr>
        <w:fldChar w:fldCharType="begin" w:fldLock="1"/>
      </w:r>
      <w:r w:rsidRPr="003B7DD5">
        <w:rPr>
          <w:rFonts w:eastAsia="Calibri"/>
          <w:color w:val="auto"/>
        </w:rPr>
        <w:instrText>ADDIN CSL_CITATION {"citationItems":[{"id":"ITEM-1","itemData":{"DOI":"10.1016/S1473-3099(17)30691-6","ISSN":"14744457","abstract":"Background The Xpert MTB/RIF assay is an automated molecular test that has improved the detection of tuberculosis and rifampicin resistance, but its sensitivity is inadequate in patients with paucibacillary disease or HIV. Xpert MTB/RIF Ultra (Xpert Ultra) was developed to overcome this limitation. We compared the diagnostic performance of Xpert Ultra with that of Xpert for detection of tuberculosis and rifampicin resistance. Methods In this prospective, multicentre, diagnostic accuracy study, we recruited adults with pulmonary tuberculosis symptoms presenting at primary health-care centres and hospitals in eight countries (South Africa, Uganda, Kenya, India, China, Georgia, Belarus, and Brazil). Participants were allocated to the case detection group if no drugs had been taken for tuberculosis in the past 6 months or to the multidrug-resistance risk group if drugs for tuberculosis had been taken in the past 6 months, but drug resistance was suspected. Demographic information, medical history, chest imaging results, and HIV test results were recorded at enrolment, and each participant gave at least three sputum specimen on 2 separate days. Xpert and Xpert Ultra diagnostic performance in the same sputum specimen was compared with culture tests and drug susceptibility testing as reference standards. The primary objectives were to estimate and compare the sensitivity of Xpert Ultra test with that of Xpert for detection of smear-negative tuberculosis and rifampicin resistance and to estimate and compare Xpert Ultra and Xpert specificities for detection of rifampicin resistance. Study participants in the case detection group were included in all analyses, whereas participants in the multidrug-resistance risk group were only included in analyses of rifampicin-resistance detection. Findings Between Feb 18, and Dec 24, 2016, we enrolled 2368 participants for sputum sampling. 248 participants were excluded from the analysis, and 1753 participants were distributed to the case detection group (n=1439) and the multidrug-resistance risk group (n=314). Sensitivities of Xpert Ultra and Xpert were 63% and 46%, respectively, for the 137 participants with smear-negative and culture-positive sputum (difference of 17%, 95% CI 10 to 24); 90% and 77%, respectively, for the 115 HIV-positive participants with culture-positive sputum (13%, 6·4 to 21); and 88% and 83%, respectively, across all 462 participants with culture-positive sputum (5·4%, 3·3 to 8·0). Specificities of Xpe…","author":[{"dropping-particle":"","family":"Dorman","given":"Susan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Nicol","given":"Mark P.","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Lyrio Peres","given":"Renata","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M.","non-dropping-particle":"","parse-names":false,"suffix":""},{"dropping-particle":"","family":"Dorman","given":"Susan E","non-dropping-particle":"","parse-names":false,"suffix":""},{"dropping-particle":"","family":"Schumacher","given":"Samuel G","non-dropping-particle":"","parse-names":false,"suffix":""},{"dropping-particle":"","family":"Alland","given":"David","non-dropping-particle":"","parse-names":false,"suffix":""},{"dropping-particle":"","family":"Nabeta","given":"Pamela","non-dropping-particle":"","parse-names":false,"suffix":""},{"dropping-particle":"","family":"Armstrong","given":"Derek T","non-dropping-particle":"","parse-names":false,"suffix":""},{"dropping-particle":"","family":"King","given":"Bonnie","non-dropping-particle":"","parse-names":false,"suffix":""},{"dropping-particle":"","family":"Hall","given":"Sandra L","non-dropping-particle":"","parse-names":false,"suffix":""},{"dropping-particle":"","family":"Chakravorty","given":"Soumitesh","non-dropping-particle":"","parse-names":false,"suffix":""},{"dropping-particle":"","family":"Cirillo","given":"Daniela M","non-dropping-particle":"","parse-names":false,"suffix":""},{"dropping-particle":"","family":"Tukvadze","given":"Nestani","non-dropping-particle":"","parse-names":false,"suffix":""},{"dropping-particle":"","family":"Bablishvili","given":"Nino","non-dropping-particle":"","parse-names":false,"suffix":""},{"dropping-particle":"","family":"Stevens","given":"Wendy","non-dropping-particle":"","parse-names":false,"suffix":""},{"dropping-particle":"","family":"Scott","given":"Lesley","non-dropping-particle":"","parse-names":false,"suffix":""},{"dropping-particle":"","family":"Rodrigues","given":"Camilla","non-dropping-particle":"","parse-names":false,"suffix":""},{"dropping-particle":"","family":"Kazi","given":"Mubin I","non-dropping-particle":"","parse-names":false,"suffix":""},{"dropping-particle":"","family":"Joloba","given":"Moses","non-dropping-particle":"","parse-names":false,"suffix":""},{"dropping-particle":"","family":"Nakiyingi","given":"Lydia","non-dropping-particle":"","parse-names":false,"suffix":""},{"dropping-particle":"","family":"Ghebrekristos","given":"Yonas","non-dropping-particle":"","parse-names":false,"suffix":""},{"dropping-particle":"","family":"Anyango","given":"Irene","non-dropping-particle":"","parse-names":false,"suffix":""},{"dropping-particle":"","family":"Murithi","given":"Wilfred","non-dropping-particle":"","parse-names":false,"suffix":""},{"dropping-particle":"","family":"Dietze","given":"Reynaldo","non-dropping-particle":"","parse-names":false,"suffix":""},{"dropping-particle":"","family":"Peres","given":"Renata Lyrio","non-dropping-particle":"","parse-names":false,"suffix":""},{"dropping-particle":"","family":"Skrahina","given":"Alena","non-dropping-particle":"","parse-names":false,"suffix":""},{"dropping-particle":"","family":"Auchynka","given":"Vera","non-dropping-particle":"","parse-names":false,"suffix":""},{"dropping-particle":"","family":"Chopra","given":"Kamal Kishore","non-dropping-particle":"","parse-names":false,"suffix":""},{"dropping-particle":"","family":"Hanif","given":"Mahmud","non-dropping-particle":"","parse-names":false,"suffix":""},{"dropping-particle":"","family":"Liu","given":"Xin","non-dropping-particle":"","parse-names":false,"suffix":""},{"dropping-particle":"","family":"Yuan","given":"Xing","non-dropping-particle":"","parse-names":false,"suffix":""},{"dropping-particle":"","family":"Boehme","given":"Catharina C.","non-dropping-particle":"","parse-names":false,"suffix":""},{"dropping-particle":"","family":"Ellner","given":"Jerrold J.","non-dropping-particle":"","parse-names":false,"suffix":""},{"dropping-particle":"","family":"Denkinger","given":"Claudia M.","non-dropping-particle":"","parse-names":false,"suffix":""},{"dropping-particle":"","family":"Manabe","given":"Yukari C.","non-dropping-particle":"","parse-names":false,"suffix":""},{"dropping-particle":"","family":"Hom","given":"David","non-dropping-particle":"","parse-names":false,"suffix":""},{"dropping-particle":"","family":"Aspindzelashvili","given":"Rusudan","non-dropping-particle":"","parse-names":false,"suffix":""},{"dropping-particle":"","family":"David","given":"Anura","non-dropping-particle":"","parse-names":false,"suffix":""},{"dropping-particle":"","family":"Surve","given":"Utkarsha","non-dropping-particle":"","parse-names":false,"suffix":""},{"dropping-particle":"","family":"Kamulegeya","given":"Louis Henry","non-dropping-particle":"","parse-names":false,"suffix":""},{"dropping-particle":"","family":"Nabweyambo","given":"Sheila","non-dropping-particle":"","parse-names":false,"suffix":""},{"dropping-particle":"","family":"Surtie","given":"Shireen","non-dropping-particle":"","parse-names":false,"suffix":""},{"dropping-particle":"","family":"Hapeela","given":"Nchimunya","non-dropping-particle":"","parse-names":false,"suffix":""},{"dropping-particle":"","family":"Cain","given":"Kevin P.","non-dropping-particle":"","parse-names":false,"suffix":""},{"dropping-particle":"","family":"Agaya","given":"Janet","non-dropping-particle":"","parse-names":false,"suffix":""},{"dropping-particle":"","family":"McCarthy","given":"Kimberly D.","non-dropping-particle":"","parse-names":false,"suffix":""},{"dropping-particle":"","family":"Marques-Rodrigues","given":"Patricia","non-dropping-particle":"","parse-names":false,"suffix":""},{"dropping-particle":"","family":"Schmidt Castellani","given":"Luiz Guilherme","non-dropping-particle":"","parse-names":false,"suffix":""},{"dropping-particle":"","family":"Almeida","given":"Pedro Sousa","non-dropping-particle":"","parse-names":false,"suffix":""},{"dropping-particle":"","family":"Aguiar","given":"Paola Poloni Lobo","non-dropping-particle":"de","parse-names":false,"suffix":""},{"dropping-particle":"","family":"Solodovnikova","given":"Varvara","non-dropping-particle":"","parse-names":false,"suffix":""},{"dropping-particle":"","family":"Ruan","given":"Xianglin","non-dropping-particle":"","parse-names":false,"suffix":""},{"dropping-particle":"","family":"Liang","given":"Lili","non-dropping-particle":"","parse-names":false,"suffix":""},{"dropping-particle":"","family":"Zhang","given":"Guolong","non-dropping-particle":"","parse-names":false,"suffix":""},{"dropping-particle":"","family":"Zhu","given":"Hong","non-dropping-particle":"","parse-names":false,"suffix":""},{"dropping-particle":"","family":"Xie","given":"Yingda","non-dropping-particle":"","parse-names":false,"suffix":""}],"container-title":"The Lancet Infectious Diseases","id":"ITEM-1","issue":"1","issued":{"date-parts":[["2018"]]},"page":"76-84","title":"Xpert MTB/RIF Ultra for detection of Mycobacterium tuberculosis and rifampicin resistance: a prospective multicentre diagnostic accuracy study","type":"article-journal","volume":"18"},"uris":["http://www.mendeley.com/documents/?uuid=9652b4ce-eb1d-44ed-8a03-278eec108365"]}],"mendeley":{"formattedCitation":"[4]","plainTextFormattedCitation":"[4]","previouslyFormattedCitation":"[3]"},"properties":{"noteIndex":0},"schema":"https://github.com/citation-style-language/schema/raw/master/csl-citation.json"}</w:instrText>
      </w:r>
      <w:r w:rsidRPr="003B7DD5">
        <w:rPr>
          <w:rFonts w:eastAsia="Calibri"/>
          <w:color w:val="auto"/>
        </w:rPr>
        <w:fldChar w:fldCharType="separate"/>
      </w:r>
      <w:r w:rsidRPr="003B7DD5">
        <w:rPr>
          <w:rFonts w:eastAsia="Calibri"/>
          <w:noProof/>
          <w:color w:val="auto"/>
        </w:rPr>
        <w:t>[4]</w:t>
      </w:r>
      <w:r w:rsidRPr="003B7DD5">
        <w:rPr>
          <w:rFonts w:eastAsia="Calibri"/>
          <w:color w:val="auto"/>
        </w:rPr>
        <w:fldChar w:fldCharType="end"/>
      </w:r>
      <w:r w:rsidRPr="003B7DD5">
        <w:rPr>
          <w:rFonts w:eastAsia="Calibri"/>
          <w:color w:val="auto"/>
        </w:rPr>
        <w:t xml:space="preserve">. Ideally, assays should be conducted at the point of need, using minimal laboratory skills and examining non- or minimally invasive clinical samples </w:t>
      </w:r>
      <w:r w:rsidRPr="003B7DD5">
        <w:rPr>
          <w:rFonts w:eastAsia="Calibri"/>
          <w:color w:val="auto"/>
          <w:vertAlign w:val="superscript"/>
        </w:rPr>
        <w:fldChar w:fldCharType="begin" w:fldLock="1"/>
      </w:r>
      <w:r w:rsidRPr="003B7DD5">
        <w:rPr>
          <w:rFonts w:eastAsia="Calibri"/>
          <w:color w:val="auto"/>
          <w:vertAlign w:val="superscript"/>
        </w:rPr>
        <w:instrText>ADDIN CSL_CITATION {"citationItems":[{"id":"ITEM-1","itemData":{"DOI":"10.1016/S1473-3099(18)30111-7","ISSN":"1473-3099","author":[{"dropping-particle":"","family":"Walzl","given":"Gerhard","non-dropping-particle":"","parse-names":false,"suffix":""},{"dropping-particle":"","family":"Mcnerney","given":"Ruth","non-dropping-particle":"","parse-names":false,"suffix":""},{"dropping-particle":"","family":"Plessis","given":"Nelita","non-dropping-particle":"","parse-names":false,"suffix":""},{"dropping-particle":"","family":"Bates","given":"Matthew","non-dropping-particle":"","parse-names":false,"suffix":""},{"dropping-particle":"","family":"Mchugh","given":"Timothy D","non-dropping-particle":"","parse-names":false,"suffix":""},{"dropping-particle":"","family":"Chegou","given":"Novel N","non-dropping-particle":"","parse-names":false,"suffix":""},{"dropping-particle":"","family":"Zumla","given":"Alimuddin","non-dropping-particle":"","parse-names":false,"suffix":""}],"container-title":"The Lancet Infectious Diseases","id":"ITEM-1","issue":"18","issued":{"date-parts":[["2018"]]},"page":"1-12","publisher":"Elsevier Ltd","title":"Series Tuberculosis 2 Tuberculosis : advances and challenges in development of new diagnostics and biomarkers","type":"article-journal","volume":"3099"},"uris":["http://www.mendeley.com/documents/?uuid=eb50aecd-e5f9-4b23-b041-f78c1d378120"]},{"id":"ITEM-2","itemData":{"DOI":"10.1016/S2214-109X(18)30108-6","ISSN":"2214109X","author":[{"dropping-particle":"","family":"Detjen","given":"Anne K","non-dropping-particle":"","parse-names":false,"suffix":""},{"dropping-particle":"","family":"McKenna","given":"Lindsay","non-dropping-particle":"","parse-names":false,"suffix":""},{"dropping-particle":"","family":"Graham","given":"Stephen M","non-dropping-particle":"","parse-names":false,"suffix":""},{"dropping-particle":"","family":"Marais","given":"Ben J","non-dropping-particle":"","parse-names":false,"suffix":""},{"dropping-particle":"","family":"Amanullah","given":"Farhana","non-dropping-particle":"","parse-names":false,"suffix":""}],"container-title":"The Lancet Global Health","id":"ITEM-2","issue":"5","issued":{"date-parts":[["2018"]]},"page":"e485-e486","publisher":"The Author(s). Published by Elsevier Ltd. This is an Open Access article under the CC BY-NC-ND 4.0 license","title":"The upcoming UN general assembly resolution on tuberculosis must also benefit children","type":"article","volume":"6"},"uris":["http://www.mendeley.com/documents/?uuid=bf2faa5f-b2b2-4e7e-b809-b353ba1d3b52"]}],"mendeley":{"formattedCitation":"[5,6]","plainTextFormattedCitation":"[5,6]","previouslyFormattedCitation":"[4,5]"},"properties":{"noteIndex":0},"schema":"https://github.com/citation-style-language/schema/raw/master/csl-citation.json"}</w:instrText>
      </w:r>
      <w:r w:rsidRPr="003B7DD5">
        <w:rPr>
          <w:rFonts w:eastAsia="Calibri"/>
          <w:color w:val="auto"/>
          <w:vertAlign w:val="superscript"/>
        </w:rPr>
        <w:fldChar w:fldCharType="separate"/>
      </w:r>
      <w:r w:rsidRPr="003B7DD5">
        <w:rPr>
          <w:rFonts w:eastAsia="Calibri"/>
          <w:noProof/>
          <w:color w:val="auto"/>
        </w:rPr>
        <w:t>[5,6]</w:t>
      </w:r>
      <w:r w:rsidRPr="003B7DD5">
        <w:rPr>
          <w:rFonts w:eastAsia="Calibri"/>
          <w:color w:val="auto"/>
        </w:rPr>
        <w:fldChar w:fldCharType="end"/>
      </w:r>
      <w:r w:rsidRPr="003B7DD5">
        <w:rPr>
          <w:rFonts w:eastAsia="Calibri"/>
          <w:color w:val="auto"/>
        </w:rPr>
        <w:t xml:space="preserve">. Moreover, </w:t>
      </w:r>
      <w:r w:rsidRPr="003B7DD5">
        <w:rPr>
          <w:color w:val="auto"/>
        </w:rPr>
        <w:t xml:space="preserve">large proportions of presumptive individuals cannot expectorate sputum, or provide a </w:t>
      </w:r>
      <w:proofErr w:type="gramStart"/>
      <w:r w:rsidRPr="003B7DD5">
        <w:rPr>
          <w:color w:val="auto"/>
        </w:rPr>
        <w:t>high quality</w:t>
      </w:r>
      <w:proofErr w:type="gramEnd"/>
      <w:r w:rsidRPr="003B7DD5">
        <w:rPr>
          <w:color w:val="auto"/>
        </w:rPr>
        <w:t xml:space="preserve"> sample, and therefore non-sputum based tests could be helpful for many populations.</w:t>
      </w:r>
    </w:p>
    <w:p w14:paraId="1AC30843" w14:textId="77777777" w:rsidR="001A6175" w:rsidRPr="003B7DD5" w:rsidRDefault="001A6175" w:rsidP="003B7DD5">
      <w:pPr>
        <w:pStyle w:val="MDPI31text"/>
        <w:ind w:left="0"/>
        <w:rPr>
          <w:rFonts w:eastAsia="Calibri"/>
          <w:color w:val="auto"/>
        </w:rPr>
      </w:pPr>
      <w:r w:rsidRPr="003B7DD5">
        <w:rPr>
          <w:rFonts w:eastAsia="Calibri"/>
          <w:color w:val="auto"/>
        </w:rPr>
        <w:t xml:space="preserve">Current non-sputum based, point of need prototypes target serological markers or bacterial components or detritus, including the lipoglycan and virulence factor lipoarabinomannan (LAM). LAM is a heat stable component of the outer cell wall of the bacilli that is released from metabolically active or degenerating bacteria of the genus Mycobacterium. LAM is filtered by the kidney, and can be detected in urine, with test prototypes mentioned in the literature since the 1930s </w:t>
      </w:r>
      <w:r w:rsidRPr="003B7DD5">
        <w:rPr>
          <w:rFonts w:eastAsia="Calibri"/>
          <w:color w:val="auto"/>
        </w:rPr>
        <w:fldChar w:fldCharType="begin" w:fldLock="1"/>
      </w:r>
      <w:r w:rsidRPr="003B7DD5">
        <w:rPr>
          <w:rFonts w:eastAsia="Calibri"/>
          <w:color w:val="auto"/>
        </w:rPr>
        <w:instrText>ADDIN CSL_CITATION {"citationItems":[{"id":"ITEM-1","itemData":{"DOI":"10.1128/JCM.01338-18","ISSN":"1098660X","abstract":"The only currently commercialized point-of-care assay for tuberculosis (TB) that measures lipoarabinomannan (LAM) in urine (Alere LF-LAM) has insufficient sensitivity. We evaluated the potential of 100 novel monoclonal antibody pairs targeting a variety of LAM epitopes on a sensitive electrochemiluminescence platform to improve the diagnostic accuracy. In the screening, many antibody pairs showed high reactivity to purified LAM but performed poorly at detecting urinary LAM in clinical samples, suggesting differences in antigen structure and immunoreactivity of the different LAM sources. The 12 best antibody pairs from the screening were tested in a retrospective case-control study with urine samples from 75 adults with presumptive TB. The best antibody pair reached femtomolar analytical sensitivity for LAM detection and an overall clinical sensitivity of 93% (confidence interval [CI], 80% to 97%) and specificity of 97% (CI, 85% to 100%). Importantly, in HIV-negative subjects positive for TB by sputum smear microscopy, the test achieved a sensitivity of 80% (CI, 55% to 93%). This compares to an overall sensitivity of 33% (CI, 20% to 48%) of the Alere LF-LAM and a sensitivity of 13% (CI, 4% to 38%) in HIV-negative subjects in the same sample set. The capture antibody targets a unique 5-methylthio-</w:instrText>
      </w:r>
      <w:r w:rsidRPr="003B7DD5">
        <w:rPr>
          <w:rFonts w:ascii="Cambria" w:eastAsia="Calibri" w:hAnsi="Cambria" w:cs="Cambria"/>
          <w:color w:val="auto"/>
        </w:rPr>
        <w:instrText>ᴅ</w:instrText>
      </w:r>
      <w:r w:rsidRPr="003B7DD5">
        <w:rPr>
          <w:rFonts w:eastAsia="Calibri"/>
          <w:color w:val="auto"/>
        </w:rPr>
        <w:instrText>-xylofuranose (MTX)-dependent epitope in LAM that is specific to the Mycobacterium tuberculosis complex and shows no cross-reactivity with fast-growing mycobacteria or other bacteria. The present study provides evidence that improved assay methods and reagents lead to increased diagnostic accuracy. The results of this work have informed the development of a sensitive and specific novel LAM point-of-care assay with the aim to meet the WHO’s performance target for TB diagnosis.","author":[{"dropping-particle":"","family":"Sigal","given":"George B.","non-dropping-particle":"","parse-names":false,"suffix":""},{"dropping-particle":"","family":"Pinter","given":"Abraham","non-dropping-particle":"","parse-names":false,"suffix":""},{"dropping-particle":"","family":"Lowary","given":"Todd L.","non-dropping-particle":"","parse-names":false,"suffix":""},{"dropping-particle":"","family":"Kawasaki","given":"Masanori","non-dropping-particle":"","parse-names":false,"suffix":""},{"dropping-particle":"","family":"Li","given":"Andra","non-dropping-particle":"","parse-names":false,"suffix":""},{"dropping-particle":"","family":"Mathew","given":"Anu","non-dropping-particle":"","parse-names":false,"suffix":""},{"dropping-particle":"","family":"Tsionsky","given":"Michael","non-dropping-particle":"","parse-names":false,"suffix":""},{"dropping-particle":"","family":"Zheng","given":"Ruixiang Blake","non-dropping-particle":"","parse-names":false,"suffix":""},{"dropping-particle":"","family":"Plisova","given":"Tatiana","non-dropping-particle":"","parse-names":false,"suffix":""},{"dropping-particle":"","family":"Shen","given":"Ke","non-dropping-particle":"","parse-names":false,"suffix":""},{"dropping-particle":"","family":"Katsuragi","given":"Kiyonori","non-dropping-particle":"","parse-names":false,"suffix":""},{"dropping-particle":"","family":"Choudhary","given":"Alok","non-dropping-particle":"","parse-names":false,"suffix":""},{"dropping-particle":"","family":"Honnen","given":"William J.","non-dropping-particle":"","parse-names":false,"suffix":""},{"dropping-particle":"","family":"Nahid","given":"Payam","non-dropping-particle":"","parse-names":false,"suffix":""},{"dropping-particle":"","family":"Denkinger","given":"Claudia M.","non-dropping-particle":"","parse-names":false,"suffix":""},{"dropping-particle":"","family":"Broger","given":"Tobias","non-dropping-particle":"","parse-names":false,"suffix":""}],"container-title":"Journal of Clinical Microbiology","id":"ITEM-1","issue":"12","issued":{"date-parts":[["2018"]]},"page":"1-17","title":"A novel sensitive immunoassay targeting the 5-methylthio-D- xylofuranose–lipoarabinomannan epitope meets the WHO’s performance target for tuberculosis diagnosis","type":"article-journal","volume":"56"},"uris":["http://www.mendeley.com/documents/?uuid=687f8bfe-5905-48bc-9c8d-155c78311c07"]},{"id":"ITEM-2","itemData":{"author":[{"dropping-particle":"","family":"Marian E. Parker","given":"","non-dropping-particle":"","parse-names":false,"suffix":""}],"container-title":"American Review of Tuberculosis","id":"ITEM-2","issue":"6","issued":{"date-parts":[["1931"]]},"page":"733-738","title":"Complement Fixation with Urine in Tuberculosis","type":"article-journal","volume":"23"},"uris":["http://www.mendeley.com/documents/?uuid=50c40269-a143-3059-afcb-8e18c5420ef0"]}],"mendeley":{"formattedCitation":"[7,8]","plainTextFormattedCitation":"[7,8]","previouslyFormattedCitation":"[6,7]"},"properties":{"noteIndex":0},"schema":"https://github.com/citation-style-language/schema/raw/master/csl-citation.json"}</w:instrText>
      </w:r>
      <w:r w:rsidRPr="003B7DD5">
        <w:rPr>
          <w:rFonts w:eastAsia="Calibri"/>
          <w:color w:val="auto"/>
        </w:rPr>
        <w:fldChar w:fldCharType="separate"/>
      </w:r>
      <w:r w:rsidRPr="003B7DD5">
        <w:rPr>
          <w:rFonts w:eastAsia="Calibri"/>
          <w:color w:val="auto"/>
        </w:rPr>
        <w:t>[7,8]</w:t>
      </w:r>
      <w:r w:rsidRPr="003B7DD5">
        <w:rPr>
          <w:rFonts w:eastAsia="Calibri"/>
          <w:color w:val="auto"/>
        </w:rPr>
        <w:fldChar w:fldCharType="end"/>
      </w:r>
      <w:r w:rsidRPr="003B7DD5">
        <w:rPr>
          <w:rFonts w:eastAsia="Calibri"/>
          <w:color w:val="auto"/>
        </w:rPr>
        <w:t xml:space="preserve">. Although current LAM assays have low sensitivity, performing better in individuals with HIV and advanced immunosuppression </w:t>
      </w:r>
      <w:r w:rsidRPr="003B7DD5">
        <w:rPr>
          <w:rFonts w:eastAsia="Calibri"/>
          <w:color w:val="auto"/>
        </w:rPr>
        <w:fldChar w:fldCharType="begin" w:fldLock="1"/>
      </w:r>
      <w:r w:rsidRPr="003B7DD5">
        <w:rPr>
          <w:rFonts w:eastAsia="Calibri"/>
          <w:color w:val="auto"/>
        </w:rPr>
        <w:instrText>ADDIN CSL_CITATION {"citationItems":[{"id":"ITEM-1","itemData":{"DOI":"CC BY-NC-SA 3.0 IGO","ISBN":"CC BY-NC-SA 3.0 IGO","author":[{"dropping-particle":"","family":"World Health Organization.","given":"","non-dropping-particle":"","parse-names":false,"suffix":""}],"container-title":"WHO","id":"ITEM-1","issued":{"date-parts":[["2019"]]},"publisher-place":"Geneva","title":"Lateral flow urine lipoarabinomannan assay (LF-LAM) for the diagnosis of active tuberculosis in people living with HIV.","type":"article-journal"},"uris":["http://www.mendeley.com/documents/?uuid=37f11349-6a85-43db-a5b7-acd9e042f1e2"]}],"mendeley":{"formattedCitation":"[9]","plainTextFormattedCitation":"[9]","previouslyFormattedCitation":"[8]"},"properties":{"noteIndex":0},"schema":"https://github.com/citation-style-language/schema/raw/master/csl-citation.json"}</w:instrText>
      </w:r>
      <w:r w:rsidRPr="003B7DD5">
        <w:rPr>
          <w:rFonts w:eastAsia="Calibri"/>
          <w:color w:val="auto"/>
        </w:rPr>
        <w:fldChar w:fldCharType="separate"/>
      </w:r>
      <w:r w:rsidRPr="003B7DD5">
        <w:rPr>
          <w:rFonts w:eastAsia="Calibri"/>
          <w:color w:val="auto"/>
        </w:rPr>
        <w:t>[9]</w:t>
      </w:r>
      <w:r w:rsidRPr="003B7DD5">
        <w:rPr>
          <w:rFonts w:eastAsia="Calibri"/>
          <w:color w:val="auto"/>
        </w:rPr>
        <w:fldChar w:fldCharType="end"/>
      </w:r>
      <w:r w:rsidRPr="003B7DD5">
        <w:rPr>
          <w:rFonts w:eastAsia="Calibri"/>
          <w:color w:val="auto"/>
        </w:rPr>
        <w:t xml:space="preserve">, a recent prototype, Fujifilm SILVAMP TB LAM (FujiLAM, Fujifilm, Tokyo, Japan), is reported to have higher sensitivity in both HIV-infected and uninfected individuals </w:t>
      </w:r>
      <w:r w:rsidRPr="003B7DD5">
        <w:rPr>
          <w:rFonts w:eastAsia="Calibri"/>
          <w:color w:val="auto"/>
        </w:rPr>
        <w:fldChar w:fldCharType="begin" w:fldLock="1"/>
      </w:r>
      <w:r w:rsidRPr="003B7DD5">
        <w:rPr>
          <w:rFonts w:eastAsia="Calibri"/>
          <w:color w:val="auto"/>
        </w:rPr>
        <w:instrText>ADDIN CSL_CITATION {"citationItems":[{"id":"ITEM-1","itemData":{"DOI":"10.1183/13993003.01259-2019","ISSN":"13993003","PMID":"31699835","abstract":"Diagnosing tuberculosis (TB) in people living with HIV (PLHIV) remains challenging in part, because of its diversity of clinical manifestations, including high rates of extra-pulmonary and disseminated disease [1]. In particular, disseminated TB, involving multiple organ systems, is associated with high mortality but often presents non-specifically, which may hinder prompt diagnosis [2, 3]. Xpert MTB/RIF (Xpert, Cepheid, Sunnyvale, US), is currently recommended by the World Health Organization (WHO) as the first line assay for evaluating a subset of extra-pulmonary TB disease (EPTB) manifestations [4]. To detect specific forms of EPTB such as pleural TB, TB meningitis or TB lymphadenitis, Xpert may require an invasive sample to be collected, which often limits its use for EPTB detection to hospitals where appropriate equipment is available and invasive sampling can be safely performed. Furthermore, even when concomitant pulmonary disease is present, it can be very difficult to obtain sputum in the sickest HIV patients to submit for Xpert testing [5, 6]. Therefore, an urgent priority for improving TB detection among PLHIV remains the development of rapid, point-of-care (POC) assays that use an easily obtainable clinical specimen, such as urine, and that have good diagnostic accuracy for both pulmonary and extra-pulmonary TB (EPTB), including disseminated disease [7].FootnotesThis manuscript has recently been accepted for publication in the European Respiratory Journal. It is published here in its accepted form prior to copyediting and typesetting by our production team. After these production processes are complete and the authors have approved the resulting proofs, the article will move to the latest issue of the ERJ online. Please open or download the PDF to view this article.Conflict of interest: D. KerkhoffConflict of interest: Bianca SossenConflict of interest: Charlotte SchutzConflict of interest: Dr. Reipold has nothing to disclose.Conflict of interest: Andre TrollipConflict of interest: Emmanuel MoreauConflict of interest: G. SchumacherConflict of interest: Rosie BurtonConflict of interest: Amy WardConflict of interest: P. NicolConflict of interest: Graeme MeintjesConflict of interest: Dr. Denkinger reports and CMD is a former employee of FIND. FIND is a non-for-profit foundation, whose mission is to find diagnostic solutions to overcome diseases of poverty in LMICs. It works closely with the private and public sectors and receives funding from s…","author":[{"dropping-particle":"","family":"Kerkhoff","given":"Andrew D.","non-dropping-particle":"","parse-names":false,"suffix":""},{"dropping-particle":"","family":"Sossen","given":"Bianca","non-dropping-particle":"","parse-names":false,"suffix":""},{"dropping-particle":"","family":"Schutz","given":"Charlotte","non-dropping-particle":"","parse-names":false,"suffix":""},{"dropping-particle":"","family":"Reipold","given":"Elena Ivanova","non-dropping-particle":"","parse-names":false,"suffix":""},{"dropping-particle":"","family":"Trollip","given":"Andre","non-dropping-particle":"","parse-names":false,"suffix":""},{"dropping-particle":"","family":"Moreau","given":"Emmanuel","non-dropping-particle":"","parse-names":false,"suffix":""},{"dropping-particle":"","family":"Schumacher","given":"Samuel G.","non-dropping-particle":"","parse-names":false,"suffix":""},{"dropping-particle":"","family":"Burton","given":"Rosie","non-dropping-particle":"","parse-names":false,"suffix":""},{"dropping-particle":"","family":"Ward","given":"Amy","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M.","non-dropping-particle":"","parse-names":false,"suffix":""},{"dropping-particle":"","family":"Broger","given":"Tobias","non-dropping-particle":"","parse-names":false,"suffix":""}],"container-title":"European Respiratory Journal","id":"ITEM-1","issue":"2","issued":{"date-parts":[["2020"]]},"page":"1901259","title":"Diagnostic sensitivity of SILVAMP TB-LAM (FujiLAM) point-of-care urine assay for extra-pulmonary tuberculosis in people living with HIV","type":"article-journal","volume":"55"},"uris":["http://www.mendeley.com/documents/?uuid=a0bf053e-4c0c-3c8a-8b30-e4b70de4072f"]},{"id":"ITEM-2","itemData":{"DOI":"10.1016/S1473-3099(19)30001-5","ISSN":"14744457","PMID":"31155318","abstract":"Background: Most tuberculosis-related deaths in people with HIV could be prevented with earlier diagnosis and treatment. The only commercially available tuberculosis point-of-care test (Alere Determine TB LAM Ag [AlereLAM]) has suboptimal sensitivity, which restricts its use in clinical practice. The novel Fujifilm SILVAMP TB LAM (FujiLAM) assay has been developed to improve the sensitivity of AlereLAM. We assessed the diagnostic accuracy of the FujiLAM assay for the detection of tuberculosis in hospital inpatients with HIV compared with the AlereLAM assay. Methods: For this diagnostic accuracy study, we assessed biobanked urine samples obtained from the FIND Specimen Bank and the University of Cape Town Biobank, which had been collected from hospital inpatients (aged ≥18 years) with HIV during three independent prospective cohort studies done at two South African hospitals. Urine samples were tested using FujiLAM and AlereLAM assays. The conduct and reporting of each test was done blind to other test results. The primary objective was to assess the diagnostic accuracy of FujiLAM compared with AlereLAM, against microbiological and composite reference standards (including clinical diagnoses). Findings: Between April 18, 2018, and May 3, 2018, urine samples from 968 hospital inpatients with HIV were evaluated. The prevalence of microbiologically-confirmed tuberculosis was 62% and the median CD4 count was 86 cells per μL. Using the microbiological reference standard, the estimated sensitivity of FujiLAM was 70·4% (95% CI 53·0 to 83·1) compared with 42·3% (31·7 to 51·8) for AlereLAM (difference 28·1%) and the estimated specificity of FujiLAM was 90·8% (86·0 to 94·4) and 95·0% (87·7–98·8) for AlereLAM (difference −4·2%). Against the composite reference standard, the specificity of both assays was higher (95·7% [92·0 to 98·0] for FujiLAM vs 98·2% [95·7 to 99·6] for AlereLAM; difference −2·5%), but the sensitivity of both assays was lower (64·9% [50·1 to 76·7] for FujiLAM vs 38·2% [28·1 to 47·3] for AlereLAM; difference 26·7%). Interpretation: In comparison to AlereLAM, FujiLAM offers superior diagnostic sensitivity, while maintaining specificity, and could transform rapid point-of-care tuberculosis diagnosis for hospital inpatients with HIV. The applicability of FujiLAM for settings of intended use requires prospective assessment. Funding: Global Health Innovative Technology Fund, UK Department for International Development, Dutch Ministry of Foreign Affairs,…","author":[{"dropping-particle":"","family":"Broger","given":"Tobias","non-dropping-particle":"","parse-names":false,"suffix":""},{"dropping-particle":"","family":"Sossen","given":"Bianca","non-dropping-particle":"","parse-names":false,"suffix":""},{"dropping-particle":"","family":"Toit","given":"Elloise","non-dropping-particle":"du","parse-names":false,"suffix":""},{"dropping-particle":"","family":"Kerkhoff","given":"Andrew D.","non-dropping-particle":"","parse-names":false,"suffix":""},{"dropping-particle":"","family":"Schutz","given":"Charlotte","non-dropping-particle":"","parse-names":false,"suffix":""},{"dropping-particle":"","family":"Ivanova Reipold","given":"Elena","non-dropping-particle":"","parse-names":false,"suffix":""},{"dropping-particle":"","family":"Ward","given":"Amy","non-dropping-particle":"","parse-names":false,"suffix":""},{"dropping-particle":"","family":"Barr","given":"David A.","non-dropping-particle":"","parse-names":false,"suffix":""},{"dropping-particle":"","family":"Macé","given":"Aurélien","non-dropping-particle":"","parse-names":false,"suffix":""},{"dropping-particle":"","family":"Trollip","given":"Andre","non-dropping-particle":"","parse-names":false,"suffix":""},{"dropping-particle":"","family":"Burton","given":"Rosie","non-dropping-particle":"","parse-names":false,"suffix":""},{"dropping-particle":"","family":"Ongarello","given":"Stefano","non-dropping-particle":"","parse-names":false,"suffix":""},{"dropping-particle":"","family":"Pinter","given":"Abraham","non-dropping-particle":"","parse-names":false,"suffix":""},{"dropping-particle":"","family":"Lowary","given":"Todd L.","non-dropping-particle":"","parse-names":false,"suffix":""},{"dropping-particle":"","family":"Boehme","given":"Catharina","non-dropping-particle":"","parse-names":false,"suffix":""},{"dropping-particle":"","family":"Nicol","given":"Mark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M.","non-dropping-particle":"","parse-names":false,"suffix":""}],"container-title":"The Lancet Infectious Diseases","id":"ITEM-2","issue":"8","issued":{"date-parts":[["2019","8","1"]]},"page":"852-861","publisher":"Lancet Publishing Group","title":"Novel lipoarabinomannan point-of-care tuberculosis test for people with HIV: a diagnostic accuracy study","type":"article-journal","volume":"19"},"uris":["http://www.mendeley.com/documents/?uuid=3433ae6d-f391-4614-a5d1-8d5fcb7c16cb"]}],"mendeley":{"formattedCitation":"[10,11]","plainTextFormattedCitation":"[10,11]","previouslyFormattedCitation":"[9,10]"},"properties":{"noteIndex":0},"schema":"https://github.com/citation-style-language/schema/raw/master/csl-citation.json"}</w:instrText>
      </w:r>
      <w:r w:rsidRPr="003B7DD5">
        <w:rPr>
          <w:rFonts w:eastAsia="Calibri"/>
          <w:color w:val="auto"/>
        </w:rPr>
        <w:fldChar w:fldCharType="separate"/>
      </w:r>
      <w:r w:rsidRPr="003B7DD5">
        <w:rPr>
          <w:rFonts w:eastAsia="Calibri"/>
          <w:color w:val="auto"/>
        </w:rPr>
        <w:t>[10,11]</w:t>
      </w:r>
      <w:r w:rsidRPr="003B7DD5">
        <w:rPr>
          <w:rFonts w:eastAsia="Calibri"/>
          <w:color w:val="auto"/>
        </w:rPr>
        <w:fldChar w:fldCharType="end"/>
      </w:r>
      <w:r w:rsidRPr="003B7DD5">
        <w:rPr>
          <w:rFonts w:eastAsia="Calibri"/>
          <w:color w:val="auto"/>
        </w:rPr>
        <w:t xml:space="preserve"> thanks to the use of high affinity monoclonal antibodies against Mycobacterium tuberculosis-specific LAM epitopes and a silver-amplification step that increases the visibility of the test lines </w:t>
      </w:r>
      <w:r w:rsidRPr="003B7DD5">
        <w:rPr>
          <w:rFonts w:eastAsia="Calibri"/>
          <w:color w:val="auto"/>
        </w:rPr>
        <w:fldChar w:fldCharType="begin" w:fldLock="1"/>
      </w:r>
      <w:r w:rsidRPr="003B7DD5">
        <w:rPr>
          <w:rFonts w:eastAsia="Calibri"/>
          <w:color w:val="auto"/>
        </w:rPr>
        <w:instrText>ADDIN CSL_CITATION {"citationItems":[{"id":"ITEM-1","itemData":{"DOI":"10.1016/S1473-3099(19)30001-5","ISSN":"14744457","PMID":"31155318","abstract":"Background: Most tuberculosis-related deaths in people with HIV could be prevented with earlier diagnosis and treatment. The only commercially available tuberculosis point-of-care test (Alere Determine TB LAM Ag [AlereLAM]) has suboptimal sensitivity, which restricts its use in clinical practice. The novel Fujifilm SILVAMP TB LAM (FujiLAM) assay has been developed to improve the sensitivity of AlereLAM. We assessed the diagnostic accuracy of the FujiLAM assay for the detection of tuberculosis in hospital inpatients with HIV compared with the AlereLAM assay. Methods: For this diagnostic accuracy study, we assessed biobanked urine samples obtained from the FIND Specimen Bank and the University of Cape Town Biobank, which had been collected from hospital inpatients (aged ≥18 years) with HIV during three independent prospective cohort studies done at two South African hospitals. Urine samples were tested using FujiLAM and AlereLAM assays. The conduct and reporting of each test was done blind to other test results. The primary objective was to assess the diagnostic accuracy of FujiLAM compared with AlereLAM, against microbiological and composite reference standards (including clinical diagnoses). Findings: Between April 18, 2018, and May 3, 2018, urine samples from 968 hospital inpatients with HIV were evaluated. The prevalence of microbiologically-confirmed tuberculosis was 62% and the median CD4 count was 86 cells per μL. Using the microbiological reference standard, the estimated sensitivity of FujiLAM was 70·4% (95% CI 53·0 to 83·1) compared with 42·3% (31·7 to 51·8) for AlereLAM (difference 28·1%) and the estimated specificity of FujiLAM was 90·8% (86·0 to 94·4) and 95·0% (87·7–98·8) for AlereLAM (difference −4·2%). Against the composite reference standard, the specificity of both assays was higher (95·7% [92·0 to 98·0] for FujiLAM vs 98·2% [95·7 to 99·6] for AlereLAM; difference −2·5%), but the sensitivity of both assays was lower (64·9% [50·1 to 76·7] for FujiLAM vs 38·2% [28·1 to 47·3] for AlereLAM; difference 26·7%). Interpretation: In comparison to AlereLAM, FujiLAM offers superior diagnostic sensitivity, while maintaining specificity, and could transform rapid point-of-care tuberculosis diagnosis for hospital inpatients with HIV. The applicability of FujiLAM for settings of intended use requires prospective assessment. Funding: Global Health Innovative Technology Fund, UK Department for International Development, Dutch Ministry of Foreign Affairs,…","author":[{"dropping-particle":"","family":"Broger","given":"Tobias","non-dropping-particle":"","parse-names":false,"suffix":""},{"dropping-particle":"","family":"Sossen","given":"Bianca","non-dropping-particle":"","parse-names":false,"suffix":""},{"dropping-particle":"","family":"Toit","given":"Elloise","non-dropping-particle":"du","parse-names":false,"suffix":""},{"dropping-particle":"","family":"Kerkhoff","given":"Andrew D.","non-dropping-particle":"","parse-names":false,"suffix":""},{"dropping-particle":"","family":"Schutz","given":"Charlotte","non-dropping-particle":"","parse-names":false,"suffix":""},{"dropping-particle":"","family":"Ivanova Reipold","given":"Elena","non-dropping-particle":"","parse-names":false,"suffix":""},{"dropping-particle":"","family":"Ward","given":"Amy","non-dropping-particle":"","parse-names":false,"suffix":""},{"dropping-particle":"","family":"Barr","given":"David A.","non-dropping-particle":"","parse-names":false,"suffix":""},{"dropping-particle":"","family":"Macé","given":"Aurélien","non-dropping-particle":"","parse-names":false,"suffix":""},{"dropping-particle":"","family":"Trollip","given":"Andre","non-dropping-particle":"","parse-names":false,"suffix":""},{"dropping-particle":"","family":"Burton","given":"Rosie","non-dropping-particle":"","parse-names":false,"suffix":""},{"dropping-particle":"","family":"Ongarello","given":"Stefano","non-dropping-particle":"","parse-names":false,"suffix":""},{"dropping-particle":"","family":"Pinter","given":"Abraham","non-dropping-particle":"","parse-names":false,"suffix":""},{"dropping-particle":"","family":"Lowary","given":"Todd L.","non-dropping-particle":"","parse-names":false,"suffix":""},{"dropping-particle":"","family":"Boehme","given":"Catharina","non-dropping-particle":"","parse-names":false,"suffix":""},{"dropping-particle":"","family":"Nicol","given":"Mark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M.","non-dropping-particle":"","parse-names":false,"suffix":""}],"container-title":"The Lancet Infectious Diseases","id":"ITEM-1","issue":"8","issued":{"date-parts":[["2019","8","1"]]},"page":"852-861","publisher":"Lancet Publishing Group","title":"Novel lipoarabinomannan point-of-care tuberculosis test for people with HIV: a diagnostic accuracy study","type":"article-journal","volume":"19"},"uris":["http://www.mendeley.com/documents/?uuid=3433ae6d-f391-4614-a5d1-8d5fcb7c16cb"]}],"mendeley":{"formattedCitation":"[11]","plainTextFormattedCitation":"[11]","previouslyFormattedCitation":"[10]"},"properties":{"noteIndex":0},"schema":"https://github.com/citation-style-language/schema/raw/master/csl-citation.json"}</w:instrText>
      </w:r>
      <w:r w:rsidRPr="003B7DD5">
        <w:rPr>
          <w:rFonts w:eastAsia="Calibri"/>
          <w:color w:val="auto"/>
        </w:rPr>
        <w:fldChar w:fldCharType="separate"/>
      </w:r>
      <w:r w:rsidRPr="003B7DD5">
        <w:rPr>
          <w:rFonts w:eastAsia="Calibri"/>
          <w:color w:val="auto"/>
        </w:rPr>
        <w:t>[11]</w:t>
      </w:r>
      <w:r w:rsidRPr="003B7DD5">
        <w:rPr>
          <w:rFonts w:eastAsia="Calibri"/>
          <w:color w:val="auto"/>
        </w:rPr>
        <w:fldChar w:fldCharType="end"/>
      </w:r>
      <w:r w:rsidRPr="003B7DD5">
        <w:rPr>
          <w:rFonts w:eastAsia="Calibri"/>
          <w:color w:val="auto"/>
        </w:rPr>
        <w:t>.</w:t>
      </w:r>
    </w:p>
    <w:p w14:paraId="4720BAB8" w14:textId="77777777" w:rsidR="00FE6943" w:rsidRPr="003B7DD5" w:rsidRDefault="001A6175" w:rsidP="003B7DD5">
      <w:pPr>
        <w:pStyle w:val="MDPI31text"/>
        <w:ind w:left="0"/>
        <w:rPr>
          <w:color w:val="auto"/>
        </w:rPr>
      </w:pPr>
      <w:r w:rsidRPr="003B7DD5">
        <w:rPr>
          <w:rFonts w:eastAsia="Calibri"/>
          <w:color w:val="auto"/>
        </w:rPr>
        <w:t>We report here a cross sectional study to assess the diagnostic performance of FujiLAM in consecutive adults with presumptive TB attending ambulatory clinics in Nigeria.</w:t>
      </w:r>
    </w:p>
    <w:p w14:paraId="4DA81084" w14:textId="77777777" w:rsidR="00FE6943" w:rsidRPr="003B7DD5" w:rsidRDefault="00FE6943" w:rsidP="003B7DD5">
      <w:pPr>
        <w:pStyle w:val="MDPI21heading1"/>
        <w:ind w:left="0"/>
        <w:rPr>
          <w:color w:val="auto"/>
        </w:rPr>
      </w:pPr>
      <w:r w:rsidRPr="003B7DD5">
        <w:rPr>
          <w:color w:val="auto"/>
          <w:lang w:eastAsia="zh-CN"/>
        </w:rPr>
        <w:t xml:space="preserve">2. </w:t>
      </w:r>
      <w:r w:rsidRPr="003B7DD5">
        <w:rPr>
          <w:color w:val="auto"/>
        </w:rPr>
        <w:t>Materials and Methods</w:t>
      </w:r>
    </w:p>
    <w:p w14:paraId="438E7277" w14:textId="77777777" w:rsidR="001A6175" w:rsidRPr="003B7DD5" w:rsidRDefault="001A6175" w:rsidP="003B7DD5">
      <w:pPr>
        <w:pStyle w:val="MDPI31text"/>
        <w:ind w:left="0"/>
        <w:rPr>
          <w:color w:val="auto"/>
        </w:rPr>
      </w:pPr>
      <w:r w:rsidRPr="003B7DD5">
        <w:rPr>
          <w:color w:val="auto"/>
        </w:rPr>
        <w:lastRenderedPageBreak/>
        <w:t xml:space="preserve">This was a retrospective study of adults with signs and symptoms suggestive of TB attending TB diagnostic clinics at district hospitals of Abuja, Nigeria. Adults above 18 years old with presumptive TB </w:t>
      </w:r>
      <w:r w:rsidRPr="003B7DD5">
        <w:rPr>
          <w:color w:val="auto"/>
        </w:rPr>
        <w:fldChar w:fldCharType="begin" w:fldLock="1"/>
      </w:r>
      <w:r w:rsidRPr="003B7DD5">
        <w:rPr>
          <w:color w:val="auto"/>
        </w:rPr>
        <w:instrText>ADDIN CSL_CITATION {"citationItems":[{"id":"ITEM-1","itemData":{"DOI":"10.2807/ese.18.16.20455-en","ISBN":"9789241505345","ISSN":"15607917","PMID":"23611033","abstract":"World Health Organization. Definitions and reporting framework for tuberculosis—2013 revision. Geneva, Switzerland: World Health Organization; 2013 [accessed 2014 Jul 16]. Available from: http://apps.who.int/iris/bitstream/10665/79199/1/9789241505345_eng.pdf?ua=1","author":[{"dropping-particle":"","family":"World Health Organization.","given":"","non-dropping-particle":"","parse-names":false,"suffix":""}],"container-title":"WHO","id":"ITEM-1","issue":"16","issued":{"date-parts":[["2013"]]},"page":"1-47","title":"Who revised definitions and reporting framework for tuberculosis","type":"article-journal","volume":"18"},"uris":["http://www.mendeley.com/documents/?uuid=a4465e00-0944-4a39-b208-e4ff7633afc6"]}],"mendeley":{"formattedCitation":"[12]","plainTextFormattedCitation":"[12]","previouslyFormattedCitation":"[11]"},"properties":{"noteIndex":0},"schema":"https://github.com/citation-style-language/schema/raw/master/csl-citation.json"}</w:instrText>
      </w:r>
      <w:r w:rsidRPr="003B7DD5">
        <w:rPr>
          <w:color w:val="auto"/>
        </w:rPr>
        <w:fldChar w:fldCharType="separate"/>
      </w:r>
      <w:r w:rsidRPr="003B7DD5">
        <w:rPr>
          <w:noProof/>
          <w:color w:val="auto"/>
        </w:rPr>
        <w:t>[12]</w:t>
      </w:r>
      <w:r w:rsidRPr="003B7DD5">
        <w:rPr>
          <w:color w:val="auto"/>
        </w:rPr>
        <w:fldChar w:fldCharType="end"/>
      </w:r>
      <w:r w:rsidRPr="003B7DD5">
        <w:rPr>
          <w:color w:val="auto"/>
        </w:rPr>
        <w:t xml:space="preserve"> were enrolled consecutively at the time of submitting samples for diagnosis, regardless of their HIV status. Adults who had formerly been diagnosed as having TB or who had received TB treatment in the previous year were excluded. </w:t>
      </w:r>
    </w:p>
    <w:p w14:paraId="4ACA2941" w14:textId="376B8911" w:rsidR="001A6175" w:rsidRPr="003B7DD5" w:rsidRDefault="21E03032" w:rsidP="003B7DD5">
      <w:pPr>
        <w:pStyle w:val="MDPI31text"/>
        <w:ind w:left="0"/>
        <w:rPr>
          <w:color w:val="auto"/>
        </w:rPr>
      </w:pPr>
      <w:r w:rsidRPr="003B7DD5">
        <w:rPr>
          <w:color w:val="auto"/>
        </w:rPr>
        <w:t xml:space="preserve">After obtaining written informed consent, participants were interviewed to obtain clinical and demographic information. Patients were asked to provide sputum, blood samples and one midstream urine sample on-site for routine and study assays. All samples, except urine were processed locally and were used for patient management. Sputum samples were tested with Xpert MTB/RIF (Cepheid, Sunnyvale, CA), and cultured in solid media in duplicate using </w:t>
      </w:r>
      <w:proofErr w:type="spellStart"/>
      <w:r w:rsidRPr="003B7DD5">
        <w:rPr>
          <w:color w:val="auto"/>
        </w:rPr>
        <w:t>Löwenstein</w:t>
      </w:r>
      <w:proofErr w:type="spellEnd"/>
      <w:r w:rsidRPr="003B7DD5">
        <w:rPr>
          <w:color w:val="auto"/>
        </w:rPr>
        <w:t xml:space="preserve">–Jensen medium. Urine samples were collected in sterile plastic containers and kept in cold boxes until processing for storage the same day. Samples were aliquoted (2 ml) into cryovials and transported frozen to the </w:t>
      </w:r>
      <w:proofErr w:type="spellStart"/>
      <w:r w:rsidRPr="003B7DD5">
        <w:rPr>
          <w:color w:val="auto"/>
        </w:rPr>
        <w:t>Institut</w:t>
      </w:r>
      <w:proofErr w:type="spellEnd"/>
      <w:r w:rsidRPr="003B7DD5">
        <w:rPr>
          <w:color w:val="auto"/>
        </w:rPr>
        <w:t xml:space="preserve"> </w:t>
      </w:r>
      <w:proofErr w:type="spellStart"/>
      <w:r w:rsidRPr="003B7DD5">
        <w:rPr>
          <w:color w:val="auto"/>
        </w:rPr>
        <w:t>d’Investigació</w:t>
      </w:r>
      <w:proofErr w:type="spellEnd"/>
      <w:r w:rsidRPr="003B7DD5">
        <w:rPr>
          <w:color w:val="auto"/>
        </w:rPr>
        <w:t xml:space="preserve"> Germans </w:t>
      </w:r>
      <w:proofErr w:type="spellStart"/>
      <w:r w:rsidRPr="003B7DD5">
        <w:rPr>
          <w:color w:val="auto"/>
        </w:rPr>
        <w:t>Trias</w:t>
      </w:r>
      <w:proofErr w:type="spellEnd"/>
      <w:r w:rsidRPr="003B7DD5">
        <w:rPr>
          <w:color w:val="auto"/>
        </w:rPr>
        <w:t xml:space="preserve"> </w:t>
      </w:r>
      <w:proofErr w:type="spellStart"/>
      <w:r w:rsidRPr="003B7DD5">
        <w:rPr>
          <w:color w:val="auto"/>
        </w:rPr>
        <w:t>i</w:t>
      </w:r>
      <w:proofErr w:type="spellEnd"/>
      <w:r w:rsidRPr="003B7DD5">
        <w:rPr>
          <w:color w:val="auto"/>
        </w:rPr>
        <w:t xml:space="preserve"> Pujol (Badalona, Spain) for LAM testing. One aliquot per participant was thawed at room temperature the day of testing, mixed with a vortex and tested using FujiLAM following the manufacturers' instructions </w:t>
      </w:r>
      <w:r w:rsidR="001A6175" w:rsidRPr="003B7DD5">
        <w:rPr>
          <w:color w:val="auto"/>
          <w:vertAlign w:val="superscript"/>
        </w:rPr>
        <w:fldChar w:fldCharType="begin" w:fldLock="1"/>
      </w:r>
      <w:r w:rsidR="001A6175" w:rsidRPr="003B7DD5">
        <w:rPr>
          <w:color w:val="auto"/>
          <w:vertAlign w:val="superscript"/>
        </w:rPr>
        <w:instrText>ADDIN CSL_CITATION {"citationItems":[{"id":"ITEM-1","itemData":{"DOI":"10.1016/S1473-3099(19)30001-5","ISSN":"14744457","PMID":"31155318","abstract":"Background: Most tuberculosis-related deaths in people with HIV could be prevented with earlier diagnosis and treatment. The only commercially available tuberculosis point-of-care test (Alere Determine TB LAM Ag [AlereLAM]) has suboptimal sensitivity, which restricts its use in clinical practice. The novel Fujifilm SILVAMP TB LAM (FujiLAM) assay has been developed to improve the sensitivity of AlereLAM. We assessed the diagnostic accuracy of the FujiLAM assay for the detection of tuberculosis in hospital inpatients with HIV compared with the AlereLAM assay. Methods: For this diagnostic accuracy study, we assessed biobanked urine samples obtained from the FIND Specimen Bank and the University of Cape Town Biobank, which had been collected from hospital inpatients (aged ≥18 years) with HIV during three independent prospective cohort studies done at two South African hospitals. Urine samples were tested using FujiLAM and AlereLAM assays. The conduct and reporting of each test was done blind to other test results. The primary objective was to assess the diagnostic accuracy of FujiLAM compared with AlereLAM, against microbiological and composite reference standards (including clinical diagnoses). Findings: Between April 18, 2018, and May 3, 2018, urine samples from 968 hospital inpatients with HIV were evaluated. The prevalence of microbiologically-confirmed tuberculosis was 62% and the median CD4 count was 86 cells per μL. Using the microbiological reference standard, the estimated sensitivity of FujiLAM was 70·4% (95% CI 53·0 to 83·1) compared with 42·3% (31·7 to 51·8) for AlereLAM (difference 28·1%) and the estimated specificity of FujiLAM was 90·8% (86·0 to 94·4) and 95·0% (87·7–98·8) for AlereLAM (difference −4·2%). Against the composite reference standard, the specificity of both assays was higher (95·7% [92·0 to 98·0] for FujiLAM vs 98·2% [95·7 to 99·6] for AlereLAM; difference −2·5%), but the sensitivity of both assays was lower (64·9% [50·1 to 76·7] for FujiLAM vs 38·2% [28·1 to 47·3] for AlereLAM; difference 26·7%). Interpretation: In comparison to AlereLAM, FujiLAM offers superior diagnostic sensitivity, while maintaining specificity, and could transform rapid point-of-care tuberculosis diagnosis for hospital inpatients with HIV. The applicability of FujiLAM for settings of intended use requires prospective assessment. Funding: Global Health Innovative Technology Fund, UK Department for International Development, Dutch Ministry of Foreign Affairs,…","author":[{"dropping-particle":"","family":"Broger","given":"Tobias","non-dropping-particle":"","parse-names":false,"suffix":""},{"dropping-particle":"","family":"Sossen","given":"Bianca","non-dropping-particle":"","parse-names":false,"suffix":""},{"dropping-particle":"","family":"Toit","given":"Elloise","non-dropping-particle":"du","parse-names":false,"suffix":""},{"dropping-particle":"","family":"Kerkhoff","given":"Andrew D.","non-dropping-particle":"","parse-names":false,"suffix":""},{"dropping-particle":"","family":"Schutz","given":"Charlotte","non-dropping-particle":"","parse-names":false,"suffix":""},{"dropping-particle":"","family":"Ivanova Reipold","given":"Elena","non-dropping-particle":"","parse-names":false,"suffix":""},{"dropping-particle":"","family":"Ward","given":"Amy","non-dropping-particle":"","parse-names":false,"suffix":""},{"dropping-particle":"","family":"Barr","given":"David A.","non-dropping-particle":"","parse-names":false,"suffix":""},{"dropping-particle":"","family":"Macé","given":"Aurélien","non-dropping-particle":"","parse-names":false,"suffix":""},{"dropping-particle":"","family":"Trollip","given":"Andre","non-dropping-particle":"","parse-names":false,"suffix":""},{"dropping-particle":"","family":"Burton","given":"Rosie","non-dropping-particle":"","parse-names":false,"suffix":""},{"dropping-particle":"","family":"Ongarello","given":"Stefano","non-dropping-particle":"","parse-names":false,"suffix":""},{"dropping-particle":"","family":"Pinter","given":"Abraham","non-dropping-particle":"","parse-names":false,"suffix":""},{"dropping-particle":"","family":"Lowary","given":"Todd L.","non-dropping-particle":"","parse-names":false,"suffix":""},{"dropping-particle":"","family":"Boehme","given":"Catharina","non-dropping-particle":"","parse-names":false,"suffix":""},{"dropping-particle":"","family":"Nicol","given":"Mark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M.","non-dropping-particle":"","parse-names":false,"suffix":""}],"container-title":"The Lancet Infectious Diseases","id":"ITEM-1","issue":"8","issued":{"date-parts":[["2019","8","1"]]},"page":"852-861","publisher":"Lancet Publishing Group","title":"Novel lipoarabinomannan point-of-care tuberculosis test for people with HIV: a diagnostic accuracy study","type":"article-journal","volume":"19"},"uris":["http://www.mendeley.com/documents/?uuid=3433ae6d-f391-4614-a5d1-8d5fcb7c16cb"]}],"mendeley":{"formattedCitation":"[11]","plainTextFormattedCitation":"[11]","previouslyFormattedCitation":"[10]"},"properties":{"noteIndex":0},"schema":"https://github.com/citation-style-language/schema/raw/master/csl-citation.json"}</w:instrText>
      </w:r>
      <w:r w:rsidR="001A6175" w:rsidRPr="003B7DD5">
        <w:rPr>
          <w:color w:val="auto"/>
          <w:vertAlign w:val="superscript"/>
        </w:rPr>
        <w:fldChar w:fldCharType="separate"/>
      </w:r>
      <w:r w:rsidRPr="003B7DD5">
        <w:rPr>
          <w:noProof/>
          <w:color w:val="auto"/>
        </w:rPr>
        <w:t>[11]</w:t>
      </w:r>
      <w:r w:rsidR="001A6175" w:rsidRPr="003B7DD5">
        <w:rPr>
          <w:color w:val="auto"/>
        </w:rPr>
        <w:fldChar w:fldCharType="end"/>
      </w:r>
      <w:r w:rsidRPr="003B7DD5">
        <w:rPr>
          <w:color w:val="auto"/>
        </w:rPr>
        <w:t>. Briefly, the reagent tube was filled with urine up to the indicator line, mixed without inverting, and incubated for 40 minutes at ambient temperature. During this incubation, the gold (Au)-conjugated primary antibody will capture the 5-methylthio-D-xylofuranose-lipoarabinomannan antigen present in the patient's urine. The tube was then mixed and two drops of the contents of the tube were added to the sample well of the test cartridge. Immediately we pressed the button '2' on the cartridge and waited 10 minutes until the orange mark appeared on the cartridge readout indicating '</w:t>
      </w:r>
      <w:r w:rsidRPr="003B7DD5">
        <w:rPr>
          <w:i/>
          <w:iCs/>
          <w:color w:val="auto"/>
        </w:rPr>
        <w:t>go to next step</w:t>
      </w:r>
      <w:r w:rsidRPr="003B7DD5">
        <w:rPr>
          <w:color w:val="auto"/>
        </w:rPr>
        <w:t xml:space="preserve">'. During this incubation, the sandwich immunocomplex will form by binding to the immobilized secondary antibody. At the signal to proceed to the next step, the button "3" was pressed, releasing silver particles (10 um in diameter) which cluster around the gold particles and amplify the intensity of the cartridge reader band. The test results can be read approximately 1 minute </w:t>
      </w:r>
      <w:proofErr w:type="gramStart"/>
      <w:r w:rsidRPr="003B7DD5">
        <w:rPr>
          <w:color w:val="auto"/>
        </w:rPr>
        <w:t>later on</w:t>
      </w:r>
      <w:proofErr w:type="gramEnd"/>
      <w:r w:rsidRPr="003B7DD5">
        <w:rPr>
          <w:color w:val="auto"/>
        </w:rPr>
        <w:t xml:space="preserve"> the test cartridge reader. The test was considered positive if the control and test lines were visible (even if the line was faint) and negative if only the control line appeared. Tests without a control line were considered invalid and were repeated once (See Figure 1). A video describing the test procedures is available at </w:t>
      </w:r>
      <w:hyperlink r:id="rId7" w:history="1">
        <w:r w:rsidRPr="003B7DD5">
          <w:rPr>
            <w:rStyle w:val="Hyperlink"/>
            <w:rFonts w:ascii="Cambria" w:eastAsia="Cambria" w:hAnsi="Cambria" w:cs="Cambria"/>
            <w:color w:val="auto"/>
            <w:sz w:val="22"/>
          </w:rPr>
          <w:t>https://www.youtube.com/watch?v=aK-QtzkLBug</w:t>
        </w:r>
      </w:hyperlink>
      <w:r w:rsidRPr="003B7DD5">
        <w:rPr>
          <w:rStyle w:val="Hyperlink"/>
          <w:rFonts w:ascii="Cambria" w:eastAsia="Cambria" w:hAnsi="Cambria" w:cs="Cambria"/>
          <w:color w:val="auto"/>
          <w:sz w:val="22"/>
        </w:rPr>
        <w:t>.</w:t>
      </w:r>
      <w:r w:rsidRPr="003B7DD5">
        <w:rPr>
          <w:color w:val="auto"/>
        </w:rPr>
        <w:t xml:space="preserve"> The test lines were read by two investigators blinded to the patients’ condition and all other test results. In the case of disagreement with the result, the test was repeated once.</w:t>
      </w:r>
    </w:p>
    <w:p w14:paraId="489D7D47" w14:textId="77777777" w:rsidR="001A6175" w:rsidRPr="003B7DD5" w:rsidRDefault="001A6175" w:rsidP="003B7DD5">
      <w:pPr>
        <w:pStyle w:val="MDPI31text"/>
        <w:ind w:left="0"/>
        <w:rPr>
          <w:color w:val="auto"/>
        </w:rPr>
      </w:pPr>
      <w:r w:rsidRPr="003B7DD5">
        <w:rPr>
          <w:color w:val="auto"/>
        </w:rPr>
        <w:t>HIV status was assessed using two rapid antigen tests and viral loads of patients with HIV were assessed in plasma using the Xpert HIV-1 viral load (VL) assay (Cepheid, Sunnyvale, CA) according to the manufacturer’s instructions. The VL results were interpreted as detected, detected &lt;40 copies/ml, detected &gt;10</w:t>
      </w:r>
      <w:r w:rsidRPr="003B7DD5">
        <w:rPr>
          <w:color w:val="auto"/>
          <w:vertAlign w:val="superscript"/>
        </w:rPr>
        <w:t>7</w:t>
      </w:r>
      <w:r w:rsidRPr="003B7DD5">
        <w:rPr>
          <w:color w:val="auto"/>
        </w:rPr>
        <w:t xml:space="preserve"> copies/ml, undetected, and undetermined. The range of detection of the Xpert HIV-1 VL test is 40 to 10</w:t>
      </w:r>
      <w:r w:rsidRPr="003B7DD5">
        <w:rPr>
          <w:color w:val="auto"/>
          <w:vertAlign w:val="superscript"/>
        </w:rPr>
        <w:t>7</w:t>
      </w:r>
      <w:r w:rsidRPr="003B7DD5">
        <w:rPr>
          <w:color w:val="auto"/>
        </w:rPr>
        <w:t xml:space="preserve"> copies/ml (1.6 to 7.0 log</w:t>
      </w:r>
      <w:r w:rsidRPr="003B7DD5">
        <w:rPr>
          <w:color w:val="auto"/>
          <w:vertAlign w:val="subscript"/>
        </w:rPr>
        <w:t>10</w:t>
      </w:r>
      <w:r w:rsidRPr="003B7DD5">
        <w:rPr>
          <w:color w:val="auto"/>
        </w:rPr>
        <w:t>).</w:t>
      </w:r>
    </w:p>
    <w:p w14:paraId="5CDBDE63" w14:textId="77777777" w:rsidR="00FE6943" w:rsidRPr="003B7DD5" w:rsidRDefault="001A6175" w:rsidP="003B7DD5">
      <w:pPr>
        <w:pStyle w:val="MDPI31text"/>
        <w:ind w:left="0"/>
        <w:rPr>
          <w:color w:val="auto"/>
        </w:rPr>
      </w:pPr>
      <w:r w:rsidRPr="003B7DD5">
        <w:rPr>
          <w:color w:val="auto"/>
        </w:rPr>
        <w:t xml:space="preserve">We used Chi-Square and Fisher’s exact tests to test parametric data and Student’s T-tests for continuous variables with normal distributions. Differences were considered statistically significant when the P-value was less than 0.05. Analysis was performed using SPSS (SPSS version 26.0, SPSS Inc, Chicago, IL, USA). Xpert and culture results were used to classify participants as ‘bacteriologically confirmed’ if either the Xpert MTB/RIF or culture results were positive and as ‘non-TB’, if both tests were negative. Sensitivity and specificity of the FujiLAM test were estimated using the combined results of Xpert MTB/RIF and culture as the reference standard (bacteriologically confirmed). We considered invalid FujiLAM results as </w:t>
      </w:r>
      <w:proofErr w:type="gramStart"/>
      <w:r w:rsidRPr="003B7DD5">
        <w:rPr>
          <w:color w:val="auto"/>
        </w:rPr>
        <w:t>negative, but</w:t>
      </w:r>
      <w:proofErr w:type="gramEnd"/>
      <w:r w:rsidRPr="003B7DD5">
        <w:rPr>
          <w:color w:val="auto"/>
        </w:rPr>
        <w:t xml:space="preserve"> annotated these results in separate rows. Written informed consent was obtained from all participants. The study was approved by the Research Ethics Committees of the Liverpool School of Tropical Medicine (protocol 18-176411_Trop_942) and the Nigerian National Ethics Committee.</w:t>
      </w:r>
    </w:p>
    <w:p w14:paraId="79EF74BF" w14:textId="77777777" w:rsidR="00FE6943" w:rsidRPr="003B7DD5" w:rsidRDefault="00FE6943" w:rsidP="003B7DD5">
      <w:pPr>
        <w:pStyle w:val="MDPI21heading1"/>
        <w:ind w:left="0"/>
        <w:rPr>
          <w:color w:val="auto"/>
        </w:rPr>
      </w:pPr>
      <w:r w:rsidRPr="003B7DD5">
        <w:rPr>
          <w:color w:val="auto"/>
        </w:rPr>
        <w:t>3. Results</w:t>
      </w:r>
    </w:p>
    <w:p w14:paraId="725EBC18" w14:textId="77777777" w:rsidR="001A6175" w:rsidRPr="003B7DD5" w:rsidRDefault="001A6175" w:rsidP="003B7DD5">
      <w:pPr>
        <w:pStyle w:val="MDPI31text"/>
        <w:ind w:left="0"/>
        <w:rPr>
          <w:color w:val="auto"/>
        </w:rPr>
      </w:pPr>
      <w:r w:rsidRPr="003B7DD5">
        <w:rPr>
          <w:color w:val="auto"/>
        </w:rPr>
        <w:t xml:space="preserve">Two hundred and four participants with a mean (SD) age of 37 (12.8) years were enrolled, as shown in Table 1. Thirty-seven (18.1%) had positive </w:t>
      </w:r>
      <w:r w:rsidRPr="003B7DD5">
        <w:rPr>
          <w:i/>
          <w:iCs/>
          <w:color w:val="auto"/>
        </w:rPr>
        <w:t>M. tuberculosis</w:t>
      </w:r>
      <w:r w:rsidRPr="003B7DD5">
        <w:rPr>
          <w:color w:val="auto"/>
        </w:rPr>
        <w:t xml:space="preserve"> culture, 40 (19.6%) were Xpert MTB/RIF positive and 45 (22.1%) culture or Xpert MTB/RIF positive (called ‘bacteriologically confirmed’). Four (10.8%) culture-positive participants were Xpert MTB/RIF-negative and 3 (7.5%) and 4 (10.0%) Xpert MTB/RIF-positive had negative or contaminated culture, respectively. One hundred and fifty-nine (77.9%) participants were culture and Xpert MTB/RIF negative (called ‘not TB’) (Table 1). Overall, 70 (34.3%) participants were HIV-positive, 133 (65.2%) HIV-negative and the HIV status was not known in one. Viral loads among HIV-positive participants</w:t>
      </w:r>
      <w:r w:rsidRPr="003B7DD5" w:rsidDel="00F73984">
        <w:rPr>
          <w:color w:val="auto"/>
        </w:rPr>
        <w:t xml:space="preserve"> </w:t>
      </w:r>
      <w:r w:rsidRPr="003B7DD5">
        <w:rPr>
          <w:color w:val="auto"/>
        </w:rPr>
        <w:t>were undetectable in 11 (15.7%), &lt;40 copies/ml in 16 (22.9%), and between 40 and 10</w:t>
      </w:r>
      <w:r w:rsidRPr="003B7DD5">
        <w:rPr>
          <w:color w:val="auto"/>
          <w:vertAlign w:val="superscript"/>
        </w:rPr>
        <w:t>7</w:t>
      </w:r>
      <w:r w:rsidRPr="003B7DD5">
        <w:rPr>
          <w:color w:val="auto"/>
        </w:rPr>
        <w:t xml:space="preserve"> copies/ml in 32 (45.7%), with three (4.3%) and 8 (11.4%) participants having indeterminate and missing viral load results, respectively.</w:t>
      </w:r>
    </w:p>
    <w:p w14:paraId="4D032776" w14:textId="77777777" w:rsidR="003B7DD5" w:rsidRDefault="003B7DD5">
      <w:pPr>
        <w:spacing w:line="240" w:lineRule="auto"/>
        <w:jc w:val="left"/>
        <w:rPr>
          <w:rFonts w:eastAsia="Times New Roman" w:cstheme="minorBidi"/>
          <w:b/>
          <w:noProof w:val="0"/>
          <w:color w:val="auto"/>
          <w:sz w:val="18"/>
          <w:szCs w:val="22"/>
          <w:lang w:eastAsia="de-DE" w:bidi="en-US"/>
        </w:rPr>
      </w:pPr>
      <w:r>
        <w:rPr>
          <w:b/>
          <w:color w:val="auto"/>
        </w:rPr>
        <w:br w:type="page"/>
      </w:r>
    </w:p>
    <w:p w14:paraId="3762D689" w14:textId="4564F476" w:rsidR="001A6175" w:rsidRPr="003B7DD5" w:rsidRDefault="001A6175" w:rsidP="003B7DD5">
      <w:pPr>
        <w:pStyle w:val="MDPI41tablecaption"/>
        <w:ind w:left="0"/>
        <w:rPr>
          <w:color w:val="auto"/>
        </w:rPr>
      </w:pPr>
      <w:r w:rsidRPr="003B7DD5">
        <w:rPr>
          <w:b/>
          <w:color w:val="auto"/>
        </w:rPr>
        <w:lastRenderedPageBreak/>
        <w:t xml:space="preserve">Table 1. </w:t>
      </w:r>
      <w:r w:rsidRPr="003B7DD5">
        <w:rPr>
          <w:color w:val="auto"/>
        </w:rPr>
        <w:t>Characteristics of the study participants.</w:t>
      </w:r>
    </w:p>
    <w:tbl>
      <w:tblPr>
        <w:tblStyle w:val="Tablaconcuadrcula1"/>
        <w:tblW w:w="7857" w:type="dxa"/>
        <w:tblInd w:w="2608" w:type="dxa"/>
        <w:tblLayout w:type="fixed"/>
        <w:tblCellMar>
          <w:left w:w="0" w:type="dxa"/>
          <w:right w:w="0" w:type="dxa"/>
        </w:tblCellMar>
        <w:tblLook w:val="04A0" w:firstRow="1" w:lastRow="0" w:firstColumn="1" w:lastColumn="0" w:noHBand="0" w:noVBand="1"/>
      </w:tblPr>
      <w:tblGrid>
        <w:gridCol w:w="1566"/>
        <w:gridCol w:w="1298"/>
        <w:gridCol w:w="1301"/>
        <w:gridCol w:w="1514"/>
        <w:gridCol w:w="1443"/>
        <w:gridCol w:w="735"/>
      </w:tblGrid>
      <w:tr w:rsidR="003B7DD5" w:rsidRPr="003B7DD5" w14:paraId="0F693B5E" w14:textId="77777777" w:rsidTr="001A6175">
        <w:tc>
          <w:tcPr>
            <w:tcW w:w="1566" w:type="dxa"/>
            <w:tcBorders>
              <w:top w:val="single" w:sz="8" w:space="0" w:color="auto"/>
              <w:left w:val="nil"/>
              <w:bottom w:val="single" w:sz="4" w:space="0" w:color="auto"/>
              <w:right w:val="nil"/>
            </w:tcBorders>
            <w:shd w:val="clear" w:color="auto" w:fill="auto"/>
            <w:vAlign w:val="center"/>
          </w:tcPr>
          <w:p w14:paraId="65CD1C4F" w14:textId="77777777" w:rsidR="001A6175" w:rsidRPr="003B7DD5" w:rsidRDefault="001A6175" w:rsidP="003B7DD5">
            <w:pPr>
              <w:autoSpaceDE w:val="0"/>
              <w:autoSpaceDN w:val="0"/>
              <w:adjustRightInd w:val="0"/>
              <w:snapToGrid w:val="0"/>
              <w:spacing w:line="240" w:lineRule="auto"/>
              <w:jc w:val="center"/>
              <w:rPr>
                <w:rFonts w:eastAsia="Calibri" w:cs="Arial"/>
                <w:b/>
                <w:color w:val="auto"/>
                <w:sz w:val="18"/>
                <w:lang w:val="en-US"/>
              </w:rPr>
            </w:pPr>
            <w:bookmarkStart w:id="0" w:name="_Hlk55275896"/>
          </w:p>
        </w:tc>
        <w:tc>
          <w:tcPr>
            <w:tcW w:w="1298" w:type="dxa"/>
            <w:tcBorders>
              <w:top w:val="single" w:sz="8" w:space="0" w:color="auto"/>
              <w:left w:val="nil"/>
              <w:bottom w:val="single" w:sz="4" w:space="0" w:color="auto"/>
              <w:right w:val="nil"/>
            </w:tcBorders>
            <w:shd w:val="clear" w:color="auto" w:fill="auto"/>
            <w:vAlign w:val="center"/>
          </w:tcPr>
          <w:p w14:paraId="08C3FB0A"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lang w:val="en-GB"/>
              </w:rPr>
            </w:pPr>
          </w:p>
        </w:tc>
        <w:tc>
          <w:tcPr>
            <w:tcW w:w="1301" w:type="dxa"/>
            <w:tcBorders>
              <w:top w:val="single" w:sz="8" w:space="0" w:color="auto"/>
              <w:left w:val="nil"/>
              <w:bottom w:val="single" w:sz="4" w:space="0" w:color="auto"/>
              <w:right w:val="nil"/>
            </w:tcBorders>
            <w:shd w:val="clear" w:color="auto" w:fill="auto"/>
            <w:vAlign w:val="center"/>
          </w:tcPr>
          <w:p w14:paraId="6182572B"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All</w:t>
            </w:r>
          </w:p>
          <w:p w14:paraId="6056F0B9"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(n=204)</w:t>
            </w:r>
          </w:p>
        </w:tc>
        <w:tc>
          <w:tcPr>
            <w:tcW w:w="1514" w:type="dxa"/>
            <w:tcBorders>
              <w:top w:val="single" w:sz="8" w:space="0" w:color="auto"/>
              <w:left w:val="nil"/>
              <w:bottom w:val="single" w:sz="4" w:space="0" w:color="auto"/>
              <w:right w:val="nil"/>
            </w:tcBorders>
            <w:shd w:val="clear" w:color="auto" w:fill="auto"/>
            <w:vAlign w:val="center"/>
          </w:tcPr>
          <w:p w14:paraId="025DDCD3"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Not TB</w:t>
            </w:r>
          </w:p>
          <w:p w14:paraId="65ED488B"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(n=159)</w:t>
            </w:r>
          </w:p>
        </w:tc>
        <w:tc>
          <w:tcPr>
            <w:tcW w:w="1443" w:type="dxa"/>
            <w:tcBorders>
              <w:top w:val="single" w:sz="8" w:space="0" w:color="auto"/>
              <w:left w:val="nil"/>
              <w:bottom w:val="single" w:sz="4" w:space="0" w:color="auto"/>
              <w:right w:val="nil"/>
            </w:tcBorders>
            <w:shd w:val="clear" w:color="auto" w:fill="auto"/>
            <w:vAlign w:val="center"/>
          </w:tcPr>
          <w:p w14:paraId="5B04D7AF"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Bact + TB</w:t>
            </w:r>
          </w:p>
          <w:p w14:paraId="63D34796"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(n=45)</w:t>
            </w:r>
          </w:p>
        </w:tc>
        <w:tc>
          <w:tcPr>
            <w:tcW w:w="735" w:type="dxa"/>
            <w:tcBorders>
              <w:top w:val="single" w:sz="8" w:space="0" w:color="auto"/>
              <w:left w:val="nil"/>
              <w:bottom w:val="single" w:sz="4" w:space="0" w:color="auto"/>
              <w:right w:val="nil"/>
            </w:tcBorders>
            <w:shd w:val="clear" w:color="auto" w:fill="auto"/>
            <w:vAlign w:val="center"/>
          </w:tcPr>
          <w:p w14:paraId="3B6E3EBA" w14:textId="77777777" w:rsidR="001A6175" w:rsidRPr="003B7DD5" w:rsidRDefault="001A6175" w:rsidP="003B7DD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p-value</w:t>
            </w:r>
          </w:p>
        </w:tc>
      </w:tr>
      <w:tr w:rsidR="003B7DD5" w:rsidRPr="003B7DD5" w14:paraId="48554E2C" w14:textId="77777777" w:rsidTr="001A6175">
        <w:tc>
          <w:tcPr>
            <w:tcW w:w="1566" w:type="dxa"/>
            <w:tcBorders>
              <w:top w:val="nil"/>
              <w:left w:val="nil"/>
              <w:bottom w:val="single" w:sz="4" w:space="0" w:color="auto"/>
              <w:right w:val="nil"/>
            </w:tcBorders>
            <w:shd w:val="clear" w:color="auto" w:fill="auto"/>
            <w:vAlign w:val="center"/>
          </w:tcPr>
          <w:p w14:paraId="531737CD"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 xml:space="preserve">Age, </w:t>
            </w:r>
          </w:p>
        </w:tc>
        <w:tc>
          <w:tcPr>
            <w:tcW w:w="1298" w:type="dxa"/>
            <w:tcBorders>
              <w:top w:val="nil"/>
              <w:left w:val="nil"/>
              <w:bottom w:val="single" w:sz="4" w:space="0" w:color="auto"/>
              <w:right w:val="nil"/>
            </w:tcBorders>
            <w:shd w:val="clear" w:color="auto" w:fill="auto"/>
            <w:vAlign w:val="center"/>
          </w:tcPr>
          <w:p w14:paraId="3CC48538"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mean (SD)</w:t>
            </w:r>
          </w:p>
        </w:tc>
        <w:tc>
          <w:tcPr>
            <w:tcW w:w="1301" w:type="dxa"/>
            <w:tcBorders>
              <w:top w:val="nil"/>
              <w:left w:val="nil"/>
              <w:bottom w:val="single" w:sz="4" w:space="0" w:color="auto"/>
              <w:right w:val="nil"/>
            </w:tcBorders>
            <w:shd w:val="clear" w:color="auto" w:fill="auto"/>
            <w:vAlign w:val="center"/>
          </w:tcPr>
          <w:p w14:paraId="5A3795B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37.0 (12.8)</w:t>
            </w:r>
          </w:p>
        </w:tc>
        <w:tc>
          <w:tcPr>
            <w:tcW w:w="1514" w:type="dxa"/>
            <w:tcBorders>
              <w:top w:val="nil"/>
              <w:left w:val="nil"/>
              <w:bottom w:val="single" w:sz="4" w:space="0" w:color="auto"/>
              <w:right w:val="nil"/>
            </w:tcBorders>
            <w:shd w:val="clear" w:color="auto" w:fill="auto"/>
            <w:vAlign w:val="center"/>
          </w:tcPr>
          <w:p w14:paraId="2176E47F"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37.65 (13.0)</w:t>
            </w:r>
          </w:p>
        </w:tc>
        <w:tc>
          <w:tcPr>
            <w:tcW w:w="1443" w:type="dxa"/>
            <w:tcBorders>
              <w:top w:val="nil"/>
              <w:left w:val="nil"/>
              <w:bottom w:val="single" w:sz="4" w:space="0" w:color="auto"/>
              <w:right w:val="nil"/>
            </w:tcBorders>
            <w:shd w:val="clear" w:color="auto" w:fill="auto"/>
            <w:vAlign w:val="center"/>
          </w:tcPr>
          <w:p w14:paraId="6928A84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34.60 (12.0)</w:t>
            </w:r>
          </w:p>
        </w:tc>
        <w:tc>
          <w:tcPr>
            <w:tcW w:w="735" w:type="dxa"/>
            <w:tcBorders>
              <w:top w:val="nil"/>
              <w:left w:val="nil"/>
              <w:bottom w:val="single" w:sz="4" w:space="0" w:color="auto"/>
              <w:right w:val="nil"/>
            </w:tcBorders>
            <w:shd w:val="clear" w:color="auto" w:fill="auto"/>
            <w:vAlign w:val="center"/>
          </w:tcPr>
          <w:p w14:paraId="57CC0128"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0.160</w:t>
            </w:r>
          </w:p>
        </w:tc>
      </w:tr>
      <w:tr w:rsidR="003B7DD5" w:rsidRPr="003B7DD5" w14:paraId="082A74C0" w14:textId="77777777" w:rsidTr="001A6175">
        <w:tc>
          <w:tcPr>
            <w:tcW w:w="1566" w:type="dxa"/>
            <w:tcBorders>
              <w:top w:val="nil"/>
              <w:left w:val="nil"/>
              <w:bottom w:val="nil"/>
              <w:right w:val="nil"/>
            </w:tcBorders>
            <w:shd w:val="clear" w:color="auto" w:fill="auto"/>
            <w:vAlign w:val="center"/>
          </w:tcPr>
          <w:p w14:paraId="0BA4C461"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bookmarkStart w:id="1" w:name="_Hlk51767467"/>
            <w:r w:rsidRPr="003B7DD5">
              <w:rPr>
                <w:rFonts w:eastAsia="Calibri" w:cs="Arial"/>
                <w:color w:val="auto"/>
                <w:sz w:val="18"/>
              </w:rPr>
              <w:t>Sex</w:t>
            </w:r>
          </w:p>
        </w:tc>
        <w:tc>
          <w:tcPr>
            <w:tcW w:w="1298" w:type="dxa"/>
            <w:tcBorders>
              <w:top w:val="nil"/>
              <w:left w:val="nil"/>
              <w:bottom w:val="nil"/>
              <w:right w:val="nil"/>
            </w:tcBorders>
            <w:shd w:val="clear" w:color="auto" w:fill="auto"/>
            <w:vAlign w:val="center"/>
          </w:tcPr>
          <w:p w14:paraId="4B0E814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 xml:space="preserve">Male </w:t>
            </w:r>
          </w:p>
        </w:tc>
        <w:tc>
          <w:tcPr>
            <w:tcW w:w="1301" w:type="dxa"/>
            <w:tcBorders>
              <w:top w:val="nil"/>
              <w:left w:val="nil"/>
              <w:bottom w:val="nil"/>
              <w:right w:val="nil"/>
            </w:tcBorders>
            <w:shd w:val="clear" w:color="auto" w:fill="auto"/>
            <w:vAlign w:val="center"/>
          </w:tcPr>
          <w:p w14:paraId="0682319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95 (46.6%)</w:t>
            </w:r>
          </w:p>
        </w:tc>
        <w:tc>
          <w:tcPr>
            <w:tcW w:w="1514" w:type="dxa"/>
            <w:tcBorders>
              <w:top w:val="nil"/>
              <w:left w:val="nil"/>
              <w:bottom w:val="nil"/>
              <w:right w:val="nil"/>
            </w:tcBorders>
            <w:shd w:val="clear" w:color="auto" w:fill="auto"/>
            <w:vAlign w:val="center"/>
          </w:tcPr>
          <w:p w14:paraId="4BB49165"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69 (43.4%)</w:t>
            </w:r>
          </w:p>
        </w:tc>
        <w:tc>
          <w:tcPr>
            <w:tcW w:w="1443" w:type="dxa"/>
            <w:tcBorders>
              <w:top w:val="nil"/>
              <w:left w:val="nil"/>
              <w:bottom w:val="nil"/>
              <w:right w:val="nil"/>
            </w:tcBorders>
            <w:shd w:val="clear" w:color="auto" w:fill="auto"/>
            <w:vAlign w:val="center"/>
          </w:tcPr>
          <w:p w14:paraId="693AA3FC"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26 (57.8%)</w:t>
            </w:r>
          </w:p>
        </w:tc>
        <w:tc>
          <w:tcPr>
            <w:tcW w:w="735" w:type="dxa"/>
            <w:tcBorders>
              <w:top w:val="nil"/>
              <w:left w:val="nil"/>
              <w:bottom w:val="nil"/>
              <w:right w:val="nil"/>
            </w:tcBorders>
            <w:shd w:val="clear" w:color="auto" w:fill="auto"/>
            <w:vAlign w:val="center"/>
          </w:tcPr>
          <w:p w14:paraId="09B1E1A7"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0.088</w:t>
            </w:r>
          </w:p>
        </w:tc>
      </w:tr>
      <w:tr w:rsidR="003B7DD5" w:rsidRPr="003B7DD5" w14:paraId="3DC080B8" w14:textId="77777777" w:rsidTr="001A6175">
        <w:tc>
          <w:tcPr>
            <w:tcW w:w="1566" w:type="dxa"/>
            <w:tcBorders>
              <w:top w:val="nil"/>
              <w:left w:val="nil"/>
              <w:bottom w:val="single" w:sz="4" w:space="0" w:color="auto"/>
              <w:right w:val="nil"/>
            </w:tcBorders>
            <w:shd w:val="clear" w:color="auto" w:fill="auto"/>
            <w:vAlign w:val="center"/>
          </w:tcPr>
          <w:p w14:paraId="5FCD9C4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c>
          <w:tcPr>
            <w:tcW w:w="1298" w:type="dxa"/>
            <w:tcBorders>
              <w:top w:val="nil"/>
              <w:left w:val="nil"/>
              <w:bottom w:val="single" w:sz="4" w:space="0" w:color="auto"/>
              <w:right w:val="nil"/>
            </w:tcBorders>
            <w:shd w:val="clear" w:color="auto" w:fill="auto"/>
            <w:vAlign w:val="center"/>
          </w:tcPr>
          <w:p w14:paraId="6DF02D6C"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 xml:space="preserve">Female </w:t>
            </w:r>
          </w:p>
        </w:tc>
        <w:tc>
          <w:tcPr>
            <w:tcW w:w="1301" w:type="dxa"/>
            <w:tcBorders>
              <w:top w:val="nil"/>
              <w:left w:val="nil"/>
              <w:bottom w:val="single" w:sz="4" w:space="0" w:color="auto"/>
              <w:right w:val="nil"/>
            </w:tcBorders>
            <w:shd w:val="clear" w:color="auto" w:fill="auto"/>
            <w:vAlign w:val="center"/>
          </w:tcPr>
          <w:p w14:paraId="320B70D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109 (53.4%)</w:t>
            </w:r>
          </w:p>
        </w:tc>
        <w:tc>
          <w:tcPr>
            <w:tcW w:w="1514" w:type="dxa"/>
            <w:tcBorders>
              <w:top w:val="nil"/>
              <w:left w:val="nil"/>
              <w:bottom w:val="single" w:sz="4" w:space="0" w:color="auto"/>
              <w:right w:val="nil"/>
            </w:tcBorders>
            <w:shd w:val="clear" w:color="auto" w:fill="auto"/>
            <w:vAlign w:val="center"/>
          </w:tcPr>
          <w:p w14:paraId="7BF48B18"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90 (56.6%)</w:t>
            </w:r>
          </w:p>
        </w:tc>
        <w:tc>
          <w:tcPr>
            <w:tcW w:w="1443" w:type="dxa"/>
            <w:tcBorders>
              <w:top w:val="nil"/>
              <w:left w:val="nil"/>
              <w:bottom w:val="single" w:sz="4" w:space="0" w:color="auto"/>
              <w:right w:val="nil"/>
            </w:tcBorders>
            <w:shd w:val="clear" w:color="auto" w:fill="auto"/>
            <w:vAlign w:val="center"/>
          </w:tcPr>
          <w:p w14:paraId="6F89114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19 (42.2%)</w:t>
            </w:r>
          </w:p>
        </w:tc>
        <w:tc>
          <w:tcPr>
            <w:tcW w:w="735" w:type="dxa"/>
            <w:tcBorders>
              <w:top w:val="nil"/>
              <w:left w:val="nil"/>
              <w:bottom w:val="single" w:sz="4" w:space="0" w:color="auto"/>
              <w:right w:val="nil"/>
            </w:tcBorders>
            <w:shd w:val="clear" w:color="auto" w:fill="auto"/>
            <w:vAlign w:val="center"/>
          </w:tcPr>
          <w:p w14:paraId="7867B61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r>
      <w:tr w:rsidR="003B7DD5" w:rsidRPr="003B7DD5" w14:paraId="0DDB4546" w14:textId="77777777" w:rsidTr="001A6175">
        <w:tc>
          <w:tcPr>
            <w:tcW w:w="1566" w:type="dxa"/>
            <w:tcBorders>
              <w:top w:val="nil"/>
              <w:left w:val="nil"/>
              <w:bottom w:val="nil"/>
              <w:right w:val="nil"/>
            </w:tcBorders>
            <w:shd w:val="clear" w:color="auto" w:fill="auto"/>
            <w:vAlign w:val="center"/>
          </w:tcPr>
          <w:p w14:paraId="1D16E4E5"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bookmarkStart w:id="2" w:name="_Hlk58400756"/>
            <w:r w:rsidRPr="003B7DD5">
              <w:rPr>
                <w:rFonts w:eastAsia="Calibri" w:cs="Arial"/>
                <w:color w:val="auto"/>
                <w:sz w:val="18"/>
              </w:rPr>
              <w:t xml:space="preserve">HIV </w:t>
            </w:r>
          </w:p>
        </w:tc>
        <w:tc>
          <w:tcPr>
            <w:tcW w:w="1298" w:type="dxa"/>
            <w:tcBorders>
              <w:top w:val="nil"/>
              <w:left w:val="nil"/>
              <w:bottom w:val="nil"/>
              <w:right w:val="nil"/>
            </w:tcBorders>
            <w:shd w:val="clear" w:color="auto" w:fill="auto"/>
            <w:vAlign w:val="center"/>
          </w:tcPr>
          <w:p w14:paraId="1257D4B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Negative</w:t>
            </w:r>
          </w:p>
        </w:tc>
        <w:tc>
          <w:tcPr>
            <w:tcW w:w="1301" w:type="dxa"/>
            <w:tcBorders>
              <w:top w:val="nil"/>
              <w:left w:val="nil"/>
              <w:bottom w:val="nil"/>
              <w:right w:val="nil"/>
            </w:tcBorders>
            <w:shd w:val="clear" w:color="auto" w:fill="auto"/>
            <w:vAlign w:val="center"/>
          </w:tcPr>
          <w:p w14:paraId="4E8790A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133 (65.2%)</w:t>
            </w:r>
          </w:p>
        </w:tc>
        <w:tc>
          <w:tcPr>
            <w:tcW w:w="1514" w:type="dxa"/>
            <w:tcBorders>
              <w:top w:val="nil"/>
              <w:left w:val="nil"/>
              <w:bottom w:val="nil"/>
              <w:right w:val="nil"/>
            </w:tcBorders>
            <w:shd w:val="clear" w:color="auto" w:fill="auto"/>
            <w:vAlign w:val="center"/>
          </w:tcPr>
          <w:p w14:paraId="41C4FDEE"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98 (61.6%)</w:t>
            </w:r>
          </w:p>
        </w:tc>
        <w:tc>
          <w:tcPr>
            <w:tcW w:w="1443" w:type="dxa"/>
            <w:tcBorders>
              <w:top w:val="nil"/>
              <w:left w:val="nil"/>
              <w:bottom w:val="nil"/>
              <w:right w:val="nil"/>
            </w:tcBorders>
            <w:shd w:val="clear" w:color="auto" w:fill="auto"/>
            <w:vAlign w:val="center"/>
          </w:tcPr>
          <w:p w14:paraId="3D4E7432"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35 (77.8%)</w:t>
            </w:r>
          </w:p>
        </w:tc>
        <w:tc>
          <w:tcPr>
            <w:tcW w:w="735" w:type="dxa"/>
            <w:tcBorders>
              <w:top w:val="nil"/>
              <w:left w:val="nil"/>
              <w:bottom w:val="nil"/>
              <w:right w:val="nil"/>
            </w:tcBorders>
            <w:shd w:val="clear" w:color="auto" w:fill="auto"/>
            <w:vAlign w:val="center"/>
          </w:tcPr>
          <w:p w14:paraId="05CC68C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0.087</w:t>
            </w:r>
          </w:p>
        </w:tc>
      </w:tr>
      <w:tr w:rsidR="003B7DD5" w:rsidRPr="003B7DD5" w14:paraId="625BE702" w14:textId="77777777" w:rsidTr="001A6175">
        <w:tc>
          <w:tcPr>
            <w:tcW w:w="1566" w:type="dxa"/>
            <w:tcBorders>
              <w:top w:val="nil"/>
              <w:left w:val="nil"/>
              <w:bottom w:val="nil"/>
              <w:right w:val="nil"/>
            </w:tcBorders>
            <w:shd w:val="clear" w:color="auto" w:fill="auto"/>
            <w:vAlign w:val="center"/>
          </w:tcPr>
          <w:p w14:paraId="2FFD58C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c>
          <w:tcPr>
            <w:tcW w:w="1298" w:type="dxa"/>
            <w:tcBorders>
              <w:top w:val="nil"/>
              <w:left w:val="nil"/>
              <w:bottom w:val="nil"/>
              <w:right w:val="nil"/>
            </w:tcBorders>
            <w:shd w:val="clear" w:color="auto" w:fill="auto"/>
            <w:vAlign w:val="center"/>
          </w:tcPr>
          <w:p w14:paraId="2542EB8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Positive</w:t>
            </w:r>
          </w:p>
        </w:tc>
        <w:tc>
          <w:tcPr>
            <w:tcW w:w="1301" w:type="dxa"/>
            <w:tcBorders>
              <w:top w:val="nil"/>
              <w:left w:val="nil"/>
              <w:bottom w:val="nil"/>
              <w:right w:val="nil"/>
            </w:tcBorders>
            <w:shd w:val="clear" w:color="auto" w:fill="auto"/>
            <w:vAlign w:val="center"/>
          </w:tcPr>
          <w:p w14:paraId="1351BCAF"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70 (</w:t>
            </w:r>
            <w:r w:rsidRPr="003B7DD5">
              <w:rPr>
                <w:rFonts w:cs="Arial"/>
                <w:color w:val="auto"/>
                <w:sz w:val="18"/>
              </w:rPr>
              <w:t>34.3</w:t>
            </w:r>
            <w:r w:rsidRPr="003B7DD5">
              <w:rPr>
                <w:rFonts w:eastAsia="Calibri" w:cs="Arial"/>
                <w:color w:val="auto"/>
                <w:sz w:val="18"/>
              </w:rPr>
              <w:t>%)</w:t>
            </w:r>
          </w:p>
        </w:tc>
        <w:tc>
          <w:tcPr>
            <w:tcW w:w="1514" w:type="dxa"/>
            <w:tcBorders>
              <w:top w:val="nil"/>
              <w:left w:val="nil"/>
              <w:bottom w:val="nil"/>
              <w:right w:val="nil"/>
            </w:tcBorders>
            <w:shd w:val="clear" w:color="auto" w:fill="auto"/>
            <w:vAlign w:val="center"/>
          </w:tcPr>
          <w:p w14:paraId="41C052FA"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60 (37.7%)</w:t>
            </w:r>
          </w:p>
        </w:tc>
        <w:tc>
          <w:tcPr>
            <w:tcW w:w="1443" w:type="dxa"/>
            <w:tcBorders>
              <w:top w:val="nil"/>
              <w:left w:val="nil"/>
              <w:bottom w:val="nil"/>
              <w:right w:val="nil"/>
            </w:tcBorders>
            <w:shd w:val="clear" w:color="auto" w:fill="auto"/>
            <w:vAlign w:val="center"/>
          </w:tcPr>
          <w:p w14:paraId="0A3C0CA7"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10 (22.2%)</w:t>
            </w:r>
          </w:p>
        </w:tc>
        <w:tc>
          <w:tcPr>
            <w:tcW w:w="735" w:type="dxa"/>
            <w:tcBorders>
              <w:top w:val="nil"/>
              <w:left w:val="nil"/>
              <w:bottom w:val="nil"/>
              <w:right w:val="nil"/>
            </w:tcBorders>
            <w:shd w:val="clear" w:color="auto" w:fill="auto"/>
            <w:vAlign w:val="center"/>
          </w:tcPr>
          <w:p w14:paraId="3CBE0F4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r>
      <w:tr w:rsidR="003B7DD5" w:rsidRPr="003B7DD5" w14:paraId="70C0544A" w14:textId="77777777" w:rsidTr="001A6175">
        <w:tc>
          <w:tcPr>
            <w:tcW w:w="1566" w:type="dxa"/>
            <w:tcBorders>
              <w:top w:val="nil"/>
              <w:left w:val="nil"/>
              <w:bottom w:val="single" w:sz="4" w:space="0" w:color="auto"/>
              <w:right w:val="nil"/>
            </w:tcBorders>
            <w:shd w:val="clear" w:color="auto" w:fill="auto"/>
            <w:vAlign w:val="center"/>
          </w:tcPr>
          <w:p w14:paraId="7ABA32FB"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c>
          <w:tcPr>
            <w:tcW w:w="1298" w:type="dxa"/>
            <w:tcBorders>
              <w:top w:val="nil"/>
              <w:left w:val="nil"/>
              <w:bottom w:val="single" w:sz="4" w:space="0" w:color="auto"/>
              <w:right w:val="nil"/>
            </w:tcBorders>
            <w:shd w:val="clear" w:color="auto" w:fill="auto"/>
            <w:vAlign w:val="center"/>
          </w:tcPr>
          <w:p w14:paraId="5442BFAB"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Unknown</w:t>
            </w:r>
          </w:p>
        </w:tc>
        <w:tc>
          <w:tcPr>
            <w:tcW w:w="1301" w:type="dxa"/>
            <w:tcBorders>
              <w:top w:val="nil"/>
              <w:left w:val="nil"/>
              <w:bottom w:val="single" w:sz="4" w:space="0" w:color="auto"/>
              <w:right w:val="nil"/>
            </w:tcBorders>
            <w:shd w:val="clear" w:color="auto" w:fill="auto"/>
            <w:vAlign w:val="center"/>
          </w:tcPr>
          <w:p w14:paraId="1FBFDFF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 (0.5%)</w:t>
            </w:r>
          </w:p>
        </w:tc>
        <w:tc>
          <w:tcPr>
            <w:tcW w:w="1514" w:type="dxa"/>
            <w:tcBorders>
              <w:top w:val="nil"/>
              <w:left w:val="nil"/>
              <w:bottom w:val="single" w:sz="4" w:space="0" w:color="auto"/>
              <w:right w:val="nil"/>
            </w:tcBorders>
            <w:shd w:val="clear" w:color="auto" w:fill="auto"/>
            <w:vAlign w:val="center"/>
          </w:tcPr>
          <w:p w14:paraId="1EFF95DE"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 (0.6%)</w:t>
            </w:r>
          </w:p>
        </w:tc>
        <w:tc>
          <w:tcPr>
            <w:tcW w:w="1443" w:type="dxa"/>
            <w:tcBorders>
              <w:top w:val="nil"/>
              <w:left w:val="nil"/>
              <w:bottom w:val="single" w:sz="4" w:space="0" w:color="auto"/>
              <w:right w:val="nil"/>
            </w:tcBorders>
            <w:shd w:val="clear" w:color="auto" w:fill="auto"/>
            <w:vAlign w:val="center"/>
          </w:tcPr>
          <w:p w14:paraId="4E2533A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0 (0.0%)</w:t>
            </w:r>
          </w:p>
        </w:tc>
        <w:tc>
          <w:tcPr>
            <w:tcW w:w="735" w:type="dxa"/>
            <w:tcBorders>
              <w:top w:val="nil"/>
              <w:left w:val="nil"/>
              <w:bottom w:val="single" w:sz="4" w:space="0" w:color="auto"/>
              <w:right w:val="nil"/>
            </w:tcBorders>
            <w:shd w:val="clear" w:color="auto" w:fill="auto"/>
            <w:vAlign w:val="center"/>
          </w:tcPr>
          <w:p w14:paraId="043B4485"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r>
      <w:bookmarkEnd w:id="2"/>
      <w:tr w:rsidR="003B7DD5" w:rsidRPr="003B7DD5" w14:paraId="1043DF6A" w14:textId="77777777" w:rsidTr="001A6175">
        <w:tc>
          <w:tcPr>
            <w:tcW w:w="1566" w:type="dxa"/>
            <w:tcBorders>
              <w:top w:val="nil"/>
              <w:left w:val="nil"/>
              <w:bottom w:val="nil"/>
              <w:right w:val="nil"/>
            </w:tcBorders>
            <w:shd w:val="clear" w:color="auto" w:fill="auto"/>
            <w:vAlign w:val="center"/>
          </w:tcPr>
          <w:p w14:paraId="1D6EA102"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Culture</w:t>
            </w:r>
            <w:r w:rsidRPr="003B7DD5" w:rsidDel="00C219AD">
              <w:rPr>
                <w:rFonts w:eastAsia="Calibri" w:cs="Arial"/>
                <w:color w:val="auto"/>
                <w:sz w:val="18"/>
              </w:rPr>
              <w:t xml:space="preserve"> </w:t>
            </w:r>
          </w:p>
        </w:tc>
        <w:tc>
          <w:tcPr>
            <w:tcW w:w="1298" w:type="dxa"/>
            <w:tcBorders>
              <w:top w:val="nil"/>
              <w:left w:val="nil"/>
              <w:bottom w:val="nil"/>
              <w:right w:val="nil"/>
            </w:tcBorders>
            <w:shd w:val="clear" w:color="auto" w:fill="auto"/>
            <w:vAlign w:val="center"/>
          </w:tcPr>
          <w:p w14:paraId="38238299"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Negative</w:t>
            </w:r>
          </w:p>
        </w:tc>
        <w:tc>
          <w:tcPr>
            <w:tcW w:w="1301" w:type="dxa"/>
            <w:tcBorders>
              <w:top w:val="nil"/>
              <w:left w:val="nil"/>
              <w:bottom w:val="nil"/>
              <w:right w:val="nil"/>
            </w:tcBorders>
            <w:shd w:val="clear" w:color="auto" w:fill="auto"/>
            <w:vAlign w:val="center"/>
          </w:tcPr>
          <w:p w14:paraId="4555FC4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155 (76.0%)</w:t>
            </w:r>
          </w:p>
        </w:tc>
        <w:tc>
          <w:tcPr>
            <w:tcW w:w="1514" w:type="dxa"/>
            <w:tcBorders>
              <w:top w:val="nil"/>
              <w:left w:val="nil"/>
              <w:bottom w:val="nil"/>
              <w:right w:val="nil"/>
            </w:tcBorders>
            <w:shd w:val="clear" w:color="auto" w:fill="auto"/>
            <w:vAlign w:val="center"/>
          </w:tcPr>
          <w:p w14:paraId="0EBB06D5"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151 (95.0%)</w:t>
            </w:r>
            <w:r w:rsidRPr="003B7DD5">
              <w:rPr>
                <w:rFonts w:eastAsia="Calibri" w:cs="Arial"/>
                <w:color w:val="auto"/>
                <w:sz w:val="18"/>
                <w:vertAlign w:val="superscript"/>
              </w:rPr>
              <w:t xml:space="preserve"> a</w:t>
            </w:r>
          </w:p>
        </w:tc>
        <w:tc>
          <w:tcPr>
            <w:tcW w:w="1443" w:type="dxa"/>
            <w:tcBorders>
              <w:top w:val="nil"/>
              <w:left w:val="nil"/>
              <w:bottom w:val="nil"/>
              <w:right w:val="nil"/>
            </w:tcBorders>
            <w:shd w:val="clear" w:color="auto" w:fill="auto"/>
            <w:vAlign w:val="center"/>
          </w:tcPr>
          <w:p w14:paraId="3801DC37"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4 (8.9%)</w:t>
            </w:r>
            <w:r w:rsidRPr="003B7DD5">
              <w:rPr>
                <w:rFonts w:eastAsia="Calibri" w:cs="Arial"/>
                <w:color w:val="auto"/>
                <w:sz w:val="18"/>
                <w:vertAlign w:val="superscript"/>
              </w:rPr>
              <w:t xml:space="preserve"> a</w:t>
            </w:r>
          </w:p>
        </w:tc>
        <w:tc>
          <w:tcPr>
            <w:tcW w:w="735" w:type="dxa"/>
            <w:tcBorders>
              <w:top w:val="nil"/>
              <w:left w:val="nil"/>
              <w:bottom w:val="nil"/>
              <w:right w:val="nil"/>
            </w:tcBorders>
            <w:shd w:val="clear" w:color="auto" w:fill="auto"/>
            <w:vAlign w:val="center"/>
          </w:tcPr>
          <w:p w14:paraId="3A6A04B8"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b/>
                <w:bCs/>
                <w:color w:val="auto"/>
                <w:sz w:val="18"/>
              </w:rPr>
              <w:t>&lt;0.01</w:t>
            </w:r>
          </w:p>
        </w:tc>
      </w:tr>
      <w:tr w:rsidR="003B7DD5" w:rsidRPr="003B7DD5" w14:paraId="07997146" w14:textId="77777777" w:rsidTr="001A6175">
        <w:tc>
          <w:tcPr>
            <w:tcW w:w="1566" w:type="dxa"/>
            <w:tcBorders>
              <w:top w:val="nil"/>
              <w:left w:val="nil"/>
              <w:bottom w:val="nil"/>
              <w:right w:val="nil"/>
            </w:tcBorders>
            <w:shd w:val="clear" w:color="auto" w:fill="auto"/>
            <w:vAlign w:val="center"/>
          </w:tcPr>
          <w:p w14:paraId="16DE8D73"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c>
          <w:tcPr>
            <w:tcW w:w="1298" w:type="dxa"/>
            <w:tcBorders>
              <w:top w:val="nil"/>
              <w:left w:val="nil"/>
              <w:bottom w:val="nil"/>
              <w:right w:val="nil"/>
            </w:tcBorders>
            <w:shd w:val="clear" w:color="auto" w:fill="auto"/>
            <w:vAlign w:val="center"/>
          </w:tcPr>
          <w:p w14:paraId="72E52122"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Positive</w:t>
            </w:r>
          </w:p>
        </w:tc>
        <w:tc>
          <w:tcPr>
            <w:tcW w:w="1301" w:type="dxa"/>
            <w:tcBorders>
              <w:top w:val="nil"/>
              <w:left w:val="nil"/>
              <w:bottom w:val="nil"/>
              <w:right w:val="nil"/>
            </w:tcBorders>
            <w:shd w:val="clear" w:color="auto" w:fill="auto"/>
            <w:vAlign w:val="center"/>
          </w:tcPr>
          <w:p w14:paraId="5B350392"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37 (18.1%)</w:t>
            </w:r>
          </w:p>
        </w:tc>
        <w:tc>
          <w:tcPr>
            <w:tcW w:w="1514" w:type="dxa"/>
            <w:tcBorders>
              <w:top w:val="nil"/>
              <w:left w:val="nil"/>
              <w:bottom w:val="nil"/>
              <w:right w:val="nil"/>
            </w:tcBorders>
            <w:shd w:val="clear" w:color="auto" w:fill="auto"/>
            <w:vAlign w:val="center"/>
          </w:tcPr>
          <w:p w14:paraId="1BD6D96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0 (0.0%)</w:t>
            </w:r>
            <w:r w:rsidRPr="003B7DD5">
              <w:rPr>
                <w:rFonts w:eastAsia="Calibri" w:cs="Arial"/>
                <w:color w:val="auto"/>
                <w:sz w:val="18"/>
                <w:vertAlign w:val="superscript"/>
              </w:rPr>
              <w:t xml:space="preserve"> a</w:t>
            </w:r>
          </w:p>
        </w:tc>
        <w:tc>
          <w:tcPr>
            <w:tcW w:w="1443" w:type="dxa"/>
            <w:tcBorders>
              <w:top w:val="nil"/>
              <w:left w:val="nil"/>
              <w:bottom w:val="nil"/>
              <w:right w:val="nil"/>
            </w:tcBorders>
            <w:shd w:val="clear" w:color="auto" w:fill="auto"/>
            <w:vAlign w:val="center"/>
          </w:tcPr>
          <w:p w14:paraId="1C5DE97B"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37 (82.2%)</w:t>
            </w:r>
            <w:r w:rsidRPr="003B7DD5">
              <w:rPr>
                <w:rFonts w:eastAsia="Calibri" w:cs="Arial"/>
                <w:color w:val="auto"/>
                <w:sz w:val="18"/>
                <w:vertAlign w:val="superscript"/>
              </w:rPr>
              <w:t xml:space="preserve"> a</w:t>
            </w:r>
          </w:p>
        </w:tc>
        <w:tc>
          <w:tcPr>
            <w:tcW w:w="735" w:type="dxa"/>
            <w:tcBorders>
              <w:top w:val="nil"/>
              <w:left w:val="nil"/>
              <w:bottom w:val="nil"/>
              <w:right w:val="nil"/>
            </w:tcBorders>
            <w:shd w:val="clear" w:color="auto" w:fill="auto"/>
            <w:vAlign w:val="center"/>
          </w:tcPr>
          <w:p w14:paraId="59D2D099"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r>
      <w:tr w:rsidR="003B7DD5" w:rsidRPr="003B7DD5" w14:paraId="78EB0803" w14:textId="77777777" w:rsidTr="001A6175">
        <w:tc>
          <w:tcPr>
            <w:tcW w:w="1566" w:type="dxa"/>
            <w:tcBorders>
              <w:top w:val="nil"/>
              <w:left w:val="nil"/>
              <w:bottom w:val="single" w:sz="4" w:space="0" w:color="auto"/>
              <w:right w:val="nil"/>
            </w:tcBorders>
            <w:shd w:val="clear" w:color="auto" w:fill="auto"/>
            <w:vAlign w:val="center"/>
          </w:tcPr>
          <w:p w14:paraId="249B4F4A"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c>
          <w:tcPr>
            <w:tcW w:w="1298" w:type="dxa"/>
            <w:tcBorders>
              <w:top w:val="nil"/>
              <w:left w:val="nil"/>
              <w:bottom w:val="single" w:sz="4" w:space="0" w:color="auto"/>
              <w:right w:val="nil"/>
            </w:tcBorders>
            <w:shd w:val="clear" w:color="auto" w:fill="auto"/>
            <w:vAlign w:val="center"/>
          </w:tcPr>
          <w:p w14:paraId="753DA0F2"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szCs w:val="19"/>
              </w:rPr>
            </w:pPr>
            <w:r w:rsidRPr="003B7DD5">
              <w:rPr>
                <w:rFonts w:eastAsia="Calibri" w:cs="Arial"/>
                <w:color w:val="auto"/>
                <w:sz w:val="18"/>
                <w:szCs w:val="19"/>
              </w:rPr>
              <w:t>Contaminated</w:t>
            </w:r>
          </w:p>
        </w:tc>
        <w:tc>
          <w:tcPr>
            <w:tcW w:w="1301" w:type="dxa"/>
            <w:tcBorders>
              <w:top w:val="nil"/>
              <w:left w:val="nil"/>
              <w:bottom w:val="single" w:sz="4" w:space="0" w:color="auto"/>
              <w:right w:val="nil"/>
            </w:tcBorders>
            <w:shd w:val="clear" w:color="auto" w:fill="auto"/>
            <w:vAlign w:val="center"/>
          </w:tcPr>
          <w:p w14:paraId="585466AA"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12 (5.9%)</w:t>
            </w:r>
          </w:p>
        </w:tc>
        <w:tc>
          <w:tcPr>
            <w:tcW w:w="1514" w:type="dxa"/>
            <w:tcBorders>
              <w:top w:val="nil"/>
              <w:left w:val="nil"/>
              <w:bottom w:val="single" w:sz="4" w:space="0" w:color="auto"/>
              <w:right w:val="nil"/>
            </w:tcBorders>
            <w:shd w:val="clear" w:color="auto" w:fill="auto"/>
            <w:vAlign w:val="center"/>
          </w:tcPr>
          <w:p w14:paraId="38F36040"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8 (5.0%)</w:t>
            </w:r>
          </w:p>
        </w:tc>
        <w:tc>
          <w:tcPr>
            <w:tcW w:w="1443" w:type="dxa"/>
            <w:tcBorders>
              <w:top w:val="nil"/>
              <w:left w:val="nil"/>
              <w:bottom w:val="single" w:sz="4" w:space="0" w:color="auto"/>
              <w:right w:val="nil"/>
            </w:tcBorders>
            <w:shd w:val="clear" w:color="auto" w:fill="auto"/>
            <w:vAlign w:val="center"/>
          </w:tcPr>
          <w:p w14:paraId="6BC03E94"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4 (8.9%)</w:t>
            </w:r>
          </w:p>
        </w:tc>
        <w:tc>
          <w:tcPr>
            <w:tcW w:w="735" w:type="dxa"/>
            <w:tcBorders>
              <w:top w:val="nil"/>
              <w:left w:val="nil"/>
              <w:bottom w:val="single" w:sz="4" w:space="0" w:color="auto"/>
              <w:right w:val="nil"/>
            </w:tcBorders>
            <w:shd w:val="clear" w:color="auto" w:fill="auto"/>
            <w:vAlign w:val="center"/>
          </w:tcPr>
          <w:p w14:paraId="492DB0F8"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r>
      <w:tr w:rsidR="003B7DD5" w:rsidRPr="003B7DD5" w14:paraId="0D60295F" w14:textId="77777777" w:rsidTr="001A6175">
        <w:tc>
          <w:tcPr>
            <w:tcW w:w="1566" w:type="dxa"/>
            <w:tcBorders>
              <w:top w:val="nil"/>
              <w:left w:val="nil"/>
              <w:bottom w:val="nil"/>
              <w:right w:val="nil"/>
            </w:tcBorders>
            <w:shd w:val="clear" w:color="auto" w:fill="auto"/>
            <w:vAlign w:val="center"/>
          </w:tcPr>
          <w:p w14:paraId="6B9F46D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Xpert</w:t>
            </w:r>
            <w:r w:rsidRPr="003B7DD5" w:rsidDel="00C219AD">
              <w:rPr>
                <w:rFonts w:eastAsia="Calibri" w:cs="Arial"/>
                <w:color w:val="auto"/>
                <w:sz w:val="18"/>
              </w:rPr>
              <w:t xml:space="preserve"> </w:t>
            </w:r>
          </w:p>
        </w:tc>
        <w:tc>
          <w:tcPr>
            <w:tcW w:w="1298" w:type="dxa"/>
            <w:tcBorders>
              <w:top w:val="nil"/>
              <w:left w:val="nil"/>
              <w:bottom w:val="nil"/>
              <w:right w:val="nil"/>
            </w:tcBorders>
            <w:shd w:val="clear" w:color="auto" w:fill="auto"/>
            <w:vAlign w:val="center"/>
          </w:tcPr>
          <w:p w14:paraId="586D615F"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Negative</w:t>
            </w:r>
          </w:p>
        </w:tc>
        <w:tc>
          <w:tcPr>
            <w:tcW w:w="1301" w:type="dxa"/>
            <w:tcBorders>
              <w:top w:val="nil"/>
              <w:left w:val="nil"/>
              <w:bottom w:val="nil"/>
              <w:right w:val="nil"/>
            </w:tcBorders>
            <w:shd w:val="clear" w:color="auto" w:fill="auto"/>
            <w:vAlign w:val="center"/>
          </w:tcPr>
          <w:p w14:paraId="773D6D6C"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164 (80.4%)</w:t>
            </w:r>
          </w:p>
        </w:tc>
        <w:tc>
          <w:tcPr>
            <w:tcW w:w="1514" w:type="dxa"/>
            <w:tcBorders>
              <w:top w:val="nil"/>
              <w:left w:val="nil"/>
              <w:bottom w:val="nil"/>
              <w:right w:val="nil"/>
            </w:tcBorders>
            <w:shd w:val="clear" w:color="auto" w:fill="auto"/>
            <w:vAlign w:val="center"/>
          </w:tcPr>
          <w:p w14:paraId="0A9BC85E"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159 (100%)</w:t>
            </w:r>
            <w:r w:rsidRPr="003B7DD5">
              <w:rPr>
                <w:rFonts w:eastAsia="Calibri" w:cs="Arial"/>
                <w:color w:val="auto"/>
                <w:sz w:val="18"/>
                <w:vertAlign w:val="superscript"/>
              </w:rPr>
              <w:t xml:space="preserve"> a</w:t>
            </w:r>
          </w:p>
        </w:tc>
        <w:tc>
          <w:tcPr>
            <w:tcW w:w="1443" w:type="dxa"/>
            <w:tcBorders>
              <w:top w:val="nil"/>
              <w:left w:val="nil"/>
              <w:bottom w:val="nil"/>
              <w:right w:val="nil"/>
            </w:tcBorders>
            <w:shd w:val="clear" w:color="auto" w:fill="auto"/>
            <w:vAlign w:val="center"/>
          </w:tcPr>
          <w:p w14:paraId="156262A4"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5 (11.1%)</w:t>
            </w:r>
            <w:r w:rsidRPr="003B7DD5">
              <w:rPr>
                <w:rFonts w:eastAsia="Calibri" w:cs="Arial"/>
                <w:color w:val="auto"/>
                <w:sz w:val="18"/>
                <w:vertAlign w:val="superscript"/>
              </w:rPr>
              <w:t xml:space="preserve"> a</w:t>
            </w:r>
          </w:p>
        </w:tc>
        <w:tc>
          <w:tcPr>
            <w:tcW w:w="735" w:type="dxa"/>
            <w:tcBorders>
              <w:top w:val="nil"/>
              <w:left w:val="nil"/>
              <w:bottom w:val="nil"/>
              <w:right w:val="nil"/>
            </w:tcBorders>
            <w:shd w:val="clear" w:color="auto" w:fill="auto"/>
            <w:vAlign w:val="center"/>
          </w:tcPr>
          <w:p w14:paraId="7A6EF2A9"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b/>
                <w:bCs/>
                <w:color w:val="auto"/>
                <w:sz w:val="18"/>
              </w:rPr>
              <w:t>&lt;0.01</w:t>
            </w:r>
          </w:p>
        </w:tc>
      </w:tr>
      <w:tr w:rsidR="003B7DD5" w:rsidRPr="003B7DD5" w14:paraId="43E3D0E0" w14:textId="77777777" w:rsidTr="001A6175">
        <w:tc>
          <w:tcPr>
            <w:tcW w:w="1566" w:type="dxa"/>
            <w:tcBorders>
              <w:top w:val="nil"/>
              <w:left w:val="nil"/>
              <w:bottom w:val="single" w:sz="8" w:space="0" w:color="auto"/>
              <w:right w:val="nil"/>
            </w:tcBorders>
            <w:shd w:val="clear" w:color="auto" w:fill="auto"/>
            <w:vAlign w:val="center"/>
          </w:tcPr>
          <w:p w14:paraId="3D1FCB3F"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c>
          <w:tcPr>
            <w:tcW w:w="1298" w:type="dxa"/>
            <w:tcBorders>
              <w:top w:val="nil"/>
              <w:left w:val="nil"/>
              <w:bottom w:val="single" w:sz="8" w:space="0" w:color="auto"/>
              <w:right w:val="nil"/>
            </w:tcBorders>
            <w:shd w:val="clear" w:color="auto" w:fill="auto"/>
            <w:vAlign w:val="center"/>
          </w:tcPr>
          <w:p w14:paraId="07C51066"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Positive</w:t>
            </w:r>
          </w:p>
        </w:tc>
        <w:tc>
          <w:tcPr>
            <w:tcW w:w="1301" w:type="dxa"/>
            <w:tcBorders>
              <w:top w:val="nil"/>
              <w:left w:val="nil"/>
              <w:bottom w:val="single" w:sz="8" w:space="0" w:color="auto"/>
              <w:right w:val="nil"/>
            </w:tcBorders>
            <w:shd w:val="clear" w:color="auto" w:fill="auto"/>
            <w:vAlign w:val="center"/>
          </w:tcPr>
          <w:p w14:paraId="2E12CABC"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40 (19.6%)</w:t>
            </w:r>
          </w:p>
        </w:tc>
        <w:tc>
          <w:tcPr>
            <w:tcW w:w="1514" w:type="dxa"/>
            <w:tcBorders>
              <w:top w:val="nil"/>
              <w:left w:val="nil"/>
              <w:bottom w:val="single" w:sz="8" w:space="0" w:color="auto"/>
              <w:right w:val="nil"/>
            </w:tcBorders>
            <w:shd w:val="clear" w:color="auto" w:fill="auto"/>
            <w:vAlign w:val="center"/>
          </w:tcPr>
          <w:p w14:paraId="21F8522F"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0 (0.0%)</w:t>
            </w:r>
            <w:r w:rsidRPr="003B7DD5">
              <w:rPr>
                <w:rFonts w:eastAsia="Calibri" w:cs="Arial"/>
                <w:color w:val="auto"/>
                <w:sz w:val="18"/>
                <w:vertAlign w:val="superscript"/>
              </w:rPr>
              <w:t xml:space="preserve"> a</w:t>
            </w:r>
          </w:p>
        </w:tc>
        <w:tc>
          <w:tcPr>
            <w:tcW w:w="1443" w:type="dxa"/>
            <w:tcBorders>
              <w:top w:val="nil"/>
              <w:left w:val="nil"/>
              <w:bottom w:val="single" w:sz="8" w:space="0" w:color="auto"/>
              <w:right w:val="nil"/>
            </w:tcBorders>
            <w:shd w:val="clear" w:color="auto" w:fill="auto"/>
            <w:vAlign w:val="center"/>
          </w:tcPr>
          <w:p w14:paraId="4E759E47"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40 (88.9%)</w:t>
            </w:r>
            <w:r w:rsidRPr="003B7DD5">
              <w:rPr>
                <w:rFonts w:eastAsia="Calibri" w:cs="Arial"/>
                <w:color w:val="auto"/>
                <w:sz w:val="18"/>
                <w:vertAlign w:val="superscript"/>
              </w:rPr>
              <w:t xml:space="preserve"> a</w:t>
            </w:r>
          </w:p>
        </w:tc>
        <w:tc>
          <w:tcPr>
            <w:tcW w:w="735" w:type="dxa"/>
            <w:tcBorders>
              <w:top w:val="nil"/>
              <w:left w:val="nil"/>
              <w:bottom w:val="single" w:sz="8" w:space="0" w:color="auto"/>
              <w:right w:val="nil"/>
            </w:tcBorders>
            <w:shd w:val="clear" w:color="auto" w:fill="auto"/>
            <w:vAlign w:val="center"/>
          </w:tcPr>
          <w:p w14:paraId="1145F565" w14:textId="77777777" w:rsidR="001A6175" w:rsidRPr="003B7DD5" w:rsidRDefault="001A6175" w:rsidP="003B7DD5">
            <w:pPr>
              <w:autoSpaceDE w:val="0"/>
              <w:autoSpaceDN w:val="0"/>
              <w:adjustRightInd w:val="0"/>
              <w:snapToGrid w:val="0"/>
              <w:spacing w:line="240" w:lineRule="auto"/>
              <w:jc w:val="center"/>
              <w:rPr>
                <w:rFonts w:eastAsia="Calibri" w:cs="Arial"/>
                <w:color w:val="auto"/>
                <w:sz w:val="18"/>
              </w:rPr>
            </w:pPr>
          </w:p>
        </w:tc>
      </w:tr>
    </w:tbl>
    <w:bookmarkEnd w:id="0"/>
    <w:bookmarkEnd w:id="1"/>
    <w:p w14:paraId="15D0E929" w14:textId="77777777" w:rsidR="001A6175" w:rsidRPr="003B7DD5" w:rsidRDefault="001A6175" w:rsidP="003B7DD5">
      <w:pPr>
        <w:pStyle w:val="MDPI43tablefooter"/>
        <w:ind w:left="0"/>
        <w:rPr>
          <w:color w:val="auto"/>
        </w:rPr>
      </w:pPr>
      <w:r w:rsidRPr="003B7DD5">
        <w:rPr>
          <w:color w:val="auto"/>
        </w:rPr>
        <w:t>SD: standard deviation. The p-value shows the significant differences observed for each variable between the proportions of bacteriologically confirmed TB patients and non-TB patients. (a) Column proportions that differ significantly with a p-value under 0.05 (in bold).</w:t>
      </w:r>
    </w:p>
    <w:p w14:paraId="0A8D7DD3" w14:textId="6C0C4250" w:rsidR="001A6175" w:rsidRPr="003B7DD5" w:rsidRDefault="21E03032" w:rsidP="003B7DD5">
      <w:pPr>
        <w:pStyle w:val="MDPI31text"/>
        <w:ind w:left="0"/>
        <w:rPr>
          <w:color w:val="auto"/>
        </w:rPr>
      </w:pPr>
      <w:r w:rsidRPr="003B7DD5">
        <w:rPr>
          <w:color w:val="auto"/>
        </w:rPr>
        <w:t xml:space="preserve">All 204 participants were tested with FujiLAM. Thirty-six (17.6%) were FujiLAM-positive, 164 (80.4%) FujiLAM-negative, and four (2.0%) had invalid results (Table 2). FujiLAM identified a similar proportion of bacteriologically confirmed individuals by HIV status and was positive in 30 (66.7%) of 45 patients with bacteriologically confirmed TB, including 23 (65.7%) of the 35 HIV-negative and seven (70%) of the ten HIV-positive patients (p = 0.56). Among the 159 participants with no-TB (culture and Xpert MTB/RIF negative), FujiLAM was positive in six (3.8%), invalid in four (2.5%) and negative in 149 (93.7%). Ninety-seven (99%) of 98 HIV-negative and 56 (93.3%) of 60 HIV-positive participants having negative/invalid FujiLAM results. Overall FujiLAM sensitivity and specificity were 66.7% (30/45) (95%CI </w:t>
      </w:r>
      <w:r w:rsidRPr="003B7DD5">
        <w:rPr>
          <w:rFonts w:eastAsia="Calibri"/>
          <w:color w:val="auto"/>
        </w:rPr>
        <w:t>51-80</w:t>
      </w:r>
      <w:r w:rsidRPr="003B7DD5">
        <w:rPr>
          <w:color w:val="auto"/>
        </w:rPr>
        <w:t xml:space="preserve">) and 96.2% (153/159) (95%CI </w:t>
      </w:r>
      <w:r w:rsidRPr="003B7DD5">
        <w:rPr>
          <w:rFonts w:eastAsia="Calibri"/>
          <w:color w:val="auto"/>
        </w:rPr>
        <w:t>92-98</w:t>
      </w:r>
      <w:r w:rsidRPr="003B7DD5">
        <w:rPr>
          <w:color w:val="auto"/>
        </w:rPr>
        <w:t xml:space="preserve">) among all participants, varying from 65.7% (95%CI </w:t>
      </w:r>
      <w:r w:rsidRPr="003B7DD5">
        <w:rPr>
          <w:rFonts w:eastAsia="Calibri"/>
          <w:color w:val="auto"/>
        </w:rPr>
        <w:t>48-80</w:t>
      </w:r>
      <w:r w:rsidRPr="003B7DD5">
        <w:rPr>
          <w:color w:val="auto"/>
        </w:rPr>
        <w:t xml:space="preserve">) and 99.0% (95%CI </w:t>
      </w:r>
      <w:r w:rsidRPr="003B7DD5">
        <w:rPr>
          <w:rFonts w:eastAsia="Calibri"/>
          <w:color w:val="auto"/>
        </w:rPr>
        <w:t>94-100</w:t>
      </w:r>
      <w:r w:rsidRPr="003B7DD5">
        <w:rPr>
          <w:color w:val="auto"/>
        </w:rPr>
        <w:t xml:space="preserve">) for HIV-negative and 70.0% (95%CI </w:t>
      </w:r>
      <w:r w:rsidRPr="003B7DD5">
        <w:rPr>
          <w:rFonts w:eastAsia="Calibri"/>
          <w:color w:val="auto"/>
        </w:rPr>
        <w:t>35-92</w:t>
      </w:r>
      <w:r w:rsidRPr="003B7DD5">
        <w:rPr>
          <w:color w:val="auto"/>
        </w:rPr>
        <w:t xml:space="preserve">) and 93.3% (95%CI </w:t>
      </w:r>
      <w:r w:rsidRPr="003B7DD5">
        <w:rPr>
          <w:rFonts w:eastAsia="Calibri"/>
          <w:color w:val="auto"/>
        </w:rPr>
        <w:t>83-98</w:t>
      </w:r>
      <w:r w:rsidRPr="003B7DD5">
        <w:rPr>
          <w:color w:val="auto"/>
        </w:rPr>
        <w:t xml:space="preserve">) for HIV-positive patients, respectively (Table 3). Positive and negative predictive values are also shown in Table 3 for patients with bacteriologically confirmed TB (Xpert or culture positive) and patients with </w:t>
      </w:r>
      <w:r w:rsidRPr="003B7DD5">
        <w:rPr>
          <w:i/>
          <w:iCs/>
          <w:color w:val="auto"/>
        </w:rPr>
        <w:t xml:space="preserve">No TB </w:t>
      </w:r>
      <w:r w:rsidRPr="003B7DD5">
        <w:rPr>
          <w:color w:val="auto"/>
        </w:rPr>
        <w:t>(Xpert and culture negative). The positive predictive value was higher among HIV-negative patients (96%) than HIV-positive (63%) and the negative predictive value was higher among HIV-positive (94%) than HIV-negative patients (89%). However, differences were not statistically significant.</w:t>
      </w:r>
    </w:p>
    <w:p w14:paraId="7120B668" w14:textId="77777777" w:rsidR="001A6175" w:rsidRPr="003B7DD5" w:rsidRDefault="001A6175" w:rsidP="001A6175">
      <w:pPr>
        <w:pStyle w:val="MDPI41tablecaption"/>
        <w:ind w:left="425" w:right="425"/>
        <w:jc w:val="center"/>
        <w:rPr>
          <w:color w:val="auto"/>
        </w:rPr>
      </w:pPr>
      <w:r w:rsidRPr="003B7DD5">
        <w:rPr>
          <w:b/>
          <w:color w:val="auto"/>
        </w:rPr>
        <w:t xml:space="preserve">Table 2. </w:t>
      </w:r>
      <w:r w:rsidRPr="003B7DD5">
        <w:rPr>
          <w:bCs/>
          <w:color w:val="auto"/>
        </w:rPr>
        <w:t>FujiLAM test</w:t>
      </w:r>
      <w:r w:rsidRPr="003B7DD5">
        <w:rPr>
          <w:color w:val="auto"/>
        </w:rPr>
        <w:t xml:space="preserve"> results by TB and HIV status.</w:t>
      </w:r>
    </w:p>
    <w:tbl>
      <w:tblPr>
        <w:tblStyle w:val="TableGrid"/>
        <w:tblW w:w="10465"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4"/>
        <w:gridCol w:w="1262"/>
        <w:gridCol w:w="1127"/>
        <w:gridCol w:w="878"/>
        <w:gridCol w:w="1262"/>
        <w:gridCol w:w="1134"/>
        <w:gridCol w:w="1134"/>
        <w:gridCol w:w="1127"/>
        <w:gridCol w:w="1287"/>
      </w:tblGrid>
      <w:tr w:rsidR="003B7DD5" w:rsidRPr="003B7DD5" w14:paraId="65AB0764" w14:textId="77777777" w:rsidTr="001A6175">
        <w:trPr>
          <w:jc w:val="center"/>
        </w:trPr>
        <w:tc>
          <w:tcPr>
            <w:tcW w:w="1254" w:type="dxa"/>
            <w:tcBorders>
              <w:top w:val="single" w:sz="8" w:space="0" w:color="auto"/>
              <w:left w:val="nil"/>
              <w:bottom w:val="nil"/>
              <w:right w:val="nil"/>
            </w:tcBorders>
            <w:shd w:val="clear" w:color="auto" w:fill="auto"/>
            <w:vAlign w:val="center"/>
          </w:tcPr>
          <w:p w14:paraId="0F029AD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bookmarkStart w:id="3" w:name="_Hlk55275985"/>
          </w:p>
        </w:tc>
        <w:tc>
          <w:tcPr>
            <w:tcW w:w="3267" w:type="dxa"/>
            <w:gridSpan w:val="3"/>
            <w:tcBorders>
              <w:top w:val="single" w:sz="8" w:space="0" w:color="auto"/>
              <w:left w:val="nil"/>
              <w:bottom w:val="single" w:sz="4" w:space="0" w:color="auto"/>
              <w:right w:val="nil"/>
            </w:tcBorders>
            <w:shd w:val="clear" w:color="auto" w:fill="auto"/>
            <w:vAlign w:val="center"/>
          </w:tcPr>
          <w:p w14:paraId="71F9C7BF" w14:textId="77777777" w:rsidR="001A6175" w:rsidRPr="003B7DD5" w:rsidRDefault="001A6175" w:rsidP="001A617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All</w:t>
            </w:r>
          </w:p>
        </w:tc>
        <w:tc>
          <w:tcPr>
            <w:tcW w:w="2396" w:type="dxa"/>
            <w:gridSpan w:val="2"/>
            <w:tcBorders>
              <w:top w:val="single" w:sz="8" w:space="0" w:color="auto"/>
              <w:left w:val="nil"/>
              <w:bottom w:val="single" w:sz="4" w:space="0" w:color="auto"/>
              <w:right w:val="nil"/>
            </w:tcBorders>
            <w:shd w:val="clear" w:color="auto" w:fill="auto"/>
            <w:vAlign w:val="center"/>
          </w:tcPr>
          <w:p w14:paraId="1670CE58" w14:textId="77777777" w:rsidR="001A6175" w:rsidRPr="003B7DD5" w:rsidDel="005917AB"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b/>
                <w:bCs/>
                <w:color w:val="auto"/>
                <w:sz w:val="18"/>
              </w:rPr>
              <w:t>HIV-negative</w:t>
            </w:r>
          </w:p>
        </w:tc>
        <w:tc>
          <w:tcPr>
            <w:tcW w:w="3548" w:type="dxa"/>
            <w:gridSpan w:val="3"/>
            <w:tcBorders>
              <w:top w:val="single" w:sz="8" w:space="0" w:color="auto"/>
              <w:left w:val="nil"/>
              <w:bottom w:val="single" w:sz="4" w:space="0" w:color="auto"/>
              <w:right w:val="nil"/>
            </w:tcBorders>
            <w:shd w:val="clear" w:color="auto" w:fill="auto"/>
            <w:vAlign w:val="center"/>
          </w:tcPr>
          <w:p w14:paraId="00A8C570" w14:textId="77777777" w:rsidR="001A6175" w:rsidRPr="003B7DD5" w:rsidRDefault="001A6175" w:rsidP="001A6175">
            <w:pPr>
              <w:autoSpaceDE w:val="0"/>
              <w:autoSpaceDN w:val="0"/>
              <w:adjustRightInd w:val="0"/>
              <w:snapToGrid w:val="0"/>
              <w:spacing w:line="240" w:lineRule="auto"/>
              <w:jc w:val="center"/>
              <w:rPr>
                <w:rFonts w:eastAsia="Calibri" w:cs="Arial"/>
                <w:b/>
                <w:bCs/>
                <w:color w:val="auto"/>
                <w:sz w:val="18"/>
              </w:rPr>
            </w:pPr>
            <w:r w:rsidRPr="003B7DD5">
              <w:rPr>
                <w:rFonts w:eastAsia="Calibri" w:cs="Arial"/>
                <w:b/>
                <w:bCs/>
                <w:color w:val="auto"/>
                <w:sz w:val="18"/>
              </w:rPr>
              <w:t>HIV-positive</w:t>
            </w:r>
          </w:p>
        </w:tc>
      </w:tr>
      <w:tr w:rsidR="003B7DD5" w:rsidRPr="003B7DD5" w14:paraId="39C6D15B" w14:textId="77777777" w:rsidTr="001A6175">
        <w:trPr>
          <w:jc w:val="center"/>
        </w:trPr>
        <w:tc>
          <w:tcPr>
            <w:tcW w:w="1254" w:type="dxa"/>
            <w:tcBorders>
              <w:top w:val="nil"/>
              <w:left w:val="nil"/>
              <w:bottom w:val="single" w:sz="4" w:space="0" w:color="auto"/>
              <w:right w:val="nil"/>
            </w:tcBorders>
            <w:shd w:val="clear" w:color="auto" w:fill="auto"/>
            <w:vAlign w:val="center"/>
          </w:tcPr>
          <w:p w14:paraId="6D477FE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FujiLAM</w:t>
            </w:r>
          </w:p>
        </w:tc>
        <w:tc>
          <w:tcPr>
            <w:tcW w:w="1262" w:type="dxa"/>
            <w:tcBorders>
              <w:top w:val="single" w:sz="4" w:space="0" w:color="auto"/>
              <w:left w:val="nil"/>
              <w:bottom w:val="single" w:sz="4" w:space="0" w:color="auto"/>
              <w:right w:val="nil"/>
            </w:tcBorders>
            <w:shd w:val="clear" w:color="auto" w:fill="auto"/>
            <w:vAlign w:val="center"/>
          </w:tcPr>
          <w:p w14:paraId="6B0216B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Negative</w:t>
            </w:r>
          </w:p>
          <w:p w14:paraId="4A2EFA1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1127" w:type="dxa"/>
            <w:tcBorders>
              <w:top w:val="single" w:sz="4" w:space="0" w:color="auto"/>
              <w:left w:val="nil"/>
              <w:bottom w:val="single" w:sz="4" w:space="0" w:color="auto"/>
              <w:right w:val="nil"/>
            </w:tcBorders>
            <w:shd w:val="clear" w:color="auto" w:fill="auto"/>
            <w:vAlign w:val="center"/>
          </w:tcPr>
          <w:p w14:paraId="073D55C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Positive</w:t>
            </w:r>
          </w:p>
          <w:p w14:paraId="571115E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878" w:type="dxa"/>
            <w:tcBorders>
              <w:top w:val="single" w:sz="4" w:space="0" w:color="auto"/>
              <w:left w:val="nil"/>
              <w:bottom w:val="single" w:sz="4" w:space="0" w:color="auto"/>
              <w:right w:val="nil"/>
            </w:tcBorders>
            <w:shd w:val="clear" w:color="auto" w:fill="auto"/>
            <w:vAlign w:val="center"/>
          </w:tcPr>
          <w:p w14:paraId="4581170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Invalid</w:t>
            </w:r>
          </w:p>
          <w:p w14:paraId="045C590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1262" w:type="dxa"/>
            <w:tcBorders>
              <w:top w:val="single" w:sz="4" w:space="0" w:color="auto"/>
              <w:left w:val="nil"/>
              <w:bottom w:val="single" w:sz="4" w:space="0" w:color="auto"/>
              <w:right w:val="nil"/>
            </w:tcBorders>
            <w:shd w:val="clear" w:color="auto" w:fill="auto"/>
            <w:vAlign w:val="center"/>
          </w:tcPr>
          <w:p w14:paraId="65D04F5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Negative</w:t>
            </w:r>
          </w:p>
          <w:p w14:paraId="037F8DE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1134" w:type="dxa"/>
            <w:tcBorders>
              <w:top w:val="single" w:sz="4" w:space="0" w:color="auto"/>
              <w:left w:val="nil"/>
              <w:bottom w:val="single" w:sz="4" w:space="0" w:color="auto"/>
              <w:right w:val="nil"/>
            </w:tcBorders>
            <w:shd w:val="clear" w:color="auto" w:fill="auto"/>
            <w:vAlign w:val="center"/>
          </w:tcPr>
          <w:p w14:paraId="4F728DB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Positive</w:t>
            </w:r>
          </w:p>
          <w:p w14:paraId="78B44A7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1134" w:type="dxa"/>
            <w:tcBorders>
              <w:top w:val="single" w:sz="4" w:space="0" w:color="auto"/>
              <w:left w:val="nil"/>
              <w:bottom w:val="single" w:sz="4" w:space="0" w:color="auto"/>
              <w:right w:val="nil"/>
            </w:tcBorders>
            <w:shd w:val="clear" w:color="auto" w:fill="auto"/>
            <w:vAlign w:val="center"/>
          </w:tcPr>
          <w:p w14:paraId="3798FFD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Negative</w:t>
            </w:r>
          </w:p>
          <w:p w14:paraId="039C6BE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1127" w:type="dxa"/>
            <w:tcBorders>
              <w:top w:val="single" w:sz="4" w:space="0" w:color="auto"/>
              <w:left w:val="nil"/>
              <w:bottom w:val="single" w:sz="4" w:space="0" w:color="auto"/>
              <w:right w:val="nil"/>
            </w:tcBorders>
            <w:shd w:val="clear" w:color="auto" w:fill="auto"/>
            <w:vAlign w:val="center"/>
          </w:tcPr>
          <w:p w14:paraId="22E4FDC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Positive</w:t>
            </w:r>
          </w:p>
          <w:p w14:paraId="45E861E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n (%)</w:t>
            </w:r>
          </w:p>
        </w:tc>
        <w:tc>
          <w:tcPr>
            <w:tcW w:w="1287" w:type="dxa"/>
            <w:tcBorders>
              <w:top w:val="single" w:sz="4" w:space="0" w:color="auto"/>
              <w:left w:val="nil"/>
              <w:bottom w:val="single" w:sz="4" w:space="0" w:color="auto"/>
              <w:right w:val="nil"/>
            </w:tcBorders>
            <w:shd w:val="clear" w:color="auto" w:fill="auto"/>
            <w:vAlign w:val="center"/>
          </w:tcPr>
          <w:p w14:paraId="7EFFE37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Invalid n (%)</w:t>
            </w:r>
          </w:p>
        </w:tc>
      </w:tr>
      <w:tr w:rsidR="003B7DD5" w:rsidRPr="003B7DD5" w14:paraId="493436C2" w14:textId="77777777" w:rsidTr="001A6175">
        <w:trPr>
          <w:jc w:val="center"/>
        </w:trPr>
        <w:tc>
          <w:tcPr>
            <w:tcW w:w="1254" w:type="dxa"/>
            <w:tcBorders>
              <w:top w:val="single" w:sz="4" w:space="0" w:color="auto"/>
              <w:left w:val="nil"/>
              <w:bottom w:val="nil"/>
              <w:right w:val="nil"/>
            </w:tcBorders>
            <w:shd w:val="clear" w:color="auto" w:fill="auto"/>
            <w:vAlign w:val="center"/>
          </w:tcPr>
          <w:p w14:paraId="1B5A6AA6" w14:textId="77777777" w:rsidR="001A6175" w:rsidRPr="003B7DD5" w:rsidRDefault="001A6175" w:rsidP="001A6175">
            <w:pPr>
              <w:autoSpaceDE w:val="0"/>
              <w:autoSpaceDN w:val="0"/>
              <w:adjustRightInd w:val="0"/>
              <w:snapToGrid w:val="0"/>
              <w:spacing w:line="240" w:lineRule="auto"/>
              <w:jc w:val="center"/>
              <w:rPr>
                <w:rFonts w:eastAsia="Calibri" w:cs="Arial"/>
                <w:i/>
                <w:iCs/>
                <w:color w:val="auto"/>
                <w:sz w:val="18"/>
              </w:rPr>
            </w:pPr>
            <w:r w:rsidRPr="003B7DD5">
              <w:rPr>
                <w:rFonts w:eastAsia="Calibri" w:cs="Arial"/>
                <w:b/>
                <w:bCs/>
                <w:color w:val="auto"/>
                <w:sz w:val="18"/>
              </w:rPr>
              <w:t>Bact + TB</w:t>
            </w:r>
            <w:r w:rsidRPr="003B7DD5">
              <w:rPr>
                <w:rFonts w:eastAsia="Calibri" w:cs="Arial"/>
                <w:color w:val="auto"/>
                <w:sz w:val="18"/>
                <w:vertAlign w:val="superscript"/>
              </w:rPr>
              <w:t xml:space="preserve"> a</w:t>
            </w:r>
            <w:r w:rsidRPr="003B7DD5" w:rsidDel="0001116D">
              <w:rPr>
                <w:rFonts w:eastAsia="Calibri" w:cs="Arial"/>
                <w:b/>
                <w:bCs/>
                <w:color w:val="auto"/>
                <w:sz w:val="18"/>
              </w:rPr>
              <w:t xml:space="preserve"> </w:t>
            </w:r>
          </w:p>
        </w:tc>
        <w:tc>
          <w:tcPr>
            <w:tcW w:w="1262" w:type="dxa"/>
            <w:tcBorders>
              <w:top w:val="single" w:sz="4" w:space="0" w:color="auto"/>
              <w:left w:val="nil"/>
              <w:bottom w:val="nil"/>
              <w:right w:val="nil"/>
            </w:tcBorders>
            <w:shd w:val="clear" w:color="auto" w:fill="auto"/>
            <w:vAlign w:val="center"/>
          </w:tcPr>
          <w:p w14:paraId="76BA2CEE"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15 (33.3%)</w:t>
            </w:r>
          </w:p>
        </w:tc>
        <w:tc>
          <w:tcPr>
            <w:tcW w:w="1127" w:type="dxa"/>
            <w:tcBorders>
              <w:top w:val="single" w:sz="4" w:space="0" w:color="auto"/>
              <w:left w:val="nil"/>
              <w:bottom w:val="nil"/>
              <w:right w:val="nil"/>
            </w:tcBorders>
            <w:shd w:val="clear" w:color="auto" w:fill="auto"/>
            <w:vAlign w:val="center"/>
          </w:tcPr>
          <w:p w14:paraId="5F5AA35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30 (66.7%)</w:t>
            </w:r>
          </w:p>
        </w:tc>
        <w:tc>
          <w:tcPr>
            <w:tcW w:w="878" w:type="dxa"/>
            <w:tcBorders>
              <w:top w:val="single" w:sz="4" w:space="0" w:color="auto"/>
              <w:left w:val="nil"/>
              <w:bottom w:val="nil"/>
              <w:right w:val="nil"/>
            </w:tcBorders>
            <w:shd w:val="clear" w:color="auto" w:fill="auto"/>
            <w:vAlign w:val="center"/>
          </w:tcPr>
          <w:p w14:paraId="333A1F3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top w:val="single" w:sz="4" w:space="0" w:color="auto"/>
              <w:left w:val="nil"/>
              <w:bottom w:val="nil"/>
              <w:right w:val="nil"/>
            </w:tcBorders>
            <w:shd w:val="clear" w:color="auto" w:fill="auto"/>
            <w:vAlign w:val="center"/>
          </w:tcPr>
          <w:p w14:paraId="57CB970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12 (34.3%)</w:t>
            </w:r>
          </w:p>
        </w:tc>
        <w:tc>
          <w:tcPr>
            <w:tcW w:w="1134" w:type="dxa"/>
            <w:tcBorders>
              <w:top w:val="single" w:sz="4" w:space="0" w:color="auto"/>
              <w:left w:val="nil"/>
              <w:bottom w:val="nil"/>
              <w:right w:val="nil"/>
            </w:tcBorders>
            <w:shd w:val="clear" w:color="auto" w:fill="auto"/>
            <w:vAlign w:val="center"/>
          </w:tcPr>
          <w:p w14:paraId="386DEDE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23 (65.7%)</w:t>
            </w:r>
          </w:p>
        </w:tc>
        <w:tc>
          <w:tcPr>
            <w:tcW w:w="1134" w:type="dxa"/>
            <w:tcBorders>
              <w:top w:val="single" w:sz="4" w:space="0" w:color="auto"/>
              <w:left w:val="nil"/>
              <w:bottom w:val="nil"/>
              <w:right w:val="nil"/>
            </w:tcBorders>
            <w:shd w:val="clear" w:color="auto" w:fill="auto"/>
            <w:vAlign w:val="center"/>
          </w:tcPr>
          <w:p w14:paraId="6C4C117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(30.0%)</w:t>
            </w:r>
          </w:p>
        </w:tc>
        <w:tc>
          <w:tcPr>
            <w:tcW w:w="1127" w:type="dxa"/>
            <w:tcBorders>
              <w:top w:val="single" w:sz="4" w:space="0" w:color="auto"/>
              <w:left w:val="nil"/>
              <w:bottom w:val="nil"/>
              <w:right w:val="nil"/>
            </w:tcBorders>
            <w:shd w:val="clear" w:color="auto" w:fill="auto"/>
            <w:vAlign w:val="center"/>
          </w:tcPr>
          <w:p w14:paraId="3D466FE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7 (70.0%)</w:t>
            </w:r>
          </w:p>
        </w:tc>
        <w:tc>
          <w:tcPr>
            <w:tcW w:w="1287" w:type="dxa"/>
            <w:tcBorders>
              <w:top w:val="single" w:sz="4" w:space="0" w:color="auto"/>
              <w:left w:val="nil"/>
              <w:bottom w:val="nil"/>
              <w:right w:val="nil"/>
            </w:tcBorders>
            <w:shd w:val="clear" w:color="auto" w:fill="auto"/>
            <w:vAlign w:val="center"/>
          </w:tcPr>
          <w:p w14:paraId="523EAB0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04E10244" w14:textId="77777777" w:rsidTr="001A6175">
        <w:trPr>
          <w:jc w:val="center"/>
        </w:trPr>
        <w:tc>
          <w:tcPr>
            <w:tcW w:w="1254" w:type="dxa"/>
            <w:tcBorders>
              <w:top w:val="nil"/>
              <w:left w:val="nil"/>
              <w:bottom w:val="nil"/>
              <w:right w:val="nil"/>
            </w:tcBorders>
            <w:shd w:val="clear" w:color="auto" w:fill="auto"/>
            <w:vAlign w:val="center"/>
          </w:tcPr>
          <w:p w14:paraId="73259D0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(B+) male</w:t>
            </w:r>
          </w:p>
        </w:tc>
        <w:tc>
          <w:tcPr>
            <w:tcW w:w="1262" w:type="dxa"/>
            <w:tcBorders>
              <w:top w:val="nil"/>
              <w:left w:val="nil"/>
              <w:bottom w:val="nil"/>
              <w:right w:val="nil"/>
            </w:tcBorders>
            <w:shd w:val="clear" w:color="auto" w:fill="auto"/>
            <w:vAlign w:val="center"/>
          </w:tcPr>
          <w:p w14:paraId="0506B6C5"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9 (34.6%)</w:t>
            </w:r>
          </w:p>
        </w:tc>
        <w:tc>
          <w:tcPr>
            <w:tcW w:w="1127" w:type="dxa"/>
            <w:tcBorders>
              <w:top w:val="nil"/>
              <w:left w:val="nil"/>
              <w:bottom w:val="nil"/>
              <w:right w:val="nil"/>
            </w:tcBorders>
            <w:shd w:val="clear" w:color="auto" w:fill="auto"/>
            <w:vAlign w:val="center"/>
          </w:tcPr>
          <w:p w14:paraId="6D9E5C2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17 (65.4%)</w:t>
            </w:r>
          </w:p>
        </w:tc>
        <w:tc>
          <w:tcPr>
            <w:tcW w:w="878" w:type="dxa"/>
            <w:tcBorders>
              <w:top w:val="nil"/>
              <w:left w:val="nil"/>
              <w:bottom w:val="nil"/>
              <w:right w:val="nil"/>
            </w:tcBorders>
            <w:shd w:val="clear" w:color="auto" w:fill="auto"/>
            <w:vAlign w:val="center"/>
          </w:tcPr>
          <w:p w14:paraId="6F4189D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top w:val="nil"/>
              <w:left w:val="nil"/>
              <w:bottom w:val="nil"/>
              <w:right w:val="nil"/>
            </w:tcBorders>
            <w:shd w:val="clear" w:color="auto" w:fill="auto"/>
            <w:vAlign w:val="center"/>
          </w:tcPr>
          <w:p w14:paraId="4053243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7 (35.0%)</w:t>
            </w:r>
          </w:p>
        </w:tc>
        <w:tc>
          <w:tcPr>
            <w:tcW w:w="1134" w:type="dxa"/>
            <w:tcBorders>
              <w:top w:val="nil"/>
              <w:left w:val="nil"/>
              <w:bottom w:val="nil"/>
              <w:right w:val="nil"/>
            </w:tcBorders>
            <w:shd w:val="clear" w:color="auto" w:fill="auto"/>
            <w:vAlign w:val="center"/>
          </w:tcPr>
          <w:p w14:paraId="50A1946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13 (65.0%)</w:t>
            </w:r>
          </w:p>
        </w:tc>
        <w:tc>
          <w:tcPr>
            <w:tcW w:w="1134" w:type="dxa"/>
            <w:tcBorders>
              <w:top w:val="nil"/>
              <w:left w:val="nil"/>
              <w:bottom w:val="nil"/>
              <w:right w:val="nil"/>
            </w:tcBorders>
            <w:shd w:val="clear" w:color="auto" w:fill="auto"/>
            <w:vAlign w:val="center"/>
          </w:tcPr>
          <w:p w14:paraId="61C7B46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(33.3%)</w:t>
            </w:r>
          </w:p>
        </w:tc>
        <w:tc>
          <w:tcPr>
            <w:tcW w:w="1127" w:type="dxa"/>
            <w:tcBorders>
              <w:top w:val="nil"/>
              <w:left w:val="nil"/>
              <w:bottom w:val="nil"/>
              <w:right w:val="nil"/>
            </w:tcBorders>
            <w:shd w:val="clear" w:color="auto" w:fill="auto"/>
            <w:vAlign w:val="center"/>
          </w:tcPr>
          <w:p w14:paraId="45616E1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(66.7%)</w:t>
            </w:r>
          </w:p>
        </w:tc>
        <w:tc>
          <w:tcPr>
            <w:tcW w:w="1287" w:type="dxa"/>
            <w:tcBorders>
              <w:top w:val="nil"/>
              <w:left w:val="nil"/>
              <w:bottom w:val="nil"/>
              <w:right w:val="nil"/>
            </w:tcBorders>
            <w:shd w:val="clear" w:color="auto" w:fill="auto"/>
            <w:vAlign w:val="center"/>
          </w:tcPr>
          <w:p w14:paraId="45CA81C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highlight w:val="yellow"/>
              </w:rPr>
            </w:pPr>
            <w:r w:rsidRPr="003B7DD5">
              <w:rPr>
                <w:rFonts w:cs="Arial"/>
                <w:color w:val="auto"/>
                <w:sz w:val="18"/>
              </w:rPr>
              <w:t>0 (0.0%)</w:t>
            </w:r>
          </w:p>
        </w:tc>
      </w:tr>
      <w:tr w:rsidR="003B7DD5" w:rsidRPr="003B7DD5" w14:paraId="0B75FCBB" w14:textId="77777777" w:rsidTr="001A6175">
        <w:trPr>
          <w:jc w:val="center"/>
        </w:trPr>
        <w:tc>
          <w:tcPr>
            <w:tcW w:w="1254" w:type="dxa"/>
            <w:tcBorders>
              <w:top w:val="nil"/>
              <w:left w:val="nil"/>
              <w:bottom w:val="nil"/>
              <w:right w:val="nil"/>
            </w:tcBorders>
            <w:shd w:val="clear" w:color="auto" w:fill="auto"/>
            <w:vAlign w:val="center"/>
          </w:tcPr>
          <w:p w14:paraId="472097C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(B+) female</w:t>
            </w:r>
          </w:p>
        </w:tc>
        <w:tc>
          <w:tcPr>
            <w:tcW w:w="1262" w:type="dxa"/>
            <w:tcBorders>
              <w:top w:val="nil"/>
              <w:left w:val="nil"/>
              <w:bottom w:val="nil"/>
              <w:right w:val="nil"/>
            </w:tcBorders>
            <w:shd w:val="clear" w:color="auto" w:fill="auto"/>
            <w:vAlign w:val="center"/>
          </w:tcPr>
          <w:p w14:paraId="486CC76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6 (31.6%)</w:t>
            </w:r>
          </w:p>
        </w:tc>
        <w:tc>
          <w:tcPr>
            <w:tcW w:w="1127" w:type="dxa"/>
            <w:tcBorders>
              <w:top w:val="nil"/>
              <w:left w:val="nil"/>
              <w:bottom w:val="nil"/>
              <w:right w:val="nil"/>
            </w:tcBorders>
            <w:shd w:val="clear" w:color="auto" w:fill="auto"/>
            <w:vAlign w:val="center"/>
          </w:tcPr>
          <w:p w14:paraId="10298C4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13 (68.4%)</w:t>
            </w:r>
          </w:p>
        </w:tc>
        <w:tc>
          <w:tcPr>
            <w:tcW w:w="878" w:type="dxa"/>
            <w:tcBorders>
              <w:top w:val="nil"/>
              <w:left w:val="nil"/>
              <w:bottom w:val="nil"/>
              <w:right w:val="nil"/>
            </w:tcBorders>
            <w:shd w:val="clear" w:color="auto" w:fill="auto"/>
            <w:vAlign w:val="center"/>
          </w:tcPr>
          <w:p w14:paraId="24F7A14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top w:val="nil"/>
              <w:left w:val="nil"/>
              <w:bottom w:val="nil"/>
              <w:right w:val="nil"/>
            </w:tcBorders>
            <w:shd w:val="clear" w:color="auto" w:fill="auto"/>
            <w:vAlign w:val="center"/>
          </w:tcPr>
          <w:p w14:paraId="4AF271E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 (33.3%)</w:t>
            </w:r>
          </w:p>
        </w:tc>
        <w:tc>
          <w:tcPr>
            <w:tcW w:w="1134" w:type="dxa"/>
            <w:tcBorders>
              <w:top w:val="nil"/>
              <w:left w:val="nil"/>
              <w:bottom w:val="nil"/>
              <w:right w:val="nil"/>
            </w:tcBorders>
            <w:shd w:val="clear" w:color="auto" w:fill="auto"/>
            <w:vAlign w:val="center"/>
          </w:tcPr>
          <w:p w14:paraId="5207F68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10 (66.7%)</w:t>
            </w:r>
          </w:p>
        </w:tc>
        <w:tc>
          <w:tcPr>
            <w:tcW w:w="1134" w:type="dxa"/>
            <w:tcBorders>
              <w:top w:val="nil"/>
              <w:left w:val="nil"/>
              <w:bottom w:val="nil"/>
              <w:right w:val="nil"/>
            </w:tcBorders>
            <w:shd w:val="clear" w:color="auto" w:fill="auto"/>
            <w:vAlign w:val="center"/>
          </w:tcPr>
          <w:p w14:paraId="168A0D9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 (25.0%)</w:t>
            </w:r>
          </w:p>
        </w:tc>
        <w:tc>
          <w:tcPr>
            <w:tcW w:w="1127" w:type="dxa"/>
            <w:tcBorders>
              <w:top w:val="nil"/>
              <w:left w:val="nil"/>
              <w:bottom w:val="nil"/>
              <w:right w:val="nil"/>
            </w:tcBorders>
            <w:shd w:val="clear" w:color="auto" w:fill="auto"/>
            <w:vAlign w:val="center"/>
          </w:tcPr>
          <w:p w14:paraId="4938EEB7"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(75.0%)</w:t>
            </w:r>
          </w:p>
        </w:tc>
        <w:tc>
          <w:tcPr>
            <w:tcW w:w="1287" w:type="dxa"/>
            <w:tcBorders>
              <w:top w:val="nil"/>
              <w:left w:val="nil"/>
              <w:bottom w:val="nil"/>
              <w:right w:val="nil"/>
            </w:tcBorders>
            <w:shd w:val="clear" w:color="auto" w:fill="auto"/>
            <w:vAlign w:val="center"/>
          </w:tcPr>
          <w:p w14:paraId="282AC28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6343F251" w14:textId="77777777" w:rsidTr="001A6175">
        <w:trPr>
          <w:jc w:val="center"/>
        </w:trPr>
        <w:tc>
          <w:tcPr>
            <w:tcW w:w="1254" w:type="dxa"/>
            <w:tcBorders>
              <w:top w:val="nil"/>
              <w:left w:val="nil"/>
              <w:bottom w:val="nil"/>
              <w:right w:val="nil"/>
            </w:tcBorders>
            <w:shd w:val="clear" w:color="auto" w:fill="auto"/>
            <w:vAlign w:val="center"/>
          </w:tcPr>
          <w:p w14:paraId="486D482E"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Culture pos</w:t>
            </w:r>
          </w:p>
        </w:tc>
        <w:tc>
          <w:tcPr>
            <w:tcW w:w="1262" w:type="dxa"/>
            <w:tcBorders>
              <w:top w:val="nil"/>
              <w:left w:val="nil"/>
              <w:bottom w:val="nil"/>
              <w:right w:val="nil"/>
            </w:tcBorders>
            <w:shd w:val="clear" w:color="auto" w:fill="auto"/>
            <w:vAlign w:val="center"/>
          </w:tcPr>
          <w:p w14:paraId="2376FA0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11 (29.7%)</w:t>
            </w:r>
          </w:p>
        </w:tc>
        <w:tc>
          <w:tcPr>
            <w:tcW w:w="1127" w:type="dxa"/>
            <w:tcBorders>
              <w:top w:val="nil"/>
              <w:left w:val="nil"/>
              <w:bottom w:val="nil"/>
              <w:right w:val="nil"/>
            </w:tcBorders>
            <w:shd w:val="clear" w:color="auto" w:fill="auto"/>
            <w:vAlign w:val="center"/>
          </w:tcPr>
          <w:p w14:paraId="2662DF4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26 (70.3%)</w:t>
            </w:r>
          </w:p>
        </w:tc>
        <w:tc>
          <w:tcPr>
            <w:tcW w:w="878" w:type="dxa"/>
            <w:tcBorders>
              <w:top w:val="nil"/>
              <w:left w:val="nil"/>
              <w:bottom w:val="nil"/>
              <w:right w:val="nil"/>
            </w:tcBorders>
            <w:shd w:val="clear" w:color="auto" w:fill="auto"/>
            <w:vAlign w:val="center"/>
          </w:tcPr>
          <w:p w14:paraId="3A1C3627"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top w:val="nil"/>
              <w:left w:val="nil"/>
              <w:bottom w:val="nil"/>
              <w:right w:val="nil"/>
            </w:tcBorders>
            <w:shd w:val="clear" w:color="auto" w:fill="auto"/>
            <w:vAlign w:val="center"/>
          </w:tcPr>
          <w:p w14:paraId="6756591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9 (30.0%)</w:t>
            </w:r>
          </w:p>
        </w:tc>
        <w:tc>
          <w:tcPr>
            <w:tcW w:w="1134" w:type="dxa"/>
            <w:tcBorders>
              <w:top w:val="nil"/>
              <w:left w:val="nil"/>
              <w:bottom w:val="nil"/>
              <w:right w:val="nil"/>
            </w:tcBorders>
            <w:shd w:val="clear" w:color="auto" w:fill="auto"/>
            <w:vAlign w:val="center"/>
          </w:tcPr>
          <w:p w14:paraId="76A3FEB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21 (70.0%)</w:t>
            </w:r>
          </w:p>
        </w:tc>
        <w:tc>
          <w:tcPr>
            <w:tcW w:w="1134" w:type="dxa"/>
            <w:tcBorders>
              <w:top w:val="nil"/>
              <w:left w:val="nil"/>
              <w:bottom w:val="nil"/>
              <w:right w:val="nil"/>
            </w:tcBorders>
            <w:shd w:val="clear" w:color="auto" w:fill="auto"/>
            <w:vAlign w:val="center"/>
          </w:tcPr>
          <w:p w14:paraId="0C70E53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(28.6%)</w:t>
            </w:r>
          </w:p>
        </w:tc>
        <w:tc>
          <w:tcPr>
            <w:tcW w:w="1127" w:type="dxa"/>
            <w:tcBorders>
              <w:top w:val="nil"/>
              <w:left w:val="nil"/>
              <w:bottom w:val="nil"/>
              <w:right w:val="nil"/>
            </w:tcBorders>
            <w:shd w:val="clear" w:color="auto" w:fill="auto"/>
            <w:vAlign w:val="center"/>
          </w:tcPr>
          <w:p w14:paraId="6216445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 (71.4%)</w:t>
            </w:r>
          </w:p>
        </w:tc>
        <w:tc>
          <w:tcPr>
            <w:tcW w:w="1287" w:type="dxa"/>
            <w:tcBorders>
              <w:top w:val="nil"/>
              <w:left w:val="nil"/>
              <w:bottom w:val="nil"/>
              <w:right w:val="nil"/>
            </w:tcBorders>
            <w:shd w:val="clear" w:color="auto" w:fill="auto"/>
            <w:vAlign w:val="center"/>
          </w:tcPr>
          <w:p w14:paraId="0B47F9B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76AFFBC1" w14:textId="77777777" w:rsidTr="001A6175">
        <w:trPr>
          <w:jc w:val="center"/>
        </w:trPr>
        <w:tc>
          <w:tcPr>
            <w:tcW w:w="1254" w:type="dxa"/>
            <w:tcBorders>
              <w:top w:val="nil"/>
              <w:left w:val="nil"/>
              <w:right w:val="nil"/>
            </w:tcBorders>
            <w:shd w:val="clear" w:color="auto" w:fill="auto"/>
            <w:vAlign w:val="center"/>
          </w:tcPr>
          <w:p w14:paraId="40B3EB8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Xpert pos</w:t>
            </w:r>
          </w:p>
        </w:tc>
        <w:tc>
          <w:tcPr>
            <w:tcW w:w="1262" w:type="dxa"/>
            <w:tcBorders>
              <w:top w:val="nil"/>
              <w:left w:val="nil"/>
              <w:right w:val="nil"/>
            </w:tcBorders>
            <w:shd w:val="clear" w:color="auto" w:fill="auto"/>
            <w:vAlign w:val="center"/>
          </w:tcPr>
          <w:p w14:paraId="515FC60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11 (27.5%)</w:t>
            </w:r>
          </w:p>
        </w:tc>
        <w:tc>
          <w:tcPr>
            <w:tcW w:w="1127" w:type="dxa"/>
            <w:tcBorders>
              <w:top w:val="nil"/>
              <w:left w:val="nil"/>
              <w:right w:val="nil"/>
            </w:tcBorders>
            <w:shd w:val="clear" w:color="auto" w:fill="auto"/>
            <w:vAlign w:val="center"/>
          </w:tcPr>
          <w:p w14:paraId="623BE90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29 (72.5%)</w:t>
            </w:r>
          </w:p>
        </w:tc>
        <w:tc>
          <w:tcPr>
            <w:tcW w:w="878" w:type="dxa"/>
            <w:tcBorders>
              <w:top w:val="nil"/>
              <w:left w:val="nil"/>
              <w:right w:val="nil"/>
            </w:tcBorders>
            <w:shd w:val="clear" w:color="auto" w:fill="auto"/>
            <w:vAlign w:val="center"/>
          </w:tcPr>
          <w:p w14:paraId="2F67BB7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top w:val="nil"/>
              <w:left w:val="nil"/>
              <w:right w:val="nil"/>
            </w:tcBorders>
            <w:shd w:val="clear" w:color="auto" w:fill="auto"/>
            <w:vAlign w:val="center"/>
          </w:tcPr>
          <w:p w14:paraId="39906D3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11 (32.4%)</w:t>
            </w:r>
          </w:p>
        </w:tc>
        <w:tc>
          <w:tcPr>
            <w:tcW w:w="1134" w:type="dxa"/>
            <w:tcBorders>
              <w:top w:val="nil"/>
              <w:left w:val="nil"/>
              <w:right w:val="nil"/>
            </w:tcBorders>
            <w:shd w:val="clear" w:color="auto" w:fill="auto"/>
            <w:vAlign w:val="center"/>
          </w:tcPr>
          <w:p w14:paraId="74BBE49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23 (67.6%)</w:t>
            </w:r>
          </w:p>
        </w:tc>
        <w:tc>
          <w:tcPr>
            <w:tcW w:w="1134" w:type="dxa"/>
            <w:tcBorders>
              <w:top w:val="nil"/>
              <w:left w:val="nil"/>
              <w:right w:val="nil"/>
            </w:tcBorders>
            <w:shd w:val="clear" w:color="auto" w:fill="auto"/>
            <w:vAlign w:val="center"/>
          </w:tcPr>
          <w:p w14:paraId="673EA6B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w:t>
            </w:r>
          </w:p>
        </w:tc>
        <w:tc>
          <w:tcPr>
            <w:tcW w:w="1127" w:type="dxa"/>
            <w:tcBorders>
              <w:top w:val="nil"/>
              <w:left w:val="nil"/>
              <w:right w:val="nil"/>
            </w:tcBorders>
            <w:shd w:val="clear" w:color="auto" w:fill="auto"/>
            <w:vAlign w:val="center"/>
          </w:tcPr>
          <w:p w14:paraId="698DA2C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6 (100%)</w:t>
            </w:r>
          </w:p>
        </w:tc>
        <w:tc>
          <w:tcPr>
            <w:tcW w:w="1287" w:type="dxa"/>
            <w:tcBorders>
              <w:top w:val="nil"/>
              <w:left w:val="nil"/>
              <w:right w:val="nil"/>
            </w:tcBorders>
            <w:shd w:val="clear" w:color="auto" w:fill="auto"/>
            <w:vAlign w:val="center"/>
          </w:tcPr>
          <w:p w14:paraId="79A9806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05626532" w14:textId="77777777" w:rsidTr="001A6175">
        <w:trPr>
          <w:jc w:val="center"/>
        </w:trPr>
        <w:tc>
          <w:tcPr>
            <w:tcW w:w="1254" w:type="dxa"/>
            <w:tcBorders>
              <w:left w:val="nil"/>
              <w:right w:val="nil"/>
            </w:tcBorders>
            <w:shd w:val="clear" w:color="auto" w:fill="auto"/>
            <w:vAlign w:val="center"/>
          </w:tcPr>
          <w:p w14:paraId="585A238E" w14:textId="77777777" w:rsidR="001A6175" w:rsidRPr="003B7DD5" w:rsidRDefault="001A6175" w:rsidP="001A6175">
            <w:pPr>
              <w:autoSpaceDE w:val="0"/>
              <w:autoSpaceDN w:val="0"/>
              <w:adjustRightInd w:val="0"/>
              <w:snapToGrid w:val="0"/>
              <w:spacing w:line="240" w:lineRule="auto"/>
              <w:jc w:val="center"/>
              <w:rPr>
                <w:rFonts w:eastAsia="Calibri" w:cs="Arial"/>
                <w:i/>
                <w:iCs/>
                <w:color w:val="auto"/>
                <w:sz w:val="18"/>
              </w:rPr>
            </w:pPr>
            <w:r w:rsidRPr="003B7DD5">
              <w:rPr>
                <w:rFonts w:eastAsia="Calibri" w:cs="Arial"/>
                <w:i/>
                <w:iCs/>
                <w:color w:val="auto"/>
                <w:sz w:val="18"/>
              </w:rPr>
              <w:t>High</w:t>
            </w:r>
          </w:p>
        </w:tc>
        <w:tc>
          <w:tcPr>
            <w:tcW w:w="1262" w:type="dxa"/>
            <w:tcBorders>
              <w:left w:val="nil"/>
              <w:right w:val="nil"/>
            </w:tcBorders>
            <w:shd w:val="clear" w:color="auto" w:fill="auto"/>
            <w:vAlign w:val="center"/>
          </w:tcPr>
          <w:p w14:paraId="1512F5F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(23.1%)</w:t>
            </w:r>
          </w:p>
        </w:tc>
        <w:tc>
          <w:tcPr>
            <w:tcW w:w="1127" w:type="dxa"/>
            <w:tcBorders>
              <w:left w:val="nil"/>
              <w:right w:val="nil"/>
            </w:tcBorders>
            <w:shd w:val="clear" w:color="auto" w:fill="auto"/>
            <w:vAlign w:val="center"/>
          </w:tcPr>
          <w:p w14:paraId="13722C5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10 (76.9%)</w:t>
            </w:r>
          </w:p>
        </w:tc>
        <w:tc>
          <w:tcPr>
            <w:tcW w:w="878" w:type="dxa"/>
            <w:tcBorders>
              <w:left w:val="nil"/>
              <w:right w:val="nil"/>
            </w:tcBorders>
            <w:shd w:val="clear" w:color="auto" w:fill="auto"/>
            <w:vAlign w:val="center"/>
          </w:tcPr>
          <w:p w14:paraId="1E1AEC6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left w:val="nil"/>
              <w:right w:val="nil"/>
            </w:tcBorders>
            <w:shd w:val="clear" w:color="auto" w:fill="auto"/>
            <w:vAlign w:val="center"/>
          </w:tcPr>
          <w:p w14:paraId="09EB0D9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(27.3%)</w:t>
            </w:r>
          </w:p>
        </w:tc>
        <w:tc>
          <w:tcPr>
            <w:tcW w:w="1134" w:type="dxa"/>
            <w:tcBorders>
              <w:left w:val="nil"/>
              <w:right w:val="nil"/>
            </w:tcBorders>
            <w:shd w:val="clear" w:color="auto" w:fill="auto"/>
            <w:vAlign w:val="center"/>
          </w:tcPr>
          <w:p w14:paraId="1976521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8 (72.7%)</w:t>
            </w:r>
          </w:p>
        </w:tc>
        <w:tc>
          <w:tcPr>
            <w:tcW w:w="1134" w:type="dxa"/>
            <w:tcBorders>
              <w:left w:val="nil"/>
              <w:right w:val="nil"/>
            </w:tcBorders>
            <w:shd w:val="clear" w:color="auto" w:fill="auto"/>
            <w:vAlign w:val="center"/>
          </w:tcPr>
          <w:p w14:paraId="6B37570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w:t>
            </w:r>
          </w:p>
        </w:tc>
        <w:tc>
          <w:tcPr>
            <w:tcW w:w="1127" w:type="dxa"/>
            <w:tcBorders>
              <w:left w:val="nil"/>
              <w:right w:val="nil"/>
            </w:tcBorders>
            <w:shd w:val="clear" w:color="auto" w:fill="auto"/>
            <w:vAlign w:val="center"/>
          </w:tcPr>
          <w:p w14:paraId="451377B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(100%)</w:t>
            </w:r>
          </w:p>
        </w:tc>
        <w:tc>
          <w:tcPr>
            <w:tcW w:w="1287" w:type="dxa"/>
            <w:tcBorders>
              <w:left w:val="nil"/>
              <w:right w:val="nil"/>
            </w:tcBorders>
            <w:shd w:val="clear" w:color="auto" w:fill="auto"/>
            <w:vAlign w:val="center"/>
          </w:tcPr>
          <w:p w14:paraId="16E5B52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46871D48" w14:textId="77777777" w:rsidTr="001A6175">
        <w:trPr>
          <w:jc w:val="center"/>
        </w:trPr>
        <w:tc>
          <w:tcPr>
            <w:tcW w:w="1254" w:type="dxa"/>
            <w:tcBorders>
              <w:left w:val="nil"/>
              <w:right w:val="nil"/>
            </w:tcBorders>
            <w:shd w:val="clear" w:color="auto" w:fill="auto"/>
            <w:vAlign w:val="center"/>
          </w:tcPr>
          <w:p w14:paraId="2AD0D71A" w14:textId="77777777" w:rsidR="001A6175" w:rsidRPr="003B7DD5" w:rsidRDefault="001A6175" w:rsidP="001A6175">
            <w:pPr>
              <w:autoSpaceDE w:val="0"/>
              <w:autoSpaceDN w:val="0"/>
              <w:adjustRightInd w:val="0"/>
              <w:snapToGrid w:val="0"/>
              <w:spacing w:line="240" w:lineRule="auto"/>
              <w:jc w:val="center"/>
              <w:rPr>
                <w:rFonts w:eastAsia="Calibri" w:cs="Arial"/>
                <w:i/>
                <w:iCs/>
                <w:color w:val="auto"/>
                <w:sz w:val="18"/>
              </w:rPr>
            </w:pPr>
            <w:r w:rsidRPr="003B7DD5">
              <w:rPr>
                <w:rFonts w:eastAsia="Calibri" w:cs="Arial"/>
                <w:i/>
                <w:iCs/>
                <w:color w:val="auto"/>
                <w:sz w:val="18"/>
              </w:rPr>
              <w:t>Medium</w:t>
            </w:r>
          </w:p>
        </w:tc>
        <w:tc>
          <w:tcPr>
            <w:tcW w:w="1262" w:type="dxa"/>
            <w:tcBorders>
              <w:left w:val="nil"/>
              <w:right w:val="nil"/>
            </w:tcBorders>
            <w:shd w:val="clear" w:color="auto" w:fill="auto"/>
            <w:vAlign w:val="center"/>
          </w:tcPr>
          <w:p w14:paraId="28D8D32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 (29.4%)</w:t>
            </w:r>
          </w:p>
        </w:tc>
        <w:tc>
          <w:tcPr>
            <w:tcW w:w="1127" w:type="dxa"/>
            <w:tcBorders>
              <w:left w:val="nil"/>
              <w:right w:val="nil"/>
            </w:tcBorders>
            <w:shd w:val="clear" w:color="auto" w:fill="auto"/>
            <w:vAlign w:val="center"/>
          </w:tcPr>
          <w:p w14:paraId="2129E07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12 (70.6%)</w:t>
            </w:r>
          </w:p>
        </w:tc>
        <w:tc>
          <w:tcPr>
            <w:tcW w:w="878" w:type="dxa"/>
            <w:tcBorders>
              <w:left w:val="nil"/>
              <w:right w:val="nil"/>
            </w:tcBorders>
            <w:shd w:val="clear" w:color="auto" w:fill="auto"/>
            <w:vAlign w:val="center"/>
          </w:tcPr>
          <w:p w14:paraId="5E95899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left w:val="nil"/>
              <w:right w:val="nil"/>
            </w:tcBorders>
            <w:shd w:val="clear" w:color="auto" w:fill="auto"/>
            <w:vAlign w:val="center"/>
          </w:tcPr>
          <w:p w14:paraId="29CBC3C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 (35.7%)</w:t>
            </w:r>
          </w:p>
        </w:tc>
        <w:tc>
          <w:tcPr>
            <w:tcW w:w="1134" w:type="dxa"/>
            <w:tcBorders>
              <w:left w:val="nil"/>
              <w:right w:val="nil"/>
            </w:tcBorders>
            <w:shd w:val="clear" w:color="auto" w:fill="auto"/>
            <w:vAlign w:val="center"/>
          </w:tcPr>
          <w:p w14:paraId="0921F73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9 (64.3%)</w:t>
            </w:r>
          </w:p>
        </w:tc>
        <w:tc>
          <w:tcPr>
            <w:tcW w:w="1134" w:type="dxa"/>
            <w:tcBorders>
              <w:left w:val="nil"/>
              <w:right w:val="nil"/>
            </w:tcBorders>
            <w:shd w:val="clear" w:color="auto" w:fill="auto"/>
            <w:vAlign w:val="center"/>
          </w:tcPr>
          <w:p w14:paraId="7716D27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w:t>
            </w:r>
          </w:p>
        </w:tc>
        <w:tc>
          <w:tcPr>
            <w:tcW w:w="1127" w:type="dxa"/>
            <w:tcBorders>
              <w:left w:val="nil"/>
              <w:right w:val="nil"/>
            </w:tcBorders>
            <w:shd w:val="clear" w:color="auto" w:fill="auto"/>
            <w:vAlign w:val="center"/>
          </w:tcPr>
          <w:p w14:paraId="41955AB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(100%)</w:t>
            </w:r>
          </w:p>
        </w:tc>
        <w:tc>
          <w:tcPr>
            <w:tcW w:w="1287" w:type="dxa"/>
            <w:tcBorders>
              <w:left w:val="nil"/>
              <w:right w:val="nil"/>
            </w:tcBorders>
            <w:shd w:val="clear" w:color="auto" w:fill="auto"/>
            <w:vAlign w:val="center"/>
          </w:tcPr>
          <w:p w14:paraId="19C570D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03325F96" w14:textId="77777777" w:rsidTr="001A6175">
        <w:trPr>
          <w:jc w:val="center"/>
        </w:trPr>
        <w:tc>
          <w:tcPr>
            <w:tcW w:w="1254" w:type="dxa"/>
            <w:tcBorders>
              <w:left w:val="nil"/>
              <w:right w:val="nil"/>
            </w:tcBorders>
            <w:shd w:val="clear" w:color="auto" w:fill="auto"/>
            <w:vAlign w:val="center"/>
          </w:tcPr>
          <w:p w14:paraId="487B34F0" w14:textId="77777777" w:rsidR="001A6175" w:rsidRPr="003B7DD5" w:rsidRDefault="001A6175" w:rsidP="001A6175">
            <w:pPr>
              <w:autoSpaceDE w:val="0"/>
              <w:autoSpaceDN w:val="0"/>
              <w:adjustRightInd w:val="0"/>
              <w:snapToGrid w:val="0"/>
              <w:spacing w:line="240" w:lineRule="auto"/>
              <w:jc w:val="center"/>
              <w:rPr>
                <w:rFonts w:eastAsia="Calibri" w:cs="Arial"/>
                <w:i/>
                <w:iCs/>
                <w:color w:val="auto"/>
                <w:sz w:val="18"/>
              </w:rPr>
            </w:pPr>
            <w:r w:rsidRPr="003B7DD5">
              <w:rPr>
                <w:rFonts w:eastAsia="Calibri" w:cs="Arial"/>
                <w:i/>
                <w:iCs/>
                <w:color w:val="auto"/>
                <w:sz w:val="18"/>
              </w:rPr>
              <w:t>Low</w:t>
            </w:r>
          </w:p>
        </w:tc>
        <w:tc>
          <w:tcPr>
            <w:tcW w:w="1262" w:type="dxa"/>
            <w:tcBorders>
              <w:left w:val="nil"/>
              <w:right w:val="nil"/>
            </w:tcBorders>
            <w:shd w:val="clear" w:color="auto" w:fill="auto"/>
            <w:vAlign w:val="center"/>
          </w:tcPr>
          <w:p w14:paraId="39AAB69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w:t>
            </w:r>
          </w:p>
        </w:tc>
        <w:tc>
          <w:tcPr>
            <w:tcW w:w="1127" w:type="dxa"/>
            <w:tcBorders>
              <w:left w:val="nil"/>
              <w:right w:val="nil"/>
            </w:tcBorders>
            <w:shd w:val="clear" w:color="auto" w:fill="auto"/>
            <w:vAlign w:val="center"/>
          </w:tcPr>
          <w:p w14:paraId="652BFC7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(100%)</w:t>
            </w:r>
          </w:p>
        </w:tc>
        <w:tc>
          <w:tcPr>
            <w:tcW w:w="878" w:type="dxa"/>
            <w:tcBorders>
              <w:left w:val="nil"/>
              <w:right w:val="nil"/>
            </w:tcBorders>
            <w:shd w:val="clear" w:color="auto" w:fill="auto"/>
            <w:vAlign w:val="center"/>
          </w:tcPr>
          <w:p w14:paraId="63828A1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left w:val="nil"/>
              <w:right w:val="nil"/>
            </w:tcBorders>
            <w:shd w:val="clear" w:color="auto" w:fill="auto"/>
            <w:vAlign w:val="center"/>
          </w:tcPr>
          <w:p w14:paraId="21F7D0F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134" w:type="dxa"/>
            <w:tcBorders>
              <w:left w:val="nil"/>
              <w:right w:val="nil"/>
            </w:tcBorders>
            <w:shd w:val="clear" w:color="auto" w:fill="auto"/>
            <w:vAlign w:val="center"/>
          </w:tcPr>
          <w:p w14:paraId="3B19952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(100%)</w:t>
            </w:r>
          </w:p>
        </w:tc>
        <w:tc>
          <w:tcPr>
            <w:tcW w:w="1134" w:type="dxa"/>
            <w:tcBorders>
              <w:left w:val="nil"/>
              <w:right w:val="nil"/>
            </w:tcBorders>
            <w:shd w:val="clear" w:color="auto" w:fill="auto"/>
            <w:vAlign w:val="center"/>
          </w:tcPr>
          <w:p w14:paraId="5F7C2D85"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w:t>
            </w:r>
          </w:p>
        </w:tc>
        <w:tc>
          <w:tcPr>
            <w:tcW w:w="1127" w:type="dxa"/>
            <w:tcBorders>
              <w:left w:val="nil"/>
              <w:right w:val="nil"/>
            </w:tcBorders>
            <w:shd w:val="clear" w:color="auto" w:fill="auto"/>
            <w:vAlign w:val="center"/>
          </w:tcPr>
          <w:p w14:paraId="39EB292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 (100%)</w:t>
            </w:r>
          </w:p>
        </w:tc>
        <w:tc>
          <w:tcPr>
            <w:tcW w:w="1287" w:type="dxa"/>
            <w:tcBorders>
              <w:left w:val="nil"/>
              <w:right w:val="nil"/>
            </w:tcBorders>
            <w:shd w:val="clear" w:color="auto" w:fill="auto"/>
            <w:vAlign w:val="center"/>
          </w:tcPr>
          <w:p w14:paraId="0D975F5E"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18CD9D26" w14:textId="77777777" w:rsidTr="001A6175">
        <w:trPr>
          <w:jc w:val="center"/>
        </w:trPr>
        <w:tc>
          <w:tcPr>
            <w:tcW w:w="1254" w:type="dxa"/>
            <w:tcBorders>
              <w:left w:val="nil"/>
              <w:right w:val="nil"/>
            </w:tcBorders>
            <w:shd w:val="clear" w:color="auto" w:fill="auto"/>
            <w:vAlign w:val="center"/>
          </w:tcPr>
          <w:p w14:paraId="3E89A714" w14:textId="77777777" w:rsidR="001A6175" w:rsidRPr="003B7DD5" w:rsidRDefault="001A6175" w:rsidP="001A6175">
            <w:pPr>
              <w:autoSpaceDE w:val="0"/>
              <w:autoSpaceDN w:val="0"/>
              <w:adjustRightInd w:val="0"/>
              <w:snapToGrid w:val="0"/>
              <w:spacing w:line="240" w:lineRule="auto"/>
              <w:jc w:val="center"/>
              <w:rPr>
                <w:rFonts w:eastAsia="Calibri" w:cs="Arial"/>
                <w:i/>
                <w:iCs/>
                <w:color w:val="auto"/>
                <w:sz w:val="18"/>
              </w:rPr>
            </w:pPr>
            <w:r w:rsidRPr="003B7DD5">
              <w:rPr>
                <w:rFonts w:eastAsia="Calibri" w:cs="Arial"/>
                <w:i/>
                <w:iCs/>
                <w:color w:val="auto"/>
                <w:sz w:val="18"/>
              </w:rPr>
              <w:t>Very Low</w:t>
            </w:r>
          </w:p>
        </w:tc>
        <w:tc>
          <w:tcPr>
            <w:tcW w:w="1262" w:type="dxa"/>
            <w:tcBorders>
              <w:left w:val="nil"/>
              <w:right w:val="nil"/>
            </w:tcBorders>
            <w:shd w:val="clear" w:color="auto" w:fill="auto"/>
            <w:vAlign w:val="center"/>
          </w:tcPr>
          <w:p w14:paraId="41DB7CD7"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(42.9%)</w:t>
            </w:r>
          </w:p>
        </w:tc>
        <w:tc>
          <w:tcPr>
            <w:tcW w:w="1127" w:type="dxa"/>
            <w:tcBorders>
              <w:left w:val="nil"/>
              <w:right w:val="nil"/>
            </w:tcBorders>
            <w:shd w:val="clear" w:color="auto" w:fill="auto"/>
            <w:vAlign w:val="center"/>
          </w:tcPr>
          <w:p w14:paraId="1C51150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(57.1%)</w:t>
            </w:r>
          </w:p>
        </w:tc>
        <w:tc>
          <w:tcPr>
            <w:tcW w:w="878" w:type="dxa"/>
            <w:tcBorders>
              <w:left w:val="nil"/>
              <w:right w:val="nil"/>
            </w:tcBorders>
            <w:shd w:val="clear" w:color="auto" w:fill="auto"/>
            <w:vAlign w:val="center"/>
          </w:tcPr>
          <w:p w14:paraId="6DA08DF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left w:val="nil"/>
              <w:right w:val="nil"/>
            </w:tcBorders>
            <w:shd w:val="clear" w:color="auto" w:fill="auto"/>
            <w:vAlign w:val="center"/>
          </w:tcPr>
          <w:p w14:paraId="437380E5"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 (42.9%)</w:t>
            </w:r>
          </w:p>
        </w:tc>
        <w:tc>
          <w:tcPr>
            <w:tcW w:w="1134" w:type="dxa"/>
            <w:tcBorders>
              <w:left w:val="nil"/>
              <w:right w:val="nil"/>
            </w:tcBorders>
            <w:shd w:val="clear" w:color="auto" w:fill="auto"/>
            <w:vAlign w:val="center"/>
          </w:tcPr>
          <w:p w14:paraId="4124995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(57.1%)</w:t>
            </w:r>
          </w:p>
        </w:tc>
        <w:tc>
          <w:tcPr>
            <w:tcW w:w="1134" w:type="dxa"/>
            <w:tcBorders>
              <w:left w:val="nil"/>
              <w:right w:val="nil"/>
            </w:tcBorders>
            <w:shd w:val="clear" w:color="auto" w:fill="auto"/>
            <w:vAlign w:val="center"/>
          </w:tcPr>
          <w:p w14:paraId="341BC21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w:t>
            </w:r>
          </w:p>
        </w:tc>
        <w:tc>
          <w:tcPr>
            <w:tcW w:w="1127" w:type="dxa"/>
            <w:tcBorders>
              <w:left w:val="nil"/>
              <w:right w:val="nil"/>
            </w:tcBorders>
            <w:shd w:val="clear" w:color="auto" w:fill="auto"/>
            <w:vAlign w:val="center"/>
          </w:tcPr>
          <w:p w14:paraId="27F21FF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87" w:type="dxa"/>
            <w:tcBorders>
              <w:left w:val="nil"/>
              <w:right w:val="nil"/>
            </w:tcBorders>
            <w:shd w:val="clear" w:color="auto" w:fill="auto"/>
            <w:vAlign w:val="center"/>
          </w:tcPr>
          <w:p w14:paraId="0EC0E2E8"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29FC1258" w14:textId="77777777" w:rsidTr="001A6175">
        <w:trPr>
          <w:jc w:val="center"/>
        </w:trPr>
        <w:tc>
          <w:tcPr>
            <w:tcW w:w="1254" w:type="dxa"/>
            <w:tcBorders>
              <w:top w:val="nil"/>
              <w:left w:val="nil"/>
              <w:bottom w:val="nil"/>
              <w:right w:val="nil"/>
            </w:tcBorders>
            <w:shd w:val="clear" w:color="auto" w:fill="auto"/>
            <w:vAlign w:val="center"/>
          </w:tcPr>
          <w:p w14:paraId="23127D7E"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bookmarkStart w:id="4" w:name="_Hlk58338146"/>
            <w:r w:rsidRPr="003B7DD5">
              <w:rPr>
                <w:rFonts w:eastAsia="Calibri" w:cs="Arial"/>
                <w:color w:val="auto"/>
                <w:sz w:val="18"/>
              </w:rPr>
              <w:t>Culture neg</w:t>
            </w:r>
          </w:p>
        </w:tc>
        <w:tc>
          <w:tcPr>
            <w:tcW w:w="1262" w:type="dxa"/>
            <w:tcBorders>
              <w:top w:val="nil"/>
              <w:left w:val="nil"/>
              <w:bottom w:val="nil"/>
              <w:right w:val="nil"/>
            </w:tcBorders>
            <w:shd w:val="clear" w:color="auto" w:fill="auto"/>
            <w:vAlign w:val="center"/>
          </w:tcPr>
          <w:p w14:paraId="1765179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143 (92.2%)</w:t>
            </w:r>
          </w:p>
        </w:tc>
        <w:tc>
          <w:tcPr>
            <w:tcW w:w="1127" w:type="dxa"/>
            <w:tcBorders>
              <w:top w:val="nil"/>
              <w:left w:val="nil"/>
              <w:bottom w:val="nil"/>
              <w:right w:val="nil"/>
            </w:tcBorders>
            <w:shd w:val="clear" w:color="auto" w:fill="auto"/>
            <w:vAlign w:val="center"/>
          </w:tcPr>
          <w:p w14:paraId="1C46433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8 (5.2%)</w:t>
            </w:r>
          </w:p>
        </w:tc>
        <w:tc>
          <w:tcPr>
            <w:tcW w:w="878" w:type="dxa"/>
            <w:tcBorders>
              <w:top w:val="nil"/>
              <w:left w:val="nil"/>
              <w:bottom w:val="nil"/>
              <w:right w:val="nil"/>
            </w:tcBorders>
            <w:shd w:val="clear" w:color="auto" w:fill="auto"/>
            <w:vAlign w:val="center"/>
          </w:tcPr>
          <w:p w14:paraId="4E8D3C2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(2.6%)</w:t>
            </w:r>
          </w:p>
        </w:tc>
        <w:tc>
          <w:tcPr>
            <w:tcW w:w="1262" w:type="dxa"/>
            <w:tcBorders>
              <w:top w:val="nil"/>
              <w:left w:val="nil"/>
              <w:bottom w:val="nil"/>
              <w:right w:val="nil"/>
            </w:tcBorders>
            <w:shd w:val="clear" w:color="auto" w:fill="auto"/>
            <w:vAlign w:val="center"/>
          </w:tcPr>
          <w:p w14:paraId="1B4A176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92 (97.9%)</w:t>
            </w:r>
          </w:p>
        </w:tc>
        <w:tc>
          <w:tcPr>
            <w:tcW w:w="1134" w:type="dxa"/>
            <w:tcBorders>
              <w:top w:val="nil"/>
              <w:left w:val="nil"/>
              <w:bottom w:val="nil"/>
              <w:right w:val="nil"/>
            </w:tcBorders>
            <w:shd w:val="clear" w:color="auto" w:fill="auto"/>
            <w:vAlign w:val="center"/>
          </w:tcPr>
          <w:p w14:paraId="046FFBA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(2.1%)</w:t>
            </w:r>
          </w:p>
        </w:tc>
        <w:tc>
          <w:tcPr>
            <w:tcW w:w="1134" w:type="dxa"/>
            <w:tcBorders>
              <w:top w:val="nil"/>
              <w:left w:val="nil"/>
              <w:bottom w:val="nil"/>
              <w:right w:val="nil"/>
            </w:tcBorders>
            <w:shd w:val="clear" w:color="auto" w:fill="auto"/>
            <w:vAlign w:val="center"/>
          </w:tcPr>
          <w:p w14:paraId="5716ACA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51 (85.0%)</w:t>
            </w:r>
          </w:p>
        </w:tc>
        <w:tc>
          <w:tcPr>
            <w:tcW w:w="1127" w:type="dxa"/>
            <w:tcBorders>
              <w:top w:val="nil"/>
              <w:left w:val="nil"/>
              <w:bottom w:val="nil"/>
              <w:right w:val="nil"/>
            </w:tcBorders>
            <w:shd w:val="clear" w:color="auto" w:fill="auto"/>
            <w:vAlign w:val="center"/>
          </w:tcPr>
          <w:p w14:paraId="1BE990B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 (8.3%)</w:t>
            </w:r>
          </w:p>
        </w:tc>
        <w:tc>
          <w:tcPr>
            <w:tcW w:w="1287" w:type="dxa"/>
            <w:tcBorders>
              <w:top w:val="nil"/>
              <w:left w:val="nil"/>
              <w:bottom w:val="nil"/>
              <w:right w:val="nil"/>
            </w:tcBorders>
            <w:shd w:val="clear" w:color="auto" w:fill="auto"/>
            <w:vAlign w:val="center"/>
          </w:tcPr>
          <w:p w14:paraId="6A6118A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(6.7%)</w:t>
            </w:r>
          </w:p>
        </w:tc>
      </w:tr>
      <w:tr w:rsidR="003B7DD5" w:rsidRPr="003B7DD5" w14:paraId="64C2D17B" w14:textId="77777777" w:rsidTr="001A6175">
        <w:trPr>
          <w:jc w:val="center"/>
        </w:trPr>
        <w:tc>
          <w:tcPr>
            <w:tcW w:w="1254" w:type="dxa"/>
            <w:tcBorders>
              <w:top w:val="nil"/>
              <w:left w:val="nil"/>
              <w:bottom w:val="nil"/>
              <w:right w:val="nil"/>
            </w:tcBorders>
            <w:shd w:val="clear" w:color="auto" w:fill="auto"/>
            <w:vAlign w:val="center"/>
          </w:tcPr>
          <w:p w14:paraId="4658729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Culture cont</w:t>
            </w:r>
          </w:p>
        </w:tc>
        <w:tc>
          <w:tcPr>
            <w:tcW w:w="1262" w:type="dxa"/>
            <w:tcBorders>
              <w:top w:val="nil"/>
              <w:left w:val="nil"/>
              <w:bottom w:val="nil"/>
              <w:right w:val="nil"/>
            </w:tcBorders>
            <w:shd w:val="clear" w:color="auto" w:fill="auto"/>
            <w:vAlign w:val="center"/>
          </w:tcPr>
          <w:p w14:paraId="4A31D72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10 (83.3%)</w:t>
            </w:r>
          </w:p>
        </w:tc>
        <w:tc>
          <w:tcPr>
            <w:tcW w:w="1127" w:type="dxa"/>
            <w:tcBorders>
              <w:top w:val="nil"/>
              <w:left w:val="nil"/>
              <w:bottom w:val="nil"/>
              <w:right w:val="nil"/>
            </w:tcBorders>
            <w:shd w:val="clear" w:color="auto" w:fill="auto"/>
            <w:vAlign w:val="center"/>
          </w:tcPr>
          <w:p w14:paraId="75182FD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(16.7%)</w:t>
            </w:r>
          </w:p>
        </w:tc>
        <w:tc>
          <w:tcPr>
            <w:tcW w:w="878" w:type="dxa"/>
            <w:tcBorders>
              <w:top w:val="nil"/>
              <w:left w:val="nil"/>
              <w:bottom w:val="nil"/>
              <w:right w:val="nil"/>
            </w:tcBorders>
            <w:shd w:val="clear" w:color="auto" w:fill="auto"/>
            <w:vAlign w:val="center"/>
          </w:tcPr>
          <w:p w14:paraId="3BF00CD1"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c>
          <w:tcPr>
            <w:tcW w:w="1262" w:type="dxa"/>
            <w:tcBorders>
              <w:top w:val="nil"/>
              <w:left w:val="nil"/>
              <w:bottom w:val="nil"/>
              <w:right w:val="nil"/>
            </w:tcBorders>
            <w:shd w:val="clear" w:color="auto" w:fill="auto"/>
            <w:vAlign w:val="center"/>
          </w:tcPr>
          <w:p w14:paraId="0328934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8 (88.9%)</w:t>
            </w:r>
          </w:p>
        </w:tc>
        <w:tc>
          <w:tcPr>
            <w:tcW w:w="1134" w:type="dxa"/>
            <w:tcBorders>
              <w:top w:val="nil"/>
              <w:left w:val="nil"/>
              <w:bottom w:val="nil"/>
              <w:right w:val="nil"/>
            </w:tcBorders>
            <w:shd w:val="clear" w:color="auto" w:fill="auto"/>
            <w:vAlign w:val="center"/>
          </w:tcPr>
          <w:p w14:paraId="46A7E7F5"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 (11.1%)</w:t>
            </w:r>
          </w:p>
        </w:tc>
        <w:tc>
          <w:tcPr>
            <w:tcW w:w="1134" w:type="dxa"/>
            <w:tcBorders>
              <w:top w:val="nil"/>
              <w:left w:val="nil"/>
              <w:bottom w:val="nil"/>
              <w:right w:val="nil"/>
            </w:tcBorders>
            <w:shd w:val="clear" w:color="auto" w:fill="auto"/>
            <w:vAlign w:val="center"/>
          </w:tcPr>
          <w:p w14:paraId="327A8CEE"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 (66.7%)</w:t>
            </w:r>
          </w:p>
        </w:tc>
        <w:tc>
          <w:tcPr>
            <w:tcW w:w="1127" w:type="dxa"/>
            <w:tcBorders>
              <w:top w:val="nil"/>
              <w:left w:val="nil"/>
              <w:bottom w:val="nil"/>
              <w:right w:val="nil"/>
            </w:tcBorders>
            <w:shd w:val="clear" w:color="auto" w:fill="auto"/>
            <w:vAlign w:val="center"/>
          </w:tcPr>
          <w:p w14:paraId="227D58A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 (33.3%)</w:t>
            </w:r>
          </w:p>
        </w:tc>
        <w:tc>
          <w:tcPr>
            <w:tcW w:w="1287" w:type="dxa"/>
            <w:tcBorders>
              <w:top w:val="nil"/>
              <w:left w:val="nil"/>
              <w:bottom w:val="nil"/>
              <w:right w:val="nil"/>
            </w:tcBorders>
            <w:shd w:val="clear" w:color="auto" w:fill="auto"/>
            <w:vAlign w:val="center"/>
          </w:tcPr>
          <w:p w14:paraId="3DBF08D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0 (0.0%)</w:t>
            </w:r>
          </w:p>
        </w:tc>
      </w:tr>
      <w:tr w:rsidR="003B7DD5" w:rsidRPr="003B7DD5" w14:paraId="7E425220" w14:textId="77777777" w:rsidTr="001A6175">
        <w:trPr>
          <w:jc w:val="center"/>
        </w:trPr>
        <w:tc>
          <w:tcPr>
            <w:tcW w:w="1254" w:type="dxa"/>
            <w:tcBorders>
              <w:left w:val="nil"/>
              <w:bottom w:val="single" w:sz="4" w:space="0" w:color="auto"/>
              <w:right w:val="nil"/>
            </w:tcBorders>
            <w:shd w:val="clear" w:color="auto" w:fill="auto"/>
            <w:vAlign w:val="center"/>
          </w:tcPr>
          <w:p w14:paraId="20EB506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Xpert neg</w:t>
            </w:r>
          </w:p>
        </w:tc>
        <w:tc>
          <w:tcPr>
            <w:tcW w:w="1262" w:type="dxa"/>
            <w:tcBorders>
              <w:left w:val="nil"/>
              <w:bottom w:val="single" w:sz="4" w:space="0" w:color="auto"/>
              <w:right w:val="nil"/>
            </w:tcBorders>
            <w:shd w:val="clear" w:color="auto" w:fill="auto"/>
            <w:vAlign w:val="center"/>
          </w:tcPr>
          <w:p w14:paraId="7E7918E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153 (93.3%)</w:t>
            </w:r>
          </w:p>
        </w:tc>
        <w:tc>
          <w:tcPr>
            <w:tcW w:w="1127" w:type="dxa"/>
            <w:tcBorders>
              <w:left w:val="nil"/>
              <w:bottom w:val="single" w:sz="4" w:space="0" w:color="auto"/>
              <w:right w:val="nil"/>
            </w:tcBorders>
            <w:shd w:val="clear" w:color="auto" w:fill="auto"/>
            <w:vAlign w:val="center"/>
          </w:tcPr>
          <w:p w14:paraId="06BDFFD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7 (4.3%)</w:t>
            </w:r>
          </w:p>
        </w:tc>
        <w:tc>
          <w:tcPr>
            <w:tcW w:w="878" w:type="dxa"/>
            <w:tcBorders>
              <w:left w:val="nil"/>
              <w:bottom w:val="single" w:sz="4" w:space="0" w:color="auto"/>
              <w:right w:val="nil"/>
            </w:tcBorders>
            <w:shd w:val="clear" w:color="auto" w:fill="auto"/>
            <w:vAlign w:val="center"/>
          </w:tcPr>
          <w:p w14:paraId="420C700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(2.4%)</w:t>
            </w:r>
          </w:p>
        </w:tc>
        <w:tc>
          <w:tcPr>
            <w:tcW w:w="1262" w:type="dxa"/>
            <w:tcBorders>
              <w:left w:val="nil"/>
              <w:bottom w:val="single" w:sz="4" w:space="0" w:color="auto"/>
              <w:right w:val="nil"/>
            </w:tcBorders>
            <w:shd w:val="clear" w:color="auto" w:fill="auto"/>
            <w:vAlign w:val="center"/>
          </w:tcPr>
          <w:p w14:paraId="7231F09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98 (99.0%)</w:t>
            </w:r>
          </w:p>
        </w:tc>
        <w:tc>
          <w:tcPr>
            <w:tcW w:w="1134" w:type="dxa"/>
            <w:tcBorders>
              <w:left w:val="nil"/>
              <w:bottom w:val="single" w:sz="4" w:space="0" w:color="auto"/>
              <w:right w:val="nil"/>
            </w:tcBorders>
            <w:shd w:val="clear" w:color="auto" w:fill="auto"/>
            <w:vAlign w:val="center"/>
          </w:tcPr>
          <w:p w14:paraId="00E6BD7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 (1.0%)</w:t>
            </w:r>
          </w:p>
        </w:tc>
        <w:tc>
          <w:tcPr>
            <w:tcW w:w="1134" w:type="dxa"/>
            <w:tcBorders>
              <w:left w:val="nil"/>
              <w:bottom w:val="single" w:sz="4" w:space="0" w:color="auto"/>
              <w:right w:val="nil"/>
            </w:tcBorders>
            <w:shd w:val="clear" w:color="auto" w:fill="auto"/>
            <w:vAlign w:val="center"/>
          </w:tcPr>
          <w:p w14:paraId="2EFF99D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55 (85.9%)</w:t>
            </w:r>
          </w:p>
        </w:tc>
        <w:tc>
          <w:tcPr>
            <w:tcW w:w="1127" w:type="dxa"/>
            <w:tcBorders>
              <w:left w:val="nil"/>
              <w:bottom w:val="single" w:sz="4" w:space="0" w:color="auto"/>
              <w:right w:val="nil"/>
            </w:tcBorders>
            <w:shd w:val="clear" w:color="auto" w:fill="auto"/>
            <w:vAlign w:val="center"/>
          </w:tcPr>
          <w:p w14:paraId="1EBE4AAB"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 (7.8%)</w:t>
            </w:r>
          </w:p>
        </w:tc>
        <w:tc>
          <w:tcPr>
            <w:tcW w:w="1287" w:type="dxa"/>
            <w:tcBorders>
              <w:left w:val="nil"/>
              <w:bottom w:val="single" w:sz="4" w:space="0" w:color="auto"/>
              <w:right w:val="nil"/>
            </w:tcBorders>
            <w:shd w:val="clear" w:color="auto" w:fill="auto"/>
            <w:vAlign w:val="center"/>
          </w:tcPr>
          <w:p w14:paraId="05433484"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(6.3%)</w:t>
            </w:r>
          </w:p>
        </w:tc>
      </w:tr>
      <w:bookmarkEnd w:id="4"/>
      <w:tr w:rsidR="003B7DD5" w:rsidRPr="003B7DD5" w14:paraId="30993DF8" w14:textId="77777777" w:rsidTr="001A6175">
        <w:trPr>
          <w:jc w:val="center"/>
        </w:trPr>
        <w:tc>
          <w:tcPr>
            <w:tcW w:w="1254" w:type="dxa"/>
            <w:tcBorders>
              <w:top w:val="single" w:sz="4" w:space="0" w:color="auto"/>
              <w:left w:val="nil"/>
              <w:bottom w:val="single" w:sz="4" w:space="0" w:color="auto"/>
              <w:right w:val="nil"/>
            </w:tcBorders>
            <w:shd w:val="clear" w:color="auto" w:fill="auto"/>
            <w:vAlign w:val="center"/>
          </w:tcPr>
          <w:p w14:paraId="51559796"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b/>
                <w:bCs/>
                <w:color w:val="auto"/>
                <w:sz w:val="18"/>
              </w:rPr>
              <w:t xml:space="preserve">Not TB </w:t>
            </w:r>
            <w:r w:rsidRPr="003B7DD5">
              <w:rPr>
                <w:rFonts w:eastAsia="Calibri" w:cs="Arial"/>
                <w:color w:val="auto"/>
                <w:sz w:val="18"/>
                <w:vertAlign w:val="superscript"/>
              </w:rPr>
              <w:t>b</w:t>
            </w:r>
          </w:p>
        </w:tc>
        <w:tc>
          <w:tcPr>
            <w:tcW w:w="1262" w:type="dxa"/>
            <w:tcBorders>
              <w:top w:val="single" w:sz="4" w:space="0" w:color="auto"/>
              <w:left w:val="nil"/>
              <w:bottom w:val="single" w:sz="4" w:space="0" w:color="auto"/>
              <w:right w:val="nil"/>
            </w:tcBorders>
            <w:shd w:val="clear" w:color="auto" w:fill="auto"/>
            <w:vAlign w:val="center"/>
          </w:tcPr>
          <w:p w14:paraId="5BA544C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149 (93.7%)</w:t>
            </w:r>
          </w:p>
        </w:tc>
        <w:tc>
          <w:tcPr>
            <w:tcW w:w="1127" w:type="dxa"/>
            <w:tcBorders>
              <w:top w:val="single" w:sz="4" w:space="0" w:color="auto"/>
              <w:left w:val="nil"/>
              <w:bottom w:val="single" w:sz="4" w:space="0" w:color="auto"/>
              <w:right w:val="nil"/>
            </w:tcBorders>
            <w:shd w:val="clear" w:color="auto" w:fill="auto"/>
            <w:vAlign w:val="center"/>
          </w:tcPr>
          <w:p w14:paraId="6E4BBC90"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6 (3.8%)</w:t>
            </w:r>
          </w:p>
        </w:tc>
        <w:tc>
          <w:tcPr>
            <w:tcW w:w="878" w:type="dxa"/>
            <w:tcBorders>
              <w:top w:val="single" w:sz="4" w:space="0" w:color="auto"/>
              <w:left w:val="nil"/>
              <w:bottom w:val="single" w:sz="4" w:space="0" w:color="auto"/>
              <w:right w:val="nil"/>
            </w:tcBorders>
            <w:shd w:val="clear" w:color="auto" w:fill="auto"/>
            <w:vAlign w:val="center"/>
          </w:tcPr>
          <w:p w14:paraId="6A8DC457"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(2.5%)</w:t>
            </w:r>
          </w:p>
        </w:tc>
        <w:tc>
          <w:tcPr>
            <w:tcW w:w="1262" w:type="dxa"/>
            <w:tcBorders>
              <w:top w:val="single" w:sz="4" w:space="0" w:color="auto"/>
              <w:left w:val="nil"/>
              <w:bottom w:val="single" w:sz="4" w:space="0" w:color="auto"/>
              <w:right w:val="nil"/>
            </w:tcBorders>
            <w:shd w:val="clear" w:color="auto" w:fill="auto"/>
            <w:vAlign w:val="center"/>
          </w:tcPr>
          <w:p w14:paraId="5BB22A53"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97 (99.0%)</w:t>
            </w:r>
          </w:p>
        </w:tc>
        <w:tc>
          <w:tcPr>
            <w:tcW w:w="1134" w:type="dxa"/>
            <w:tcBorders>
              <w:top w:val="single" w:sz="4" w:space="0" w:color="auto"/>
              <w:left w:val="nil"/>
              <w:bottom w:val="single" w:sz="4" w:space="0" w:color="auto"/>
              <w:right w:val="nil"/>
            </w:tcBorders>
            <w:shd w:val="clear" w:color="auto" w:fill="auto"/>
            <w:vAlign w:val="center"/>
          </w:tcPr>
          <w:p w14:paraId="5D0EA17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 (1.0%)</w:t>
            </w:r>
          </w:p>
        </w:tc>
        <w:tc>
          <w:tcPr>
            <w:tcW w:w="1134" w:type="dxa"/>
            <w:tcBorders>
              <w:top w:val="single" w:sz="4" w:space="0" w:color="auto"/>
              <w:left w:val="nil"/>
              <w:bottom w:val="single" w:sz="4" w:space="0" w:color="auto"/>
              <w:right w:val="nil"/>
            </w:tcBorders>
            <w:shd w:val="clear" w:color="auto" w:fill="auto"/>
            <w:vAlign w:val="center"/>
          </w:tcPr>
          <w:p w14:paraId="15565BD5"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52 (86.7%)</w:t>
            </w:r>
          </w:p>
        </w:tc>
        <w:tc>
          <w:tcPr>
            <w:tcW w:w="1127" w:type="dxa"/>
            <w:tcBorders>
              <w:top w:val="single" w:sz="4" w:space="0" w:color="auto"/>
              <w:left w:val="nil"/>
              <w:bottom w:val="single" w:sz="4" w:space="0" w:color="auto"/>
              <w:right w:val="nil"/>
            </w:tcBorders>
            <w:shd w:val="clear" w:color="auto" w:fill="auto"/>
            <w:vAlign w:val="center"/>
          </w:tcPr>
          <w:p w14:paraId="2D0DB3ED"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(6.7%)</w:t>
            </w:r>
          </w:p>
        </w:tc>
        <w:tc>
          <w:tcPr>
            <w:tcW w:w="1287" w:type="dxa"/>
            <w:tcBorders>
              <w:top w:val="single" w:sz="4" w:space="0" w:color="auto"/>
              <w:left w:val="nil"/>
              <w:bottom w:val="single" w:sz="4" w:space="0" w:color="auto"/>
              <w:right w:val="nil"/>
            </w:tcBorders>
            <w:shd w:val="clear" w:color="auto" w:fill="auto"/>
            <w:vAlign w:val="center"/>
          </w:tcPr>
          <w:p w14:paraId="01BC51C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(6.7%)</w:t>
            </w:r>
          </w:p>
        </w:tc>
      </w:tr>
      <w:tr w:rsidR="003B7DD5" w:rsidRPr="003B7DD5" w14:paraId="3E158C93" w14:textId="77777777" w:rsidTr="001A6175">
        <w:trPr>
          <w:jc w:val="center"/>
        </w:trPr>
        <w:tc>
          <w:tcPr>
            <w:tcW w:w="1254" w:type="dxa"/>
            <w:tcBorders>
              <w:top w:val="single" w:sz="4" w:space="0" w:color="auto"/>
              <w:left w:val="nil"/>
              <w:bottom w:val="single" w:sz="8" w:space="0" w:color="auto"/>
              <w:right w:val="nil"/>
            </w:tcBorders>
            <w:shd w:val="clear" w:color="auto" w:fill="auto"/>
            <w:vAlign w:val="center"/>
          </w:tcPr>
          <w:p w14:paraId="01EB194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eastAsia="Calibri" w:cs="Arial"/>
                <w:color w:val="auto"/>
                <w:sz w:val="18"/>
              </w:rPr>
              <w:t>Total</w:t>
            </w:r>
          </w:p>
        </w:tc>
        <w:tc>
          <w:tcPr>
            <w:tcW w:w="1262" w:type="dxa"/>
            <w:tcBorders>
              <w:top w:val="single" w:sz="4" w:space="0" w:color="auto"/>
              <w:left w:val="nil"/>
              <w:bottom w:val="single" w:sz="8" w:space="0" w:color="auto"/>
              <w:right w:val="nil"/>
            </w:tcBorders>
            <w:shd w:val="clear" w:color="auto" w:fill="auto"/>
            <w:vAlign w:val="center"/>
          </w:tcPr>
          <w:p w14:paraId="33369762"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164 (80.4%)</w:t>
            </w:r>
          </w:p>
        </w:tc>
        <w:tc>
          <w:tcPr>
            <w:tcW w:w="1127" w:type="dxa"/>
            <w:tcBorders>
              <w:top w:val="single" w:sz="4" w:space="0" w:color="auto"/>
              <w:left w:val="nil"/>
              <w:bottom w:val="single" w:sz="8" w:space="0" w:color="auto"/>
              <w:right w:val="nil"/>
            </w:tcBorders>
            <w:shd w:val="clear" w:color="auto" w:fill="auto"/>
            <w:vAlign w:val="center"/>
          </w:tcPr>
          <w:p w14:paraId="505A6079"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36 (17.6%)</w:t>
            </w:r>
          </w:p>
        </w:tc>
        <w:tc>
          <w:tcPr>
            <w:tcW w:w="878" w:type="dxa"/>
            <w:tcBorders>
              <w:top w:val="single" w:sz="4" w:space="0" w:color="auto"/>
              <w:left w:val="nil"/>
              <w:bottom w:val="single" w:sz="8" w:space="0" w:color="auto"/>
              <w:right w:val="nil"/>
            </w:tcBorders>
            <w:shd w:val="clear" w:color="auto" w:fill="auto"/>
            <w:vAlign w:val="center"/>
          </w:tcPr>
          <w:p w14:paraId="3633D295"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(2.0%)</w:t>
            </w:r>
          </w:p>
        </w:tc>
        <w:tc>
          <w:tcPr>
            <w:tcW w:w="1262" w:type="dxa"/>
            <w:tcBorders>
              <w:top w:val="single" w:sz="4" w:space="0" w:color="auto"/>
              <w:left w:val="nil"/>
              <w:bottom w:val="single" w:sz="8" w:space="0" w:color="auto"/>
              <w:right w:val="nil"/>
            </w:tcBorders>
            <w:shd w:val="clear" w:color="auto" w:fill="auto"/>
            <w:vAlign w:val="center"/>
          </w:tcPr>
          <w:p w14:paraId="7D2262A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109 (82.0%)</w:t>
            </w:r>
          </w:p>
        </w:tc>
        <w:tc>
          <w:tcPr>
            <w:tcW w:w="1134" w:type="dxa"/>
            <w:tcBorders>
              <w:top w:val="single" w:sz="4" w:space="0" w:color="auto"/>
              <w:left w:val="nil"/>
              <w:bottom w:val="single" w:sz="8" w:space="0" w:color="auto"/>
              <w:right w:val="nil"/>
            </w:tcBorders>
            <w:shd w:val="clear" w:color="auto" w:fill="auto"/>
            <w:vAlign w:val="center"/>
          </w:tcPr>
          <w:p w14:paraId="2B30DB7F"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24 (18.0%)</w:t>
            </w:r>
          </w:p>
        </w:tc>
        <w:tc>
          <w:tcPr>
            <w:tcW w:w="1134" w:type="dxa"/>
            <w:tcBorders>
              <w:top w:val="single" w:sz="4" w:space="0" w:color="auto"/>
              <w:left w:val="nil"/>
              <w:bottom w:val="single" w:sz="8" w:space="0" w:color="auto"/>
              <w:right w:val="nil"/>
            </w:tcBorders>
            <w:shd w:val="clear" w:color="auto" w:fill="auto"/>
            <w:vAlign w:val="center"/>
          </w:tcPr>
          <w:p w14:paraId="0C615DCC"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55 (78.6%)</w:t>
            </w:r>
          </w:p>
        </w:tc>
        <w:tc>
          <w:tcPr>
            <w:tcW w:w="1127" w:type="dxa"/>
            <w:tcBorders>
              <w:top w:val="single" w:sz="4" w:space="0" w:color="auto"/>
              <w:left w:val="nil"/>
              <w:bottom w:val="single" w:sz="8" w:space="0" w:color="auto"/>
              <w:right w:val="nil"/>
            </w:tcBorders>
            <w:shd w:val="clear" w:color="auto" w:fill="auto"/>
            <w:vAlign w:val="center"/>
          </w:tcPr>
          <w:p w14:paraId="0E58199A"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11 (15.7%)</w:t>
            </w:r>
          </w:p>
        </w:tc>
        <w:tc>
          <w:tcPr>
            <w:tcW w:w="1287" w:type="dxa"/>
            <w:tcBorders>
              <w:top w:val="single" w:sz="4" w:space="0" w:color="auto"/>
              <w:left w:val="nil"/>
              <w:bottom w:val="single" w:sz="8" w:space="0" w:color="auto"/>
              <w:right w:val="nil"/>
            </w:tcBorders>
            <w:shd w:val="clear" w:color="auto" w:fill="auto"/>
            <w:vAlign w:val="center"/>
          </w:tcPr>
          <w:p w14:paraId="64DAEF27" w14:textId="77777777" w:rsidR="001A6175" w:rsidRPr="003B7DD5" w:rsidRDefault="001A6175" w:rsidP="001A6175">
            <w:pPr>
              <w:autoSpaceDE w:val="0"/>
              <w:autoSpaceDN w:val="0"/>
              <w:adjustRightInd w:val="0"/>
              <w:snapToGrid w:val="0"/>
              <w:spacing w:line="240" w:lineRule="auto"/>
              <w:jc w:val="center"/>
              <w:rPr>
                <w:rFonts w:eastAsia="Calibri" w:cs="Arial"/>
                <w:color w:val="auto"/>
                <w:sz w:val="18"/>
              </w:rPr>
            </w:pPr>
            <w:r w:rsidRPr="003B7DD5">
              <w:rPr>
                <w:rFonts w:cs="Arial"/>
                <w:color w:val="auto"/>
                <w:sz w:val="18"/>
              </w:rPr>
              <w:t>4 (5.7%)</w:t>
            </w:r>
          </w:p>
        </w:tc>
      </w:tr>
    </w:tbl>
    <w:bookmarkEnd w:id="3"/>
    <w:p w14:paraId="5BBEC256" w14:textId="77777777" w:rsidR="001A6175" w:rsidRPr="003B7DD5" w:rsidRDefault="001A6175" w:rsidP="001A6175">
      <w:pPr>
        <w:pStyle w:val="MDPI43tablefooter"/>
        <w:ind w:left="425" w:right="425"/>
        <w:jc w:val="center"/>
        <w:rPr>
          <w:color w:val="auto"/>
        </w:rPr>
      </w:pPr>
      <w:r w:rsidRPr="003B7DD5">
        <w:rPr>
          <w:color w:val="auto"/>
          <w:vertAlign w:val="superscript"/>
        </w:rPr>
        <w:t>a</w:t>
      </w:r>
      <w:r w:rsidRPr="003B7DD5">
        <w:rPr>
          <w:color w:val="auto"/>
        </w:rPr>
        <w:t xml:space="preserve"> positive culture and/or Xpert.</w:t>
      </w:r>
      <w:r w:rsidRPr="003B7DD5">
        <w:rPr>
          <w:color w:val="auto"/>
          <w:vertAlign w:val="superscript"/>
        </w:rPr>
        <w:t xml:space="preserve"> b</w:t>
      </w:r>
      <w:r w:rsidRPr="003B7DD5">
        <w:rPr>
          <w:color w:val="auto"/>
        </w:rPr>
        <w:t xml:space="preserve"> negative culture and Xpert.</w:t>
      </w:r>
    </w:p>
    <w:p w14:paraId="40323C67" w14:textId="77777777" w:rsidR="000A607D" w:rsidRPr="003B7DD5" w:rsidRDefault="000A607D" w:rsidP="000A607D">
      <w:pPr>
        <w:pStyle w:val="MDPI41tablecaption"/>
        <w:ind w:left="425" w:right="425"/>
        <w:jc w:val="center"/>
        <w:rPr>
          <w:color w:val="auto"/>
        </w:rPr>
      </w:pPr>
      <w:r w:rsidRPr="003B7DD5">
        <w:rPr>
          <w:b/>
          <w:color w:val="auto"/>
        </w:rPr>
        <w:t xml:space="preserve">Table 3. </w:t>
      </w:r>
      <w:r w:rsidRPr="003B7DD5">
        <w:rPr>
          <w:color w:val="auto"/>
        </w:rPr>
        <w:t>Sensitivity and specificity of FujiLAM test by HIV status.</w:t>
      </w:r>
    </w:p>
    <w:tbl>
      <w:tblPr>
        <w:tblW w:w="10632" w:type="dxa"/>
        <w:tblLayout w:type="fixed"/>
        <w:tblLook w:val="04A0" w:firstRow="1" w:lastRow="0" w:firstColumn="1" w:lastColumn="0" w:noHBand="0" w:noVBand="1"/>
      </w:tblPr>
      <w:tblGrid>
        <w:gridCol w:w="1135"/>
        <w:gridCol w:w="1559"/>
        <w:gridCol w:w="1701"/>
        <w:gridCol w:w="1559"/>
        <w:gridCol w:w="1559"/>
        <w:gridCol w:w="1559"/>
        <w:gridCol w:w="1560"/>
      </w:tblGrid>
      <w:tr w:rsidR="003B7DD5" w:rsidRPr="003B7DD5" w14:paraId="082B2798" w14:textId="77777777" w:rsidTr="005E3776">
        <w:tc>
          <w:tcPr>
            <w:tcW w:w="1135" w:type="dxa"/>
            <w:tcBorders>
              <w:top w:val="single" w:sz="8" w:space="0" w:color="auto"/>
              <w:left w:val="nil"/>
              <w:bottom w:val="single" w:sz="8" w:space="0" w:color="auto"/>
              <w:right w:val="nil"/>
            </w:tcBorders>
            <w:vAlign w:val="center"/>
          </w:tcPr>
          <w:p w14:paraId="4FDDBAE4" w14:textId="5A9A84C4" w:rsidR="21E03032" w:rsidRPr="003B7DD5" w:rsidRDefault="21E03032" w:rsidP="005E3776">
            <w:pPr>
              <w:jc w:val="center"/>
              <w:rPr>
                <w:rFonts w:ascii="Arial" w:eastAsia="Arial" w:hAnsi="Arial" w:cs="Arial"/>
                <w:color w:val="auto"/>
                <w:sz w:val="18"/>
                <w:szCs w:val="18"/>
              </w:rPr>
            </w:pPr>
          </w:p>
        </w:tc>
        <w:tc>
          <w:tcPr>
            <w:tcW w:w="3260" w:type="dxa"/>
            <w:gridSpan w:val="2"/>
            <w:tcBorders>
              <w:top w:val="single" w:sz="8" w:space="0" w:color="auto"/>
              <w:left w:val="nil"/>
              <w:bottom w:val="single" w:sz="8" w:space="0" w:color="auto"/>
              <w:right w:val="nil"/>
            </w:tcBorders>
            <w:vAlign w:val="center"/>
          </w:tcPr>
          <w:p w14:paraId="01429808" w14:textId="1D81CB64"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b/>
                <w:bCs/>
                <w:color w:val="auto"/>
                <w:sz w:val="18"/>
                <w:szCs w:val="18"/>
              </w:rPr>
              <w:t>All</w:t>
            </w:r>
            <w:r w:rsidRPr="003B7DD5">
              <w:rPr>
                <w:rFonts w:eastAsia="Palatino Linotype" w:cs="Palatino Linotype"/>
                <w:color w:val="auto"/>
                <w:sz w:val="18"/>
                <w:szCs w:val="18"/>
              </w:rPr>
              <w:t xml:space="preserve"> </w:t>
            </w:r>
          </w:p>
        </w:tc>
        <w:tc>
          <w:tcPr>
            <w:tcW w:w="3118" w:type="dxa"/>
            <w:gridSpan w:val="2"/>
            <w:tcBorders>
              <w:top w:val="single" w:sz="8" w:space="0" w:color="auto"/>
              <w:left w:val="nil"/>
              <w:bottom w:val="single" w:sz="8" w:space="0" w:color="auto"/>
              <w:right w:val="nil"/>
            </w:tcBorders>
            <w:vAlign w:val="center"/>
          </w:tcPr>
          <w:p w14:paraId="2E7AB1AD" w14:textId="65F6D88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b/>
                <w:bCs/>
                <w:color w:val="auto"/>
                <w:sz w:val="18"/>
                <w:szCs w:val="18"/>
              </w:rPr>
              <w:t>HIV-negative</w:t>
            </w:r>
            <w:r w:rsidRPr="003B7DD5">
              <w:rPr>
                <w:rFonts w:eastAsia="Palatino Linotype" w:cs="Palatino Linotype"/>
                <w:color w:val="auto"/>
                <w:sz w:val="18"/>
                <w:szCs w:val="18"/>
              </w:rPr>
              <w:t xml:space="preserve"> </w:t>
            </w:r>
          </w:p>
        </w:tc>
        <w:tc>
          <w:tcPr>
            <w:tcW w:w="3119" w:type="dxa"/>
            <w:gridSpan w:val="2"/>
            <w:tcBorders>
              <w:top w:val="single" w:sz="8" w:space="0" w:color="auto"/>
              <w:left w:val="nil"/>
              <w:bottom w:val="single" w:sz="8" w:space="0" w:color="auto"/>
              <w:right w:val="nil"/>
            </w:tcBorders>
            <w:vAlign w:val="center"/>
          </w:tcPr>
          <w:p w14:paraId="5E498603" w14:textId="7FAC5693"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b/>
                <w:bCs/>
                <w:color w:val="auto"/>
                <w:sz w:val="18"/>
                <w:szCs w:val="18"/>
              </w:rPr>
              <w:t>HIV-positive</w:t>
            </w:r>
            <w:r w:rsidRPr="003B7DD5">
              <w:rPr>
                <w:rFonts w:eastAsia="Palatino Linotype" w:cs="Palatino Linotype"/>
                <w:color w:val="auto"/>
                <w:sz w:val="18"/>
                <w:szCs w:val="18"/>
              </w:rPr>
              <w:t xml:space="preserve"> </w:t>
            </w:r>
          </w:p>
        </w:tc>
      </w:tr>
      <w:tr w:rsidR="003B7DD5" w:rsidRPr="003B7DD5" w14:paraId="40FCB39A" w14:textId="77777777" w:rsidTr="005E3776">
        <w:tc>
          <w:tcPr>
            <w:tcW w:w="1135" w:type="dxa"/>
            <w:tcBorders>
              <w:top w:val="single" w:sz="8" w:space="0" w:color="auto"/>
              <w:left w:val="nil"/>
              <w:bottom w:val="single" w:sz="8" w:space="0" w:color="auto"/>
              <w:right w:val="nil"/>
            </w:tcBorders>
            <w:vAlign w:val="center"/>
          </w:tcPr>
          <w:p w14:paraId="7D5A8E15" w14:textId="1B1FAE7A" w:rsidR="21E03032" w:rsidRPr="003B7DD5" w:rsidRDefault="21E03032" w:rsidP="005E3776">
            <w:pPr>
              <w:jc w:val="center"/>
              <w:rPr>
                <w:rFonts w:ascii="Arial" w:eastAsia="Arial" w:hAnsi="Arial" w:cs="Arial"/>
                <w:color w:val="auto"/>
                <w:sz w:val="18"/>
                <w:szCs w:val="18"/>
              </w:rPr>
            </w:pPr>
            <w:r w:rsidRPr="003B7DD5">
              <w:rPr>
                <w:rFonts w:ascii="Arial" w:eastAsia="Arial" w:hAnsi="Arial" w:cs="Arial"/>
                <w:color w:val="auto"/>
                <w:sz w:val="18"/>
                <w:szCs w:val="18"/>
              </w:rPr>
              <w:lastRenderedPageBreak/>
              <w:t xml:space="preserve"> </w:t>
            </w:r>
          </w:p>
        </w:tc>
        <w:tc>
          <w:tcPr>
            <w:tcW w:w="1559" w:type="dxa"/>
            <w:tcBorders>
              <w:top w:val="single" w:sz="8" w:space="0" w:color="auto"/>
              <w:left w:val="nil"/>
              <w:bottom w:val="single" w:sz="8" w:space="0" w:color="auto"/>
              <w:right w:val="nil"/>
            </w:tcBorders>
            <w:vAlign w:val="center"/>
          </w:tcPr>
          <w:p w14:paraId="2A524C34" w14:textId="21569909"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Sensitivity </w:t>
            </w:r>
          </w:p>
          <w:p w14:paraId="5D6B3E27" w14:textId="508A7571"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701" w:type="dxa"/>
            <w:tcBorders>
              <w:top w:val="nil"/>
              <w:left w:val="nil"/>
              <w:bottom w:val="single" w:sz="8" w:space="0" w:color="auto"/>
              <w:right w:val="nil"/>
            </w:tcBorders>
            <w:vAlign w:val="center"/>
          </w:tcPr>
          <w:p w14:paraId="1D1F94DD" w14:textId="78BB598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Specificity </w:t>
            </w:r>
          </w:p>
          <w:p w14:paraId="782518F8" w14:textId="26C08F14"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59" w:type="dxa"/>
            <w:tcBorders>
              <w:top w:val="single" w:sz="8" w:space="0" w:color="auto"/>
              <w:left w:val="nil"/>
              <w:bottom w:val="single" w:sz="8" w:space="0" w:color="auto"/>
              <w:right w:val="nil"/>
            </w:tcBorders>
            <w:vAlign w:val="center"/>
          </w:tcPr>
          <w:p w14:paraId="28792C66" w14:textId="678A619E"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Sensitivity </w:t>
            </w:r>
          </w:p>
          <w:p w14:paraId="2AB85F01" w14:textId="60FCE104"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59" w:type="dxa"/>
            <w:tcBorders>
              <w:top w:val="nil"/>
              <w:left w:val="nil"/>
              <w:bottom w:val="single" w:sz="8" w:space="0" w:color="auto"/>
              <w:right w:val="nil"/>
            </w:tcBorders>
            <w:vAlign w:val="center"/>
          </w:tcPr>
          <w:p w14:paraId="0BD91A0C" w14:textId="5817C59E"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Specificity </w:t>
            </w:r>
          </w:p>
          <w:p w14:paraId="7D0F83B5" w14:textId="0B2D432F"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59" w:type="dxa"/>
            <w:tcBorders>
              <w:top w:val="single" w:sz="8" w:space="0" w:color="auto"/>
              <w:left w:val="nil"/>
              <w:bottom w:val="single" w:sz="8" w:space="0" w:color="auto"/>
              <w:right w:val="nil"/>
            </w:tcBorders>
            <w:vAlign w:val="center"/>
          </w:tcPr>
          <w:p w14:paraId="68352D48" w14:textId="2076062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Sensitivity </w:t>
            </w:r>
          </w:p>
          <w:p w14:paraId="66513D7E" w14:textId="6CD44536"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60" w:type="dxa"/>
            <w:tcBorders>
              <w:top w:val="nil"/>
              <w:left w:val="nil"/>
              <w:bottom w:val="single" w:sz="8" w:space="0" w:color="auto"/>
              <w:right w:val="nil"/>
            </w:tcBorders>
            <w:vAlign w:val="center"/>
          </w:tcPr>
          <w:p w14:paraId="55B6458C" w14:textId="04ABBFD9"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Specificity </w:t>
            </w:r>
          </w:p>
          <w:p w14:paraId="1FF8293B" w14:textId="08EB9CF1"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r>
      <w:tr w:rsidR="003B7DD5" w:rsidRPr="003B7DD5" w14:paraId="79C69062" w14:textId="77777777" w:rsidTr="005E3776">
        <w:tc>
          <w:tcPr>
            <w:tcW w:w="1135" w:type="dxa"/>
            <w:tcBorders>
              <w:top w:val="single" w:sz="8" w:space="0" w:color="auto"/>
              <w:left w:val="nil"/>
              <w:bottom w:val="nil"/>
              <w:right w:val="nil"/>
            </w:tcBorders>
            <w:vAlign w:val="center"/>
          </w:tcPr>
          <w:p w14:paraId="085E83EC" w14:textId="6D93FFA9" w:rsidR="21E03032" w:rsidRPr="003B7DD5" w:rsidRDefault="21E03032" w:rsidP="005E3776">
            <w:pPr>
              <w:jc w:val="center"/>
              <w:rPr>
                <w:rFonts w:eastAsia="Palatino Linotype" w:cs="Palatino Linotype"/>
                <w:color w:val="auto"/>
                <w:sz w:val="14"/>
                <w:szCs w:val="14"/>
              </w:rPr>
            </w:pPr>
            <w:r w:rsidRPr="003B7DD5">
              <w:rPr>
                <w:rFonts w:eastAsia="Palatino Linotype" w:cs="Palatino Linotype"/>
                <w:color w:val="auto"/>
                <w:sz w:val="18"/>
                <w:szCs w:val="18"/>
              </w:rPr>
              <w:t>Bact + TB</w:t>
            </w:r>
            <w:r w:rsidRPr="003B7DD5">
              <w:rPr>
                <w:rFonts w:eastAsia="Palatino Linotype" w:cs="Palatino Linotype"/>
                <w:color w:val="auto"/>
                <w:sz w:val="14"/>
                <w:szCs w:val="14"/>
                <w:vertAlign w:val="superscript"/>
              </w:rPr>
              <w:t>a</w:t>
            </w:r>
            <w:r w:rsidRPr="003B7DD5">
              <w:rPr>
                <w:rFonts w:eastAsia="Palatino Linotype" w:cs="Palatino Linotype"/>
                <w:color w:val="auto"/>
                <w:sz w:val="14"/>
                <w:szCs w:val="14"/>
              </w:rPr>
              <w:t xml:space="preserve"> </w:t>
            </w:r>
          </w:p>
        </w:tc>
        <w:tc>
          <w:tcPr>
            <w:tcW w:w="1559" w:type="dxa"/>
            <w:tcBorders>
              <w:top w:val="single" w:sz="8" w:space="0" w:color="auto"/>
              <w:left w:val="nil"/>
              <w:bottom w:val="nil"/>
              <w:right w:val="nil"/>
            </w:tcBorders>
            <w:vAlign w:val="center"/>
          </w:tcPr>
          <w:p w14:paraId="5186790E" w14:textId="2DA808CA"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30/45, 66.7%, 51-80 </w:t>
            </w:r>
          </w:p>
        </w:tc>
        <w:tc>
          <w:tcPr>
            <w:tcW w:w="1701" w:type="dxa"/>
            <w:tcBorders>
              <w:top w:val="single" w:sz="8" w:space="0" w:color="auto"/>
              <w:left w:val="nil"/>
              <w:bottom w:val="nil"/>
              <w:right w:val="nil"/>
            </w:tcBorders>
            <w:vAlign w:val="center"/>
          </w:tcPr>
          <w:p w14:paraId="6C49EC46" w14:textId="4D08CD8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153/159, 96.2%, 92-98 </w:t>
            </w:r>
          </w:p>
        </w:tc>
        <w:tc>
          <w:tcPr>
            <w:tcW w:w="1559" w:type="dxa"/>
            <w:tcBorders>
              <w:top w:val="single" w:sz="8" w:space="0" w:color="auto"/>
              <w:left w:val="nil"/>
              <w:bottom w:val="nil"/>
              <w:right w:val="nil"/>
            </w:tcBorders>
            <w:vAlign w:val="center"/>
          </w:tcPr>
          <w:p w14:paraId="1B48366A" w14:textId="1E025A95"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23/35, 65.7%, 48-80 </w:t>
            </w:r>
          </w:p>
        </w:tc>
        <w:tc>
          <w:tcPr>
            <w:tcW w:w="1559" w:type="dxa"/>
            <w:tcBorders>
              <w:top w:val="single" w:sz="8" w:space="0" w:color="auto"/>
              <w:left w:val="nil"/>
              <w:bottom w:val="nil"/>
              <w:right w:val="nil"/>
            </w:tcBorders>
            <w:vAlign w:val="center"/>
          </w:tcPr>
          <w:p w14:paraId="7B4C3353" w14:textId="1DB62BD9"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97/98, 99.0%, 94-100 </w:t>
            </w:r>
          </w:p>
        </w:tc>
        <w:tc>
          <w:tcPr>
            <w:tcW w:w="1559" w:type="dxa"/>
            <w:tcBorders>
              <w:top w:val="single" w:sz="8" w:space="0" w:color="auto"/>
              <w:left w:val="nil"/>
              <w:bottom w:val="nil"/>
              <w:right w:val="nil"/>
            </w:tcBorders>
            <w:vAlign w:val="center"/>
          </w:tcPr>
          <w:p w14:paraId="4E19B60B" w14:textId="22729158"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7/10, 70.0%, 35-92 </w:t>
            </w:r>
          </w:p>
        </w:tc>
        <w:tc>
          <w:tcPr>
            <w:tcW w:w="1560" w:type="dxa"/>
            <w:tcBorders>
              <w:top w:val="single" w:sz="8" w:space="0" w:color="auto"/>
              <w:left w:val="nil"/>
              <w:bottom w:val="nil"/>
              <w:right w:val="nil"/>
            </w:tcBorders>
            <w:vAlign w:val="center"/>
          </w:tcPr>
          <w:p w14:paraId="7B427BAE" w14:textId="15A27B6B"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56/60, 93.3%, 83-98 </w:t>
            </w:r>
          </w:p>
        </w:tc>
      </w:tr>
      <w:tr w:rsidR="003B7DD5" w:rsidRPr="003B7DD5" w14:paraId="4E3498EE" w14:textId="77777777" w:rsidTr="005E3776">
        <w:tc>
          <w:tcPr>
            <w:tcW w:w="1135" w:type="dxa"/>
            <w:tcBorders>
              <w:top w:val="nil"/>
              <w:left w:val="nil"/>
              <w:bottom w:val="nil"/>
              <w:right w:val="nil"/>
            </w:tcBorders>
            <w:vAlign w:val="center"/>
          </w:tcPr>
          <w:p w14:paraId="2EC22C10" w14:textId="37EDD937"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Culture </w:t>
            </w:r>
          </w:p>
        </w:tc>
        <w:tc>
          <w:tcPr>
            <w:tcW w:w="1559" w:type="dxa"/>
            <w:tcBorders>
              <w:top w:val="nil"/>
              <w:left w:val="nil"/>
              <w:bottom w:val="nil"/>
              <w:right w:val="nil"/>
            </w:tcBorders>
            <w:vAlign w:val="center"/>
          </w:tcPr>
          <w:p w14:paraId="5AA55B6B" w14:textId="0198FE08"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26/37, 70.3%, 53-84 </w:t>
            </w:r>
          </w:p>
        </w:tc>
        <w:tc>
          <w:tcPr>
            <w:tcW w:w="1701" w:type="dxa"/>
            <w:tcBorders>
              <w:top w:val="nil"/>
              <w:left w:val="nil"/>
              <w:bottom w:val="nil"/>
              <w:right w:val="nil"/>
            </w:tcBorders>
            <w:vAlign w:val="center"/>
          </w:tcPr>
          <w:p w14:paraId="048231FA" w14:textId="29F97945"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147/155, 94.8%, 90-98 </w:t>
            </w:r>
          </w:p>
        </w:tc>
        <w:tc>
          <w:tcPr>
            <w:tcW w:w="1559" w:type="dxa"/>
            <w:tcBorders>
              <w:top w:val="nil"/>
              <w:left w:val="nil"/>
              <w:bottom w:val="nil"/>
              <w:right w:val="nil"/>
            </w:tcBorders>
            <w:vAlign w:val="center"/>
          </w:tcPr>
          <w:p w14:paraId="5329042E" w14:textId="68B68A3C"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21/30, 70.0%, 50-85 </w:t>
            </w:r>
          </w:p>
        </w:tc>
        <w:tc>
          <w:tcPr>
            <w:tcW w:w="1559" w:type="dxa"/>
            <w:tcBorders>
              <w:top w:val="nil"/>
              <w:left w:val="nil"/>
              <w:bottom w:val="nil"/>
              <w:right w:val="nil"/>
            </w:tcBorders>
            <w:vAlign w:val="center"/>
          </w:tcPr>
          <w:p w14:paraId="1F5EB842" w14:textId="1316708E"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92/94, 97.9%, 92-100 </w:t>
            </w:r>
          </w:p>
        </w:tc>
        <w:tc>
          <w:tcPr>
            <w:tcW w:w="1559" w:type="dxa"/>
            <w:tcBorders>
              <w:top w:val="nil"/>
              <w:left w:val="nil"/>
              <w:bottom w:val="nil"/>
              <w:right w:val="nil"/>
            </w:tcBorders>
            <w:vAlign w:val="center"/>
          </w:tcPr>
          <w:p w14:paraId="5F1008F1" w14:textId="10826308"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5/7, 71%, 31-95 </w:t>
            </w:r>
          </w:p>
        </w:tc>
        <w:tc>
          <w:tcPr>
            <w:tcW w:w="1560" w:type="dxa"/>
            <w:tcBorders>
              <w:top w:val="nil"/>
              <w:left w:val="nil"/>
              <w:bottom w:val="nil"/>
              <w:right w:val="nil"/>
            </w:tcBorders>
            <w:vAlign w:val="center"/>
          </w:tcPr>
          <w:p w14:paraId="2768EE7F" w14:textId="0772983B"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55/60, 91.7%, 81-97 </w:t>
            </w:r>
          </w:p>
        </w:tc>
      </w:tr>
      <w:tr w:rsidR="003B7DD5" w:rsidRPr="003B7DD5" w14:paraId="1DA57E55" w14:textId="77777777" w:rsidTr="005E3776">
        <w:tc>
          <w:tcPr>
            <w:tcW w:w="1135" w:type="dxa"/>
            <w:tcBorders>
              <w:top w:val="nil"/>
              <w:left w:val="nil"/>
              <w:bottom w:val="single" w:sz="8" w:space="0" w:color="auto"/>
              <w:right w:val="nil"/>
            </w:tcBorders>
            <w:vAlign w:val="center"/>
          </w:tcPr>
          <w:p w14:paraId="3701FCF1" w14:textId="01E403CF"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Xpert </w:t>
            </w:r>
          </w:p>
        </w:tc>
        <w:tc>
          <w:tcPr>
            <w:tcW w:w="1559" w:type="dxa"/>
            <w:tcBorders>
              <w:top w:val="nil"/>
              <w:left w:val="nil"/>
              <w:bottom w:val="single" w:sz="8" w:space="0" w:color="auto"/>
              <w:right w:val="nil"/>
            </w:tcBorders>
            <w:vAlign w:val="center"/>
          </w:tcPr>
          <w:p w14:paraId="2495172E" w14:textId="1C7C13B8"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29/40, 72.5%, 56-85 </w:t>
            </w:r>
          </w:p>
        </w:tc>
        <w:tc>
          <w:tcPr>
            <w:tcW w:w="1701" w:type="dxa"/>
            <w:tcBorders>
              <w:top w:val="nil"/>
              <w:left w:val="nil"/>
              <w:bottom w:val="single" w:sz="8" w:space="0" w:color="auto"/>
              <w:right w:val="nil"/>
            </w:tcBorders>
            <w:vAlign w:val="center"/>
          </w:tcPr>
          <w:p w14:paraId="637C0576" w14:textId="63117597"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157/164, 95.7%, 91-98 </w:t>
            </w:r>
          </w:p>
        </w:tc>
        <w:tc>
          <w:tcPr>
            <w:tcW w:w="1559" w:type="dxa"/>
            <w:tcBorders>
              <w:top w:val="nil"/>
              <w:left w:val="nil"/>
              <w:bottom w:val="single" w:sz="8" w:space="0" w:color="auto"/>
              <w:right w:val="nil"/>
            </w:tcBorders>
            <w:vAlign w:val="center"/>
          </w:tcPr>
          <w:p w14:paraId="55C5AF9C" w14:textId="23D3ED15"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23/34, 67.6%, 49-82 </w:t>
            </w:r>
          </w:p>
        </w:tc>
        <w:tc>
          <w:tcPr>
            <w:tcW w:w="1559" w:type="dxa"/>
            <w:tcBorders>
              <w:top w:val="nil"/>
              <w:left w:val="nil"/>
              <w:bottom w:val="single" w:sz="8" w:space="0" w:color="auto"/>
              <w:right w:val="nil"/>
            </w:tcBorders>
            <w:vAlign w:val="center"/>
          </w:tcPr>
          <w:p w14:paraId="0AD38418" w14:textId="2EE2DD34"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98/99, 99.0%, 94-100 </w:t>
            </w:r>
          </w:p>
        </w:tc>
        <w:tc>
          <w:tcPr>
            <w:tcW w:w="1559" w:type="dxa"/>
            <w:tcBorders>
              <w:top w:val="nil"/>
              <w:left w:val="nil"/>
              <w:bottom w:val="single" w:sz="8" w:space="0" w:color="auto"/>
              <w:right w:val="nil"/>
            </w:tcBorders>
            <w:vAlign w:val="center"/>
          </w:tcPr>
          <w:p w14:paraId="527047BB" w14:textId="42753A33"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6/6, 100%, 52-100 </w:t>
            </w:r>
          </w:p>
        </w:tc>
        <w:tc>
          <w:tcPr>
            <w:tcW w:w="1560" w:type="dxa"/>
            <w:tcBorders>
              <w:top w:val="nil"/>
              <w:left w:val="nil"/>
              <w:bottom w:val="single" w:sz="8" w:space="0" w:color="auto"/>
              <w:right w:val="nil"/>
            </w:tcBorders>
            <w:vAlign w:val="center"/>
          </w:tcPr>
          <w:p w14:paraId="7EBC0882" w14:textId="37E0792A"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59/64, 92.2%, 82-97 </w:t>
            </w:r>
          </w:p>
        </w:tc>
      </w:tr>
      <w:tr w:rsidR="003B7DD5" w:rsidRPr="003B7DD5" w14:paraId="79947754" w14:textId="77777777" w:rsidTr="005E3776">
        <w:tc>
          <w:tcPr>
            <w:tcW w:w="1135" w:type="dxa"/>
            <w:tcBorders>
              <w:top w:val="single" w:sz="8" w:space="0" w:color="auto"/>
              <w:left w:val="nil"/>
              <w:bottom w:val="single" w:sz="6" w:space="0" w:color="auto"/>
              <w:right w:val="nil"/>
            </w:tcBorders>
            <w:vAlign w:val="center"/>
          </w:tcPr>
          <w:p w14:paraId="62B993AD" w14:textId="388BA257"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 </w:t>
            </w:r>
          </w:p>
        </w:tc>
        <w:tc>
          <w:tcPr>
            <w:tcW w:w="1559" w:type="dxa"/>
            <w:tcBorders>
              <w:top w:val="single" w:sz="8" w:space="0" w:color="auto"/>
              <w:left w:val="nil"/>
              <w:bottom w:val="single" w:sz="6" w:space="0" w:color="auto"/>
              <w:right w:val="nil"/>
            </w:tcBorders>
            <w:vAlign w:val="center"/>
          </w:tcPr>
          <w:p w14:paraId="7A8A1EAB" w14:textId="455197B9"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Positive Predictive Value</w:t>
            </w:r>
          </w:p>
          <w:p w14:paraId="05B6799A" w14:textId="339817F0"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701" w:type="dxa"/>
            <w:tcBorders>
              <w:top w:val="single" w:sz="8" w:space="0" w:color="auto"/>
              <w:left w:val="nil"/>
              <w:bottom w:val="single" w:sz="6" w:space="0" w:color="auto"/>
              <w:right w:val="nil"/>
            </w:tcBorders>
            <w:vAlign w:val="center"/>
          </w:tcPr>
          <w:p w14:paraId="1705064D" w14:textId="53A561ED"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Negative Predictive Value</w:t>
            </w:r>
          </w:p>
          <w:p w14:paraId="1C202EF0" w14:textId="7445B476"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59" w:type="dxa"/>
            <w:tcBorders>
              <w:top w:val="single" w:sz="8" w:space="0" w:color="auto"/>
              <w:left w:val="nil"/>
              <w:bottom w:val="single" w:sz="6" w:space="0" w:color="auto"/>
              <w:right w:val="nil"/>
            </w:tcBorders>
            <w:vAlign w:val="center"/>
          </w:tcPr>
          <w:p w14:paraId="6C231610" w14:textId="69909CE7"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Positive Predictive Value</w:t>
            </w:r>
          </w:p>
          <w:p w14:paraId="6761918E" w14:textId="2B1314B3"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59" w:type="dxa"/>
            <w:tcBorders>
              <w:top w:val="single" w:sz="8" w:space="0" w:color="auto"/>
              <w:left w:val="nil"/>
              <w:bottom w:val="single" w:sz="6" w:space="0" w:color="auto"/>
              <w:right w:val="nil"/>
            </w:tcBorders>
            <w:vAlign w:val="center"/>
          </w:tcPr>
          <w:p w14:paraId="16E19A2D" w14:textId="63C46A7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Negative Predictive Value</w:t>
            </w:r>
          </w:p>
          <w:p w14:paraId="6D1D427A" w14:textId="3EF1B390"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59" w:type="dxa"/>
            <w:tcBorders>
              <w:top w:val="single" w:sz="8" w:space="0" w:color="auto"/>
              <w:left w:val="nil"/>
              <w:bottom w:val="single" w:sz="6" w:space="0" w:color="auto"/>
              <w:right w:val="nil"/>
            </w:tcBorders>
            <w:vAlign w:val="center"/>
          </w:tcPr>
          <w:p w14:paraId="645AD472" w14:textId="108F0ED3"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Positive Predictive Value</w:t>
            </w:r>
          </w:p>
          <w:p w14:paraId="7992472A" w14:textId="49CB2270"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c>
          <w:tcPr>
            <w:tcW w:w="1560" w:type="dxa"/>
            <w:tcBorders>
              <w:top w:val="single" w:sz="8" w:space="0" w:color="auto"/>
              <w:left w:val="nil"/>
              <w:bottom w:val="single" w:sz="6" w:space="0" w:color="auto"/>
              <w:right w:val="nil"/>
            </w:tcBorders>
            <w:vAlign w:val="center"/>
          </w:tcPr>
          <w:p w14:paraId="5FAD57D2" w14:textId="1A13C95C"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Negative Predictive Value</w:t>
            </w:r>
          </w:p>
          <w:p w14:paraId="719C8923" w14:textId="24DE976B"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 xml:space="preserve">[n/N, %, 95%CI] </w:t>
            </w:r>
          </w:p>
        </w:tc>
      </w:tr>
      <w:tr w:rsidR="21E03032" w:rsidRPr="003B7DD5" w14:paraId="50682169" w14:textId="77777777" w:rsidTr="005E3776">
        <w:tc>
          <w:tcPr>
            <w:tcW w:w="1135" w:type="dxa"/>
            <w:tcBorders>
              <w:top w:val="single" w:sz="6" w:space="0" w:color="auto"/>
              <w:left w:val="nil"/>
              <w:bottom w:val="single" w:sz="8" w:space="0" w:color="auto"/>
              <w:right w:val="nil"/>
            </w:tcBorders>
            <w:vAlign w:val="center"/>
          </w:tcPr>
          <w:p w14:paraId="5E12D004" w14:textId="1328C4C2" w:rsidR="21E03032" w:rsidRPr="003B7DD5" w:rsidRDefault="21E03032" w:rsidP="005E3776">
            <w:pPr>
              <w:jc w:val="center"/>
              <w:rPr>
                <w:rFonts w:eastAsia="Palatino Linotype" w:cs="Palatino Linotype"/>
                <w:color w:val="auto"/>
                <w:sz w:val="14"/>
                <w:szCs w:val="14"/>
              </w:rPr>
            </w:pPr>
            <w:r w:rsidRPr="003B7DD5">
              <w:rPr>
                <w:rFonts w:eastAsia="Palatino Linotype" w:cs="Palatino Linotype"/>
                <w:color w:val="auto"/>
                <w:sz w:val="18"/>
                <w:szCs w:val="18"/>
              </w:rPr>
              <w:t>Bact + TB</w:t>
            </w:r>
            <w:r w:rsidRPr="003B7DD5">
              <w:rPr>
                <w:rFonts w:eastAsia="Palatino Linotype" w:cs="Palatino Linotype"/>
                <w:color w:val="auto"/>
                <w:sz w:val="14"/>
                <w:szCs w:val="14"/>
                <w:vertAlign w:val="superscript"/>
              </w:rPr>
              <w:t>a</w:t>
            </w:r>
            <w:r w:rsidRPr="003B7DD5">
              <w:rPr>
                <w:rFonts w:eastAsia="Palatino Linotype" w:cs="Palatino Linotype"/>
                <w:color w:val="auto"/>
                <w:sz w:val="14"/>
                <w:szCs w:val="14"/>
              </w:rPr>
              <w:t xml:space="preserve"> </w:t>
            </w:r>
          </w:p>
        </w:tc>
        <w:tc>
          <w:tcPr>
            <w:tcW w:w="1559" w:type="dxa"/>
            <w:tcBorders>
              <w:top w:val="single" w:sz="6" w:space="0" w:color="auto"/>
              <w:left w:val="nil"/>
              <w:bottom w:val="single" w:sz="8" w:space="0" w:color="auto"/>
              <w:right w:val="nil"/>
            </w:tcBorders>
            <w:vAlign w:val="center"/>
          </w:tcPr>
          <w:p w14:paraId="53D1BA3C" w14:textId="70DD4951"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30/36, 83%, 67-94</w:t>
            </w:r>
          </w:p>
        </w:tc>
        <w:tc>
          <w:tcPr>
            <w:tcW w:w="1701" w:type="dxa"/>
            <w:tcBorders>
              <w:top w:val="single" w:sz="6" w:space="0" w:color="auto"/>
              <w:left w:val="nil"/>
              <w:bottom w:val="single" w:sz="8" w:space="0" w:color="auto"/>
              <w:right w:val="nil"/>
            </w:tcBorders>
            <w:vAlign w:val="center"/>
          </w:tcPr>
          <w:p w14:paraId="51203239" w14:textId="5EEC138F"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153/173, 88%, 83-93</w:t>
            </w:r>
          </w:p>
        </w:tc>
        <w:tc>
          <w:tcPr>
            <w:tcW w:w="1559" w:type="dxa"/>
            <w:tcBorders>
              <w:top w:val="single" w:sz="6" w:space="0" w:color="auto"/>
              <w:left w:val="nil"/>
              <w:bottom w:val="single" w:sz="8" w:space="0" w:color="auto"/>
              <w:right w:val="nil"/>
            </w:tcBorders>
            <w:vAlign w:val="center"/>
          </w:tcPr>
          <w:p w14:paraId="2C03AD71" w14:textId="154777D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23/24, 96%, 79-99</w:t>
            </w:r>
          </w:p>
        </w:tc>
        <w:tc>
          <w:tcPr>
            <w:tcW w:w="1559" w:type="dxa"/>
            <w:tcBorders>
              <w:top w:val="single" w:sz="6" w:space="0" w:color="auto"/>
              <w:left w:val="nil"/>
              <w:bottom w:val="single" w:sz="8" w:space="0" w:color="auto"/>
              <w:right w:val="nil"/>
            </w:tcBorders>
            <w:vAlign w:val="center"/>
          </w:tcPr>
          <w:p w14:paraId="4757D641" w14:textId="6BBEE091"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97/109, 89%, 82-94</w:t>
            </w:r>
          </w:p>
        </w:tc>
        <w:tc>
          <w:tcPr>
            <w:tcW w:w="1559" w:type="dxa"/>
            <w:tcBorders>
              <w:top w:val="single" w:sz="6" w:space="0" w:color="auto"/>
              <w:left w:val="nil"/>
              <w:bottom w:val="single" w:sz="8" w:space="0" w:color="auto"/>
              <w:right w:val="nil"/>
            </w:tcBorders>
            <w:vAlign w:val="center"/>
          </w:tcPr>
          <w:p w14:paraId="6FDCD065" w14:textId="5327769D"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7/11, 63%, 31-89</w:t>
            </w:r>
          </w:p>
        </w:tc>
        <w:tc>
          <w:tcPr>
            <w:tcW w:w="1560" w:type="dxa"/>
            <w:tcBorders>
              <w:top w:val="single" w:sz="6" w:space="0" w:color="auto"/>
              <w:left w:val="nil"/>
              <w:bottom w:val="single" w:sz="8" w:space="0" w:color="auto"/>
              <w:right w:val="nil"/>
            </w:tcBorders>
            <w:vAlign w:val="center"/>
          </w:tcPr>
          <w:p w14:paraId="37D0A560" w14:textId="0707CAA2" w:rsidR="21E03032" w:rsidRPr="003B7DD5" w:rsidRDefault="21E03032" w:rsidP="005E3776">
            <w:pPr>
              <w:jc w:val="center"/>
              <w:rPr>
                <w:rFonts w:eastAsia="Palatino Linotype" w:cs="Palatino Linotype"/>
                <w:color w:val="auto"/>
                <w:sz w:val="18"/>
                <w:szCs w:val="18"/>
              </w:rPr>
            </w:pPr>
            <w:r w:rsidRPr="003B7DD5">
              <w:rPr>
                <w:rFonts w:eastAsia="Palatino Linotype" w:cs="Palatino Linotype"/>
                <w:color w:val="auto"/>
                <w:sz w:val="18"/>
                <w:szCs w:val="18"/>
              </w:rPr>
              <w:t>56/59, 94%, 86-99</w:t>
            </w:r>
          </w:p>
        </w:tc>
      </w:tr>
    </w:tbl>
    <w:p w14:paraId="68EFB5F3" w14:textId="15EE6A78" w:rsidR="21E03032" w:rsidRPr="003B7DD5" w:rsidRDefault="21E03032" w:rsidP="005E3776">
      <w:pPr>
        <w:pStyle w:val="MDPI31text"/>
        <w:rPr>
          <w:color w:val="auto"/>
        </w:rPr>
      </w:pPr>
    </w:p>
    <w:p w14:paraId="7A9DE992" w14:textId="77777777" w:rsidR="000A607D" w:rsidRPr="003B7DD5" w:rsidRDefault="000A607D" w:rsidP="000A607D">
      <w:pPr>
        <w:pStyle w:val="MDPI43tablefooter"/>
        <w:ind w:left="425" w:right="425"/>
        <w:jc w:val="center"/>
        <w:rPr>
          <w:color w:val="auto"/>
        </w:rPr>
      </w:pPr>
      <w:proofErr w:type="spellStart"/>
      <w:r w:rsidRPr="003B7DD5">
        <w:rPr>
          <w:color w:val="auto"/>
          <w:vertAlign w:val="superscript"/>
        </w:rPr>
        <w:t>a</w:t>
      </w:r>
      <w:r w:rsidRPr="003B7DD5">
        <w:rPr>
          <w:color w:val="auto"/>
        </w:rPr>
        <w:t>positive</w:t>
      </w:r>
      <w:proofErr w:type="spellEnd"/>
      <w:r w:rsidRPr="003B7DD5">
        <w:rPr>
          <w:color w:val="auto"/>
        </w:rPr>
        <w:t xml:space="preserve"> culture and/or </w:t>
      </w:r>
      <w:proofErr w:type="spellStart"/>
      <w:r w:rsidRPr="003B7DD5">
        <w:rPr>
          <w:color w:val="auto"/>
        </w:rPr>
        <w:t>Xpert</w:t>
      </w:r>
      <w:proofErr w:type="spellEnd"/>
      <w:r w:rsidRPr="003B7DD5">
        <w:rPr>
          <w:color w:val="auto"/>
        </w:rPr>
        <w:t xml:space="preserve">. Specificity estimated considering </w:t>
      </w:r>
      <w:r w:rsidRPr="003B7DD5">
        <w:rPr>
          <w:i/>
          <w:iCs/>
          <w:color w:val="auto"/>
        </w:rPr>
        <w:t>not TB</w:t>
      </w:r>
      <w:r w:rsidRPr="003B7DD5">
        <w:rPr>
          <w:color w:val="auto"/>
        </w:rPr>
        <w:t xml:space="preserve"> cases as not having TB. CI: confidence interval.</w:t>
      </w:r>
    </w:p>
    <w:p w14:paraId="17167323" w14:textId="77777777" w:rsidR="00287BE6" w:rsidRPr="003B7DD5" w:rsidRDefault="001A6175" w:rsidP="003B7DD5">
      <w:pPr>
        <w:pStyle w:val="MDPI31text"/>
        <w:ind w:left="0"/>
        <w:rPr>
          <w:color w:val="auto"/>
        </w:rPr>
      </w:pPr>
      <w:r w:rsidRPr="003B7DD5">
        <w:rPr>
          <w:color w:val="auto"/>
        </w:rPr>
        <w:t xml:space="preserve">FujiLAM results had a similar pattern when </w:t>
      </w:r>
      <w:proofErr w:type="spellStart"/>
      <w:r w:rsidRPr="003B7DD5">
        <w:rPr>
          <w:color w:val="auto"/>
        </w:rPr>
        <w:t>analysed</w:t>
      </w:r>
      <w:proofErr w:type="spellEnd"/>
      <w:r w:rsidRPr="003B7DD5">
        <w:rPr>
          <w:color w:val="auto"/>
        </w:rPr>
        <w:t xml:space="preserve"> using culture or Xpert MTB/RIF results singly, as shown in tables 2 and 3 or when disaggregated by gender. FujiLAM results by Xpert MTB/RIF grades and HIV status are shown in table 2. Although numbers are too small for statistical analysis, the proportion of participants with positive FujiLAM seem to be higher among HIV-negative participants with high Xpert grades (8 (73%) of 11) than among participants with very low Xpert/RIF grades (four (57%) of seven). However, this pattern was not observed among participants with HIV, as all six HIV-positive participants were FujiLAM-positive, independently of their Xpert MTB/RIF grade (Table 3). FujiLAM by HIV viral load are shown in table 4 for bacteriologically confirmed, culture or Xpert MTB/RIF positive participants and Xpert grade. Most of the patients had high HIV viral loads. Sensitivity seemed higher among patients with high viral load, but numbers are too small to conduct a statistical analysis. The presence of clinical signs and symptoms and co-morbidities other than HIV were not associated with FujiLAM results (data not shown).</w:t>
      </w:r>
    </w:p>
    <w:p w14:paraId="534BCB2C" w14:textId="77777777" w:rsidR="000A607D" w:rsidRPr="003B7DD5" w:rsidRDefault="000A607D" w:rsidP="000A607D">
      <w:pPr>
        <w:pStyle w:val="MDPI41tablecaption"/>
        <w:ind w:left="425" w:right="425"/>
        <w:jc w:val="center"/>
        <w:rPr>
          <w:color w:val="auto"/>
        </w:rPr>
      </w:pPr>
      <w:r w:rsidRPr="003B7DD5">
        <w:rPr>
          <w:b/>
          <w:bCs/>
          <w:color w:val="auto"/>
        </w:rPr>
        <w:t xml:space="preserve">Table 4. </w:t>
      </w:r>
      <w:r w:rsidRPr="003B7DD5">
        <w:rPr>
          <w:color w:val="auto"/>
        </w:rPr>
        <w:t>Positive FujiLAM test results among HIV positive participants by TB status and HIV RNA viral load.</w:t>
      </w:r>
    </w:p>
    <w:tbl>
      <w:tblPr>
        <w:tblStyle w:val="TableGrid"/>
        <w:tblW w:w="10465"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2"/>
        <w:gridCol w:w="1790"/>
        <w:gridCol w:w="1615"/>
        <w:gridCol w:w="1992"/>
        <w:gridCol w:w="1831"/>
        <w:gridCol w:w="1615"/>
      </w:tblGrid>
      <w:tr w:rsidR="003B7DD5" w:rsidRPr="003B7DD5" w14:paraId="26445239" w14:textId="77777777" w:rsidTr="000A607D">
        <w:trPr>
          <w:jc w:val="center"/>
        </w:trPr>
        <w:tc>
          <w:tcPr>
            <w:tcW w:w="1623" w:type="dxa"/>
            <w:tcBorders>
              <w:top w:val="single" w:sz="8" w:space="0" w:color="auto"/>
              <w:bottom w:val="single" w:sz="4" w:space="0" w:color="auto"/>
              <w:right w:val="nil"/>
            </w:tcBorders>
            <w:shd w:val="clear" w:color="auto" w:fill="auto"/>
            <w:vAlign w:val="center"/>
          </w:tcPr>
          <w:p w14:paraId="1DBE3F70"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8843" w:type="dxa"/>
            <w:gridSpan w:val="5"/>
            <w:tcBorders>
              <w:top w:val="single" w:sz="8" w:space="0" w:color="auto"/>
              <w:left w:val="nil"/>
              <w:bottom w:val="single" w:sz="4" w:space="0" w:color="auto"/>
              <w:right w:val="nil"/>
            </w:tcBorders>
            <w:shd w:val="clear" w:color="auto" w:fill="auto"/>
            <w:vAlign w:val="center"/>
          </w:tcPr>
          <w:p w14:paraId="2694671C"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HIV viral load</w:t>
            </w:r>
          </w:p>
        </w:tc>
      </w:tr>
      <w:tr w:rsidR="003B7DD5" w:rsidRPr="003B7DD5" w14:paraId="23B73469" w14:textId="77777777" w:rsidTr="000A607D">
        <w:trPr>
          <w:jc w:val="center"/>
        </w:trPr>
        <w:tc>
          <w:tcPr>
            <w:tcW w:w="1623" w:type="dxa"/>
            <w:tcBorders>
              <w:top w:val="nil"/>
              <w:bottom w:val="single" w:sz="4" w:space="0" w:color="auto"/>
              <w:right w:val="nil"/>
            </w:tcBorders>
            <w:shd w:val="clear" w:color="auto" w:fill="auto"/>
            <w:vAlign w:val="center"/>
          </w:tcPr>
          <w:p w14:paraId="26131F43"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790" w:type="dxa"/>
            <w:tcBorders>
              <w:top w:val="single" w:sz="4" w:space="0" w:color="auto"/>
              <w:left w:val="nil"/>
              <w:bottom w:val="single" w:sz="4" w:space="0" w:color="auto"/>
              <w:right w:val="nil"/>
            </w:tcBorders>
            <w:shd w:val="clear" w:color="auto" w:fill="auto"/>
            <w:vAlign w:val="center"/>
          </w:tcPr>
          <w:p w14:paraId="46A31CE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Undetected</w:t>
            </w:r>
          </w:p>
        </w:tc>
        <w:tc>
          <w:tcPr>
            <w:tcW w:w="1615" w:type="dxa"/>
            <w:tcBorders>
              <w:top w:val="single" w:sz="4" w:space="0" w:color="auto"/>
              <w:left w:val="nil"/>
              <w:bottom w:val="single" w:sz="4" w:space="0" w:color="auto"/>
              <w:right w:val="nil"/>
            </w:tcBorders>
            <w:shd w:val="clear" w:color="auto" w:fill="auto"/>
            <w:vAlign w:val="center"/>
          </w:tcPr>
          <w:p w14:paraId="7A991319"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&lt;40 cps/ml</w:t>
            </w:r>
          </w:p>
        </w:tc>
        <w:tc>
          <w:tcPr>
            <w:tcW w:w="1992" w:type="dxa"/>
            <w:tcBorders>
              <w:top w:val="single" w:sz="4" w:space="0" w:color="auto"/>
              <w:left w:val="nil"/>
              <w:bottom w:val="single" w:sz="4" w:space="0" w:color="auto"/>
              <w:right w:val="nil"/>
            </w:tcBorders>
            <w:shd w:val="clear" w:color="auto" w:fill="auto"/>
            <w:vAlign w:val="center"/>
          </w:tcPr>
          <w:p w14:paraId="5D7E9AF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40 - 10</w:t>
            </w:r>
            <w:r w:rsidRPr="003B7DD5">
              <w:rPr>
                <w:rFonts w:cs="Arial"/>
                <w:color w:val="auto"/>
                <w:sz w:val="18"/>
                <w:vertAlign w:val="superscript"/>
              </w:rPr>
              <w:t>7</w:t>
            </w:r>
            <w:r w:rsidRPr="003B7DD5">
              <w:rPr>
                <w:rFonts w:cs="Arial"/>
                <w:color w:val="auto"/>
                <w:sz w:val="18"/>
              </w:rPr>
              <w:t xml:space="preserve"> cps/ml</w:t>
            </w:r>
          </w:p>
        </w:tc>
        <w:tc>
          <w:tcPr>
            <w:tcW w:w="1831" w:type="dxa"/>
            <w:tcBorders>
              <w:top w:val="single" w:sz="4" w:space="0" w:color="auto"/>
              <w:left w:val="nil"/>
              <w:bottom w:val="single" w:sz="4" w:space="0" w:color="auto"/>
              <w:right w:val="nil"/>
            </w:tcBorders>
            <w:shd w:val="clear" w:color="auto" w:fill="auto"/>
            <w:vAlign w:val="center"/>
          </w:tcPr>
          <w:p w14:paraId="5D0C03B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Indeterminate</w:t>
            </w:r>
          </w:p>
        </w:tc>
        <w:tc>
          <w:tcPr>
            <w:tcW w:w="1615" w:type="dxa"/>
            <w:tcBorders>
              <w:top w:val="single" w:sz="4" w:space="0" w:color="auto"/>
              <w:left w:val="nil"/>
              <w:bottom w:val="single" w:sz="4" w:space="0" w:color="auto"/>
              <w:right w:val="nil"/>
            </w:tcBorders>
            <w:shd w:val="clear" w:color="auto" w:fill="auto"/>
            <w:vAlign w:val="center"/>
          </w:tcPr>
          <w:p w14:paraId="30F78BB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Missing</w:t>
            </w:r>
          </w:p>
        </w:tc>
      </w:tr>
      <w:tr w:rsidR="003B7DD5" w:rsidRPr="003B7DD5" w14:paraId="387B49DA" w14:textId="77777777" w:rsidTr="000A607D">
        <w:trPr>
          <w:jc w:val="center"/>
        </w:trPr>
        <w:tc>
          <w:tcPr>
            <w:tcW w:w="1623" w:type="dxa"/>
            <w:tcBorders>
              <w:top w:val="single" w:sz="4" w:space="0" w:color="auto"/>
              <w:bottom w:val="nil"/>
              <w:right w:val="nil"/>
            </w:tcBorders>
            <w:shd w:val="clear" w:color="auto" w:fill="auto"/>
            <w:vAlign w:val="center"/>
          </w:tcPr>
          <w:p w14:paraId="46626694" w14:textId="77777777" w:rsidR="000A607D" w:rsidRPr="003B7DD5" w:rsidRDefault="000A607D" w:rsidP="000A607D">
            <w:pPr>
              <w:autoSpaceDE w:val="0"/>
              <w:autoSpaceDN w:val="0"/>
              <w:adjustRightInd w:val="0"/>
              <w:snapToGrid w:val="0"/>
              <w:spacing w:line="240" w:lineRule="auto"/>
              <w:jc w:val="center"/>
              <w:rPr>
                <w:rFonts w:cs="Arial"/>
                <w:i/>
                <w:iCs/>
                <w:color w:val="auto"/>
                <w:sz w:val="18"/>
              </w:rPr>
            </w:pPr>
            <w:r w:rsidRPr="003B7DD5">
              <w:rPr>
                <w:rFonts w:cs="Arial"/>
                <w:b/>
                <w:bCs/>
                <w:color w:val="auto"/>
                <w:sz w:val="18"/>
              </w:rPr>
              <w:t>Bact + TB</w:t>
            </w:r>
            <w:r w:rsidRPr="003B7DD5">
              <w:rPr>
                <w:rFonts w:cs="Arial"/>
                <w:color w:val="auto"/>
                <w:sz w:val="18"/>
                <w:vertAlign w:val="superscript"/>
              </w:rPr>
              <w:t xml:space="preserve"> a</w:t>
            </w:r>
          </w:p>
        </w:tc>
        <w:tc>
          <w:tcPr>
            <w:tcW w:w="1790" w:type="dxa"/>
            <w:tcBorders>
              <w:top w:val="single" w:sz="4" w:space="0" w:color="auto"/>
              <w:left w:val="nil"/>
              <w:bottom w:val="nil"/>
              <w:right w:val="nil"/>
            </w:tcBorders>
            <w:shd w:val="clear" w:color="auto" w:fill="auto"/>
            <w:vAlign w:val="center"/>
          </w:tcPr>
          <w:p w14:paraId="48060BB7"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615" w:type="dxa"/>
            <w:tcBorders>
              <w:top w:val="single" w:sz="4" w:space="0" w:color="auto"/>
              <w:left w:val="nil"/>
              <w:bottom w:val="nil"/>
              <w:right w:val="nil"/>
            </w:tcBorders>
            <w:shd w:val="clear" w:color="auto" w:fill="auto"/>
            <w:vAlign w:val="center"/>
          </w:tcPr>
          <w:p w14:paraId="2AFC3E0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1/2 (50%)</w:t>
            </w:r>
          </w:p>
        </w:tc>
        <w:tc>
          <w:tcPr>
            <w:tcW w:w="1992" w:type="dxa"/>
            <w:tcBorders>
              <w:top w:val="single" w:sz="4" w:space="0" w:color="auto"/>
              <w:left w:val="nil"/>
              <w:bottom w:val="nil"/>
              <w:right w:val="nil"/>
            </w:tcBorders>
            <w:shd w:val="clear" w:color="auto" w:fill="auto"/>
            <w:vAlign w:val="center"/>
          </w:tcPr>
          <w:p w14:paraId="29E55902"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3/4 (75%)</w:t>
            </w:r>
          </w:p>
        </w:tc>
        <w:tc>
          <w:tcPr>
            <w:tcW w:w="1831" w:type="dxa"/>
            <w:tcBorders>
              <w:top w:val="single" w:sz="4" w:space="0" w:color="auto"/>
              <w:left w:val="nil"/>
              <w:bottom w:val="nil"/>
              <w:right w:val="nil"/>
            </w:tcBorders>
            <w:shd w:val="clear" w:color="auto" w:fill="auto"/>
            <w:vAlign w:val="center"/>
          </w:tcPr>
          <w:p w14:paraId="5E9464DC"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top w:val="single" w:sz="4" w:space="0" w:color="auto"/>
              <w:left w:val="nil"/>
              <w:bottom w:val="nil"/>
              <w:right w:val="nil"/>
            </w:tcBorders>
            <w:shd w:val="clear" w:color="auto" w:fill="auto"/>
            <w:vAlign w:val="center"/>
          </w:tcPr>
          <w:p w14:paraId="7DEE428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2/3 (67%)</w:t>
            </w:r>
          </w:p>
        </w:tc>
      </w:tr>
      <w:tr w:rsidR="003B7DD5" w:rsidRPr="003B7DD5" w14:paraId="39C8C142" w14:textId="77777777" w:rsidTr="000A607D">
        <w:trPr>
          <w:jc w:val="center"/>
        </w:trPr>
        <w:tc>
          <w:tcPr>
            <w:tcW w:w="1623" w:type="dxa"/>
            <w:tcBorders>
              <w:top w:val="nil"/>
              <w:bottom w:val="nil"/>
              <w:right w:val="nil"/>
            </w:tcBorders>
            <w:shd w:val="clear" w:color="auto" w:fill="auto"/>
            <w:vAlign w:val="center"/>
          </w:tcPr>
          <w:p w14:paraId="6CCD002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Culture pos</w:t>
            </w:r>
          </w:p>
        </w:tc>
        <w:tc>
          <w:tcPr>
            <w:tcW w:w="1790" w:type="dxa"/>
            <w:tcBorders>
              <w:top w:val="nil"/>
              <w:left w:val="nil"/>
              <w:bottom w:val="nil"/>
              <w:right w:val="nil"/>
            </w:tcBorders>
            <w:shd w:val="clear" w:color="auto" w:fill="auto"/>
            <w:vAlign w:val="center"/>
          </w:tcPr>
          <w:p w14:paraId="0F8B5E0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top w:val="nil"/>
              <w:left w:val="nil"/>
              <w:bottom w:val="nil"/>
              <w:right w:val="nil"/>
            </w:tcBorders>
            <w:shd w:val="clear" w:color="auto" w:fill="auto"/>
            <w:vAlign w:val="center"/>
          </w:tcPr>
          <w:p w14:paraId="70A27985"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1/2 (50%)</w:t>
            </w:r>
          </w:p>
        </w:tc>
        <w:tc>
          <w:tcPr>
            <w:tcW w:w="1992" w:type="dxa"/>
            <w:tcBorders>
              <w:top w:val="nil"/>
              <w:left w:val="nil"/>
              <w:bottom w:val="nil"/>
              <w:right w:val="nil"/>
            </w:tcBorders>
            <w:shd w:val="clear" w:color="auto" w:fill="auto"/>
            <w:vAlign w:val="center"/>
          </w:tcPr>
          <w:p w14:paraId="241CDAC1"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3/3 (100%)</w:t>
            </w:r>
          </w:p>
        </w:tc>
        <w:tc>
          <w:tcPr>
            <w:tcW w:w="1831" w:type="dxa"/>
            <w:tcBorders>
              <w:top w:val="nil"/>
              <w:left w:val="nil"/>
              <w:bottom w:val="nil"/>
              <w:right w:val="nil"/>
            </w:tcBorders>
            <w:shd w:val="clear" w:color="auto" w:fill="auto"/>
            <w:vAlign w:val="center"/>
          </w:tcPr>
          <w:p w14:paraId="0200E646"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top w:val="nil"/>
              <w:left w:val="nil"/>
              <w:bottom w:val="nil"/>
              <w:right w:val="nil"/>
            </w:tcBorders>
            <w:shd w:val="clear" w:color="auto" w:fill="auto"/>
            <w:vAlign w:val="center"/>
          </w:tcPr>
          <w:p w14:paraId="778EBBD5"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1/2 (50%)</w:t>
            </w:r>
          </w:p>
        </w:tc>
      </w:tr>
      <w:tr w:rsidR="003B7DD5" w:rsidRPr="003B7DD5" w14:paraId="398E360A" w14:textId="77777777" w:rsidTr="000A607D">
        <w:trPr>
          <w:jc w:val="center"/>
        </w:trPr>
        <w:tc>
          <w:tcPr>
            <w:tcW w:w="1623" w:type="dxa"/>
            <w:tcBorders>
              <w:top w:val="nil"/>
              <w:right w:val="nil"/>
            </w:tcBorders>
            <w:shd w:val="clear" w:color="auto" w:fill="auto"/>
            <w:vAlign w:val="center"/>
          </w:tcPr>
          <w:p w14:paraId="65AADA8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Xpert pos</w:t>
            </w:r>
          </w:p>
        </w:tc>
        <w:tc>
          <w:tcPr>
            <w:tcW w:w="1790" w:type="dxa"/>
            <w:tcBorders>
              <w:top w:val="nil"/>
              <w:left w:val="nil"/>
              <w:right w:val="nil"/>
            </w:tcBorders>
            <w:shd w:val="clear" w:color="auto" w:fill="auto"/>
            <w:vAlign w:val="center"/>
          </w:tcPr>
          <w:p w14:paraId="668DD61D"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615" w:type="dxa"/>
            <w:tcBorders>
              <w:top w:val="nil"/>
              <w:left w:val="nil"/>
              <w:right w:val="nil"/>
            </w:tcBorders>
            <w:shd w:val="clear" w:color="auto" w:fill="auto"/>
            <w:vAlign w:val="center"/>
          </w:tcPr>
          <w:p w14:paraId="6A5C006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992" w:type="dxa"/>
            <w:tcBorders>
              <w:top w:val="nil"/>
              <w:left w:val="nil"/>
              <w:right w:val="nil"/>
            </w:tcBorders>
            <w:shd w:val="clear" w:color="auto" w:fill="auto"/>
            <w:vAlign w:val="center"/>
          </w:tcPr>
          <w:p w14:paraId="668888D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2/2 (100%)</w:t>
            </w:r>
          </w:p>
        </w:tc>
        <w:tc>
          <w:tcPr>
            <w:tcW w:w="1831" w:type="dxa"/>
            <w:tcBorders>
              <w:top w:val="nil"/>
              <w:left w:val="nil"/>
              <w:right w:val="nil"/>
            </w:tcBorders>
            <w:shd w:val="clear" w:color="auto" w:fill="auto"/>
            <w:vAlign w:val="center"/>
          </w:tcPr>
          <w:p w14:paraId="1EF7ACD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top w:val="nil"/>
              <w:left w:val="nil"/>
              <w:right w:val="nil"/>
            </w:tcBorders>
            <w:shd w:val="clear" w:color="auto" w:fill="auto"/>
            <w:vAlign w:val="center"/>
          </w:tcPr>
          <w:p w14:paraId="1EAEF8DF"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2/2 (100%)</w:t>
            </w:r>
          </w:p>
        </w:tc>
      </w:tr>
      <w:tr w:rsidR="003B7DD5" w:rsidRPr="003B7DD5" w14:paraId="768D2B1E" w14:textId="77777777" w:rsidTr="000A607D">
        <w:trPr>
          <w:jc w:val="center"/>
        </w:trPr>
        <w:tc>
          <w:tcPr>
            <w:tcW w:w="1623" w:type="dxa"/>
            <w:tcBorders>
              <w:right w:val="nil"/>
            </w:tcBorders>
            <w:shd w:val="clear" w:color="auto" w:fill="auto"/>
            <w:vAlign w:val="center"/>
          </w:tcPr>
          <w:p w14:paraId="1FBBEBDC" w14:textId="77777777" w:rsidR="000A607D" w:rsidRPr="003B7DD5" w:rsidRDefault="000A607D" w:rsidP="000A607D">
            <w:pPr>
              <w:autoSpaceDE w:val="0"/>
              <w:autoSpaceDN w:val="0"/>
              <w:adjustRightInd w:val="0"/>
              <w:snapToGrid w:val="0"/>
              <w:spacing w:line="240" w:lineRule="auto"/>
              <w:jc w:val="center"/>
              <w:rPr>
                <w:rFonts w:cs="Arial"/>
                <w:i/>
                <w:iCs/>
                <w:color w:val="auto"/>
                <w:sz w:val="18"/>
              </w:rPr>
            </w:pPr>
            <w:r w:rsidRPr="003B7DD5">
              <w:rPr>
                <w:rFonts w:cs="Arial"/>
                <w:i/>
                <w:iCs/>
                <w:color w:val="auto"/>
                <w:sz w:val="18"/>
              </w:rPr>
              <w:t>High</w:t>
            </w:r>
          </w:p>
        </w:tc>
        <w:tc>
          <w:tcPr>
            <w:tcW w:w="1790" w:type="dxa"/>
            <w:tcBorders>
              <w:left w:val="nil"/>
              <w:right w:val="nil"/>
            </w:tcBorders>
            <w:shd w:val="clear" w:color="auto" w:fill="auto"/>
            <w:vAlign w:val="center"/>
          </w:tcPr>
          <w:p w14:paraId="075422A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left w:val="nil"/>
              <w:right w:val="nil"/>
            </w:tcBorders>
            <w:shd w:val="clear" w:color="auto" w:fill="auto"/>
            <w:vAlign w:val="center"/>
          </w:tcPr>
          <w:p w14:paraId="41C312D3"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992" w:type="dxa"/>
            <w:tcBorders>
              <w:left w:val="nil"/>
              <w:right w:val="nil"/>
            </w:tcBorders>
            <w:shd w:val="clear" w:color="auto" w:fill="auto"/>
            <w:vAlign w:val="center"/>
          </w:tcPr>
          <w:p w14:paraId="73B6098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831" w:type="dxa"/>
            <w:tcBorders>
              <w:left w:val="nil"/>
              <w:right w:val="nil"/>
            </w:tcBorders>
            <w:shd w:val="clear" w:color="auto" w:fill="auto"/>
            <w:vAlign w:val="center"/>
          </w:tcPr>
          <w:p w14:paraId="2998A14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left w:val="nil"/>
              <w:right w:val="nil"/>
            </w:tcBorders>
            <w:shd w:val="clear" w:color="auto" w:fill="auto"/>
            <w:vAlign w:val="center"/>
          </w:tcPr>
          <w:p w14:paraId="5F706986"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r>
      <w:tr w:rsidR="003B7DD5" w:rsidRPr="003B7DD5" w14:paraId="50BE9BBE" w14:textId="77777777" w:rsidTr="000A607D">
        <w:trPr>
          <w:jc w:val="center"/>
        </w:trPr>
        <w:tc>
          <w:tcPr>
            <w:tcW w:w="1623" w:type="dxa"/>
            <w:tcBorders>
              <w:right w:val="nil"/>
            </w:tcBorders>
            <w:shd w:val="clear" w:color="auto" w:fill="auto"/>
            <w:vAlign w:val="center"/>
          </w:tcPr>
          <w:p w14:paraId="20BC1E41" w14:textId="77777777" w:rsidR="000A607D" w:rsidRPr="003B7DD5" w:rsidRDefault="000A607D" w:rsidP="000A607D">
            <w:pPr>
              <w:autoSpaceDE w:val="0"/>
              <w:autoSpaceDN w:val="0"/>
              <w:adjustRightInd w:val="0"/>
              <w:snapToGrid w:val="0"/>
              <w:spacing w:line="240" w:lineRule="auto"/>
              <w:jc w:val="center"/>
              <w:rPr>
                <w:rFonts w:cs="Arial"/>
                <w:i/>
                <w:iCs/>
                <w:color w:val="auto"/>
                <w:sz w:val="18"/>
              </w:rPr>
            </w:pPr>
            <w:r w:rsidRPr="003B7DD5">
              <w:rPr>
                <w:rFonts w:cs="Arial"/>
                <w:i/>
                <w:iCs/>
                <w:color w:val="auto"/>
                <w:sz w:val="18"/>
              </w:rPr>
              <w:t>Medium</w:t>
            </w:r>
          </w:p>
        </w:tc>
        <w:tc>
          <w:tcPr>
            <w:tcW w:w="1790" w:type="dxa"/>
            <w:tcBorders>
              <w:left w:val="nil"/>
              <w:right w:val="nil"/>
            </w:tcBorders>
            <w:shd w:val="clear" w:color="auto" w:fill="auto"/>
            <w:vAlign w:val="center"/>
          </w:tcPr>
          <w:p w14:paraId="6BE15CE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615" w:type="dxa"/>
            <w:tcBorders>
              <w:left w:val="nil"/>
              <w:right w:val="nil"/>
            </w:tcBorders>
            <w:shd w:val="clear" w:color="auto" w:fill="auto"/>
            <w:vAlign w:val="center"/>
          </w:tcPr>
          <w:p w14:paraId="3FB714F1"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992" w:type="dxa"/>
            <w:tcBorders>
              <w:left w:val="nil"/>
              <w:right w:val="nil"/>
            </w:tcBorders>
            <w:shd w:val="clear" w:color="auto" w:fill="auto"/>
            <w:vAlign w:val="center"/>
          </w:tcPr>
          <w:p w14:paraId="6DAB2C67"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831" w:type="dxa"/>
            <w:tcBorders>
              <w:left w:val="nil"/>
              <w:right w:val="nil"/>
            </w:tcBorders>
            <w:shd w:val="clear" w:color="auto" w:fill="auto"/>
            <w:vAlign w:val="center"/>
          </w:tcPr>
          <w:p w14:paraId="5AD356DD"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left w:val="nil"/>
              <w:right w:val="nil"/>
            </w:tcBorders>
            <w:shd w:val="clear" w:color="auto" w:fill="auto"/>
            <w:vAlign w:val="center"/>
          </w:tcPr>
          <w:p w14:paraId="78B84867"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r>
      <w:tr w:rsidR="003B7DD5" w:rsidRPr="003B7DD5" w14:paraId="27645588" w14:textId="77777777" w:rsidTr="000A607D">
        <w:trPr>
          <w:jc w:val="center"/>
        </w:trPr>
        <w:tc>
          <w:tcPr>
            <w:tcW w:w="1623" w:type="dxa"/>
            <w:tcBorders>
              <w:right w:val="nil"/>
            </w:tcBorders>
            <w:shd w:val="clear" w:color="auto" w:fill="auto"/>
            <w:vAlign w:val="center"/>
          </w:tcPr>
          <w:p w14:paraId="3B699979" w14:textId="77777777" w:rsidR="000A607D" w:rsidRPr="003B7DD5" w:rsidRDefault="000A607D" w:rsidP="000A607D">
            <w:pPr>
              <w:autoSpaceDE w:val="0"/>
              <w:autoSpaceDN w:val="0"/>
              <w:adjustRightInd w:val="0"/>
              <w:snapToGrid w:val="0"/>
              <w:spacing w:line="240" w:lineRule="auto"/>
              <w:jc w:val="center"/>
              <w:rPr>
                <w:rFonts w:cs="Arial"/>
                <w:i/>
                <w:iCs/>
                <w:color w:val="auto"/>
                <w:sz w:val="18"/>
              </w:rPr>
            </w:pPr>
            <w:r w:rsidRPr="003B7DD5">
              <w:rPr>
                <w:rFonts w:cs="Arial"/>
                <w:i/>
                <w:iCs/>
                <w:color w:val="auto"/>
                <w:sz w:val="18"/>
              </w:rPr>
              <w:t>Low</w:t>
            </w:r>
          </w:p>
        </w:tc>
        <w:tc>
          <w:tcPr>
            <w:tcW w:w="1790" w:type="dxa"/>
            <w:tcBorders>
              <w:left w:val="nil"/>
              <w:right w:val="nil"/>
            </w:tcBorders>
            <w:shd w:val="clear" w:color="auto" w:fill="auto"/>
            <w:vAlign w:val="center"/>
          </w:tcPr>
          <w:p w14:paraId="5D317B71"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left w:val="nil"/>
              <w:right w:val="nil"/>
            </w:tcBorders>
            <w:shd w:val="clear" w:color="auto" w:fill="auto"/>
            <w:vAlign w:val="center"/>
          </w:tcPr>
          <w:p w14:paraId="4E5978A3"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c>
          <w:tcPr>
            <w:tcW w:w="1992" w:type="dxa"/>
            <w:tcBorders>
              <w:left w:val="nil"/>
              <w:right w:val="nil"/>
            </w:tcBorders>
            <w:shd w:val="clear" w:color="auto" w:fill="auto"/>
            <w:vAlign w:val="center"/>
          </w:tcPr>
          <w:p w14:paraId="5975F635"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831" w:type="dxa"/>
            <w:tcBorders>
              <w:left w:val="nil"/>
              <w:right w:val="nil"/>
            </w:tcBorders>
            <w:shd w:val="clear" w:color="auto" w:fill="auto"/>
            <w:vAlign w:val="center"/>
          </w:tcPr>
          <w:p w14:paraId="1D7325CC"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left w:val="nil"/>
              <w:right w:val="nil"/>
            </w:tcBorders>
            <w:shd w:val="clear" w:color="auto" w:fill="auto"/>
            <w:vAlign w:val="center"/>
          </w:tcPr>
          <w:p w14:paraId="657DD51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r>
      <w:tr w:rsidR="003B7DD5" w:rsidRPr="003B7DD5" w14:paraId="3400807A" w14:textId="77777777" w:rsidTr="000A607D">
        <w:trPr>
          <w:jc w:val="center"/>
        </w:trPr>
        <w:tc>
          <w:tcPr>
            <w:tcW w:w="1623" w:type="dxa"/>
            <w:tcBorders>
              <w:right w:val="nil"/>
            </w:tcBorders>
            <w:shd w:val="clear" w:color="auto" w:fill="auto"/>
            <w:vAlign w:val="center"/>
          </w:tcPr>
          <w:p w14:paraId="4F320026" w14:textId="77777777" w:rsidR="000A607D" w:rsidRPr="003B7DD5" w:rsidRDefault="000A607D" w:rsidP="000A607D">
            <w:pPr>
              <w:autoSpaceDE w:val="0"/>
              <w:autoSpaceDN w:val="0"/>
              <w:adjustRightInd w:val="0"/>
              <w:snapToGrid w:val="0"/>
              <w:spacing w:line="240" w:lineRule="auto"/>
              <w:jc w:val="center"/>
              <w:rPr>
                <w:rFonts w:cs="Arial"/>
                <w:i/>
                <w:iCs/>
                <w:color w:val="auto"/>
                <w:sz w:val="18"/>
              </w:rPr>
            </w:pPr>
            <w:r w:rsidRPr="003B7DD5">
              <w:rPr>
                <w:rFonts w:cs="Arial"/>
                <w:i/>
                <w:iCs/>
                <w:color w:val="auto"/>
                <w:sz w:val="18"/>
              </w:rPr>
              <w:t>Very Low</w:t>
            </w:r>
          </w:p>
        </w:tc>
        <w:tc>
          <w:tcPr>
            <w:tcW w:w="1790" w:type="dxa"/>
            <w:tcBorders>
              <w:left w:val="nil"/>
              <w:right w:val="nil"/>
            </w:tcBorders>
            <w:shd w:val="clear" w:color="auto" w:fill="auto"/>
            <w:vAlign w:val="center"/>
          </w:tcPr>
          <w:p w14:paraId="4C3C7F0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w:t>
            </w:r>
          </w:p>
        </w:tc>
        <w:tc>
          <w:tcPr>
            <w:tcW w:w="1615" w:type="dxa"/>
            <w:tcBorders>
              <w:left w:val="nil"/>
              <w:right w:val="nil"/>
            </w:tcBorders>
            <w:shd w:val="clear" w:color="auto" w:fill="auto"/>
            <w:vAlign w:val="center"/>
          </w:tcPr>
          <w:p w14:paraId="47E32057"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w:t>
            </w:r>
          </w:p>
        </w:tc>
        <w:tc>
          <w:tcPr>
            <w:tcW w:w="1992" w:type="dxa"/>
            <w:tcBorders>
              <w:left w:val="nil"/>
              <w:right w:val="nil"/>
            </w:tcBorders>
            <w:shd w:val="clear" w:color="auto" w:fill="auto"/>
            <w:vAlign w:val="center"/>
          </w:tcPr>
          <w:p w14:paraId="6F5C84C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w:t>
            </w:r>
          </w:p>
        </w:tc>
        <w:tc>
          <w:tcPr>
            <w:tcW w:w="1831" w:type="dxa"/>
            <w:tcBorders>
              <w:left w:val="nil"/>
              <w:right w:val="nil"/>
            </w:tcBorders>
            <w:shd w:val="clear" w:color="auto" w:fill="auto"/>
            <w:vAlign w:val="center"/>
          </w:tcPr>
          <w:p w14:paraId="4B5F3BC2"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w:t>
            </w:r>
          </w:p>
        </w:tc>
        <w:tc>
          <w:tcPr>
            <w:tcW w:w="1615" w:type="dxa"/>
            <w:tcBorders>
              <w:left w:val="nil"/>
              <w:right w:val="nil"/>
            </w:tcBorders>
            <w:shd w:val="clear" w:color="auto" w:fill="auto"/>
            <w:vAlign w:val="center"/>
          </w:tcPr>
          <w:p w14:paraId="1F845D6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w:t>
            </w:r>
          </w:p>
        </w:tc>
      </w:tr>
      <w:tr w:rsidR="003B7DD5" w:rsidRPr="003B7DD5" w14:paraId="27CE93E0" w14:textId="77777777" w:rsidTr="000A607D">
        <w:trPr>
          <w:jc w:val="center"/>
        </w:trPr>
        <w:tc>
          <w:tcPr>
            <w:tcW w:w="1623" w:type="dxa"/>
            <w:tcBorders>
              <w:top w:val="nil"/>
              <w:bottom w:val="nil"/>
              <w:right w:val="nil"/>
            </w:tcBorders>
            <w:shd w:val="clear" w:color="auto" w:fill="auto"/>
            <w:vAlign w:val="center"/>
          </w:tcPr>
          <w:p w14:paraId="124DA16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Culture neg</w:t>
            </w:r>
          </w:p>
        </w:tc>
        <w:tc>
          <w:tcPr>
            <w:tcW w:w="1790" w:type="dxa"/>
            <w:tcBorders>
              <w:top w:val="nil"/>
              <w:left w:val="nil"/>
              <w:bottom w:val="nil"/>
              <w:right w:val="nil"/>
            </w:tcBorders>
            <w:shd w:val="clear" w:color="auto" w:fill="auto"/>
            <w:vAlign w:val="center"/>
          </w:tcPr>
          <w:p w14:paraId="473611DC"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1/10 (10%)</w:t>
            </w:r>
          </w:p>
        </w:tc>
        <w:tc>
          <w:tcPr>
            <w:tcW w:w="1615" w:type="dxa"/>
            <w:tcBorders>
              <w:top w:val="nil"/>
              <w:left w:val="nil"/>
              <w:bottom w:val="nil"/>
              <w:right w:val="nil"/>
            </w:tcBorders>
            <w:shd w:val="clear" w:color="auto" w:fill="auto"/>
            <w:vAlign w:val="center"/>
          </w:tcPr>
          <w:p w14:paraId="0058012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0/14 (0%)</w:t>
            </w:r>
          </w:p>
        </w:tc>
        <w:tc>
          <w:tcPr>
            <w:tcW w:w="1992" w:type="dxa"/>
            <w:tcBorders>
              <w:top w:val="nil"/>
              <w:left w:val="nil"/>
              <w:bottom w:val="nil"/>
              <w:right w:val="nil"/>
            </w:tcBorders>
            <w:shd w:val="clear" w:color="auto" w:fill="auto"/>
            <w:vAlign w:val="center"/>
          </w:tcPr>
          <w:p w14:paraId="4B314C5F"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4/28 (14%)</w:t>
            </w:r>
          </w:p>
        </w:tc>
        <w:tc>
          <w:tcPr>
            <w:tcW w:w="1831" w:type="dxa"/>
            <w:tcBorders>
              <w:top w:val="nil"/>
              <w:left w:val="nil"/>
              <w:bottom w:val="nil"/>
              <w:right w:val="nil"/>
            </w:tcBorders>
            <w:shd w:val="clear" w:color="auto" w:fill="auto"/>
            <w:vAlign w:val="center"/>
          </w:tcPr>
          <w:p w14:paraId="3D4BC77C"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0/3 (0%)</w:t>
            </w:r>
          </w:p>
        </w:tc>
        <w:tc>
          <w:tcPr>
            <w:tcW w:w="1615" w:type="dxa"/>
            <w:tcBorders>
              <w:top w:val="nil"/>
              <w:left w:val="nil"/>
              <w:bottom w:val="nil"/>
              <w:right w:val="nil"/>
            </w:tcBorders>
            <w:shd w:val="clear" w:color="auto" w:fill="auto"/>
            <w:vAlign w:val="center"/>
          </w:tcPr>
          <w:p w14:paraId="1F30A249"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0/5 (0%)</w:t>
            </w:r>
          </w:p>
        </w:tc>
      </w:tr>
      <w:tr w:rsidR="003B7DD5" w:rsidRPr="003B7DD5" w14:paraId="396CBBA2" w14:textId="77777777" w:rsidTr="000A607D">
        <w:trPr>
          <w:jc w:val="center"/>
        </w:trPr>
        <w:tc>
          <w:tcPr>
            <w:tcW w:w="1623" w:type="dxa"/>
            <w:tcBorders>
              <w:top w:val="nil"/>
              <w:bottom w:val="nil"/>
              <w:right w:val="nil"/>
            </w:tcBorders>
            <w:shd w:val="clear" w:color="auto" w:fill="auto"/>
            <w:vAlign w:val="center"/>
          </w:tcPr>
          <w:p w14:paraId="3B0BCB8C"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Culture cont</w:t>
            </w:r>
          </w:p>
        </w:tc>
        <w:tc>
          <w:tcPr>
            <w:tcW w:w="1790" w:type="dxa"/>
            <w:tcBorders>
              <w:top w:val="nil"/>
              <w:left w:val="nil"/>
              <w:bottom w:val="nil"/>
              <w:right w:val="nil"/>
            </w:tcBorders>
            <w:shd w:val="clear" w:color="auto" w:fill="auto"/>
            <w:vAlign w:val="center"/>
          </w:tcPr>
          <w:p w14:paraId="4E8C8529"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 (0%)</w:t>
            </w:r>
          </w:p>
        </w:tc>
        <w:tc>
          <w:tcPr>
            <w:tcW w:w="1615" w:type="dxa"/>
            <w:tcBorders>
              <w:top w:val="nil"/>
              <w:left w:val="nil"/>
              <w:bottom w:val="nil"/>
              <w:right w:val="nil"/>
            </w:tcBorders>
            <w:shd w:val="clear" w:color="auto" w:fill="auto"/>
            <w:vAlign w:val="center"/>
          </w:tcPr>
          <w:p w14:paraId="7FDD64C9"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992" w:type="dxa"/>
            <w:tcBorders>
              <w:top w:val="nil"/>
              <w:left w:val="nil"/>
              <w:bottom w:val="nil"/>
              <w:right w:val="nil"/>
            </w:tcBorders>
            <w:shd w:val="clear" w:color="auto" w:fill="auto"/>
            <w:vAlign w:val="center"/>
          </w:tcPr>
          <w:p w14:paraId="6B706CA0"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 (0%)</w:t>
            </w:r>
          </w:p>
        </w:tc>
        <w:tc>
          <w:tcPr>
            <w:tcW w:w="1831" w:type="dxa"/>
            <w:tcBorders>
              <w:top w:val="nil"/>
              <w:left w:val="nil"/>
              <w:bottom w:val="nil"/>
              <w:right w:val="nil"/>
            </w:tcBorders>
            <w:shd w:val="clear" w:color="auto" w:fill="auto"/>
            <w:vAlign w:val="center"/>
          </w:tcPr>
          <w:p w14:paraId="53042ED5"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0/0 (0%)</w:t>
            </w:r>
          </w:p>
        </w:tc>
        <w:tc>
          <w:tcPr>
            <w:tcW w:w="1615" w:type="dxa"/>
            <w:tcBorders>
              <w:top w:val="nil"/>
              <w:left w:val="nil"/>
              <w:bottom w:val="nil"/>
              <w:right w:val="nil"/>
            </w:tcBorders>
            <w:shd w:val="clear" w:color="auto" w:fill="auto"/>
            <w:vAlign w:val="center"/>
          </w:tcPr>
          <w:p w14:paraId="62859331"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1/1 (100%)</w:t>
            </w:r>
          </w:p>
        </w:tc>
      </w:tr>
      <w:tr w:rsidR="003B7DD5" w:rsidRPr="003B7DD5" w14:paraId="168BC1F3" w14:textId="77777777" w:rsidTr="000A607D">
        <w:trPr>
          <w:jc w:val="center"/>
        </w:trPr>
        <w:tc>
          <w:tcPr>
            <w:tcW w:w="1623" w:type="dxa"/>
            <w:tcBorders>
              <w:bottom w:val="single" w:sz="4" w:space="0" w:color="auto"/>
              <w:right w:val="nil"/>
            </w:tcBorders>
            <w:shd w:val="clear" w:color="auto" w:fill="auto"/>
            <w:vAlign w:val="center"/>
          </w:tcPr>
          <w:p w14:paraId="1B6700DB"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Xpert neg</w:t>
            </w:r>
          </w:p>
        </w:tc>
        <w:tc>
          <w:tcPr>
            <w:tcW w:w="1790" w:type="dxa"/>
            <w:tcBorders>
              <w:left w:val="nil"/>
              <w:bottom w:val="single" w:sz="4" w:space="0" w:color="auto"/>
              <w:right w:val="nil"/>
            </w:tcBorders>
            <w:shd w:val="clear" w:color="auto" w:fill="auto"/>
            <w:vAlign w:val="center"/>
          </w:tcPr>
          <w:p w14:paraId="5998A49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0/10 (0%)</w:t>
            </w:r>
          </w:p>
        </w:tc>
        <w:tc>
          <w:tcPr>
            <w:tcW w:w="1615" w:type="dxa"/>
            <w:tcBorders>
              <w:left w:val="nil"/>
              <w:bottom w:val="single" w:sz="4" w:space="0" w:color="auto"/>
              <w:right w:val="nil"/>
            </w:tcBorders>
            <w:shd w:val="clear" w:color="auto" w:fill="auto"/>
            <w:vAlign w:val="center"/>
          </w:tcPr>
          <w:p w14:paraId="4FEEA57F"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0/15 (0%)</w:t>
            </w:r>
          </w:p>
        </w:tc>
        <w:tc>
          <w:tcPr>
            <w:tcW w:w="1992" w:type="dxa"/>
            <w:tcBorders>
              <w:left w:val="nil"/>
              <w:bottom w:val="single" w:sz="4" w:space="0" w:color="auto"/>
              <w:right w:val="nil"/>
            </w:tcBorders>
            <w:shd w:val="clear" w:color="auto" w:fill="auto"/>
            <w:vAlign w:val="center"/>
          </w:tcPr>
          <w:p w14:paraId="114FC9E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5/30 (17%)</w:t>
            </w:r>
          </w:p>
        </w:tc>
        <w:tc>
          <w:tcPr>
            <w:tcW w:w="1831" w:type="dxa"/>
            <w:tcBorders>
              <w:left w:val="nil"/>
              <w:bottom w:val="single" w:sz="4" w:space="0" w:color="auto"/>
              <w:right w:val="nil"/>
            </w:tcBorders>
            <w:shd w:val="clear" w:color="auto" w:fill="auto"/>
            <w:vAlign w:val="center"/>
          </w:tcPr>
          <w:p w14:paraId="3D01C22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0/3 (0%)</w:t>
            </w:r>
          </w:p>
        </w:tc>
        <w:tc>
          <w:tcPr>
            <w:tcW w:w="1615" w:type="dxa"/>
            <w:tcBorders>
              <w:left w:val="nil"/>
              <w:bottom w:val="single" w:sz="4" w:space="0" w:color="auto"/>
              <w:right w:val="nil"/>
            </w:tcBorders>
            <w:shd w:val="clear" w:color="auto" w:fill="auto"/>
            <w:vAlign w:val="center"/>
          </w:tcPr>
          <w:p w14:paraId="0781B865"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0/6 (0%)</w:t>
            </w:r>
          </w:p>
        </w:tc>
      </w:tr>
      <w:tr w:rsidR="003B7DD5" w:rsidRPr="003B7DD5" w14:paraId="2ED4CF60" w14:textId="77777777" w:rsidTr="000A607D">
        <w:trPr>
          <w:jc w:val="center"/>
        </w:trPr>
        <w:tc>
          <w:tcPr>
            <w:tcW w:w="1623" w:type="dxa"/>
            <w:tcBorders>
              <w:top w:val="single" w:sz="4" w:space="0" w:color="auto"/>
              <w:bottom w:val="single" w:sz="4" w:space="0" w:color="auto"/>
              <w:right w:val="nil"/>
            </w:tcBorders>
            <w:shd w:val="clear" w:color="auto" w:fill="auto"/>
            <w:vAlign w:val="center"/>
          </w:tcPr>
          <w:p w14:paraId="0A9C572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b/>
                <w:bCs/>
                <w:color w:val="auto"/>
                <w:sz w:val="18"/>
              </w:rPr>
              <w:t xml:space="preserve">Not TB </w:t>
            </w:r>
            <w:r w:rsidRPr="003B7DD5">
              <w:rPr>
                <w:rFonts w:cs="Arial"/>
                <w:color w:val="auto"/>
                <w:sz w:val="18"/>
                <w:vertAlign w:val="superscript"/>
              </w:rPr>
              <w:t>b</w:t>
            </w:r>
          </w:p>
        </w:tc>
        <w:tc>
          <w:tcPr>
            <w:tcW w:w="1790" w:type="dxa"/>
            <w:tcBorders>
              <w:top w:val="single" w:sz="4" w:space="0" w:color="auto"/>
              <w:left w:val="nil"/>
              <w:bottom w:val="single" w:sz="4" w:space="0" w:color="auto"/>
              <w:right w:val="nil"/>
            </w:tcBorders>
            <w:shd w:val="clear" w:color="auto" w:fill="auto"/>
            <w:vAlign w:val="center"/>
          </w:tcPr>
          <w:p w14:paraId="2AC83EC6"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0/10 (0%)</w:t>
            </w:r>
          </w:p>
        </w:tc>
        <w:tc>
          <w:tcPr>
            <w:tcW w:w="1615" w:type="dxa"/>
            <w:tcBorders>
              <w:top w:val="single" w:sz="4" w:space="0" w:color="auto"/>
              <w:left w:val="nil"/>
              <w:bottom w:val="single" w:sz="4" w:space="0" w:color="auto"/>
              <w:right w:val="nil"/>
            </w:tcBorders>
            <w:shd w:val="clear" w:color="auto" w:fill="auto"/>
            <w:vAlign w:val="center"/>
          </w:tcPr>
          <w:p w14:paraId="5F1CEFF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0/14 (0%)</w:t>
            </w:r>
          </w:p>
        </w:tc>
        <w:tc>
          <w:tcPr>
            <w:tcW w:w="1992" w:type="dxa"/>
            <w:tcBorders>
              <w:top w:val="single" w:sz="4" w:space="0" w:color="auto"/>
              <w:left w:val="nil"/>
              <w:bottom w:val="single" w:sz="4" w:space="0" w:color="auto"/>
              <w:right w:val="nil"/>
            </w:tcBorders>
            <w:shd w:val="clear" w:color="auto" w:fill="auto"/>
            <w:vAlign w:val="center"/>
          </w:tcPr>
          <w:p w14:paraId="742EE637"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4/28 (14%)</w:t>
            </w:r>
          </w:p>
        </w:tc>
        <w:tc>
          <w:tcPr>
            <w:tcW w:w="1831" w:type="dxa"/>
            <w:tcBorders>
              <w:top w:val="single" w:sz="4" w:space="0" w:color="auto"/>
              <w:left w:val="nil"/>
              <w:bottom w:val="single" w:sz="4" w:space="0" w:color="auto"/>
              <w:right w:val="nil"/>
            </w:tcBorders>
            <w:shd w:val="clear" w:color="auto" w:fill="auto"/>
            <w:vAlign w:val="center"/>
          </w:tcPr>
          <w:p w14:paraId="4642C61D"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0/3 (0%)</w:t>
            </w:r>
          </w:p>
        </w:tc>
        <w:tc>
          <w:tcPr>
            <w:tcW w:w="1615" w:type="dxa"/>
            <w:tcBorders>
              <w:top w:val="single" w:sz="4" w:space="0" w:color="auto"/>
              <w:left w:val="nil"/>
              <w:bottom w:val="single" w:sz="4" w:space="0" w:color="auto"/>
              <w:right w:val="nil"/>
            </w:tcBorders>
            <w:shd w:val="clear" w:color="auto" w:fill="auto"/>
            <w:vAlign w:val="center"/>
          </w:tcPr>
          <w:p w14:paraId="0AB72360"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0/5 (0%)</w:t>
            </w:r>
          </w:p>
        </w:tc>
      </w:tr>
      <w:tr w:rsidR="003B7DD5" w:rsidRPr="003B7DD5" w14:paraId="5E6DE895" w14:textId="77777777" w:rsidTr="000A607D">
        <w:trPr>
          <w:jc w:val="center"/>
        </w:trPr>
        <w:tc>
          <w:tcPr>
            <w:tcW w:w="1623" w:type="dxa"/>
            <w:tcBorders>
              <w:top w:val="single" w:sz="4" w:space="0" w:color="auto"/>
              <w:bottom w:val="single" w:sz="4" w:space="0" w:color="auto"/>
              <w:right w:val="nil"/>
            </w:tcBorders>
            <w:shd w:val="clear" w:color="auto" w:fill="auto"/>
            <w:vAlign w:val="center"/>
          </w:tcPr>
          <w:p w14:paraId="352463E0" w14:textId="77777777" w:rsidR="000A607D" w:rsidRPr="003B7DD5" w:rsidRDefault="000A607D" w:rsidP="000A607D">
            <w:pPr>
              <w:autoSpaceDE w:val="0"/>
              <w:autoSpaceDN w:val="0"/>
              <w:adjustRightInd w:val="0"/>
              <w:snapToGrid w:val="0"/>
              <w:spacing w:line="240" w:lineRule="auto"/>
              <w:jc w:val="center"/>
              <w:rPr>
                <w:rFonts w:cs="Arial"/>
                <w:b/>
                <w:bCs/>
                <w:color w:val="auto"/>
                <w:sz w:val="18"/>
              </w:rPr>
            </w:pPr>
            <w:r w:rsidRPr="003B7DD5">
              <w:rPr>
                <w:rFonts w:cs="Arial"/>
                <w:b/>
                <w:bCs/>
                <w:color w:val="auto"/>
                <w:sz w:val="18"/>
              </w:rPr>
              <w:t>Bact + TB</w:t>
            </w:r>
          </w:p>
        </w:tc>
        <w:tc>
          <w:tcPr>
            <w:tcW w:w="1790" w:type="dxa"/>
            <w:tcBorders>
              <w:top w:val="single" w:sz="4" w:space="0" w:color="auto"/>
              <w:left w:val="nil"/>
              <w:bottom w:val="single" w:sz="4" w:space="0" w:color="auto"/>
              <w:right w:val="nil"/>
            </w:tcBorders>
            <w:shd w:val="clear" w:color="auto" w:fill="auto"/>
            <w:vAlign w:val="center"/>
          </w:tcPr>
          <w:p w14:paraId="50186596"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615" w:type="dxa"/>
            <w:tcBorders>
              <w:top w:val="single" w:sz="4" w:space="0" w:color="auto"/>
              <w:left w:val="nil"/>
              <w:bottom w:val="single" w:sz="4" w:space="0" w:color="auto"/>
              <w:right w:val="nil"/>
            </w:tcBorders>
            <w:shd w:val="clear" w:color="auto" w:fill="auto"/>
            <w:vAlign w:val="center"/>
          </w:tcPr>
          <w:p w14:paraId="52FE03D5"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992" w:type="dxa"/>
            <w:tcBorders>
              <w:top w:val="single" w:sz="4" w:space="0" w:color="auto"/>
              <w:left w:val="nil"/>
              <w:bottom w:val="single" w:sz="4" w:space="0" w:color="auto"/>
              <w:right w:val="nil"/>
            </w:tcBorders>
            <w:shd w:val="clear" w:color="auto" w:fill="auto"/>
            <w:vAlign w:val="center"/>
          </w:tcPr>
          <w:p w14:paraId="75E5E222"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831" w:type="dxa"/>
            <w:tcBorders>
              <w:top w:val="single" w:sz="4" w:space="0" w:color="auto"/>
              <w:left w:val="nil"/>
              <w:bottom w:val="single" w:sz="4" w:space="0" w:color="auto"/>
              <w:right w:val="nil"/>
            </w:tcBorders>
            <w:shd w:val="clear" w:color="auto" w:fill="auto"/>
            <w:vAlign w:val="center"/>
          </w:tcPr>
          <w:p w14:paraId="0F2137CD"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615" w:type="dxa"/>
            <w:tcBorders>
              <w:top w:val="single" w:sz="4" w:space="0" w:color="auto"/>
              <w:left w:val="nil"/>
              <w:bottom w:val="single" w:sz="4" w:space="0" w:color="auto"/>
              <w:right w:val="nil"/>
            </w:tcBorders>
            <w:shd w:val="clear" w:color="auto" w:fill="auto"/>
            <w:vAlign w:val="center"/>
          </w:tcPr>
          <w:p w14:paraId="08667A49"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r>
      <w:tr w:rsidR="003B7DD5" w:rsidRPr="003B7DD5" w14:paraId="626C02F5" w14:textId="77777777" w:rsidTr="000A607D">
        <w:trPr>
          <w:jc w:val="center"/>
        </w:trPr>
        <w:tc>
          <w:tcPr>
            <w:tcW w:w="1623" w:type="dxa"/>
            <w:tcBorders>
              <w:top w:val="single" w:sz="4" w:space="0" w:color="auto"/>
              <w:bottom w:val="single" w:sz="4" w:space="0" w:color="auto"/>
              <w:right w:val="nil"/>
            </w:tcBorders>
            <w:shd w:val="clear" w:color="auto" w:fill="auto"/>
            <w:vAlign w:val="center"/>
          </w:tcPr>
          <w:p w14:paraId="39808075"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Sensitivity</w:t>
            </w:r>
          </w:p>
        </w:tc>
        <w:tc>
          <w:tcPr>
            <w:tcW w:w="1790" w:type="dxa"/>
            <w:tcBorders>
              <w:top w:val="single" w:sz="4" w:space="0" w:color="auto"/>
              <w:left w:val="nil"/>
              <w:bottom w:val="single" w:sz="4" w:space="0" w:color="auto"/>
              <w:right w:val="nil"/>
            </w:tcBorders>
            <w:shd w:val="clear" w:color="auto" w:fill="auto"/>
            <w:vAlign w:val="center"/>
          </w:tcPr>
          <w:p w14:paraId="11CCEAAA"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100%, 0.05-1</w:t>
            </w:r>
          </w:p>
        </w:tc>
        <w:tc>
          <w:tcPr>
            <w:tcW w:w="1615" w:type="dxa"/>
            <w:tcBorders>
              <w:top w:val="single" w:sz="4" w:space="0" w:color="auto"/>
              <w:left w:val="nil"/>
              <w:bottom w:val="single" w:sz="4" w:space="0" w:color="auto"/>
              <w:right w:val="nil"/>
            </w:tcBorders>
            <w:shd w:val="clear" w:color="auto" w:fill="auto"/>
            <w:vAlign w:val="center"/>
          </w:tcPr>
          <w:p w14:paraId="7D532D4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50%, 0.03-1</w:t>
            </w:r>
          </w:p>
        </w:tc>
        <w:tc>
          <w:tcPr>
            <w:tcW w:w="1992" w:type="dxa"/>
            <w:tcBorders>
              <w:top w:val="single" w:sz="4" w:space="0" w:color="auto"/>
              <w:left w:val="nil"/>
              <w:bottom w:val="single" w:sz="4" w:space="0" w:color="auto"/>
              <w:right w:val="nil"/>
            </w:tcBorders>
            <w:shd w:val="clear" w:color="auto" w:fill="auto"/>
            <w:vAlign w:val="center"/>
          </w:tcPr>
          <w:p w14:paraId="7AFD25D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75%, 0.2-1</w:t>
            </w:r>
          </w:p>
        </w:tc>
        <w:tc>
          <w:tcPr>
            <w:tcW w:w="1831" w:type="dxa"/>
            <w:tcBorders>
              <w:top w:val="single" w:sz="4" w:space="0" w:color="auto"/>
              <w:left w:val="nil"/>
              <w:bottom w:val="single" w:sz="4" w:space="0" w:color="auto"/>
              <w:right w:val="nil"/>
            </w:tcBorders>
            <w:shd w:val="clear" w:color="auto" w:fill="auto"/>
            <w:vAlign w:val="center"/>
          </w:tcPr>
          <w:p w14:paraId="5CA12DD3"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0%</w:t>
            </w:r>
          </w:p>
        </w:tc>
        <w:tc>
          <w:tcPr>
            <w:tcW w:w="1615" w:type="dxa"/>
            <w:tcBorders>
              <w:top w:val="single" w:sz="4" w:space="0" w:color="auto"/>
              <w:left w:val="nil"/>
              <w:bottom w:val="single" w:sz="4" w:space="0" w:color="auto"/>
              <w:right w:val="nil"/>
            </w:tcBorders>
            <w:shd w:val="clear" w:color="auto" w:fill="auto"/>
            <w:vAlign w:val="center"/>
          </w:tcPr>
          <w:p w14:paraId="2E67E294"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67%, 0.1-1</w:t>
            </w:r>
          </w:p>
        </w:tc>
      </w:tr>
      <w:tr w:rsidR="003B7DD5" w:rsidRPr="003B7DD5" w14:paraId="5C32324C" w14:textId="77777777" w:rsidTr="000A607D">
        <w:trPr>
          <w:jc w:val="center"/>
        </w:trPr>
        <w:tc>
          <w:tcPr>
            <w:tcW w:w="1623" w:type="dxa"/>
            <w:tcBorders>
              <w:top w:val="single" w:sz="4" w:space="0" w:color="auto"/>
              <w:bottom w:val="single" w:sz="4" w:space="0" w:color="auto"/>
              <w:right w:val="nil"/>
            </w:tcBorders>
            <w:shd w:val="clear" w:color="auto" w:fill="auto"/>
            <w:vAlign w:val="center"/>
          </w:tcPr>
          <w:p w14:paraId="64BA5DDF"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b/>
                <w:bCs/>
                <w:color w:val="auto"/>
                <w:sz w:val="18"/>
              </w:rPr>
              <w:t>Not TB</w:t>
            </w:r>
          </w:p>
        </w:tc>
        <w:tc>
          <w:tcPr>
            <w:tcW w:w="1790" w:type="dxa"/>
            <w:tcBorders>
              <w:top w:val="single" w:sz="4" w:space="0" w:color="auto"/>
              <w:left w:val="nil"/>
              <w:bottom w:val="single" w:sz="4" w:space="0" w:color="auto"/>
              <w:right w:val="nil"/>
            </w:tcBorders>
            <w:shd w:val="clear" w:color="auto" w:fill="auto"/>
            <w:vAlign w:val="center"/>
          </w:tcPr>
          <w:p w14:paraId="5CB0314A"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615" w:type="dxa"/>
            <w:tcBorders>
              <w:top w:val="single" w:sz="4" w:space="0" w:color="auto"/>
              <w:left w:val="nil"/>
              <w:bottom w:val="single" w:sz="4" w:space="0" w:color="auto"/>
              <w:right w:val="nil"/>
            </w:tcBorders>
            <w:shd w:val="clear" w:color="auto" w:fill="auto"/>
            <w:vAlign w:val="center"/>
          </w:tcPr>
          <w:p w14:paraId="6E5FD8B2"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992" w:type="dxa"/>
            <w:tcBorders>
              <w:top w:val="single" w:sz="4" w:space="0" w:color="auto"/>
              <w:left w:val="nil"/>
              <w:bottom w:val="single" w:sz="4" w:space="0" w:color="auto"/>
              <w:right w:val="nil"/>
            </w:tcBorders>
            <w:shd w:val="clear" w:color="auto" w:fill="auto"/>
            <w:vAlign w:val="center"/>
          </w:tcPr>
          <w:p w14:paraId="6E090552"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831" w:type="dxa"/>
            <w:tcBorders>
              <w:top w:val="single" w:sz="4" w:space="0" w:color="auto"/>
              <w:left w:val="nil"/>
              <w:bottom w:val="single" w:sz="4" w:space="0" w:color="auto"/>
              <w:right w:val="nil"/>
            </w:tcBorders>
            <w:shd w:val="clear" w:color="auto" w:fill="auto"/>
            <w:vAlign w:val="center"/>
          </w:tcPr>
          <w:p w14:paraId="6B1E00EA"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c>
          <w:tcPr>
            <w:tcW w:w="1615" w:type="dxa"/>
            <w:tcBorders>
              <w:top w:val="single" w:sz="4" w:space="0" w:color="auto"/>
              <w:left w:val="nil"/>
              <w:bottom w:val="single" w:sz="4" w:space="0" w:color="auto"/>
              <w:right w:val="nil"/>
            </w:tcBorders>
            <w:shd w:val="clear" w:color="auto" w:fill="auto"/>
            <w:vAlign w:val="center"/>
          </w:tcPr>
          <w:p w14:paraId="79160106" w14:textId="77777777" w:rsidR="000A607D" w:rsidRPr="003B7DD5" w:rsidRDefault="000A607D" w:rsidP="000A607D">
            <w:pPr>
              <w:autoSpaceDE w:val="0"/>
              <w:autoSpaceDN w:val="0"/>
              <w:adjustRightInd w:val="0"/>
              <w:snapToGrid w:val="0"/>
              <w:spacing w:line="240" w:lineRule="auto"/>
              <w:jc w:val="center"/>
              <w:rPr>
                <w:rFonts w:cs="Arial"/>
                <w:color w:val="auto"/>
                <w:sz w:val="18"/>
              </w:rPr>
            </w:pPr>
          </w:p>
        </w:tc>
      </w:tr>
      <w:tr w:rsidR="003B7DD5" w:rsidRPr="003B7DD5" w14:paraId="70F9B021" w14:textId="77777777" w:rsidTr="000A607D">
        <w:trPr>
          <w:jc w:val="center"/>
        </w:trPr>
        <w:tc>
          <w:tcPr>
            <w:tcW w:w="1623" w:type="dxa"/>
            <w:tcBorders>
              <w:top w:val="single" w:sz="4" w:space="0" w:color="auto"/>
              <w:bottom w:val="single" w:sz="8" w:space="0" w:color="auto"/>
              <w:right w:val="nil"/>
            </w:tcBorders>
            <w:shd w:val="clear" w:color="auto" w:fill="auto"/>
            <w:vAlign w:val="center"/>
          </w:tcPr>
          <w:p w14:paraId="0CC075D7"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Specificity</w:t>
            </w:r>
          </w:p>
        </w:tc>
        <w:tc>
          <w:tcPr>
            <w:tcW w:w="1790" w:type="dxa"/>
            <w:tcBorders>
              <w:top w:val="single" w:sz="4" w:space="0" w:color="auto"/>
              <w:left w:val="nil"/>
              <w:bottom w:val="single" w:sz="8" w:space="0" w:color="auto"/>
              <w:right w:val="nil"/>
            </w:tcBorders>
            <w:shd w:val="clear" w:color="auto" w:fill="auto"/>
            <w:vAlign w:val="center"/>
          </w:tcPr>
          <w:p w14:paraId="4E755F9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100%, 0.7-1</w:t>
            </w:r>
          </w:p>
        </w:tc>
        <w:tc>
          <w:tcPr>
            <w:tcW w:w="1615" w:type="dxa"/>
            <w:tcBorders>
              <w:top w:val="single" w:sz="4" w:space="0" w:color="auto"/>
              <w:left w:val="nil"/>
              <w:bottom w:val="single" w:sz="8" w:space="0" w:color="auto"/>
              <w:right w:val="nil"/>
            </w:tcBorders>
            <w:shd w:val="clear" w:color="auto" w:fill="auto"/>
            <w:vAlign w:val="center"/>
          </w:tcPr>
          <w:p w14:paraId="07E2182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100%, 0.7-1</w:t>
            </w:r>
          </w:p>
        </w:tc>
        <w:tc>
          <w:tcPr>
            <w:tcW w:w="1992" w:type="dxa"/>
            <w:tcBorders>
              <w:top w:val="single" w:sz="4" w:space="0" w:color="auto"/>
              <w:left w:val="nil"/>
              <w:bottom w:val="single" w:sz="8" w:space="0" w:color="auto"/>
              <w:right w:val="nil"/>
            </w:tcBorders>
            <w:shd w:val="clear" w:color="auto" w:fill="auto"/>
            <w:vAlign w:val="center"/>
          </w:tcPr>
          <w:p w14:paraId="07C63FC8"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86%, 0.7-1</w:t>
            </w:r>
          </w:p>
        </w:tc>
        <w:tc>
          <w:tcPr>
            <w:tcW w:w="1831" w:type="dxa"/>
            <w:tcBorders>
              <w:top w:val="single" w:sz="4" w:space="0" w:color="auto"/>
              <w:left w:val="nil"/>
              <w:bottom w:val="single" w:sz="8" w:space="0" w:color="auto"/>
              <w:right w:val="nil"/>
            </w:tcBorders>
            <w:shd w:val="clear" w:color="auto" w:fill="auto"/>
            <w:vAlign w:val="center"/>
          </w:tcPr>
          <w:p w14:paraId="5B898F6E"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100%, 0.3-1</w:t>
            </w:r>
          </w:p>
        </w:tc>
        <w:tc>
          <w:tcPr>
            <w:tcW w:w="1615" w:type="dxa"/>
            <w:tcBorders>
              <w:top w:val="single" w:sz="4" w:space="0" w:color="auto"/>
              <w:left w:val="nil"/>
              <w:bottom w:val="single" w:sz="8" w:space="0" w:color="auto"/>
              <w:right w:val="nil"/>
            </w:tcBorders>
            <w:shd w:val="clear" w:color="auto" w:fill="auto"/>
            <w:vAlign w:val="center"/>
          </w:tcPr>
          <w:p w14:paraId="47505C82" w14:textId="77777777" w:rsidR="000A607D" w:rsidRPr="003B7DD5" w:rsidRDefault="000A607D" w:rsidP="000A607D">
            <w:pPr>
              <w:autoSpaceDE w:val="0"/>
              <w:autoSpaceDN w:val="0"/>
              <w:adjustRightInd w:val="0"/>
              <w:snapToGrid w:val="0"/>
              <w:spacing w:line="240" w:lineRule="auto"/>
              <w:jc w:val="center"/>
              <w:rPr>
                <w:rFonts w:cs="Arial"/>
                <w:color w:val="auto"/>
                <w:sz w:val="18"/>
              </w:rPr>
            </w:pPr>
            <w:r w:rsidRPr="003B7DD5">
              <w:rPr>
                <w:rFonts w:cs="Arial"/>
                <w:color w:val="auto"/>
                <w:sz w:val="18"/>
              </w:rPr>
              <w:t>100%, 0.5-1</w:t>
            </w:r>
          </w:p>
        </w:tc>
      </w:tr>
    </w:tbl>
    <w:p w14:paraId="35E6D814" w14:textId="77777777" w:rsidR="00FE6943" w:rsidRPr="003B7DD5" w:rsidRDefault="00FE6943" w:rsidP="003B7DD5">
      <w:pPr>
        <w:pStyle w:val="MDPI21heading1"/>
        <w:ind w:left="0"/>
        <w:rPr>
          <w:color w:val="auto"/>
        </w:rPr>
      </w:pPr>
      <w:r w:rsidRPr="003B7DD5">
        <w:rPr>
          <w:color w:val="auto"/>
        </w:rPr>
        <w:t>4. Discussion</w:t>
      </w:r>
    </w:p>
    <w:p w14:paraId="73FC34EE" w14:textId="77777777" w:rsidR="001A6175" w:rsidRPr="003B7DD5" w:rsidRDefault="001A6175" w:rsidP="003B7DD5">
      <w:pPr>
        <w:pStyle w:val="MDPI31text"/>
        <w:ind w:left="0"/>
        <w:rPr>
          <w:color w:val="auto"/>
        </w:rPr>
      </w:pPr>
      <w:r w:rsidRPr="003B7DD5">
        <w:rPr>
          <w:color w:val="auto"/>
        </w:rPr>
        <w:t xml:space="preserve">We have evaluated the diagnostic accuracy of FujiLAM in urine samples of adults with signs and symptoms suggestive of TB attending three district hospitals in Abuja, Nigeria. We found a sensitivity and specificity of 65.7% and 99.0% among HIV-negative patients and 70.0% and 93.3% among HIV-positive patients. These results are higher than </w:t>
      </w:r>
      <w:r w:rsidRPr="003B7DD5">
        <w:rPr>
          <w:color w:val="auto"/>
        </w:rPr>
        <w:lastRenderedPageBreak/>
        <w:t xml:space="preserve">reported for the rapid LAM test </w:t>
      </w:r>
      <w:proofErr w:type="spellStart"/>
      <w:r w:rsidRPr="003B7DD5">
        <w:rPr>
          <w:color w:val="auto"/>
        </w:rPr>
        <w:t>AlereLAM</w:t>
      </w:r>
      <w:proofErr w:type="spellEnd"/>
      <w:r w:rsidRPr="003B7DD5">
        <w:rPr>
          <w:color w:val="auto"/>
        </w:rPr>
        <w:t xml:space="preserve">, which has a reported sensitivity of 42% (95% CI 31-55) among patients with HIV </w:t>
      </w:r>
      <w:r w:rsidRPr="003B7DD5">
        <w:rPr>
          <w:color w:val="auto"/>
        </w:rPr>
        <w:fldChar w:fldCharType="begin" w:fldLock="1"/>
      </w:r>
      <w:r w:rsidRPr="003B7DD5">
        <w:rPr>
          <w:color w:val="auto"/>
        </w:rPr>
        <w:instrText>ADDIN CSL_CITATION {"citationItems":[{"id":"ITEM-1","itemData":{"DOI":"10.1002/14651858.CD011420.pub3","ISSN":"1469493X","PMID":"31633805","abstract":"Background The lateral flow urine lipoarabinomannan (LF-LAM) assay Alere Determine™ TB LAM Ag is recommended by the World Health Organization (WHO) to help detect active tuberculosis in HIV-positive people with severe HIV disease. This review update asks the question, \"does new evidence justify the use of LF-LAM in a broader group of people?”, and is part of the WHO process for updating guidance on the use of LF-LAM. Objectives To assess the accuracy of LF-LAM for the diagnosis of active tuberculosis among HIV-positive adults with signs and symptoms of tuberculosis (symptomatic participants) and among HIV-positive adults irrespective of signs and symptoms of tuberculosis (unselected participants not assessed for tuberculosis signs and symptoms). The proposed role for LF-LAM is as an add on to clinical judgement and with other tests to assist in diagnosing tuberculosis. Search methods We searched the Cochrane Infectious Diseases Group Specialized Register; MEDLINE, Embase, Science Citation Index, Web of Science, Latin American Caribbean Health Sciences Literature, Scopus, the WHO International Clinical Trials Registry Platform, the International Standard Randomized Controlled Trial Number Registry, and ProQuest, without language restriction to 11 May 2018. Selection criteria Randomized trials, cross-sectional, and observational cohort studies that evaluated LF-LAM for active tuberculosis (pulmonary and extra-pulmonary) in HIV-positive adults. We included studies that used the manufacturer's recommended threshold for test positivity, either the updated reference card with four bands (grade 1 of 4) or the corresponding prior reference card grade with five bands (grade 2 of 5). The reference standard was culture or nucleic acid amplification test from any body site (microbiological). We considered a higher quality reference standard to be one in which two or more specimen types were evaluated for tuberculosis diagnosis and a lower quality reference standard to be one in which only one specimen type was evaluated. Data collection and analysis Two review authors independently extracted data using a standardized form and REDCap electronic data capture tools. We appraised the quality of studies using the Quality Assessment of Diagnostic Accuracy Studies-2 (QUADAS-2) tool and performed meta-analyses to estimate pooled sensitivity and specificity using a bivariate random-effects model and a Bayesian approach. We analyzed studies enrolling strictly symptomatic par…","author":[{"dropping-particle":"","family":"Bjerrum S, Schiller I, Dendukuri N, Kohli M, Nathavitharana RR, Zwerling AA, Denkinger CM, Steingart KR","given":"Shah M","non-dropping-particle":"","parse-names":false,"suffix":""}],"container-title":"Cochrane Database of Systematic Reviews","id":"ITEM-1","issue":"10","issued":{"date-parts":[["2019","10","21"]]},"publisher":"John Wiley and Sons Ltd","title":"Lateral flow urine lipoarabinomannan assay for detecting active tuberculosis in people living with HIV.","type":"article-journal","volume":"CD011420"},"uris":["http://www.mendeley.com/documents/?uuid=9a908ab2-b3a3-3534-8b9d-21a0f10317b9"]}],"mendeley":{"formattedCitation":"[13]","plainTextFormattedCitation":"[13]","previouslyFormattedCitation":"[12]"},"properties":{"noteIndex":0},"schema":"https://github.com/citation-style-language/schema/raw/master/csl-citation.json"}</w:instrText>
      </w:r>
      <w:r w:rsidRPr="003B7DD5">
        <w:rPr>
          <w:color w:val="auto"/>
        </w:rPr>
        <w:fldChar w:fldCharType="separate"/>
      </w:r>
      <w:r w:rsidRPr="003B7DD5">
        <w:rPr>
          <w:noProof/>
          <w:color w:val="auto"/>
        </w:rPr>
        <w:t>[13]</w:t>
      </w:r>
      <w:r w:rsidRPr="003B7DD5">
        <w:rPr>
          <w:color w:val="auto"/>
        </w:rPr>
        <w:fldChar w:fldCharType="end"/>
      </w:r>
      <w:r w:rsidRPr="003B7DD5">
        <w:rPr>
          <w:color w:val="auto"/>
        </w:rPr>
        <w:t xml:space="preserve">. </w:t>
      </w:r>
      <w:proofErr w:type="spellStart"/>
      <w:r w:rsidRPr="003B7DD5">
        <w:rPr>
          <w:color w:val="auto"/>
        </w:rPr>
        <w:t>AlereLAM</w:t>
      </w:r>
      <w:proofErr w:type="spellEnd"/>
      <w:r w:rsidRPr="003B7DD5">
        <w:rPr>
          <w:color w:val="auto"/>
        </w:rPr>
        <w:t xml:space="preserve"> is recommended by the WHO for the complementary diagnosis of TB in patients with HIV, but not for HIV negative patients due to its low sensitivity in immune-competent individuals </w:t>
      </w:r>
      <w:r w:rsidRPr="003B7DD5">
        <w:rPr>
          <w:color w:val="auto"/>
        </w:rPr>
        <w:fldChar w:fldCharType="begin" w:fldLock="1"/>
      </w:r>
      <w:r w:rsidRPr="003B7DD5">
        <w:rPr>
          <w:color w:val="auto"/>
        </w:rPr>
        <w:instrText>ADDIN CSL_CITATION {"citationItems":[{"id":"ITEM-1","itemData":{"DOI":"10.1002/14651858.CD011420.pub3","ISSN":"1469493X","PMID":"31633805","abstract":"Background The lateral flow urine lipoarabinomannan (LF-LAM) assay Alere Determine™ TB LAM Ag is recommended by the World Health Organization (WHO) to help detect active tuberculosis in HIV-positive people with severe HIV disease. This review update asks the question, \"does new evidence justify the use of LF-LAM in a broader group of people?”, and is part of the WHO process for updating guidance on the use of LF-LAM. Objectives To assess the accuracy of LF-LAM for the diagnosis of active tuberculosis among HIV-positive adults with signs and symptoms of tuberculosis (symptomatic participants) and among HIV-positive adults irrespective of signs and symptoms of tuberculosis (unselected participants not assessed for tuberculosis signs and symptoms). The proposed role for LF-LAM is as an add on to clinical judgement and with other tests to assist in diagnosing tuberculosis. Search methods We searched the Cochrane Infectious Diseases Group Specialized Register; MEDLINE, Embase, Science Citation Index, Web of Science, Latin American Caribbean Health Sciences Literature, Scopus, the WHO International Clinical Trials Registry Platform, the International Standard Randomized Controlled Trial Number Registry, and ProQuest, without language restriction to 11 May 2018. Selection criteria Randomized trials, cross-sectional, and observational cohort studies that evaluated LF-LAM for active tuberculosis (pulmonary and extra-pulmonary) in HIV-positive adults. We included studies that used the manufacturer's recommended threshold for test positivity, either the updated reference card with four bands (grade 1 of 4) or the corresponding prior reference card grade with five bands (grade 2 of 5). The reference standard was culture or nucleic acid amplification test from any body site (microbiological). We considered a higher quality reference standard to be one in which two or more specimen types were evaluated for tuberculosis diagnosis and a lower quality reference standard to be one in which only one specimen type was evaluated. Data collection and analysis Two review authors independently extracted data using a standardized form and REDCap electronic data capture tools. We appraised the quality of studies using the Quality Assessment of Diagnostic Accuracy Studies-2 (QUADAS-2) tool and performed meta-analyses to estimate pooled sensitivity and specificity using a bivariate random-effects model and a Bayesian approach. We analyzed studies enrolling strictly symptomatic par…","author":[{"dropping-particle":"","family":"Bjerrum S, Schiller I, Dendukuri N, Kohli M, Nathavitharana RR, Zwerling AA, Denkinger CM, Steingart KR","given":"Shah M","non-dropping-particle":"","parse-names":false,"suffix":""}],"container-title":"Cochrane Database of Systematic Reviews","id":"ITEM-1","issue":"10","issued":{"date-parts":[["2019","10","21"]]},"publisher":"John Wiley and Sons Ltd","title":"Lateral flow urine lipoarabinomannan assay for detecting active tuberculosis in people living with HIV.","type":"article-journal","volume":"CD011420"},"uris":["http://www.mendeley.com/documents/?uuid=9a908ab2-b3a3-3534-8b9d-21a0f10317b9"]}],"mendeley":{"formattedCitation":"[13]","plainTextFormattedCitation":"[13]","previouslyFormattedCitation":"[12]"},"properties":{"noteIndex":0},"schema":"https://github.com/citation-style-language/schema/raw/master/csl-citation.json"}</w:instrText>
      </w:r>
      <w:r w:rsidRPr="003B7DD5">
        <w:rPr>
          <w:color w:val="auto"/>
        </w:rPr>
        <w:fldChar w:fldCharType="separate"/>
      </w:r>
      <w:r w:rsidRPr="003B7DD5">
        <w:rPr>
          <w:noProof/>
          <w:color w:val="auto"/>
        </w:rPr>
        <w:t>[13]</w:t>
      </w:r>
      <w:r w:rsidRPr="003B7DD5">
        <w:rPr>
          <w:color w:val="auto"/>
        </w:rPr>
        <w:fldChar w:fldCharType="end"/>
      </w:r>
      <w:r w:rsidRPr="003B7DD5">
        <w:rPr>
          <w:color w:val="auto"/>
        </w:rPr>
        <w:t xml:space="preserve">. </w:t>
      </w:r>
    </w:p>
    <w:p w14:paraId="2D877B1C" w14:textId="77777777" w:rsidR="001A6175" w:rsidRPr="003B7DD5" w:rsidRDefault="001A6175" w:rsidP="003B7DD5">
      <w:pPr>
        <w:pStyle w:val="MDPI31text"/>
        <w:ind w:left="0"/>
        <w:rPr>
          <w:color w:val="auto"/>
        </w:rPr>
      </w:pPr>
      <w:r w:rsidRPr="003B7DD5">
        <w:rPr>
          <w:color w:val="auto"/>
        </w:rPr>
        <w:t>The overall sensitivity of FujiLAM in HIV-positive patients was slightly higher than in HIV-negative participants, but this difference was based on a small number of patients and was not statistically significant.  However, the higher sensitivity observed among immunosuppressed individuals with HIV viral loads between 40 and 10</w:t>
      </w:r>
      <w:r w:rsidRPr="003B7DD5">
        <w:rPr>
          <w:color w:val="auto"/>
          <w:vertAlign w:val="superscript"/>
        </w:rPr>
        <w:t>7</w:t>
      </w:r>
      <w:r w:rsidRPr="003B7DD5">
        <w:rPr>
          <w:color w:val="auto"/>
        </w:rPr>
        <w:t xml:space="preserve"> copies/ml (75.0%), was similar to studies of HIV-positive patients in Ghana and South Africa</w:t>
      </w:r>
      <w:r w:rsidRPr="003B7DD5" w:rsidDel="00555BA1">
        <w:rPr>
          <w:color w:val="auto"/>
        </w:rPr>
        <w:t xml:space="preserve"> </w:t>
      </w:r>
      <w:r w:rsidRPr="003B7DD5">
        <w:rPr>
          <w:color w:val="auto"/>
        </w:rPr>
        <w:fldChar w:fldCharType="begin" w:fldLock="1"/>
      </w:r>
      <w:r w:rsidRPr="003B7DD5">
        <w:rPr>
          <w:color w:val="auto"/>
        </w:rPr>
        <w:instrText>ADDIN CSL_CITATION {"citationItems":[{"id":"ITEM-1","itemData":{"DOI":"10.1093/ofid/ofz530","ISSN":"23288957","PMID":"31976353","abstract":"Background. The novel Fujifilm SILVAMP TB-LAM (FujiLAM) assay detects mycobacterial lipoarabinomannan in urine and has demonstrated superior sensitivity to the Alere Determine TB-LAM Ag (AlereLAM) assay for detection of tuberculosis among hospitalized people with human immunodeficiency virus (PWH). This is the first study to evaluate the assay among a broad population referred for antiretroviral therapy including both outpatients (mainly) and inpatients. Methods. We assessed diagnostic accuracy of FujiLAM and AlereLAM assays in biobanked urine samples from a cohort of adults referred for antiretroviral therapy in Ghana against a microbiological and a composite (including clinical judgement) reference standard, and we assessed the association of FujiLAM test positivity with mortality. Results. We evaluated urine samples from 532 PWH (462 outpatients, 70 inpatients). Against a microbiological reference standard, the sensitivity of FujiLAM was 74.2% (95% confidence interval [CI], 62.0-84.2) compared to 53.0% (95% CI, 40.3-65.4) for AlereLAM, a difference of 21.2% (CI, 13.1-32.5). Specificity was 89.3% (95% CI, 85.8-92.2) versus 95.6% (95% CI, 93.0-97.4) for FujiLAM and AlereLAM, a difference of −6.3% (95% CI −9.6 to −3.3). Specificity estimates for FujiLAM increased markedly to 98.8% (95% CI, 96.6-99.8) in patients with CD4 &gt;100 cells/µL and when using a composite reference standard. FujiLAM test positivity was associated with increased cumulative risk of mortality at 6 months (hazard ratio, 4.80; 95% CI, 3.01-7.64). Conclusions. FujiLAM offers significantly increased diagnostic sensitivity in comparison to AlereLAM. Specificity estimates for FujiLAM were lower than for AlereLAM but were affected by the limited ability of the reference standard to correctly diagnose tuberculosis in individuals with low CD4 counts.","author":[{"dropping-particle":"","family":"Bjerrum","given":"Stephanie","non-dropping-particle":"","parse-names":false,"suffix":""},{"dropping-particle":"","family":"Broger","given":"Tobias","non-dropping-particle":"","parse-names":false,"suffix":""},{"dropping-particle":"","family":"Székely","given":"Rita","non-dropping-particle":"","parse-names":false,"suffix":""},{"dropping-particle":"","family":"Mitarai","given":"Satoshi","non-dropping-particle":"","parse-names":false,"suffix":""},{"dropping-particle":"","family":"Opintan","given":"Japheth A.","non-dropping-particle":"","parse-names":false,"suffix":""},{"dropping-particle":"","family":"Kenu","given":"Ernest","non-dropping-particle":"","parse-names":false,"suffix":""},{"dropping-particle":"","family":"Lartey","given":"Margaret","non-dropping-particle":"","parse-names":false,"suffix":""},{"dropping-particle":"","family":"Addo","given":"Kennedy K.","non-dropping-particle":"","parse-names":false,"suffix":""},{"dropping-particle":"","family":"Chikamatsu","given":"Kinuyo","non-dropping-particle":"","parse-names":false,"suffix":""},{"dropping-particle":"","family":"Macé","given":"Aurélien","non-dropping-particle":"","parse-names":false,"suffix":""},{"dropping-particle":"","family":"Schumacher","given":"Samuel G.","non-dropping-particle":"","parse-names":false,"suffix":""},{"dropping-particle":"","family":"Moreau","given":"Emmanuel","non-dropping-particle":"","parse-names":false,"suffix":""},{"dropping-particle":"","family":"Shah","given":"Maunank","non-dropping-particle":"","parse-names":false,"suffix":""},{"dropping-particle":"","family":"Johansen","given":"Isik Somuncu","non-dropping-particle":"","parse-names":false,"suffix":""},{"dropping-particle":"","family":"Denkinger","given":"Claudia M.","non-dropping-particle":"","parse-names":false,"suffix":""}],"container-title":"Open Forum Infectious Diseases","id":"ITEM-1","issue":"1","issued":{"date-parts":[["2020","1","1"]]},"publisher":"Oxford University Press","title":"Diagnostic accuracy of a novel and rapid lipoarabinomannan test for diagnosing tuberculosis among people with human immunodeficiency virus","type":"article-journal","volume":"7"},"uris":["http://www.mendeley.com/documents/?uuid=3facad1e-e725-3f5a-98bd-4af1bd8d4eb2"]},{"id":"ITEM-2","itemData":{"DOI":"10.1016/S1473-3099(19)30001-5","ISSN":"14744457","PMID":"31155318","abstract":"Background: Most tuberculosis-related deaths in people with HIV could be prevented with earlier diagnosis and treatment. The only commercially available tuberculosis point-of-care test (Alere Determine TB LAM Ag [AlereLAM]) has suboptimal sensitivity, which restricts its use in clinical practice. The novel Fujifilm SILVAMP TB LAM (FujiLAM) assay has been developed to improve the sensitivity of AlereLAM. We assessed the diagnostic accuracy of the FujiLAM assay for the detection of tuberculosis in hospital inpatients with HIV compared with the AlereLAM assay. Methods: For this diagnostic accuracy study, we assessed biobanked urine samples obtained from the FIND Specimen Bank and the University of Cape Town Biobank, which had been collected from hospital inpatients (aged ≥18 years) with HIV during three independent prospective cohort studies done at two South African hospitals. Urine samples were tested using FujiLAM and AlereLAM assays. The conduct and reporting of each test was done blind to other test results. The primary objective was to assess the diagnostic accuracy of FujiLAM compared with AlereLAM, against microbiological and composite reference standards (including clinical diagnoses). Findings: Between April 18, 2018, and May 3, 2018, urine samples from 968 hospital inpatients with HIV were evaluated. The prevalence of microbiologically-confirmed tuberculosis was 62% and the median CD4 count was 86 cells per μL. Using the microbiological reference standard, the estimated sensitivity of FujiLAM was 70·4% (95% CI 53·0 to 83·1) compared with 42·3% (31·7 to 51·8) for AlereLAM (difference 28·1%) and the estimated specificity of FujiLAM was 90·8% (86·0 to 94·4) and 95·0% (87·7–98·8) for AlereLAM (difference −4·2%). Against the composite reference standard, the specificity of both assays was higher (95·7% [92·0 to 98·0] for FujiLAM vs 98·2% [95·7 to 99·6] for AlereLAM; difference −2·5%), but the sensitivity of both assays was lower (64·9% [50·1 to 76·7] for FujiLAM vs 38·2% [28·1 to 47·3] for AlereLAM; difference 26·7%). Interpretation: In comparison to AlereLAM, FujiLAM offers superior diagnostic sensitivity, while maintaining specificity, and could transform rapid point-of-care tuberculosis diagnosis for hospital inpatients with HIV. The applicability of FujiLAM for settings of intended use requires prospective assessment. Funding: Global Health Innovative Technology Fund, UK Department for International Development, Dutch Ministry of Foreign Affairs,…","author":[{"dropping-particle":"","family":"Broger","given":"Tobias","non-dropping-particle":"","parse-names":false,"suffix":""},{"dropping-particle":"","family":"Sossen","given":"Bianca","non-dropping-particle":"","parse-names":false,"suffix":""},{"dropping-particle":"","family":"Toit","given":"Elloise","non-dropping-particle":"du","parse-names":false,"suffix":""},{"dropping-particle":"","family":"Kerkhoff","given":"Andrew D.","non-dropping-particle":"","parse-names":false,"suffix":""},{"dropping-particle":"","family":"Schutz","given":"Charlotte","non-dropping-particle":"","parse-names":false,"suffix":""},{"dropping-particle":"","family":"Ivanova Reipold","given":"Elena","non-dropping-particle":"","parse-names":false,"suffix":""},{"dropping-particle":"","family":"Ward","given":"Amy","non-dropping-particle":"","parse-names":false,"suffix":""},{"dropping-particle":"","family":"Barr","given":"David A.","non-dropping-particle":"","parse-names":false,"suffix":""},{"dropping-particle":"","family":"Macé","given":"Aurélien","non-dropping-particle":"","parse-names":false,"suffix":""},{"dropping-particle":"","family":"Trollip","given":"Andre","non-dropping-particle":"","parse-names":false,"suffix":""},{"dropping-particle":"","family":"Burton","given":"Rosie","non-dropping-particle":"","parse-names":false,"suffix":""},{"dropping-particle":"","family":"Ongarello","given":"Stefano","non-dropping-particle":"","parse-names":false,"suffix":""},{"dropping-particle":"","family":"Pinter","given":"Abraham","non-dropping-particle":"","parse-names":false,"suffix":""},{"dropping-particle":"","family":"Lowary","given":"Todd L.","non-dropping-particle":"","parse-names":false,"suffix":""},{"dropping-particle":"","family":"Boehme","given":"Catharina","non-dropping-particle":"","parse-names":false,"suffix":""},{"dropping-particle":"","family":"Nicol","given":"Mark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M.","non-dropping-particle":"","parse-names":false,"suffix":""}],"container-title":"The Lancet Infectious Diseases","id":"ITEM-2","issue":"8","issued":{"date-parts":[["2019","8","1"]]},"page":"852-861","publisher":"Lancet Publishing Group","title":"Novel lipoarabinomannan point-of-care tuberculosis test for people with HIV: a diagnostic accuracy study","type":"article-journal","volume":"19"},"uris":["http://www.mendeley.com/documents/?uuid=3433ae6d-f391-4614-a5d1-8d5fcb7c16cb"]}],"mendeley":{"formattedCitation":"[11,14]","plainTextFormattedCitation":"[11,14]","previouslyFormattedCitation":"[10,13]"},"properties":{"noteIndex":0},"schema":"https://github.com/citation-style-language/schema/raw/master/csl-citation.json"}</w:instrText>
      </w:r>
      <w:r w:rsidRPr="003B7DD5">
        <w:rPr>
          <w:color w:val="auto"/>
        </w:rPr>
        <w:fldChar w:fldCharType="separate"/>
      </w:r>
      <w:r w:rsidRPr="003B7DD5">
        <w:rPr>
          <w:noProof/>
          <w:color w:val="auto"/>
        </w:rPr>
        <w:t>[11,14]</w:t>
      </w:r>
      <w:r w:rsidRPr="003B7DD5">
        <w:rPr>
          <w:color w:val="auto"/>
        </w:rPr>
        <w:fldChar w:fldCharType="end"/>
      </w:r>
      <w:r w:rsidRPr="003B7DD5">
        <w:rPr>
          <w:color w:val="auto"/>
        </w:rPr>
        <w:t xml:space="preserve">. The higher sensitivity of LAM among HIV-positive individuals is said to reflect the increased concentration of LAM in urine due to the haematogenic spread of TB to the kidneys in immunosuppressed individuals </w:t>
      </w:r>
      <w:r w:rsidRPr="003B7DD5">
        <w:rPr>
          <w:color w:val="auto"/>
        </w:rPr>
        <w:fldChar w:fldCharType="begin" w:fldLock="1"/>
      </w:r>
      <w:r w:rsidRPr="003B7DD5">
        <w:rPr>
          <w:color w:val="auto"/>
        </w:rPr>
        <w:instrText>ADDIN CSL_CITATION {"citationItems":[{"id":"ITEM-1","itemData":{"DOI":"10.1093/trstmh/trw008","ISSN":"18783503","PMID":"26884498","abstract":"TB is the leading cause of HIV/AIDS-related deaths globally. New diagnostic tools are urgently needed to avert deaths from undiagnosed HIV-associated TB. Although simple assays that detect lipoarabinomannan (LAM) in urine have been commercially available for years, their specific role and utility were initially misunderstood, such that they have been slower to emerge from the diagnostics pipeline than otherwise might have been expected. In this article, we review and explain how urine-LAM assays should be understood as diagnostics for disseminated TB in HIV-positive patients with advanced immunodeficiency, in whom haematogenous TB dissemination to the kidneys serves as the primary mechanism by which LAM enters the urine. These insights are critical for the appropriate design of studies to evaluate these assays and to understand how they might be most usefully implemented. This understanding also supports the 2015 WHO recommendations on the restricted use of these assays in sick HIV-positive patients with advanced immunodeficiency.","author":[{"dropping-particle":"","family":"Lawn","given":"Stephen D.","non-dropping-particle":"","parse-names":false,"suffix":""},{"dropping-particle":"","family":"Gupta-Wright","given":"Ankur","non-dropping-particle":"","parse-names":false,"suffix":""}],"container-title":"Transactions of the Royal Society of Tropical Medicine and Hygiene","id":"ITEM-1","issue":"3","issued":{"date-parts":[["2015","10","7"]]},"page":"180-185","publisher":"Oxford University Press","title":"Detection of lipoarabinomannan (LAM) in urine is indicative of disseminated TB with renal involvement in patients living with hiv and advanced immunodeficiency: Evidence and implications","type":"article-journal","volume":"110"},"uris":["http://www.mendeley.com/documents/?uuid=dbb031ff-9763-388c-bfee-4ac6cdb59040"]}],"mendeley":{"formattedCitation":"[15]","plainTextFormattedCitation":"[15]","previouslyFormattedCitation":"[14]"},"properties":{"noteIndex":0},"schema":"https://github.com/citation-style-language/schema/raw/master/csl-citation.json"}</w:instrText>
      </w:r>
      <w:r w:rsidRPr="003B7DD5">
        <w:rPr>
          <w:color w:val="auto"/>
        </w:rPr>
        <w:fldChar w:fldCharType="separate"/>
      </w:r>
      <w:r w:rsidRPr="003B7DD5">
        <w:rPr>
          <w:noProof/>
          <w:color w:val="auto"/>
        </w:rPr>
        <w:t>[15]</w:t>
      </w:r>
      <w:r w:rsidRPr="003B7DD5">
        <w:rPr>
          <w:color w:val="auto"/>
        </w:rPr>
        <w:fldChar w:fldCharType="end"/>
      </w:r>
      <w:r w:rsidRPr="003B7DD5">
        <w:rPr>
          <w:color w:val="auto"/>
        </w:rPr>
        <w:t xml:space="preserve">. However, LAM detection in urine is not limited to renal involvement </w:t>
      </w:r>
      <w:r w:rsidRPr="003B7DD5">
        <w:rPr>
          <w:color w:val="auto"/>
        </w:rPr>
        <w:fldChar w:fldCharType="begin" w:fldLock="1"/>
      </w:r>
      <w:r w:rsidRPr="003B7DD5">
        <w:rPr>
          <w:color w:val="auto"/>
        </w:rPr>
        <w:instrText>ADDIN CSL_CITATION {"citationItems":[{"id":"ITEM-1","itemData":{"DOI":"10.1371/journal.pone.0123323","ISSN":"19326203","PMID":"25897661","abstract":"Objective: The detection of urinary lipoarabinomannan (LAM), a mycobacterial cell wall component, is used to diagnose tuberculosis (TB). How LAM enters the urine is not known. To investigate if urinary LAM-positivity is the result of renal TB infection we correlated the outcomes of urinary LAM-antigen testing to renal histology in an autopsy cohort of hospitalized, Ugandan, HIV-infected adults. Methods: We performed a complete autopsy, including renal sampling, in HIV-infected adults that died during hospitalization after written informed consent was obtained from the next of kin. Urine was collected postmortem through post-mortem catheterisation or by bladder puncture and tested for LAM with both a lateral flow assay (LFA) and an ELISA assay. Two pathologists assessed the kidney histology. We correlated the LAM-assay results and the histology findings. Results: Of the 13/36 (36%) patients with a positive urinary LAM ELISA and/or LFA, 8/13 (62%) had renal TB. The remaining 5 LAM-positive patients had disseminated TB without renal involvement. Of the 23 LAM-negative patients, 3 had disseminated TB without renal involvement. The remaining LAM-negative patients had no TB infection and died mostly of fungal and bacterial infections. LAM LFA had a sensitivity of 81% and specificity of 100% to diagnose TB at any location, and the LAM ELISA a sensitivity of 63% and a specificity of 100%. 54% (7/13) LAM LFA-positive patients were not on anti-TB treatment at the time of death. Conclusion: Renal TB infection explained LAM-positivity in the majority of patients. Patients with disseminated TB without renal involvement can also be diagnosed with LAM. This suggests that other mechanisms that lead to urinary LAM-positivity exist in a minority of patients.","author":[{"dropping-particle":"","family":"Cox","given":"Janneke A.","non-dropping-particle":"","parse-names":false,"suffix":""},{"dropping-particle":"","family":"Lukande","given":"Robert L.","non-dropping-particle":"","parse-names":false,"suffix":""},{"dropping-particle":"","family":"Kalungi","given":"Sam","non-dropping-particle":"","parse-names":false,"suffix":""},{"dropping-particle":"","family":"Marck","given":"Eric","non-dropping-particle":"Van","parse-names":false,"suffix":""},{"dropping-particle":"","family":"Vijver","given":"Koen","non-dropping-particle":"Van De","parse-names":false,"suffix":""},{"dropping-particle":"","family":"Kambugu","given":"Andrew","non-dropping-particle":"","parse-names":false,"suffix":""},{"dropping-particle":"","family":"Nelson","given":"Ann M.","non-dropping-particle":"","parse-names":false,"suffix":""},{"dropping-particle":"","family":"Colebunders","given":"Robert","non-dropping-particle":"","parse-names":false,"suffix":""},{"dropping-particle":"","family":"Manabe","given":"Yukari C.","non-dropping-particle":"","parse-names":false,"suffix":""}],"container-title":"PLoS ONE","id":"ITEM-1","issue":"4","issued":{"date-parts":[["2015","4","21"]]},"publisher":"Public Library of Science","title":"Is urinary lipoarabinomannan the result of renal tuberculosis? Assessment of the renal histology in an autopsy cohort of ugandan HIV-infected adults","type":"article-journal","volume":"10"},"uris":["http://www.mendeley.com/documents/?uuid=fbfc0f66-878c-3215-954a-4dddb716db4b"]}],"mendeley":{"formattedCitation":"[16]","plainTextFormattedCitation":"[16]","previouslyFormattedCitation":"[15]"},"properties":{"noteIndex":0},"schema":"https://github.com/citation-style-language/schema/raw/master/csl-citation.json"}</w:instrText>
      </w:r>
      <w:r w:rsidRPr="003B7DD5">
        <w:rPr>
          <w:color w:val="auto"/>
        </w:rPr>
        <w:fldChar w:fldCharType="separate"/>
      </w:r>
      <w:r w:rsidRPr="003B7DD5">
        <w:rPr>
          <w:noProof/>
          <w:color w:val="auto"/>
        </w:rPr>
        <w:t>[16]</w:t>
      </w:r>
      <w:r w:rsidRPr="003B7DD5">
        <w:rPr>
          <w:color w:val="auto"/>
        </w:rPr>
        <w:fldChar w:fldCharType="end"/>
      </w:r>
      <w:r w:rsidRPr="003B7DD5">
        <w:rPr>
          <w:color w:val="auto"/>
        </w:rPr>
        <w:t xml:space="preserve">, and is likely to be associated with the total bacterial burden of </w:t>
      </w:r>
      <w:r w:rsidRPr="003B7DD5">
        <w:rPr>
          <w:i/>
          <w:iCs/>
          <w:color w:val="auto"/>
        </w:rPr>
        <w:t>M. tuberculosis</w:t>
      </w:r>
      <w:r w:rsidRPr="003B7DD5">
        <w:rPr>
          <w:color w:val="auto"/>
        </w:rPr>
        <w:t xml:space="preserve"> and the severity of disease </w:t>
      </w:r>
      <w:r w:rsidRPr="003B7DD5">
        <w:rPr>
          <w:color w:val="auto"/>
        </w:rPr>
        <w:fldChar w:fldCharType="begin" w:fldLock="1"/>
      </w:r>
      <w:r w:rsidRPr="003B7DD5">
        <w:rPr>
          <w:color w:val="auto"/>
        </w:rPr>
        <w:instrText>ADDIN CSL_CITATION {"citationItems":[{"id":"ITEM-1","itemData":{"DOI":"10.1126/scitranslmed.aal2807","ISSN":"19466242","PMID":"29237757","abstract":"An accurate urine test for pulmonary tuberculosis (TB), affecting 9.6 million patients worldwide, is critically needed for surveillance and treatment management. Past attempts failed to reliably detect the mycobacterial glycan antigen lipoarabinomannan (LAM), a marker of active TB, in HIV-negative, pulmonary TB-infected patients' urine (85% of 9.6 million patients). We apply a copper complex dye within a hydrogel nanocage that captures LAM with very high affinity, displacing interfering urine proteins. The technology was applied to study pretreatment urine from 48 Peruvian patients, all negative for HIV, with microbiologically confirmed active pulmonary TB. LAM was quantitatively measured in the urine with a sensitivity of &gt;95% and a specificity of &gt;80% (n= 101) in a concentration range of 14 to 2000 picograms per milliliter, as compared to non-TB, healthy and diseased, age-matched controls (evaluated by receiver operating characteristic analysis; area under the curve, 0.95; 95% confidence interval, 0.9005 to 0.9957). Urinary LAM was elevated in patients with a higher mycobacterial burden (n = 42), a higher proportion of weight loss (n = 37), or cough (n= 50). The technology can be configured in a variety of formats to detect a panel of previously undetectable very-low-abundance TB urinary analytes. Eight of nine patients who were smear-negative and culture-positive for TB tested positive for urinary LAM. This technology has broad implications for pulmonary TB screening, transmission control, and treatment management for HIV-negative patients.","author":[{"dropping-particle":"","family":"Paris","given":"Luisa","non-dropping-particle":"","parse-names":false,"suffix":""},{"dropping-particle":"","family":"Magni","given":"Ruben","non-dropping-particle":"","parse-names":false,"suffix":""},{"dropping-particle":"","family":"Zaidi","given":"Fatima","non-dropping-particle":"","parse-names":false,"suffix":""},{"dropping-particle":"","family":"Araujo","given":"Robyn","non-dropping-particle":"","parse-names":false,"suffix":""},{"dropping-particle":"","family":"Saini","given":"Neal","non-dropping-particle":"","parse-names":false,"suffix":""},{"dropping-particle":"","family":"Harpole","given":"Michael","non-dropping-particle":"","parse-names":false,"suffix":""},{"dropping-particle":"","family":"Coronel","given":"Jorge","non-dropping-particle":"","parse-names":false,"suffix":""},{"dropping-particle":"","family":"Kirwan","given":"Daniela E.","non-dropping-particle":"","parse-names":false,"suffix":""},{"dropping-particle":"","family":"Steinberg","given":"Hannah","non-dropping-particle":"","parse-names":false,"suffix":""},{"dropping-particle":"","family":"Gilman","given":"Robert H.","non-dropping-particle":"","parse-names":false,"suffix":""},{"dropping-particle":"","family":"Iii","given":"Emanuel F.Petricoin","non-dropping-particle":"","parse-names":false,"suffix":""},{"dropping-particle":"","family":"Nisini","given":"Roberto","non-dropping-particle":"","parse-names":false,"suffix":""},{"dropping-particle":"","family":"Luchini","given":"Alessandra","non-dropping-particle":"","parse-names":false,"suffix":""},{"dropping-particle":"","family":"Liotta","given":"Lance","non-dropping-particle":"","parse-names":false,"suffix":""}],"container-title":"Science Translational Medicine","id":"ITEM-1","issue":"eaal2807","issued":{"date-parts":[["2017","12","13"]]},"publisher":"American Association for the Advancement of Science","title":"Urine lipoarabinomannan glycan in HIV-negative patients with pulmonary tuberculosis correlates with disease severity","type":"article-journal","volume":"9"},"uris":["http://www.mendeley.com/documents/?uuid=d90c6694-099e-36a3-871d-41c79bda9149"]}],"mendeley":{"formattedCitation":"[17]","plainTextFormattedCitation":"[17]","previouslyFormattedCitation":"[16]"},"properties":{"noteIndex":0},"schema":"https://github.com/citation-style-language/schema/raw/master/csl-citation.json"}</w:instrText>
      </w:r>
      <w:r w:rsidRPr="003B7DD5">
        <w:rPr>
          <w:color w:val="auto"/>
        </w:rPr>
        <w:fldChar w:fldCharType="separate"/>
      </w:r>
      <w:r w:rsidRPr="003B7DD5">
        <w:rPr>
          <w:noProof/>
          <w:color w:val="auto"/>
        </w:rPr>
        <w:t>[17]</w:t>
      </w:r>
      <w:r w:rsidRPr="003B7DD5">
        <w:rPr>
          <w:color w:val="auto"/>
        </w:rPr>
        <w:fldChar w:fldCharType="end"/>
      </w:r>
      <w:r w:rsidRPr="003B7DD5">
        <w:rPr>
          <w:color w:val="auto"/>
        </w:rPr>
        <w:t xml:space="preserve">. </w:t>
      </w:r>
    </w:p>
    <w:p w14:paraId="418AA355" w14:textId="77777777" w:rsidR="001A6175" w:rsidRPr="003B7DD5" w:rsidRDefault="001A6175" w:rsidP="003B7DD5">
      <w:pPr>
        <w:pStyle w:val="MDPI31text"/>
        <w:ind w:left="0"/>
        <w:rPr>
          <w:color w:val="auto"/>
        </w:rPr>
      </w:pPr>
      <w:r w:rsidRPr="003B7DD5">
        <w:rPr>
          <w:color w:val="auto"/>
        </w:rPr>
        <w:t xml:space="preserve">The overall sensitivity among HIV-negative patients (65.7%) met the minimum target of 65% for the WHO high priority non-sputum-based TB diagnostic tests </w:t>
      </w:r>
      <w:r w:rsidRPr="003B7DD5">
        <w:rPr>
          <w:color w:val="auto"/>
        </w:rPr>
        <w:fldChar w:fldCharType="begin" w:fldLock="1"/>
      </w:r>
      <w:r w:rsidRPr="003B7DD5">
        <w:rPr>
          <w:color w:val="auto"/>
        </w:rPr>
        <w:instrText>ADDIN CSL_CITATION {"citationItems":[{"id":"ITEM-1","itemData":{"abstract":"Diagnostic manufacturers are increasingly expressing the need to be informed about the type of TB diagnostics they should invest in, as well as the potential market size for these products. The development of target product profiles (TPPs) is therefore an important step to align the needs of end-users with the specifications and targets that product developers should meet in terms of the performance and operational characteristics of such tests. In April 2014, the WHO Global TB Programme convened a meeting on behalf of the Global Laboratory Initiative (GLI) and New Diagnostics Working Group (NDWG) to develop consensus on the minimal and optimal specifications of four different types of TB diagnostic tests that were identified by multiple stakeholders to be high priority","author":[{"dropping-particle":"","family":"World Health Organization.","given":"","non-dropping-particle":"","parse-names":false,"suffix":""}],"container-title":"WHO","id":"ITEM-1","issue":"April","issued":{"date-parts":[["2014"]]},"page":"1-96","publisher-place":"Geneve","title":"High-priority target product profiles for new tuberculosis diagnostics: report of a consensus meeting","type":"article-journal"},"uris":["http://www.mendeley.com/documents/?uuid=0124f0d3-9fe7-4661-8d86-fbb5084cdc6c"]}],"mendeley":{"formattedCitation":"[18]","plainTextFormattedCitation":"[18]","previouslyFormattedCitation":"[17]"},"properties":{"noteIndex":0},"schema":"https://github.com/citation-style-language/schema/raw/master/csl-citation.json"}</w:instrText>
      </w:r>
      <w:r w:rsidRPr="003B7DD5">
        <w:rPr>
          <w:color w:val="auto"/>
        </w:rPr>
        <w:fldChar w:fldCharType="separate"/>
      </w:r>
      <w:r w:rsidRPr="003B7DD5">
        <w:rPr>
          <w:noProof/>
          <w:color w:val="auto"/>
        </w:rPr>
        <w:t>[18]</w:t>
      </w:r>
      <w:r w:rsidRPr="003B7DD5">
        <w:rPr>
          <w:color w:val="auto"/>
        </w:rPr>
        <w:fldChar w:fldCharType="end"/>
      </w:r>
      <w:r w:rsidRPr="003B7DD5">
        <w:rPr>
          <w:color w:val="auto"/>
        </w:rPr>
        <w:t xml:space="preserve">. Our results were higher than reported in a </w:t>
      </w:r>
      <w:proofErr w:type="spellStart"/>
      <w:r w:rsidRPr="003B7DD5">
        <w:rPr>
          <w:color w:val="auto"/>
        </w:rPr>
        <w:t>multicentre</w:t>
      </w:r>
      <w:proofErr w:type="spellEnd"/>
      <w:r w:rsidRPr="003B7DD5">
        <w:rPr>
          <w:color w:val="auto"/>
        </w:rPr>
        <w:t xml:space="preserve"> study of HIV-negative patients in Peru and South Africa, which might be explained by the characteristics of the participants. FujiLAM is said to have higher sensitivity in patients with more advanced TB and higher </w:t>
      </w:r>
      <w:r w:rsidRPr="003B7DD5">
        <w:rPr>
          <w:i/>
          <w:iCs/>
          <w:color w:val="auto"/>
        </w:rPr>
        <w:t>M. tuberculosis</w:t>
      </w:r>
      <w:r w:rsidRPr="003B7DD5">
        <w:rPr>
          <w:color w:val="auto"/>
        </w:rPr>
        <w:t xml:space="preserve"> loads in culture </w:t>
      </w:r>
      <w:r w:rsidRPr="003B7DD5">
        <w:rPr>
          <w:color w:val="auto"/>
        </w:rPr>
        <w:fldChar w:fldCharType="begin" w:fldLock="1"/>
      </w:r>
      <w:r w:rsidRPr="003B7DD5">
        <w:rPr>
          <w:color w:val="auto"/>
        </w:rPr>
        <w:instrText>ADDIN CSL_CITATION {"citationItems":[{"id":"ITEM-1","itemData":{"DOI":"10.1172/JCI140461","ISSN":"15588238","PMID":"32692731","abstract":"BACKGROUND. Inadequate tuberculosis (TB) diagnostics are a major hurdle in the reduction of disease burden, and accurate point-of-care tests (POCTs) are urgently needed. We assessed the diagnostic accuracy of Fujifilm SILVAMP TB lipoarabinomannan (FujiLAM) POCT for TB diagnosis in HIV-negative outpatients and compared it with Alere Determine TB LAM Ag (AlereLAM) POCT and a laboratory-based ultrasensitive electrochemiluminescence LAM research assay (EclLAM). METHODS. In this multicenter diagnostic test accuracy study, we recruited HIV-negative adults with symptoms suggestive of pulmonary TB presenting to outpatient health care centers in Peru and South Africa. Urine samples were tested using FujiLAM, AlereLAM, and EclLAM, and the diagnostic accuracy was assessed against a microbiological reference standard (MRS) and a composite reference standard. RESULTS. Three hundred seventy-two HIV-negative participants were included and the prevalence of microbiologically confirmed TB was 30%. Compared with the MRS, the sensitivities of AlereLAM, FujiLAM, and EclLAM were 10.8% (95% confidence interval [CI] 6.3%–18.0%), 53.2% (95% CI 43.9%–62.1%), and 66.7% (95% CI 57.5%–74.7%), respectively. The specificities of AlereLAM, FujiLAM, and EclLAM were 92.3% (95% CI 88.5%–95.0%), 98.9% (95% CI 96.7%–99.6%), and 98.1% (95% CI 95.6%–99.2%), respectively. Positive likelihood ratios of AlereLAM, FujiLAM, and EclLAM were 1.4, 46.2, and 34.8, respectively, and positive predictive values were 37.5%, 95.2%, and 93.7%, respectively. CONCLUSION. Compared with AlereLAM, FujiLAM detected 5 times more patients with TB in HIV-negative participants, had a high positive predictive value, and has the potential to improve rapid diagnosis of TB at the point-of-care. EclLAM demonstrated that additional sensitivity gains are possible, which highlights LAM’s potential as a biomarker. Additional research is required to assess FujiLAM’s performance in prospective cohorts, its cost-effectiveness, and its impact in real-world clinical settings. FUNDING. Global Health Innovative Technology Fund, the UK Department for International Development, the Dutch Ministry of Foreign Affairs, the Bill and Melinda Gates Foundation, the Australian Department of Foreign Affairs and Trade, the German Federal Ministry of Education and Research through Kreditanstalt für Wiederaufbau, and the NIH and National Institute of Allergy and Infectious Diseases.","author":[{"dropping-particle":"","family":"Broger","given":"Tobias","non-dropping-particle":"","parse-names":false,"suffix":""},{"dropping-particle":"","family":"Nicol","given":"Mark P.","non-dropping-particle":"","parse-names":false,"suffix":""},{"dropping-particle":"","family":"Sigal","given":"George B.","non-dropping-particle":"","parse-names":false,"suffix":""},{"dropping-particle":"","family":"Gotuzzo","given":"Eduardo","non-dropping-particle":"","parse-names":false,"suffix":""},{"dropping-particle":"","family":"Zimmer","given":"Alexandra J.","non-dropping-particle":"","parse-names":false,"suffix":""},{"dropping-particle":"","family":"Surtie","given":"Shireen","non-dropping-particle":"","parse-names":false,"suffix":""},{"dropping-particle":"","family":"Caceres-Nakiche","given":"Tatiana","non-dropping-particle":"","parse-names":false,"suffix":""},{"dropping-particle":"","family":"Mantsoki","given":"Anna","non-dropping-particle":"","parse-names":false,"suffix":""},{"dropping-particle":"","family":"Reipold","given":"Elena Ivanova","non-dropping-particle":"","parse-names":false,"suffix":""},{"dropping-particle":"","family":"Székely","given":"Rita","non-dropping-particle":"","parse-names":false,"suffix":""},{"dropping-particle":"","family":"Tsionsky","given":"Michael","non-dropping-particle":"","parse-names":false,"suffix":""},{"dropping-particle":"","family":"Heerden","given":"Judith","non-dropping-particle":"van","parse-names":false,"suffix":""},{"dropping-particle":"","family":"Plisova","given":"Tatiana","non-dropping-particle":"","parse-names":false,"suffix":""},{"dropping-particle":"","family":"Chikamatsu","given":"Kinuyo","non-dropping-particle":"","parse-names":false,"suffix":""},{"dropping-particle":"","family":"Lowary","given":"Todd L.","non-dropping-particle":"","parse-names":false,"suffix":""},{"dropping-particle":"","family":"Pinter","given":"Abraham","non-dropping-particle":"","parse-names":false,"suffix":""},{"dropping-particle":"","family":"Mitarai","given":"Satoshi","non-dropping-particle":"","parse-names":false,"suffix":""},{"dropping-particle":"","family":"Moreau","given":"Emmanuel","non-dropping-particle":"","parse-names":false,"suffix":""},{"dropping-particle":"","family":"Schumacher","given":"Samuel G.","non-dropping-particle":"","parse-names":false,"suffix":""},{"dropping-particle":"","family":"Denkinger","given":"Claudia M.","non-dropping-particle":"","parse-names":false,"suffix":""}],"container-title":"Journal of Clinical Investigation","id":"ITEM-1","issue":"11","issued":{"date-parts":[["2020","11","2"]]},"page":"5756-5764","publisher":"American Society for Clinical Investigation","title":"Diagnostic accuracy of 3 urine lipoarabinomannan tuberculosis assays in HIV-negative outpatients","type":"article-journal","volume":"130"},"uris":["http://www.mendeley.com/documents/?uuid=60306394-5066-392f-a92f-71335cdac7e6"]}],"mendeley":{"formattedCitation":"[19]","plainTextFormattedCitation":"[19]","previouslyFormattedCitation":"[18]"},"properties":{"noteIndex":0},"schema":"https://github.com/citation-style-language/schema/raw/master/csl-citation.json"}</w:instrText>
      </w:r>
      <w:r w:rsidRPr="003B7DD5">
        <w:rPr>
          <w:color w:val="auto"/>
        </w:rPr>
        <w:fldChar w:fldCharType="separate"/>
      </w:r>
      <w:r w:rsidRPr="003B7DD5">
        <w:rPr>
          <w:noProof/>
          <w:color w:val="auto"/>
        </w:rPr>
        <w:t>[19]</w:t>
      </w:r>
      <w:r w:rsidRPr="003B7DD5">
        <w:rPr>
          <w:color w:val="auto"/>
        </w:rPr>
        <w:fldChar w:fldCharType="end"/>
      </w:r>
      <w:r w:rsidRPr="003B7DD5">
        <w:rPr>
          <w:color w:val="auto"/>
        </w:rPr>
        <w:t>, and, as patients in Nigeria were recruited from district hospitals, a high proportion of our participants may have had advanced disease stages.</w:t>
      </w:r>
    </w:p>
    <w:p w14:paraId="7EA8DCA0" w14:textId="04C29E2E" w:rsidR="001A6175" w:rsidRPr="003B7DD5" w:rsidRDefault="21E03032" w:rsidP="003B7DD5">
      <w:pPr>
        <w:pStyle w:val="MDPI31text"/>
        <w:ind w:left="0"/>
        <w:rPr>
          <w:color w:val="auto"/>
          <w:sz w:val="22"/>
        </w:rPr>
      </w:pPr>
      <w:proofErr w:type="spellStart"/>
      <w:r w:rsidRPr="003B7DD5">
        <w:rPr>
          <w:color w:val="auto"/>
        </w:rPr>
        <w:t>FujilAM</w:t>
      </w:r>
      <w:proofErr w:type="spellEnd"/>
      <w:r w:rsidRPr="003B7DD5">
        <w:rPr>
          <w:color w:val="auto"/>
        </w:rPr>
        <w:t xml:space="preserve"> specificity among HIV-negative patients was very high (99%) and similar to other studies among HIV negative patients </w:t>
      </w:r>
      <w:r w:rsidR="001A6175" w:rsidRPr="003B7DD5">
        <w:rPr>
          <w:color w:val="auto"/>
        </w:rPr>
        <w:fldChar w:fldCharType="begin" w:fldLock="1"/>
      </w:r>
      <w:r w:rsidR="001A6175" w:rsidRPr="003B7DD5">
        <w:rPr>
          <w:color w:val="auto"/>
        </w:rPr>
        <w:instrText>ADDIN CSL_CITATION {"citationItems":[{"id":"ITEM-1","itemData":{"DOI":"10.1172/JCI140461","ISSN":"15588238","PMID":"32692731","abstract":"BACKGROUND. Inadequate tuberculosis (TB) diagnostics are a major hurdle in the reduction of disease burden, and accurate point-of-care tests (POCTs) are urgently needed. We assessed the diagnostic accuracy of Fujifilm SILVAMP TB lipoarabinomannan (FujiLAM) POCT for TB diagnosis in HIV-negative outpatients and compared it with Alere Determine TB LAM Ag (AlereLAM) POCT and a laboratory-based ultrasensitive electrochemiluminescence LAM research assay (EclLAM). METHODS. In this multicenter diagnostic test accuracy study, we recruited HIV-negative adults with symptoms suggestive of pulmonary TB presenting to outpatient health care centers in Peru and South Africa. Urine samples were tested using FujiLAM, AlereLAM, and EclLAM, and the diagnostic accuracy was assessed against a microbiological reference standard (MRS) and a composite reference standard. RESULTS. Three hundred seventy-two HIV-negative participants were included and the prevalence of microbiologically confirmed TB was 30%. Compared with the MRS, the sensitivities of AlereLAM, FujiLAM, and EclLAM were 10.8% (95% confidence interval [CI] 6.3%–18.0%), 53.2% (95% CI 43.9%–62.1%), and 66.7% (95% CI 57.5%–74.7%), respectively. The specificities of AlereLAM, FujiLAM, and EclLAM were 92.3% (95% CI 88.5%–95.0%), 98.9% (95% CI 96.7%–99.6%), and 98.1% (95% CI 95.6%–99.2%), respectively. Positive likelihood ratios of AlereLAM, FujiLAM, and EclLAM were 1.4, 46.2, and 34.8, respectively, and positive predictive values were 37.5%, 95.2%, and 93.7%, respectively. CONCLUSION. Compared with AlereLAM, FujiLAM detected 5 times more patients with TB in HIV-negative participants, had a high positive predictive value, and has the potential to improve rapid diagnosis of TB at the point-of-care. EclLAM demonstrated that additional sensitivity gains are possible, which highlights LAM’s potential as a biomarker. Additional research is required to assess FujiLAM’s performance in prospective cohorts, its cost-effectiveness, and its impact in real-world clinical settings. FUNDING. Global Health Innovative Technology Fund, the UK Department for International Development, the Dutch Ministry of Foreign Affairs, the Bill and Melinda Gates Foundation, the Australian Department of Foreign Affairs and Trade, the German Federal Ministry of Education and Research through Kreditanstalt für Wiederaufbau, and the NIH and National Institute of Allergy and Infectious Diseases.","author":[{"dropping-particle":"","family":"Broger","given":"Tobias","non-dropping-particle":"","parse-names":false,"suffix":""},{"dropping-particle":"","family":"Nicol","given":"Mark P.","non-dropping-particle":"","parse-names":false,"suffix":""},{"dropping-particle":"","family":"Sigal","given":"George B.","non-dropping-particle":"","parse-names":false,"suffix":""},{"dropping-particle":"","family":"Gotuzzo","given":"Eduardo","non-dropping-particle":"","parse-names":false,"suffix":""},{"dropping-particle":"","family":"Zimmer","given":"Alexandra J.","non-dropping-particle":"","parse-names":false,"suffix":""},{"dropping-particle":"","family":"Surtie","given":"Shireen","non-dropping-particle":"","parse-names":false,"suffix":""},{"dropping-particle":"","family":"Caceres-Nakiche","given":"Tatiana","non-dropping-particle":"","parse-names":false,"suffix":""},{"dropping-particle":"","family":"Mantsoki","given":"Anna","non-dropping-particle":"","parse-names":false,"suffix":""},{"dropping-particle":"","family":"Reipold","given":"Elena Ivanova","non-dropping-particle":"","parse-names":false,"suffix":""},{"dropping-particle":"","family":"Székely","given":"Rita","non-dropping-particle":"","parse-names":false,"suffix":""},{"dropping-particle":"","family":"Tsionsky","given":"Michael","non-dropping-particle":"","parse-names":false,"suffix":""},{"dropping-particle":"","family":"Heerden","given":"Judith","non-dropping-particle":"van","parse-names":false,"suffix":""},{"dropping-particle":"","family":"Plisova","given":"Tatiana","non-dropping-particle":"","parse-names":false,"suffix":""},{"dropping-particle":"","family":"Chikamatsu","given":"Kinuyo","non-dropping-particle":"","parse-names":false,"suffix":""},{"dropping-particle":"","family":"Lowary","given":"Todd L.","non-dropping-particle":"","parse-names":false,"suffix":""},{"dropping-particle":"","family":"Pinter","given":"Abraham","non-dropping-particle":"","parse-names":false,"suffix":""},{"dropping-particle":"","family":"Mitarai","given":"Satoshi","non-dropping-particle":"","parse-names":false,"suffix":""},{"dropping-particle":"","family":"Moreau","given":"Emmanuel","non-dropping-particle":"","parse-names":false,"suffix":""},{"dropping-particle":"","family":"Schumacher","given":"Samuel G.","non-dropping-particle":"","parse-names":false,"suffix":""},{"dropping-particle":"","family":"Denkinger","given":"Claudia M.","non-dropping-particle":"","parse-names":false,"suffix":""}],"container-title":"Journal of Clinical Investigation","id":"ITEM-1","issue":"11","issued":{"date-parts":[["2020","11","2"]]},"page":"5756-5764","publisher":"American Society for Clinical Investigation","title":"Diagnostic accuracy of 3 urine lipoarabinomannan tuberculosis assays in HIV-negative outpatients","type":"article-journal","volume":"130"},"uris":["http://www.mendeley.com/documents/?uuid=60306394-5066-392f-a92f-71335cdac7e6"]}],"mendeley":{"formattedCitation":"[19]","plainTextFormattedCitation":"[19]","previouslyFormattedCitation":"[18]"},"properties":{"noteIndex":0},"schema":"https://github.com/citation-style-language/schema/raw/master/csl-citation.json"}</w:instrText>
      </w:r>
      <w:r w:rsidR="001A6175" w:rsidRPr="003B7DD5">
        <w:rPr>
          <w:color w:val="auto"/>
        </w:rPr>
        <w:fldChar w:fldCharType="separate"/>
      </w:r>
      <w:r w:rsidRPr="003B7DD5">
        <w:rPr>
          <w:noProof/>
          <w:color w:val="auto"/>
        </w:rPr>
        <w:t>[19]</w:t>
      </w:r>
      <w:r w:rsidR="001A6175" w:rsidRPr="003B7DD5">
        <w:rPr>
          <w:color w:val="auto"/>
        </w:rPr>
        <w:fldChar w:fldCharType="end"/>
      </w:r>
      <w:r w:rsidRPr="003B7DD5">
        <w:rPr>
          <w:color w:val="auto"/>
        </w:rPr>
        <w:t xml:space="preserve"> </w:t>
      </w:r>
      <w:r w:rsidR="001A6175" w:rsidRPr="003B7DD5">
        <w:rPr>
          <w:color w:val="auto"/>
        </w:rPr>
        <w:fldChar w:fldCharType="begin" w:fldLock="1"/>
      </w:r>
      <w:r w:rsidR="001A6175" w:rsidRPr="003B7DD5">
        <w:rPr>
          <w:color w:val="auto"/>
        </w:rPr>
        <w:instrText>ADDIN CSL_CITATION {"citationItems":[{"id":"ITEM-1","itemData":{"abstract":"Diagnostic manufacturers are increasingly expressing the need to be informed about the type of TB diagnostics they should invest in, as well as the potential market size for these products. The development of target product profiles (TPPs) is therefore an important step to align the needs of end-users with the specifications and targets that product developers should meet in terms of the performance and operational characteristics of such tests. In April 2014, the WHO Global TB Programme convened a meeting on behalf of the Global Laboratory Initiative (GLI) and New Diagnostics Working Group (NDWG) to develop consensus on the minimal and optimal specifications of four different types of TB diagnostic tests that were identified by multiple stakeholders to be high priority","author":[{"dropping-particle":"","family":"World Health Organization.","given":"","non-dropping-particle":"","parse-names":false,"suffix":""}],"container-title":"WHO","id":"ITEM-1","issue":"April","issued":{"date-parts":[["2014"]]},"page":"1-96","publisher-place":"Geneve","title":"High-priority target product profiles for new tuberculosis diagnostics: report of a consensus meeting","type":"article-journal"},"uris":["http://www.mendeley.com/documents/?uuid=0124f0d3-9fe7-4661-8d86-fbb5084cdc6c"]}],"mendeley":{"formattedCitation":"[18]","plainTextFormattedCitation":"[18]","previouslyFormattedCitation":"[17]"},"properties":{"noteIndex":0},"schema":"https://github.com/citation-style-language/schema/raw/master/csl-citation.json"}</w:instrText>
      </w:r>
      <w:r w:rsidR="001A6175" w:rsidRPr="003B7DD5">
        <w:rPr>
          <w:color w:val="auto"/>
        </w:rPr>
        <w:fldChar w:fldCharType="separate"/>
      </w:r>
      <w:r w:rsidRPr="003B7DD5">
        <w:rPr>
          <w:noProof/>
          <w:color w:val="auto"/>
        </w:rPr>
        <w:t>[18]</w:t>
      </w:r>
      <w:r w:rsidR="001A6175" w:rsidRPr="003B7DD5">
        <w:rPr>
          <w:color w:val="auto"/>
        </w:rPr>
        <w:fldChar w:fldCharType="end"/>
      </w:r>
      <w:r w:rsidRPr="003B7DD5">
        <w:rPr>
          <w:color w:val="auto"/>
        </w:rPr>
        <w:t xml:space="preserve">. Specificity among HIV-positive patients was marginally higher (93.3%) than reported by a study of bio-banked urine samples from HIV-positive patients in three Sub-African countries </w:t>
      </w:r>
      <w:r w:rsidR="001A6175" w:rsidRPr="003B7DD5">
        <w:rPr>
          <w:color w:val="auto"/>
        </w:rPr>
        <w:fldChar w:fldCharType="begin" w:fldLock="1"/>
      </w:r>
      <w:r w:rsidR="001A6175" w:rsidRPr="003B7DD5">
        <w:rPr>
          <w:color w:val="auto"/>
        </w:rPr>
        <w:instrText>ADDIN CSL_CITATION {"citationItems":[{"id":"ITEM-1","itemData":{"DOI":"10.1093/ofid/ofz530","ISSN":"23288957","PMID":"31976353","abstract":"Background. The novel Fujifilm SILVAMP TB-LAM (FujiLAM) assay detects mycobacterial lipoarabinomannan in urine and has demonstrated superior sensitivity to the Alere Determine TB-LAM Ag (AlereLAM) assay for detection of tuberculosis among hospitalized people with human immunodeficiency virus (PWH). This is the first study to evaluate the assay among a broad population referred for antiretroviral therapy including both outpatients (mainly) and inpatients. Methods. We assessed diagnostic accuracy of FujiLAM and AlereLAM assays in biobanked urine samples from a cohort of adults referred for antiretroviral therapy in Ghana against a microbiological and a composite (including clinical judgement) reference standard, and we assessed the association of FujiLAM test positivity with mortality. Results. We evaluated urine samples from 532 PWH (462 outpatients, 70 inpatients). Against a microbiological reference standard, the sensitivity of FujiLAM was 74.2% (95% confidence interval [CI], 62.0-84.2) compared to 53.0% (95% CI, 40.3-65.4) for AlereLAM, a difference of 21.2% (CI, 13.1-32.5). Specificity was 89.3% (95% CI, 85.8-92.2) versus 95.6% (95% CI, 93.0-97.4) for FujiLAM and AlereLAM, a difference of −6.3% (95% CI −9.6 to −3.3). Specificity estimates for FujiLAM increased markedly to 98.8% (95% CI, 96.6-99.8) in patients with CD4 &gt;100 cells/µL and when using a composite reference standard. FujiLAM test positivity was associated with increased cumulative risk of mortality at 6 months (hazard ratio, 4.80; 95% CI, 3.01-7.64). Conclusions. FujiLAM offers significantly increased diagnostic sensitivity in comparison to AlereLAM. Specificity estimates for FujiLAM were lower than for AlereLAM but were affected by the limited ability of the reference standard to correctly diagnose tuberculosis in individuals with low CD4 counts.","author":[{"dropping-particle":"","family":"Bjerrum","given":"Stephanie","non-dropping-particle":"","parse-names":false,"suffix":""},{"dropping-particle":"","family":"Broger","given":"Tobias","non-dropping-particle":"","parse-names":false,"suffix":""},{"dropping-particle":"","family":"Székely","given":"Rita","non-dropping-particle":"","parse-names":false,"suffix":""},{"dropping-particle":"","family":"Mitarai","given":"Satoshi","non-dropping-particle":"","parse-names":false,"suffix":""},{"dropping-particle":"","family":"Opintan","given":"Japheth A.","non-dropping-particle":"","parse-names":false,"suffix":""},{"dropping-particle":"","family":"Kenu","given":"Ernest","non-dropping-particle":"","parse-names":false,"suffix":""},{"dropping-particle":"","family":"Lartey","given":"Margaret","non-dropping-particle":"","parse-names":false,"suffix":""},{"dropping-particle":"","family":"Addo","given":"Kennedy K.","non-dropping-particle":"","parse-names":false,"suffix":""},{"dropping-particle":"","family":"Chikamatsu","given":"Kinuyo","non-dropping-particle":"","parse-names":false,"suffix":""},{"dropping-particle":"","family":"Macé","given":"Aurélien","non-dropping-particle":"","parse-names":false,"suffix":""},{"dropping-particle":"","family":"Schumacher","given":"Samuel G.","non-dropping-particle":"","parse-names":false,"suffix":""},{"dropping-particle":"","family":"Moreau","given":"Emmanuel","non-dropping-particle":"","parse-names":false,"suffix":""},{"dropping-particle":"","family":"Shah","given":"Maunank","non-dropping-particle":"","parse-names":false,"suffix":""},{"dropping-particle":"","family":"Johansen","given":"Isik Somuncu","non-dropping-particle":"","parse-names":false,"suffix":""},{"dropping-particle":"","family":"Denkinger","given":"Claudia M.","non-dropping-particle":"","parse-names":false,"suffix":""}],"container-title":"Open Forum Infectious Diseases","id":"ITEM-1","issue":"1","issued":{"date-parts":[["2020","1","1"]]},"publisher":"Oxford University Press","title":"Diagnostic accuracy of a novel and rapid lipoarabinomannan test for diagnosing tuberculosis among people with human immunodeficiency virus","type":"article-journal","volume":"7"},"uris":["http://www.mendeley.com/documents/?uuid=3facad1e-e725-3f5a-98bd-4af1bd8d4eb2"]}],"mendeley":{"formattedCitation":"[14]","plainTextFormattedCitation":"[14]","previouslyFormattedCitation":"[13]"},"properties":{"noteIndex":0},"schema":"https://github.com/citation-style-language/schema/raw/master/csl-citation.json"}</w:instrText>
      </w:r>
      <w:r w:rsidR="001A6175" w:rsidRPr="003B7DD5">
        <w:rPr>
          <w:color w:val="auto"/>
        </w:rPr>
        <w:fldChar w:fldCharType="separate"/>
      </w:r>
      <w:r w:rsidRPr="003B7DD5">
        <w:rPr>
          <w:noProof/>
          <w:color w:val="auto"/>
        </w:rPr>
        <w:t>[14]</w:t>
      </w:r>
      <w:r w:rsidR="001A6175" w:rsidRPr="003B7DD5">
        <w:rPr>
          <w:color w:val="auto"/>
        </w:rPr>
        <w:fldChar w:fldCharType="end"/>
      </w:r>
      <w:r w:rsidRPr="003B7DD5">
        <w:rPr>
          <w:color w:val="auto"/>
        </w:rPr>
        <w:t xml:space="preserve">, which reported a 90.8% specificity </w:t>
      </w:r>
      <w:r w:rsidR="001A6175" w:rsidRPr="003B7DD5">
        <w:rPr>
          <w:color w:val="auto"/>
        </w:rPr>
        <w:fldChar w:fldCharType="begin" w:fldLock="1"/>
      </w:r>
      <w:r w:rsidR="001A6175" w:rsidRPr="003B7DD5">
        <w:rPr>
          <w:color w:val="auto"/>
        </w:rPr>
        <w:instrText>ADDIN CSL_CITATION {"citationItems":[{"id":"ITEM-1","itemData":{"DOI":"10.1016/S1473-3099(19)30001-5","ISSN":"14744457","PMID":"31155318","abstract":"Background: Most tuberculosis-related deaths in people with HIV could be prevented with earlier diagnosis and treatment. The only commercially available tuberculosis point-of-care test (Alere Determine TB LAM Ag [AlereLAM]) has suboptimal sensitivity, which restricts its use in clinical practice. The novel Fujifilm SILVAMP TB LAM (FujiLAM) assay has been developed to improve the sensitivity of AlereLAM. We assessed the diagnostic accuracy of the FujiLAM assay for the detection of tuberculosis in hospital inpatients with HIV compared with the AlereLAM assay. Methods: For this diagnostic accuracy study, we assessed biobanked urine samples obtained from the FIND Specimen Bank and the University of Cape Town Biobank, which had been collected from hospital inpatients (aged ≥18 years) with HIV during three independent prospective cohort studies done at two South African hospitals. Urine samples were tested using FujiLAM and AlereLAM assays. The conduct and reporting of each test was done blind to other test results. The primary objective was to assess the diagnostic accuracy of FujiLAM compared with AlereLAM, against microbiological and composite reference standards (including clinical diagnoses). Findings: Between April 18, 2018, and May 3, 2018, urine samples from 968 hospital inpatients with HIV were evaluated. The prevalence of microbiologically-confirmed tuberculosis was 62% and the median CD4 count was 86 cells per μL. Using the microbiological reference standard, the estimated sensitivity of FujiLAM was 70·4% (95% CI 53·0 to 83·1) compared with 42·3% (31·7 to 51·8) for AlereLAM (difference 28·1%) and the estimated specificity of FujiLAM was 90·8% (86·0 to 94·4) and 95·0% (87·7–98·8) for AlereLAM (difference −4·2%). Against the composite reference standard, the specificity of both assays was higher (95·7% [92·0 to 98·0] for FujiLAM vs 98·2% [95·7 to 99·6] for AlereLAM; difference −2·5%), but the sensitivity of both assays was lower (64·9% [50·1 to 76·7] for FujiLAM vs 38·2% [28·1 to 47·3] for AlereLAM; difference 26·7%). Interpretation: In comparison to AlereLAM, FujiLAM offers superior diagnostic sensitivity, while maintaining specificity, and could transform rapid point-of-care tuberculosis diagnosis for hospital inpatients with HIV. The applicability of FujiLAM for settings of intended use requires prospective assessment. Funding: Global Health Innovative Technology Fund, UK Department for International Development, Dutch Ministry of Foreign Affairs,…","author":[{"dropping-particle":"","family":"Broger","given":"Tobias","non-dropping-particle":"","parse-names":false,"suffix":""},{"dropping-particle":"","family":"Sossen","given":"Bianca","non-dropping-particle":"","parse-names":false,"suffix":""},{"dropping-particle":"","family":"Toit","given":"Elloise","non-dropping-particle":"du","parse-names":false,"suffix":""},{"dropping-particle":"","family":"Kerkhoff","given":"Andrew D.","non-dropping-particle":"","parse-names":false,"suffix":""},{"dropping-particle":"","family":"Schutz","given":"Charlotte","non-dropping-particle":"","parse-names":false,"suffix":""},{"dropping-particle":"","family":"Ivanova Reipold","given":"Elena","non-dropping-particle":"","parse-names":false,"suffix":""},{"dropping-particle":"","family":"Ward","given":"Amy","non-dropping-particle":"","parse-names":false,"suffix":""},{"dropping-particle":"","family":"Barr","given":"David A.","non-dropping-particle":"","parse-names":false,"suffix":""},{"dropping-particle":"","family":"Macé","given":"Aurélien","non-dropping-particle":"","parse-names":false,"suffix":""},{"dropping-particle":"","family":"Trollip","given":"Andre","non-dropping-particle":"","parse-names":false,"suffix":""},{"dropping-particle":"","family":"Burton","given":"Rosie","non-dropping-particle":"","parse-names":false,"suffix":""},{"dropping-particle":"","family":"Ongarello","given":"Stefano","non-dropping-particle":"","parse-names":false,"suffix":""},{"dropping-particle":"","family":"Pinter","given":"Abraham","non-dropping-particle":"","parse-names":false,"suffix":""},{"dropping-particle":"","family":"Lowary","given":"Todd L.","non-dropping-particle":"","parse-names":false,"suffix":""},{"dropping-particle":"","family":"Boehme","given":"Catharina","non-dropping-particle":"","parse-names":false,"suffix":""},{"dropping-particle":"","family":"Nicol","given":"Mark P.","non-dropping-particle":"","parse-names":false,"suffix":""},{"dropping-particle":"","family":"Meintjes","given":"Graeme","non-dropping-particle":"","parse-names":false,"suffix":""},{"dropping-particle":"","family":"Denkinger","given":"Claudia M.","non-dropping-particle":"","parse-names":false,"suffix":""}],"container-title":"The Lancet Infectious Diseases","id":"ITEM-1","issue":"8","issued":{"date-parts":[["2019","8","1"]]},"page":"852-861","publisher":"Lancet Publishing Group","title":"Novel lipoarabinomannan point-of-care tuberculosis test for people with HIV: a diagnostic accuracy study","type":"article-journal","volume":"19"},"uris":["http://www.mendeley.com/documents/?uuid=3433ae6d-f391-4614-a5d1-8d5fcb7c16cb"]}],"mendeley":{"formattedCitation":"[11]","plainTextFormattedCitation":"[11]","previouslyFormattedCitation":"[10]"},"properties":{"noteIndex":0},"schema":"https://github.com/citation-style-language/schema/raw/master/csl-citation.json"}</w:instrText>
      </w:r>
      <w:r w:rsidR="001A6175" w:rsidRPr="003B7DD5">
        <w:rPr>
          <w:color w:val="auto"/>
        </w:rPr>
        <w:fldChar w:fldCharType="separate"/>
      </w:r>
      <w:r w:rsidRPr="003B7DD5">
        <w:rPr>
          <w:noProof/>
          <w:color w:val="auto"/>
        </w:rPr>
        <w:t>[11]</w:t>
      </w:r>
      <w:r w:rsidR="001A6175" w:rsidRPr="003B7DD5">
        <w:rPr>
          <w:color w:val="auto"/>
        </w:rPr>
        <w:fldChar w:fldCharType="end"/>
      </w:r>
      <w:r w:rsidRPr="003B7DD5">
        <w:rPr>
          <w:color w:val="auto"/>
        </w:rPr>
        <w:t xml:space="preserve">. Patients with HIV experience multiple opportunistic infections, and positive FujiLAM results may well be false positives. However, it is also possible that these results reflect the difficulty of confirming the diagnosis in patients with disseminated TB disease. Culture and WRDs are imperfect tests, which have a lower performance in patients with HIV, extra-pulmonary and disseminated TB, depend on the quality of the sample and whether the patient is excreting bacilli the day of sampling and it is possible that patients who do not reach microbiological confirmation may have a missed TB diagnosis </w:t>
      </w:r>
      <w:r w:rsidR="001A6175" w:rsidRPr="003B7DD5">
        <w:rPr>
          <w:color w:val="auto"/>
        </w:rPr>
        <w:fldChar w:fldCharType="begin" w:fldLock="1"/>
      </w:r>
      <w:r w:rsidR="001A6175" w:rsidRPr="003B7DD5">
        <w:rPr>
          <w:color w:val="auto"/>
        </w:rPr>
        <w:instrText>ADDIN CSL_CITATION {"citationItems":[{"id":"ITEM-1","itemData":{"DOI":"10.1093/infdis/jiz356","ISSN":"15376613","PMID":"31593598","abstract":"The World Health Organization's (WHO) \"End TB\" strategy calls for development and implementation of novel tuberculosis (TB) diagnostics. Sputum-based diagnostics are challenging to implement and often less sensitive in high-priority populations. Nonsputum, biomarker-based tests may facilitate TB testing at lower levels of the healthcare system, accelerate treatment initiation, and improve outcomes. We provide guidance on the design of diagnostic accuracy studies evaluating nonsputum, biomarker-based tests within the context of WHO's target product profile for such tests. Study designs should account for the intended use when choosing the study population, setting, and reference standards. Although adults with respiratory symptoms may be an initial target population, other high-priority populations regardless of symptoms - including people living with human immunodeficiency virus, those unable to produce sputum samples or with extrapulmonary TB, household contacts, and children - should be considered. Studies beyond diagnostic accuracy that evaluate feasibility and population-level impacts are also needed. A biomarker-based diagnostic may be critical to ending the TB epidemic, but requires appropriate validation before implementation.","author":[{"dropping-particle":"","family":"Drain","given":"Paul K.","non-dropping-particle":"","parse-names":false,"suffix":""},{"dropping-particle":"","family":"Gardiner","given":"Jennifer","non-dropping-particle":"","parse-names":false,"suffix":""},{"dropping-particle":"","family":"Hannah","given":"Haylea","non-dropping-particle":"","parse-names":false,"suffix":""},{"dropping-particle":"","family":"Broger","given":"Tobias","non-dropping-particle":"","parse-names":false,"suffix":""},{"dropping-particle":"","family":"Dheda","given":"Keertan","non-dropping-particle":"","parse-names":false,"suffix":""},{"dropping-particle":"","family":"Fielding","given":"Katherine","non-dropping-particle":"","parse-names":false,"suffix":""},{"dropping-particle":"","family":"Walzl","given":"Gerhard","non-dropping-particle":"","parse-names":false,"suffix":""},{"dropping-particle":"","family":"Kaforou","given":"Myrsini","non-dropping-particle":"","parse-names":false,"suffix":""},{"dropping-particle":"","family":"Kranzer","given":"Katharina","non-dropping-particle":"","parse-names":false,"suffix":""},{"dropping-particle":"","family":"Joosten","given":"Simone A.","non-dropping-particle":"","parse-names":false,"suffix":""},{"dropping-particle":"","family":"Gilpin","given":"Christopher","non-dropping-particle":"","parse-names":false,"suffix":""},{"dropping-particle":"","family":"Weyer","given":"Karin","non-dropping-particle":"","parse-names":false,"suffix":""},{"dropping-particle":"","family":"Denkinger","given":"Claudia M.","non-dropping-particle":"","parse-names":false,"suffix":""},{"dropping-particle":"","family":"Schumacher","given":"Samuel G.","non-dropping-particle":"","parse-names":false,"suffix":""}],"container-title":"Journal of Infectious Diseases","id":"ITEM-1","issued":{"date-parts":[["2019","10","8"]]},"page":"S108-S115","publisher":"Oxford University Press","title":"Guidance for Studies Evaluating the Accuracy of Biomarker-Based Nonsputum Tests to Diagnose Tuberculosis","type":"article-journal","volume":"220"},"uris":["http://www.mendeley.com/documents/?uuid=be3d7c98-4273-3fdf-bda7-070ff30ef1df"]}],"mendeley":{"formattedCitation":"[20]","plainTextFormattedCitation":"[20]","previouslyFormattedCitation":"[19]"},"properties":{"noteIndex":0},"schema":"https://github.com/citation-style-language/schema/raw/master/csl-citation.json"}</w:instrText>
      </w:r>
      <w:r w:rsidR="001A6175" w:rsidRPr="003B7DD5">
        <w:rPr>
          <w:color w:val="auto"/>
        </w:rPr>
        <w:fldChar w:fldCharType="separate"/>
      </w:r>
      <w:r w:rsidRPr="003B7DD5">
        <w:rPr>
          <w:noProof/>
          <w:color w:val="auto"/>
        </w:rPr>
        <w:t>[20]</w:t>
      </w:r>
      <w:r w:rsidR="001A6175" w:rsidRPr="003B7DD5">
        <w:rPr>
          <w:color w:val="auto"/>
        </w:rPr>
        <w:fldChar w:fldCharType="end"/>
      </w:r>
      <w:r w:rsidRPr="003B7DD5">
        <w:rPr>
          <w:color w:val="auto"/>
        </w:rPr>
        <w:t xml:space="preserve">. </w:t>
      </w:r>
      <w:r w:rsidRPr="003B7DD5">
        <w:rPr>
          <w:rFonts w:eastAsia="Palatino Linotype" w:cs="Palatino Linotype"/>
          <w:color w:val="auto"/>
          <w:szCs w:val="20"/>
        </w:rPr>
        <w:t xml:space="preserve">Our six patients with positive urine LAM results but negative sputum tests had the same clinical presentation to patients with bacteriologically confirmed TB.  As it is likely some patients with TB do not have bacilli in sputum in the absence of </w:t>
      </w:r>
      <w:proofErr w:type="spellStart"/>
      <w:r w:rsidRPr="003B7DD5">
        <w:rPr>
          <w:rFonts w:eastAsia="Palatino Linotype" w:cs="Palatino Linotype"/>
          <w:color w:val="auto"/>
          <w:szCs w:val="20"/>
        </w:rPr>
        <w:t>cavitations</w:t>
      </w:r>
      <w:proofErr w:type="spellEnd"/>
      <w:r w:rsidRPr="003B7DD5">
        <w:rPr>
          <w:rFonts w:eastAsia="Palatino Linotype" w:cs="Palatino Linotype"/>
          <w:color w:val="auto"/>
          <w:szCs w:val="20"/>
        </w:rPr>
        <w:t xml:space="preserve"> or when the disease is disseminated without communications with the airways (e.g., military TB), we cannot rule out that these patients may have been detected by a test based in urine that does not require expectoration of bacilli and further studies are needed to confirm whether these were true or false positive results. However, it is also true that LAM is a cell wall compound that is present in most Mycobacteria species and is not exclusive in </w:t>
      </w:r>
      <w:r w:rsidRPr="003B7DD5">
        <w:rPr>
          <w:rFonts w:eastAsia="Palatino Linotype" w:cs="Palatino Linotype"/>
          <w:i/>
          <w:iCs/>
          <w:color w:val="auto"/>
          <w:szCs w:val="20"/>
        </w:rPr>
        <w:t>M. tuberculosis</w:t>
      </w:r>
      <w:r w:rsidRPr="003B7DD5">
        <w:rPr>
          <w:rFonts w:eastAsia="Palatino Linotype" w:cs="Palatino Linotype"/>
          <w:color w:val="auto"/>
          <w:szCs w:val="20"/>
        </w:rPr>
        <w:t xml:space="preserve">. Despite this </w:t>
      </w:r>
      <w:proofErr w:type="gramStart"/>
      <w:r w:rsidRPr="003B7DD5">
        <w:rPr>
          <w:rFonts w:eastAsia="Palatino Linotype" w:cs="Palatino Linotype"/>
          <w:color w:val="auto"/>
          <w:szCs w:val="20"/>
        </w:rPr>
        <w:t>cross reactivity</w:t>
      </w:r>
      <w:proofErr w:type="gramEnd"/>
      <w:r w:rsidRPr="003B7DD5">
        <w:rPr>
          <w:rFonts w:eastAsia="Palatino Linotype" w:cs="Palatino Linotype"/>
          <w:color w:val="auto"/>
          <w:szCs w:val="20"/>
        </w:rPr>
        <w:t xml:space="preserve"> risk, we feel the assay would be useful in the field, as it would allow rapidly identifying about two thirds of patients with TB at the time of the first consultation.  The assays would need to be incorporated into diagnostic algorithms, as patients would need to undergo further confirmatory tests, to confirm the presence of MTB and then screen for drug resistance. </w:t>
      </w:r>
    </w:p>
    <w:p w14:paraId="2F24E3C8" w14:textId="77777777" w:rsidR="001A6175" w:rsidRPr="003B7DD5" w:rsidRDefault="001A6175" w:rsidP="003B7DD5">
      <w:pPr>
        <w:pStyle w:val="MDPI31text"/>
        <w:ind w:left="0"/>
        <w:rPr>
          <w:color w:val="auto"/>
        </w:rPr>
      </w:pPr>
      <w:r w:rsidRPr="003B7DD5">
        <w:rPr>
          <w:color w:val="auto"/>
        </w:rPr>
        <w:t xml:space="preserve">Urine is a readily available non-invasive sample, which would be especially useful in patients unable to expectorate, such as children, elderly and adults without productive cough and individuals with disseminated, extra-pulmonary and non-cavitary disease. FujiLAM is simple to use, does not require additional instrumentation and can be used in </w:t>
      </w:r>
      <w:proofErr w:type="spellStart"/>
      <w:r w:rsidRPr="003B7DD5">
        <w:rPr>
          <w:color w:val="auto"/>
        </w:rPr>
        <w:t>decentralised</w:t>
      </w:r>
      <w:proofErr w:type="spellEnd"/>
      <w:r w:rsidRPr="003B7DD5">
        <w:rPr>
          <w:color w:val="auto"/>
        </w:rPr>
        <w:t xml:space="preserve"> laboratories </w:t>
      </w:r>
      <w:r w:rsidRPr="003B7DD5">
        <w:rPr>
          <w:color w:val="auto"/>
        </w:rPr>
        <w:fldChar w:fldCharType="begin" w:fldLock="1"/>
      </w:r>
      <w:r w:rsidRPr="003B7DD5">
        <w:rPr>
          <w:color w:val="auto"/>
        </w:rPr>
        <w:instrText>ADDIN CSL_CITATION {"citationItems":[{"id":"ITEM-1","itemData":{"URL":"https://www.finddx.org/dx-pipeline-status/","accessed":{"date-parts":[["2020","12","12"]]},"author":[{"dropping-particle":"","family":"FIND","given":"","non-dropping-particle":"","parse-names":false,"suffix":""}],"id":"ITEM-1","issued":{"date-parts":[["2018"]]},"page":"1-4","title":"DX Pipeline Status","type":"webpage"},"uris":["http://www.mendeley.com/documents/?uuid=1a7c3424-aacc-3130-9133-a25c6228f979"]}],"mendeley":{"formattedCitation":"[21]","plainTextFormattedCitation":"[21]","previouslyFormattedCitation":"[20]"},"properties":{"noteIndex":0},"schema":"https://github.com/citation-style-language/schema/raw/master/csl-citation.json"}</w:instrText>
      </w:r>
      <w:r w:rsidRPr="003B7DD5">
        <w:rPr>
          <w:color w:val="auto"/>
        </w:rPr>
        <w:fldChar w:fldCharType="separate"/>
      </w:r>
      <w:r w:rsidRPr="003B7DD5">
        <w:rPr>
          <w:noProof/>
          <w:color w:val="auto"/>
        </w:rPr>
        <w:t>[21]</w:t>
      </w:r>
      <w:r w:rsidRPr="003B7DD5">
        <w:rPr>
          <w:color w:val="auto"/>
        </w:rPr>
        <w:fldChar w:fldCharType="end"/>
      </w:r>
      <w:r w:rsidRPr="003B7DD5">
        <w:rPr>
          <w:color w:val="auto"/>
        </w:rPr>
        <w:t xml:space="preserve">. Therefore, FujiLAM is a promising test for the early detection and treatment of TB in people with signs and symptoms suggestive of TB, with a particular relevance for low resource health </w:t>
      </w:r>
      <w:proofErr w:type="spellStart"/>
      <w:r w:rsidRPr="003B7DD5">
        <w:rPr>
          <w:color w:val="auto"/>
        </w:rPr>
        <w:t>centres</w:t>
      </w:r>
      <w:proofErr w:type="spellEnd"/>
      <w:r w:rsidRPr="003B7DD5">
        <w:rPr>
          <w:color w:val="auto"/>
        </w:rPr>
        <w:t xml:space="preserve"> in low- and middle-income countries with the highest burden of TB.</w:t>
      </w:r>
    </w:p>
    <w:p w14:paraId="35433AA9" w14:textId="77777777" w:rsidR="001A6175" w:rsidRPr="003B7DD5" w:rsidRDefault="001A6175" w:rsidP="003B7DD5">
      <w:pPr>
        <w:pStyle w:val="MDPI31text"/>
        <w:ind w:left="0"/>
        <w:rPr>
          <w:color w:val="auto"/>
        </w:rPr>
      </w:pPr>
      <w:r w:rsidRPr="003B7DD5">
        <w:rPr>
          <w:color w:val="auto"/>
        </w:rPr>
        <w:t>Our study has several limitations. We only included patients able to provide sputum, which may underestimate the potential of FujiLAM to identify patients who are difficult to diagnose. In addition, the number of bacteriologically confirmed TB cases is small, especially for patients with HIV, and we were unable to follow-up participants, which could have re-classified some individuals with negative culture and Xpert MTB/RIF tests as positive, potentially increasing the specificity.</w:t>
      </w:r>
    </w:p>
    <w:p w14:paraId="6F2E386A" w14:textId="77777777" w:rsidR="001A6175" w:rsidRPr="003B7DD5" w:rsidRDefault="21E03032" w:rsidP="003B7DD5">
      <w:pPr>
        <w:pStyle w:val="MDPI31text"/>
        <w:ind w:left="0"/>
        <w:rPr>
          <w:color w:val="auto"/>
        </w:rPr>
      </w:pPr>
      <w:r w:rsidRPr="003B7DD5">
        <w:rPr>
          <w:color w:val="auto"/>
        </w:rPr>
        <w:t xml:space="preserve">An important issue for the wider use of FujiLAM is that the test costs are currently too high for its wider implementation outside a research setting. FujiLAM is likely to be most useful in locations with limited resources and tiered pricing mechanisms will be needed to facilitate access to the tests according to need. Moreover, further cost effectiveness studies are needed. A study in South Africa and Malawi examining patients with HIV reported that FujiLAM combined with Xpert MTB/RIF was more cost-effective than using Xpert MTB/RIF alone </w:t>
      </w:r>
      <w:r w:rsidR="001A6175" w:rsidRPr="003B7DD5">
        <w:rPr>
          <w:color w:val="auto"/>
        </w:rPr>
        <w:fldChar w:fldCharType="begin" w:fldLock="1"/>
      </w:r>
      <w:r w:rsidR="001A6175" w:rsidRPr="003B7DD5">
        <w:rPr>
          <w:color w:val="auto"/>
        </w:rPr>
        <w:instrText>ADDIN CSL_CITATION {"citationItems":[{"id":"ITEM-1","itemData":{"DOI":"10.1093/cid/ciaa1698","ISSN":"1058-4838","author":[{"dropping-particle":"","family":"Reddy","given":"Krishna P","non-dropping-particle":"","parse-names":false,"suffix":""},{"dropping-particle":"","family":"Denkinger","given":"Claudia M","non-dropping-particle":"","parse-names":false,"suffix":""},{"dropping-particle":"","family":"Broger","given":"Tobias","non-dropping-particle":"","parse-names":false,"suffix":""},{"dropping-particle":"","family":"McCann","given":"Nicole C","non-dropping-particle":"","parse-names":false,"suffix":""},{"dropping-particle":"","family":"Gupta-Wright","given":"Ankur","non-dropping-particle":"","parse-names":false,"suffix":""},{"dropping-particle":"","family":"Kerkhoff","given":"Andrew D","non-dropping-particle":"","parse-names":false,"suffix":""},{"dropping-particle":"","family":"Pei","given":"Pamela P","non-dropping-particle":"","parse-names":false,"suffix":""},{"dropping-particle":"","family":"Shebl","given":"Fatma M","non-dropping-particle":"","parse-names":false,"suffix":""},{"dropping-particle":"","family":"Fielding","given":"Katherine L","non-dropping-particle":"","parse-names":false,"suffix":""},{"dropping-particle":"","family":"Nicol","given":"Mark P","non-dropping-particle":"","parse-names":false,"suffix":""},{"dropping-particle":"","family":"Horsburgh","given":"C Robert","non-dropping-particle":"","parse-names":false,"suffix":""},{"dropping-particle":"","family":"Meintjes","given":"Graeme","non-dropping-particle":"","parse-names":false,"suffix":""},{"dropping-particle":"","family":"Freedberg","given":"Kenneth A","non-dropping-particle":"","parse-names":false,"suffix":""},{"dropping-particle":"","family":"Wood","given":"Robin","non-dropping-particle":"","parse-names":false,"suffix":""},{"dropping-particle":"","family":"Walensky","given":"Rochelle P","non-dropping-particle":"","parse-names":false,"suffix":""}],"container-title":"Clinical Infectious Diseases","id":"ITEM-1","issued":{"date-parts":[["2020","11","17"]]},"title":"Cost-effectiveness of a novel lipoarabinomannan test for tuberculosis in patients with HIV","type":"article-journal"},"uris":["http://www.mendeley.com/documents/?uuid=ec619a23-b7cd-3073-a784-7b787f304417"]}],"mendeley":{"formattedCitation":"[22]","plainTextFormattedCitation":"[22]","previouslyFormattedCitation":"[21]"},"properties":{"noteIndex":0},"schema":"https://github.com/citation-style-language/schema/raw/master/csl-citation.json"}</w:instrText>
      </w:r>
      <w:r w:rsidR="001A6175" w:rsidRPr="003B7DD5">
        <w:rPr>
          <w:color w:val="auto"/>
        </w:rPr>
        <w:fldChar w:fldCharType="separate"/>
      </w:r>
      <w:r w:rsidRPr="003B7DD5">
        <w:rPr>
          <w:noProof/>
          <w:color w:val="auto"/>
        </w:rPr>
        <w:t>[22]</w:t>
      </w:r>
      <w:r w:rsidR="001A6175" w:rsidRPr="003B7DD5">
        <w:rPr>
          <w:color w:val="auto"/>
        </w:rPr>
        <w:fldChar w:fldCharType="end"/>
      </w:r>
      <w:r w:rsidRPr="003B7DD5">
        <w:rPr>
          <w:color w:val="auto"/>
        </w:rPr>
        <w:t xml:space="preserve">. However, more studies are needed to assess its cost effectiveness in HIV-negative patients, especially at lower levels of the health system in low resource settings. </w:t>
      </w:r>
    </w:p>
    <w:p w14:paraId="5B371E3C" w14:textId="38134009" w:rsidR="001A6175" w:rsidRPr="003B7DD5" w:rsidRDefault="21E03032" w:rsidP="003B7DD5">
      <w:pPr>
        <w:spacing w:line="257" w:lineRule="auto"/>
        <w:ind w:firstLine="483"/>
        <w:rPr>
          <w:rFonts w:eastAsia="Palatino Linotype" w:cs="Palatino Linotype"/>
          <w:color w:val="auto"/>
        </w:rPr>
      </w:pPr>
      <w:r w:rsidRPr="003B7DD5">
        <w:rPr>
          <w:rFonts w:eastAsia="Palatino Linotype" w:cs="Palatino Linotype"/>
          <w:noProof w:val="0"/>
          <w:color w:val="auto"/>
        </w:rPr>
        <w:lastRenderedPageBreak/>
        <w:t xml:space="preserve">Despite the development and scale-up of newer, more sensitive TB diagnostic tests over the last decade, these have not lived up to early promise because they remain too slow, </w:t>
      </w:r>
      <w:proofErr w:type="gramStart"/>
      <w:r w:rsidRPr="003B7DD5">
        <w:rPr>
          <w:rFonts w:eastAsia="Palatino Linotype" w:cs="Palatino Linotype"/>
          <w:noProof w:val="0"/>
          <w:color w:val="auto"/>
        </w:rPr>
        <w:t>expensive</w:t>
      </w:r>
      <w:proofErr w:type="gramEnd"/>
      <w:r w:rsidRPr="003B7DD5">
        <w:rPr>
          <w:rFonts w:eastAsia="Palatino Linotype" w:cs="Palatino Linotype"/>
          <w:noProof w:val="0"/>
          <w:color w:val="auto"/>
        </w:rPr>
        <w:t xml:space="preserve"> and resource-intensive (liquid culture), have been mostly implemented centrally, or have been found to have high diagnostic accuracy only among a subset of patients (e.g., urine LAM for severe HIV-associated illness). However, there is an emerging pipeline of new TB tests and tools that could allow rapid, accurate point of need diagnosis.  Probably these tests are insufficient when used individually, but their performance could be optimized when used in combination as novel diagnostic algorithms. This is the case of the new generation urine LAM rapid test that we have studied: the FUJILAM test. Although the test has limited sensitivity, it would be able to detect two thirds of patients with bacteriologically confirmed TB at the time of first consultation. </w:t>
      </w:r>
      <w:r w:rsidRPr="003B7DD5">
        <w:rPr>
          <w:color w:val="auto"/>
        </w:rPr>
        <w:t xml:space="preserve">Future research therefore should evaluate the potential of FujiLAM in immunocompetent adults and children attending primary health care facilities and in patients with </w:t>
      </w:r>
      <w:bookmarkStart w:id="5" w:name="_Hlk58689969"/>
      <w:r w:rsidRPr="003B7DD5">
        <w:rPr>
          <w:color w:val="auto"/>
        </w:rPr>
        <w:t>extrapulmonary and non-cavitary TB</w:t>
      </w:r>
      <w:bookmarkEnd w:id="5"/>
      <w:r w:rsidRPr="003B7DD5">
        <w:rPr>
          <w:color w:val="auto"/>
        </w:rPr>
        <w:t xml:space="preserve">. Further studies are also needed to develop diagnostic algorithms that incorporate drug susceptibility testing for patients identified by FujiLAM at the lower levels of the healthcare system; and whether its combination with other screening tests, such as C Reactive Protein, could be used to develop point of care diagnostic algorithms. </w:t>
      </w:r>
    </w:p>
    <w:p w14:paraId="7ABDA155" w14:textId="366082D2" w:rsidR="21E03032" w:rsidRPr="003B7DD5" w:rsidRDefault="21E03032" w:rsidP="003B7DD5">
      <w:pPr>
        <w:spacing w:line="257" w:lineRule="auto"/>
        <w:ind w:firstLine="510"/>
        <w:rPr>
          <w:rFonts w:eastAsia="Palatino Linotype" w:cs="Palatino Linotype"/>
          <w:color w:val="auto"/>
        </w:rPr>
      </w:pPr>
      <w:r w:rsidRPr="003B7DD5">
        <w:rPr>
          <w:rFonts w:eastAsia="Palatino Linotype" w:cs="Palatino Linotype"/>
          <w:color w:val="auto"/>
        </w:rPr>
        <w:t>There is also a clear need of new technology, and stronger efforts in the development, validation and market shaping initiatives to expand the use of these devices. FujiLAM manufacturing facilities are currently being expanded, and its manufacturer plans to apply for WHO endorsement in 2022. Other LAM prototype developers are also making strides to develop low-cost lateral flow assays with improved monoclonal antibodies, which are expected to become available as research-use-only prototypes in 2022, while novel LAM concentration methods are being tested in the field with preliminary good performance.</w:t>
      </w:r>
    </w:p>
    <w:p w14:paraId="6C8FDB01" w14:textId="77777777" w:rsidR="00FE6943" w:rsidRPr="003B7DD5" w:rsidRDefault="001A6175" w:rsidP="003B7DD5">
      <w:pPr>
        <w:pStyle w:val="MDPI31text"/>
        <w:ind w:left="0"/>
        <w:rPr>
          <w:color w:val="auto"/>
        </w:rPr>
      </w:pPr>
      <w:r w:rsidRPr="003B7DD5">
        <w:rPr>
          <w:color w:val="auto"/>
        </w:rPr>
        <w:t xml:space="preserve">In conclusion, testing urine samples with FujiLAM in HIV-positive and HIV-negative patients with presumptive TB has a higher performance than current urine LAM assays. The use of the FujiLAM test would facilitate the detection and initiation of TB treatment on the same day of consultation in primary health </w:t>
      </w:r>
      <w:proofErr w:type="spellStart"/>
      <w:r w:rsidRPr="003B7DD5">
        <w:rPr>
          <w:color w:val="auto"/>
        </w:rPr>
        <w:t>centres</w:t>
      </w:r>
      <w:proofErr w:type="spellEnd"/>
      <w:r w:rsidRPr="003B7DD5">
        <w:rPr>
          <w:color w:val="auto"/>
        </w:rPr>
        <w:t>.</w:t>
      </w:r>
    </w:p>
    <w:p w14:paraId="65D1B530" w14:textId="77777777" w:rsidR="00FE6943" w:rsidRPr="003B7DD5" w:rsidRDefault="000A607D" w:rsidP="003B7DD5">
      <w:pPr>
        <w:pStyle w:val="MDPI62BackMatter"/>
        <w:spacing w:before="240"/>
        <w:ind w:left="0"/>
        <w:rPr>
          <w:color w:val="auto"/>
        </w:rPr>
      </w:pPr>
      <w:r w:rsidRPr="003B7DD5">
        <w:rPr>
          <w:b/>
          <w:color w:val="auto"/>
        </w:rPr>
        <w:t>Author Contributions</w:t>
      </w:r>
      <w:r w:rsidR="00FE6943" w:rsidRPr="003B7DD5">
        <w:rPr>
          <w:b/>
          <w:color w:val="auto"/>
        </w:rPr>
        <w:t>:</w:t>
      </w:r>
      <w:r w:rsidR="00FE6943" w:rsidRPr="003B7DD5">
        <w:rPr>
          <w:color w:val="auto"/>
        </w:rPr>
        <w:t xml:space="preserve"> </w:t>
      </w:r>
      <w:r w:rsidRPr="003B7DD5">
        <w:rPr>
          <w:color w:val="auto"/>
        </w:rPr>
        <w:t>Conceptualization, LEC, JD; Methodology, PCB, BMM, JB, KK and RA; Validation, LEC, JD; Formal Analysis, PCB, LEC, JD, RA; Investigation, PCB, OO, RA; Resources, JB, JC, JD; Data Curation, PCB, OO, BMM, JB and RA; Writing – original draft, PCB, JD, LEC; Writing – review &amp; editing, All authors; Supervision, JB, LEC, JD; Project administration, JD; Funding acquisition, JC, LEC, JD.</w:t>
      </w:r>
    </w:p>
    <w:p w14:paraId="3F5CD703" w14:textId="0D0DB67B" w:rsidR="00FE6943" w:rsidRPr="003B7DD5" w:rsidRDefault="00FE6943" w:rsidP="003B7DD5">
      <w:pPr>
        <w:pStyle w:val="MDPI62BackMatter"/>
        <w:ind w:left="0"/>
        <w:rPr>
          <w:color w:val="auto"/>
        </w:rPr>
      </w:pPr>
      <w:r w:rsidRPr="003B7DD5">
        <w:rPr>
          <w:b/>
          <w:color w:val="auto"/>
        </w:rPr>
        <w:t>Funding:</w:t>
      </w:r>
      <w:r w:rsidRPr="003B7DD5">
        <w:rPr>
          <w:color w:val="auto"/>
        </w:rPr>
        <w:t xml:space="preserve"> </w:t>
      </w:r>
      <w:r w:rsidR="000A607D" w:rsidRPr="003B7DD5">
        <w:rPr>
          <w:color w:val="auto"/>
        </w:rPr>
        <w:t xml:space="preserve">The study was supported by an award from the Instituto de </w:t>
      </w:r>
      <w:proofErr w:type="spellStart"/>
      <w:r w:rsidR="000A607D" w:rsidRPr="003B7DD5">
        <w:rPr>
          <w:color w:val="auto"/>
        </w:rPr>
        <w:t>Salud</w:t>
      </w:r>
      <w:proofErr w:type="spellEnd"/>
      <w:r w:rsidR="000A607D" w:rsidRPr="003B7DD5">
        <w:rPr>
          <w:color w:val="auto"/>
        </w:rPr>
        <w:t xml:space="preserve"> Carlos III (DTS18/0092, FIS19/01408), integrated into the Plan Nacional de I+D+I, and cofounded by the ISCIII </w:t>
      </w:r>
      <w:proofErr w:type="spellStart"/>
      <w:r w:rsidR="000A607D" w:rsidRPr="003B7DD5">
        <w:rPr>
          <w:color w:val="auto"/>
        </w:rPr>
        <w:t>Subdirección</w:t>
      </w:r>
      <w:proofErr w:type="spellEnd"/>
      <w:r w:rsidR="000A607D" w:rsidRPr="003B7DD5">
        <w:rPr>
          <w:color w:val="auto"/>
        </w:rPr>
        <w:t xml:space="preserve"> General de </w:t>
      </w:r>
      <w:proofErr w:type="spellStart"/>
      <w:r w:rsidR="000A607D" w:rsidRPr="003B7DD5">
        <w:rPr>
          <w:color w:val="auto"/>
        </w:rPr>
        <w:t>Evaluación</w:t>
      </w:r>
      <w:proofErr w:type="spellEnd"/>
      <w:r w:rsidR="000A607D" w:rsidRPr="003B7DD5">
        <w:rPr>
          <w:color w:val="auto"/>
        </w:rPr>
        <w:t xml:space="preserve"> and the European Regional Development Fund (ERDF); by the European Union’s Horizon 2020 Research and Innovation Programme under the Marie </w:t>
      </w:r>
      <w:proofErr w:type="spellStart"/>
      <w:r w:rsidR="000A607D" w:rsidRPr="003B7DD5">
        <w:rPr>
          <w:color w:val="auto"/>
        </w:rPr>
        <w:t>Skłodowska</w:t>
      </w:r>
      <w:proofErr w:type="spellEnd"/>
      <w:r w:rsidR="000A607D" w:rsidRPr="003B7DD5">
        <w:rPr>
          <w:color w:val="auto"/>
        </w:rPr>
        <w:t>-Curie grant agreement no. 823854 (INNOVA4TB), by the European and Developing Countries Clinical Trial Partnership (EDCTP), grant number DRIA2014-309 and its co-</w:t>
      </w:r>
      <w:proofErr w:type="spellStart"/>
      <w:r w:rsidR="000A607D" w:rsidRPr="003B7DD5">
        <w:rPr>
          <w:color w:val="auto"/>
        </w:rPr>
        <w:t>funders</w:t>
      </w:r>
      <w:proofErr w:type="spellEnd"/>
      <w:r w:rsidR="000A607D" w:rsidRPr="003B7DD5">
        <w:rPr>
          <w:color w:val="auto"/>
        </w:rPr>
        <w:t xml:space="preserve"> (Medical Research Council (MRC) UK and Instituto de </w:t>
      </w:r>
      <w:proofErr w:type="spellStart"/>
      <w:r w:rsidR="000A607D" w:rsidRPr="003B7DD5">
        <w:rPr>
          <w:color w:val="auto"/>
        </w:rPr>
        <w:t>Salud</w:t>
      </w:r>
      <w:proofErr w:type="spellEnd"/>
      <w:r w:rsidR="000A607D" w:rsidRPr="003B7DD5">
        <w:rPr>
          <w:color w:val="auto"/>
        </w:rPr>
        <w:t xml:space="preserve"> Carlos III – ISCIII Spain) and by a TB REACH award grant number CA-3-D000920001 (https://w05.international.gc.ca/projectbrowser-banqueprojets/projectprojet/details/d000920001). Funders were not involved in the design, </w:t>
      </w:r>
      <w:proofErr w:type="gramStart"/>
      <w:r w:rsidR="000A607D" w:rsidRPr="003B7DD5">
        <w:rPr>
          <w:color w:val="auto"/>
        </w:rPr>
        <w:t>execution</w:t>
      </w:r>
      <w:proofErr w:type="gramEnd"/>
      <w:r w:rsidR="000A607D" w:rsidRPr="003B7DD5">
        <w:rPr>
          <w:color w:val="auto"/>
        </w:rPr>
        <w:t xml:space="preserve"> and interpretation of data.</w:t>
      </w:r>
    </w:p>
    <w:p w14:paraId="7EA7E872" w14:textId="77777777" w:rsidR="00FE6943" w:rsidRPr="003B7DD5" w:rsidRDefault="00FE6943" w:rsidP="003B7DD5">
      <w:pPr>
        <w:pStyle w:val="MDPI62BackMatter"/>
        <w:ind w:left="0"/>
        <w:rPr>
          <w:color w:val="auto"/>
        </w:rPr>
      </w:pPr>
      <w:r w:rsidRPr="003B7DD5">
        <w:rPr>
          <w:b/>
          <w:color w:val="auto"/>
        </w:rPr>
        <w:t>Conflicts of Interest:</w:t>
      </w:r>
      <w:r w:rsidRPr="003B7DD5">
        <w:rPr>
          <w:color w:val="auto"/>
        </w:rPr>
        <w:t xml:space="preserve"> </w:t>
      </w:r>
      <w:r w:rsidR="000A607D" w:rsidRPr="003B7DD5">
        <w:rPr>
          <w:color w:val="auto"/>
        </w:rPr>
        <w:t>The authors have no conflicts of interest to declare.</w:t>
      </w:r>
    </w:p>
    <w:p w14:paraId="02955070" w14:textId="77777777" w:rsidR="003B7DD5" w:rsidRPr="003B7DD5" w:rsidRDefault="003B7DD5">
      <w:pPr>
        <w:spacing w:line="240" w:lineRule="auto"/>
        <w:jc w:val="left"/>
        <w:rPr>
          <w:b/>
          <w:bCs/>
          <w:noProof w:val="0"/>
          <w:color w:val="auto"/>
          <w:szCs w:val="18"/>
          <w:lang w:bidi="en-US"/>
        </w:rPr>
      </w:pPr>
      <w:r w:rsidRPr="003B7DD5">
        <w:rPr>
          <w:b/>
          <w:bCs/>
          <w:noProof w:val="0"/>
          <w:color w:val="auto"/>
          <w:szCs w:val="18"/>
          <w:lang w:bidi="en-US"/>
        </w:rPr>
        <w:br w:type="page"/>
      </w:r>
    </w:p>
    <w:p w14:paraId="0A8D5873" w14:textId="71270FC8" w:rsidR="00FE6943" w:rsidRPr="003B7DD5" w:rsidRDefault="00FE6943" w:rsidP="003B7DD5">
      <w:pPr>
        <w:adjustRightInd w:val="0"/>
        <w:snapToGrid w:val="0"/>
        <w:spacing w:before="240" w:after="60" w:line="228" w:lineRule="auto"/>
        <w:rPr>
          <w:b/>
          <w:bCs/>
          <w:noProof w:val="0"/>
          <w:color w:val="auto"/>
          <w:szCs w:val="18"/>
          <w:lang w:bidi="en-US"/>
        </w:rPr>
      </w:pPr>
      <w:r w:rsidRPr="003B7DD5">
        <w:rPr>
          <w:b/>
          <w:bCs/>
          <w:noProof w:val="0"/>
          <w:color w:val="auto"/>
          <w:szCs w:val="18"/>
          <w:lang w:bidi="en-US"/>
        </w:rPr>
        <w:lastRenderedPageBreak/>
        <w:t>Appendix A</w:t>
      </w:r>
    </w:p>
    <w:p w14:paraId="6B86F124" w14:textId="77777777" w:rsidR="00FE6943" w:rsidRPr="003B7DD5" w:rsidRDefault="00FE6943" w:rsidP="003B7DD5">
      <w:pPr>
        <w:pStyle w:val="MDPI31text"/>
        <w:ind w:left="0"/>
        <w:rPr>
          <w:color w:val="auto"/>
        </w:rPr>
      </w:pPr>
      <w:r w:rsidRPr="003B7DD5">
        <w:rPr>
          <w:color w:val="auto"/>
        </w:rPr>
        <w:t>The appendix is an optional section that can contain details and data supplemental to the main text</w:t>
      </w:r>
      <w:r w:rsidR="00C06920" w:rsidRPr="003B7DD5">
        <w:rPr>
          <w:color w:val="auto"/>
        </w:rPr>
        <w:t xml:space="preserve">—for example, explanations of experimental </w:t>
      </w:r>
      <w:r w:rsidR="00AB2F7D" w:rsidRPr="003B7DD5">
        <w:rPr>
          <w:color w:val="auto"/>
        </w:rPr>
        <w:t>details that would disrupt the flow of the main text</w:t>
      </w:r>
      <w:r w:rsidRPr="003B7DD5">
        <w:rPr>
          <w:color w:val="auto"/>
        </w:rP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2DDE937" w14:textId="77777777" w:rsidR="00FE6943" w:rsidRPr="003B7DD5" w:rsidRDefault="00FE6943" w:rsidP="003B7DD5">
      <w:pPr>
        <w:adjustRightInd w:val="0"/>
        <w:snapToGrid w:val="0"/>
        <w:spacing w:before="240" w:after="60" w:line="228" w:lineRule="auto"/>
        <w:rPr>
          <w:b/>
          <w:bCs/>
          <w:noProof w:val="0"/>
          <w:color w:val="auto"/>
          <w:szCs w:val="18"/>
          <w:lang w:bidi="en-US"/>
        </w:rPr>
      </w:pPr>
      <w:r w:rsidRPr="003B7DD5">
        <w:rPr>
          <w:b/>
          <w:bCs/>
          <w:noProof w:val="0"/>
          <w:color w:val="auto"/>
          <w:szCs w:val="18"/>
          <w:lang w:bidi="en-US"/>
        </w:rPr>
        <w:t>Appendix B</w:t>
      </w:r>
    </w:p>
    <w:p w14:paraId="0648B5A1" w14:textId="77777777" w:rsidR="00FE6943" w:rsidRPr="003B7DD5" w:rsidRDefault="00FE6943" w:rsidP="003B7DD5">
      <w:pPr>
        <w:pStyle w:val="MDPI31text"/>
        <w:ind w:left="0"/>
        <w:rPr>
          <w:color w:val="auto"/>
        </w:rPr>
      </w:pPr>
      <w:r w:rsidRPr="003B7DD5">
        <w:rPr>
          <w:color w:val="auto"/>
        </w:rPr>
        <w:t xml:space="preserve">All appendix sections must </w:t>
      </w:r>
      <w:r w:rsidR="00AB2F7D" w:rsidRPr="003B7DD5">
        <w:rPr>
          <w:color w:val="auto"/>
        </w:rPr>
        <w:t>be cited in the main text. In the appendices, Figures, Tables, etc. should be labeled starting with “A”—e.g., Figure A1, Figure A2, etc.</w:t>
      </w:r>
    </w:p>
    <w:p w14:paraId="2E6CA261" w14:textId="77777777" w:rsidR="00FE6943" w:rsidRPr="003B7DD5" w:rsidRDefault="00FE6943" w:rsidP="001A6175">
      <w:pPr>
        <w:pStyle w:val="MDPI21heading1"/>
        <w:ind w:left="0"/>
        <w:rPr>
          <w:color w:val="auto"/>
        </w:rPr>
      </w:pPr>
      <w:r w:rsidRPr="003B7DD5">
        <w:rPr>
          <w:color w:val="auto"/>
        </w:rPr>
        <w:t>References</w:t>
      </w:r>
    </w:p>
    <w:p w14:paraId="189E2241" w14:textId="77777777" w:rsidR="001A6175" w:rsidRPr="003B7DD5" w:rsidRDefault="001A6175" w:rsidP="001A6175">
      <w:pPr>
        <w:pStyle w:val="MDPI71References"/>
        <w:numPr>
          <w:ilvl w:val="0"/>
          <w:numId w:val="18"/>
        </w:numPr>
        <w:rPr>
          <w:noProof/>
          <w:color w:val="auto"/>
        </w:rPr>
      </w:pPr>
      <w:r w:rsidRPr="003B7DD5">
        <w:rPr>
          <w:noProof/>
          <w:color w:val="auto"/>
        </w:rPr>
        <w:t xml:space="preserve">World Health Organization </w:t>
      </w:r>
      <w:r w:rsidRPr="003B7DD5">
        <w:rPr>
          <w:i/>
          <w:iCs/>
          <w:noProof/>
          <w:color w:val="auto"/>
        </w:rPr>
        <w:t>Global Tuberculsis Report 2019</w:t>
      </w:r>
      <w:r w:rsidRPr="003B7DD5">
        <w:rPr>
          <w:noProof/>
          <w:color w:val="auto"/>
        </w:rPr>
        <w:t>; Geneva, 2019;</w:t>
      </w:r>
    </w:p>
    <w:p w14:paraId="0594E83D" w14:textId="77777777" w:rsidR="001A6175" w:rsidRPr="003B7DD5" w:rsidRDefault="001A6175" w:rsidP="001A6175">
      <w:pPr>
        <w:pStyle w:val="MDPI71References"/>
        <w:numPr>
          <w:ilvl w:val="0"/>
          <w:numId w:val="18"/>
        </w:numPr>
        <w:rPr>
          <w:noProof/>
          <w:color w:val="auto"/>
        </w:rPr>
      </w:pPr>
      <w:r w:rsidRPr="003B7DD5">
        <w:rPr>
          <w:noProof/>
          <w:color w:val="auto"/>
        </w:rPr>
        <w:t xml:space="preserve">Lawn, S.D.; Mwaba, P.; Bates, M.; Piatek, A.; Alexander, H.; Marais, B.J.; Cuevas, L.E.; McHugh, T.D.; Zijenah, L.; Kapata, N.; et al. Advances in tuberculosis diagnostics: The Xpert MTB/RIF assay and future prospects for a point-of-care test. </w:t>
      </w:r>
      <w:r w:rsidRPr="003B7DD5">
        <w:rPr>
          <w:i/>
          <w:iCs/>
          <w:noProof/>
          <w:color w:val="auto"/>
        </w:rPr>
        <w:t>Lancet Infect. Dis.</w:t>
      </w:r>
      <w:r w:rsidRPr="003B7DD5">
        <w:rPr>
          <w:noProof/>
          <w:color w:val="auto"/>
        </w:rPr>
        <w:t xml:space="preserve"> </w:t>
      </w:r>
      <w:r w:rsidRPr="003B7DD5">
        <w:rPr>
          <w:b/>
          <w:bCs/>
          <w:noProof/>
          <w:color w:val="auto"/>
        </w:rPr>
        <w:t>2013</w:t>
      </w:r>
      <w:r w:rsidRPr="003B7DD5">
        <w:rPr>
          <w:noProof/>
          <w:color w:val="auto"/>
        </w:rPr>
        <w:t xml:space="preserve">, </w:t>
      </w:r>
      <w:r w:rsidRPr="003B7DD5">
        <w:rPr>
          <w:i/>
          <w:iCs/>
          <w:noProof/>
          <w:color w:val="auto"/>
        </w:rPr>
        <w:t>13</w:t>
      </w:r>
      <w:r w:rsidRPr="003B7DD5">
        <w:rPr>
          <w:noProof/>
          <w:color w:val="auto"/>
        </w:rPr>
        <w:t>, 349–361, doi:10.1016/S1473-3099(13)70008-2.</w:t>
      </w:r>
    </w:p>
    <w:p w14:paraId="3C9E30B8" w14:textId="77777777" w:rsidR="001A6175" w:rsidRPr="003B7DD5" w:rsidRDefault="001A6175" w:rsidP="001A6175">
      <w:pPr>
        <w:pStyle w:val="MDPI71References"/>
        <w:numPr>
          <w:ilvl w:val="0"/>
          <w:numId w:val="18"/>
        </w:numPr>
        <w:rPr>
          <w:noProof/>
          <w:color w:val="auto"/>
        </w:rPr>
      </w:pPr>
      <w:r w:rsidRPr="003B7DD5">
        <w:rPr>
          <w:noProof/>
          <w:color w:val="auto"/>
        </w:rPr>
        <w:t xml:space="preserve">Oga-Omenka, C.; Tseja-Akinrin, A.; Sen, P.; Mac-Seing, M.; Agbaje, A.; Menzies, D.; Zarowsky, C. Factors influencing diagnosis and treatment initiation for multidrug-resistant/rifampicin-resistant tuberculosis in six sub-Saharan African countries: A mixed-methods systematic review. </w:t>
      </w:r>
      <w:r w:rsidRPr="003B7DD5">
        <w:rPr>
          <w:i/>
          <w:iCs/>
          <w:noProof/>
          <w:color w:val="auto"/>
        </w:rPr>
        <w:t>BMJ Glob. Heal.</w:t>
      </w:r>
      <w:r w:rsidRPr="003B7DD5">
        <w:rPr>
          <w:noProof/>
          <w:color w:val="auto"/>
        </w:rPr>
        <w:t xml:space="preserve"> 2020, </w:t>
      </w:r>
      <w:r w:rsidRPr="003B7DD5">
        <w:rPr>
          <w:i/>
          <w:iCs/>
          <w:noProof/>
          <w:color w:val="auto"/>
        </w:rPr>
        <w:t>5</w:t>
      </w:r>
      <w:r w:rsidRPr="003B7DD5">
        <w:rPr>
          <w:noProof/>
          <w:color w:val="auto"/>
        </w:rPr>
        <w:t>, 2280.</w:t>
      </w:r>
    </w:p>
    <w:p w14:paraId="1BBFE467" w14:textId="77777777" w:rsidR="001A6175" w:rsidRPr="003B7DD5" w:rsidRDefault="001A6175" w:rsidP="001A6175">
      <w:pPr>
        <w:pStyle w:val="MDPI71References"/>
        <w:numPr>
          <w:ilvl w:val="0"/>
          <w:numId w:val="18"/>
        </w:numPr>
        <w:rPr>
          <w:noProof/>
          <w:color w:val="auto"/>
        </w:rPr>
      </w:pPr>
      <w:r w:rsidRPr="003B7DD5">
        <w:rPr>
          <w:noProof/>
          <w:color w:val="auto"/>
        </w:rPr>
        <w:t xml:space="preserve">Dorman, S.E.; Schumacher, S.G.; Alland, D.; Nabeta, P.; Armstrong, D.T.; King, B.; Hall, S.L.; Chakravorty, S.; Cirillo, D.M.; Tukvadze, N.; et al. Xpert MTB/RIF Ultra for detection of Mycobacterium tuberculosis and rifampicin resistance: a prospective multicentre diagnostic accuracy study. </w:t>
      </w:r>
      <w:r w:rsidRPr="003B7DD5">
        <w:rPr>
          <w:i/>
          <w:iCs/>
          <w:noProof/>
          <w:color w:val="auto"/>
        </w:rPr>
        <w:t>Lancet Infect. Dis.</w:t>
      </w:r>
      <w:r w:rsidRPr="003B7DD5">
        <w:rPr>
          <w:noProof/>
          <w:color w:val="auto"/>
        </w:rPr>
        <w:t xml:space="preserve"> </w:t>
      </w:r>
      <w:r w:rsidRPr="003B7DD5">
        <w:rPr>
          <w:b/>
          <w:bCs/>
          <w:noProof/>
          <w:color w:val="auto"/>
        </w:rPr>
        <w:t>2018</w:t>
      </w:r>
      <w:r w:rsidRPr="003B7DD5">
        <w:rPr>
          <w:noProof/>
          <w:color w:val="auto"/>
        </w:rPr>
        <w:t xml:space="preserve">, </w:t>
      </w:r>
      <w:r w:rsidRPr="003B7DD5">
        <w:rPr>
          <w:i/>
          <w:iCs/>
          <w:noProof/>
          <w:color w:val="auto"/>
        </w:rPr>
        <w:t>18</w:t>
      </w:r>
      <w:r w:rsidRPr="003B7DD5">
        <w:rPr>
          <w:noProof/>
          <w:color w:val="auto"/>
        </w:rPr>
        <w:t>, 76–84, doi:10.1016/S1473-3099(17)30691-6.</w:t>
      </w:r>
    </w:p>
    <w:p w14:paraId="2BAA09ED" w14:textId="77777777" w:rsidR="001A6175" w:rsidRPr="003B7DD5" w:rsidRDefault="001A6175" w:rsidP="001A6175">
      <w:pPr>
        <w:pStyle w:val="MDPI71References"/>
        <w:numPr>
          <w:ilvl w:val="0"/>
          <w:numId w:val="18"/>
        </w:numPr>
        <w:rPr>
          <w:noProof/>
          <w:color w:val="auto"/>
        </w:rPr>
      </w:pPr>
      <w:r w:rsidRPr="003B7DD5">
        <w:rPr>
          <w:noProof/>
          <w:color w:val="auto"/>
        </w:rPr>
        <w:t>Walzl, G.; Mcnerney, R.; Plessis, N.; Bates, M.; Mchugh, T.D.; Chegou, N.N.; Zumla, A. Series Tuberculosis 2 Tuberculosis</w:t>
      </w:r>
      <w:r w:rsidRPr="003B7DD5">
        <w:rPr>
          <w:rFonts w:ascii="Times New Roman" w:hAnsi="Times New Roman"/>
          <w:noProof/>
          <w:color w:val="auto"/>
        </w:rPr>
        <w:t> </w:t>
      </w:r>
      <w:r w:rsidRPr="003B7DD5">
        <w:rPr>
          <w:noProof/>
          <w:color w:val="auto"/>
        </w:rPr>
        <w:t xml:space="preserve">: advances and challenges in development of new diagnostics and biomarkers. </w:t>
      </w:r>
      <w:r w:rsidRPr="003B7DD5">
        <w:rPr>
          <w:i/>
          <w:iCs/>
          <w:noProof/>
          <w:color w:val="auto"/>
        </w:rPr>
        <w:t>Lancet Infect. Dis.</w:t>
      </w:r>
      <w:r w:rsidRPr="003B7DD5">
        <w:rPr>
          <w:noProof/>
          <w:color w:val="auto"/>
        </w:rPr>
        <w:t xml:space="preserve"> </w:t>
      </w:r>
      <w:r w:rsidRPr="003B7DD5">
        <w:rPr>
          <w:b/>
          <w:bCs/>
          <w:noProof/>
          <w:color w:val="auto"/>
        </w:rPr>
        <w:t>2018</w:t>
      </w:r>
      <w:r w:rsidRPr="003B7DD5">
        <w:rPr>
          <w:noProof/>
          <w:color w:val="auto"/>
        </w:rPr>
        <w:t xml:space="preserve">, </w:t>
      </w:r>
      <w:r w:rsidRPr="003B7DD5">
        <w:rPr>
          <w:i/>
          <w:iCs/>
          <w:noProof/>
          <w:color w:val="auto"/>
        </w:rPr>
        <w:t>3099</w:t>
      </w:r>
      <w:r w:rsidRPr="003B7DD5">
        <w:rPr>
          <w:noProof/>
          <w:color w:val="auto"/>
        </w:rPr>
        <w:t>, 1–12, doi:10.1016/S1473-3099(18)30111-7.</w:t>
      </w:r>
    </w:p>
    <w:p w14:paraId="354BA004" w14:textId="77777777" w:rsidR="001A6175" w:rsidRPr="003B7DD5" w:rsidRDefault="001A6175" w:rsidP="001A6175">
      <w:pPr>
        <w:pStyle w:val="MDPI71References"/>
        <w:numPr>
          <w:ilvl w:val="0"/>
          <w:numId w:val="18"/>
        </w:numPr>
        <w:rPr>
          <w:noProof/>
          <w:color w:val="auto"/>
        </w:rPr>
      </w:pPr>
      <w:r w:rsidRPr="003B7DD5">
        <w:rPr>
          <w:noProof/>
          <w:color w:val="auto"/>
        </w:rPr>
        <w:t xml:space="preserve">Detjen, A.K.; McKenna, L.; Graham, S.M.; Marais, B.J.; Amanullah, F. The upcoming UN general assembly resolution on tuberculosis must also benefit children. </w:t>
      </w:r>
      <w:r w:rsidRPr="003B7DD5">
        <w:rPr>
          <w:i/>
          <w:iCs/>
          <w:noProof/>
          <w:color w:val="auto"/>
        </w:rPr>
        <w:t>Lancet Glob. Heal.</w:t>
      </w:r>
      <w:r w:rsidRPr="003B7DD5">
        <w:rPr>
          <w:noProof/>
          <w:color w:val="auto"/>
        </w:rPr>
        <w:t xml:space="preserve"> 2018, </w:t>
      </w:r>
      <w:r w:rsidRPr="003B7DD5">
        <w:rPr>
          <w:i/>
          <w:iCs/>
          <w:noProof/>
          <w:color w:val="auto"/>
        </w:rPr>
        <w:t>6</w:t>
      </w:r>
      <w:r w:rsidRPr="003B7DD5">
        <w:rPr>
          <w:noProof/>
          <w:color w:val="auto"/>
        </w:rPr>
        <w:t>, e485–e486.</w:t>
      </w:r>
    </w:p>
    <w:p w14:paraId="314687E7" w14:textId="77777777" w:rsidR="001A6175" w:rsidRPr="003B7DD5" w:rsidRDefault="001A6175" w:rsidP="001A6175">
      <w:pPr>
        <w:pStyle w:val="MDPI71References"/>
        <w:numPr>
          <w:ilvl w:val="0"/>
          <w:numId w:val="18"/>
        </w:numPr>
        <w:rPr>
          <w:noProof/>
          <w:color w:val="auto"/>
        </w:rPr>
      </w:pPr>
      <w:r w:rsidRPr="003B7DD5">
        <w:rPr>
          <w:noProof/>
          <w:color w:val="auto"/>
        </w:rPr>
        <w:t xml:space="preserve">Sigal, G.B.; Pinter, A.; Lowary, T.L.; Kawasaki, M.; Li, A.; Mathew, A.; Tsionsky, M.; Zheng, R.B.; Plisova, T.; Shen, K.; et al. A novel sensitive immunoassay targeting the 5-methylthio-D- xylofuranose–lipoarabinomannan epitope meets the WHO’s performance target for tuberculosis diagnosis. </w:t>
      </w:r>
      <w:r w:rsidRPr="003B7DD5">
        <w:rPr>
          <w:i/>
          <w:iCs/>
          <w:noProof/>
          <w:color w:val="auto"/>
        </w:rPr>
        <w:t>J. Clin. Microbiol.</w:t>
      </w:r>
      <w:r w:rsidRPr="003B7DD5">
        <w:rPr>
          <w:noProof/>
          <w:color w:val="auto"/>
        </w:rPr>
        <w:t xml:space="preserve"> </w:t>
      </w:r>
      <w:r w:rsidRPr="003B7DD5">
        <w:rPr>
          <w:b/>
          <w:bCs/>
          <w:noProof/>
          <w:color w:val="auto"/>
        </w:rPr>
        <w:t>2018</w:t>
      </w:r>
      <w:r w:rsidRPr="003B7DD5">
        <w:rPr>
          <w:noProof/>
          <w:color w:val="auto"/>
        </w:rPr>
        <w:t xml:space="preserve">, </w:t>
      </w:r>
      <w:r w:rsidRPr="003B7DD5">
        <w:rPr>
          <w:i/>
          <w:iCs/>
          <w:noProof/>
          <w:color w:val="auto"/>
        </w:rPr>
        <w:t>56</w:t>
      </w:r>
      <w:r w:rsidRPr="003B7DD5">
        <w:rPr>
          <w:noProof/>
          <w:color w:val="auto"/>
        </w:rPr>
        <w:t>, 1–17, doi:10.1128/JCM.01338-18.</w:t>
      </w:r>
    </w:p>
    <w:p w14:paraId="79D88992" w14:textId="77777777" w:rsidR="001A6175" w:rsidRPr="003B7DD5" w:rsidRDefault="001A6175" w:rsidP="001A6175">
      <w:pPr>
        <w:pStyle w:val="MDPI71References"/>
        <w:numPr>
          <w:ilvl w:val="0"/>
          <w:numId w:val="18"/>
        </w:numPr>
        <w:rPr>
          <w:noProof/>
          <w:color w:val="auto"/>
        </w:rPr>
      </w:pPr>
      <w:r w:rsidRPr="003B7DD5">
        <w:rPr>
          <w:noProof/>
          <w:color w:val="auto"/>
        </w:rPr>
        <w:t xml:space="preserve">Marian E. Parker Complement Fixation with Urine in Tuberculosis. </w:t>
      </w:r>
      <w:r w:rsidRPr="003B7DD5">
        <w:rPr>
          <w:i/>
          <w:iCs/>
          <w:noProof/>
          <w:color w:val="auto"/>
        </w:rPr>
        <w:t>Am. Rev. Tuberc.</w:t>
      </w:r>
      <w:r w:rsidRPr="003B7DD5">
        <w:rPr>
          <w:noProof/>
          <w:color w:val="auto"/>
        </w:rPr>
        <w:t xml:space="preserve"> </w:t>
      </w:r>
      <w:r w:rsidRPr="003B7DD5">
        <w:rPr>
          <w:b/>
          <w:bCs/>
          <w:noProof/>
          <w:color w:val="auto"/>
        </w:rPr>
        <w:t>1931</w:t>
      </w:r>
      <w:r w:rsidRPr="003B7DD5">
        <w:rPr>
          <w:noProof/>
          <w:color w:val="auto"/>
        </w:rPr>
        <w:t xml:space="preserve">, </w:t>
      </w:r>
      <w:r w:rsidRPr="003B7DD5">
        <w:rPr>
          <w:i/>
          <w:iCs/>
          <w:noProof/>
          <w:color w:val="auto"/>
        </w:rPr>
        <w:t>23</w:t>
      </w:r>
      <w:r w:rsidRPr="003B7DD5">
        <w:rPr>
          <w:noProof/>
          <w:color w:val="auto"/>
        </w:rPr>
        <w:t>, 733–738.</w:t>
      </w:r>
    </w:p>
    <w:p w14:paraId="0322B262" w14:textId="77777777" w:rsidR="001A6175" w:rsidRPr="003B7DD5" w:rsidRDefault="001A6175" w:rsidP="001A6175">
      <w:pPr>
        <w:pStyle w:val="MDPI71References"/>
        <w:numPr>
          <w:ilvl w:val="0"/>
          <w:numId w:val="18"/>
        </w:numPr>
        <w:rPr>
          <w:noProof/>
          <w:color w:val="auto"/>
        </w:rPr>
      </w:pPr>
      <w:r w:rsidRPr="003B7DD5">
        <w:rPr>
          <w:noProof/>
          <w:color w:val="auto"/>
        </w:rPr>
        <w:t xml:space="preserve">World Health Organization. Lateral flow urine lipoarabinomannan assay (LF-LAM) for the diagnosis of active tuberculosis in people living with HIV. </w:t>
      </w:r>
      <w:r w:rsidRPr="003B7DD5">
        <w:rPr>
          <w:i/>
          <w:iCs/>
          <w:noProof/>
          <w:color w:val="auto"/>
        </w:rPr>
        <w:t>WHO</w:t>
      </w:r>
      <w:r w:rsidRPr="003B7DD5">
        <w:rPr>
          <w:noProof/>
          <w:color w:val="auto"/>
        </w:rPr>
        <w:t xml:space="preserve"> </w:t>
      </w:r>
      <w:r w:rsidRPr="003B7DD5">
        <w:rPr>
          <w:b/>
          <w:bCs/>
          <w:noProof/>
          <w:color w:val="auto"/>
        </w:rPr>
        <w:t>2019</w:t>
      </w:r>
      <w:r w:rsidRPr="003B7DD5">
        <w:rPr>
          <w:noProof/>
          <w:color w:val="auto"/>
        </w:rPr>
        <w:t>, doi:CC BY-NC-SA 3.0 IGO.</w:t>
      </w:r>
    </w:p>
    <w:p w14:paraId="65221551" w14:textId="77777777" w:rsidR="001A6175" w:rsidRPr="003B7DD5" w:rsidRDefault="001A6175" w:rsidP="001A6175">
      <w:pPr>
        <w:pStyle w:val="MDPI71References"/>
        <w:numPr>
          <w:ilvl w:val="0"/>
          <w:numId w:val="18"/>
        </w:numPr>
        <w:rPr>
          <w:noProof/>
          <w:color w:val="auto"/>
        </w:rPr>
      </w:pPr>
      <w:r w:rsidRPr="003B7DD5">
        <w:rPr>
          <w:noProof/>
          <w:color w:val="auto"/>
        </w:rPr>
        <w:t xml:space="preserve">Kerkhoff, A.D.; Sossen, B.; Schutz, C.; Reipold, E.I.; Trollip, A.; Moreau, E.; Schumacher, S.G.; Burton, R.; Ward, A.; Nicol, M.P.; et al. Diagnostic sensitivity of SILVAMP TB-LAM (FujiLAM) point-of-care urine assay for extra-pulmonary tuberculosis in people living with HIV. </w:t>
      </w:r>
      <w:r w:rsidRPr="003B7DD5">
        <w:rPr>
          <w:i/>
          <w:iCs/>
          <w:noProof/>
          <w:color w:val="auto"/>
        </w:rPr>
        <w:t>Eur. Respir. J.</w:t>
      </w:r>
      <w:r w:rsidRPr="003B7DD5">
        <w:rPr>
          <w:noProof/>
          <w:color w:val="auto"/>
        </w:rPr>
        <w:t xml:space="preserve"> </w:t>
      </w:r>
      <w:r w:rsidRPr="003B7DD5">
        <w:rPr>
          <w:b/>
          <w:bCs/>
          <w:noProof/>
          <w:color w:val="auto"/>
        </w:rPr>
        <w:t>2020</w:t>
      </w:r>
      <w:r w:rsidRPr="003B7DD5">
        <w:rPr>
          <w:noProof/>
          <w:color w:val="auto"/>
        </w:rPr>
        <w:t xml:space="preserve">, </w:t>
      </w:r>
      <w:r w:rsidRPr="003B7DD5">
        <w:rPr>
          <w:i/>
          <w:iCs/>
          <w:noProof/>
          <w:color w:val="auto"/>
        </w:rPr>
        <w:t>55</w:t>
      </w:r>
      <w:r w:rsidRPr="003B7DD5">
        <w:rPr>
          <w:noProof/>
          <w:color w:val="auto"/>
        </w:rPr>
        <w:t>, 1901259, doi:10.1183/13993003.01259-2019.</w:t>
      </w:r>
    </w:p>
    <w:p w14:paraId="6798BBB6" w14:textId="77777777" w:rsidR="001A6175" w:rsidRPr="003B7DD5" w:rsidRDefault="001A6175" w:rsidP="001A6175">
      <w:pPr>
        <w:pStyle w:val="MDPI71References"/>
        <w:numPr>
          <w:ilvl w:val="0"/>
          <w:numId w:val="18"/>
        </w:numPr>
        <w:rPr>
          <w:noProof/>
          <w:color w:val="auto"/>
        </w:rPr>
      </w:pPr>
      <w:r w:rsidRPr="003B7DD5">
        <w:rPr>
          <w:noProof/>
          <w:color w:val="auto"/>
        </w:rPr>
        <w:t xml:space="preserve">Broger, T.; Sossen, B.; du Toit, E.; Kerkhoff, A.D.; Schutz, C.; Ivanova Reipold, E.; Ward, A.; Barr, D.A.; Macé, A.; Trollip, A.; et al. Novel lipoarabinomannan point-of-care tuberculosis test for people with HIV: a diagnostic accuracy study. </w:t>
      </w:r>
      <w:r w:rsidRPr="003B7DD5">
        <w:rPr>
          <w:i/>
          <w:iCs/>
          <w:noProof/>
          <w:color w:val="auto"/>
        </w:rPr>
        <w:t>Lancet Infect. Dis.</w:t>
      </w:r>
      <w:r w:rsidRPr="003B7DD5">
        <w:rPr>
          <w:noProof/>
          <w:color w:val="auto"/>
        </w:rPr>
        <w:t xml:space="preserve"> </w:t>
      </w:r>
      <w:r w:rsidRPr="003B7DD5">
        <w:rPr>
          <w:b/>
          <w:bCs/>
          <w:noProof/>
          <w:color w:val="auto"/>
        </w:rPr>
        <w:t>2019</w:t>
      </w:r>
      <w:r w:rsidRPr="003B7DD5">
        <w:rPr>
          <w:noProof/>
          <w:color w:val="auto"/>
        </w:rPr>
        <w:t xml:space="preserve">, </w:t>
      </w:r>
      <w:r w:rsidRPr="003B7DD5">
        <w:rPr>
          <w:i/>
          <w:iCs/>
          <w:noProof/>
          <w:color w:val="auto"/>
        </w:rPr>
        <w:t>19</w:t>
      </w:r>
      <w:r w:rsidRPr="003B7DD5">
        <w:rPr>
          <w:noProof/>
          <w:color w:val="auto"/>
        </w:rPr>
        <w:t>, 852–861, doi:10.1016/S1473-3099(19)30001-5.</w:t>
      </w:r>
    </w:p>
    <w:p w14:paraId="69662C8D" w14:textId="77777777" w:rsidR="001A6175" w:rsidRPr="003B7DD5" w:rsidRDefault="001A6175" w:rsidP="001A6175">
      <w:pPr>
        <w:pStyle w:val="MDPI71References"/>
        <w:numPr>
          <w:ilvl w:val="0"/>
          <w:numId w:val="18"/>
        </w:numPr>
        <w:rPr>
          <w:noProof/>
          <w:color w:val="auto"/>
        </w:rPr>
      </w:pPr>
      <w:r w:rsidRPr="003B7DD5">
        <w:rPr>
          <w:noProof/>
          <w:color w:val="auto"/>
        </w:rPr>
        <w:t xml:space="preserve">World Health Organization. Who revised definitions and reporting framework for tuberculosis. </w:t>
      </w:r>
      <w:r w:rsidRPr="003B7DD5">
        <w:rPr>
          <w:i/>
          <w:iCs/>
          <w:noProof/>
          <w:color w:val="auto"/>
        </w:rPr>
        <w:t>WHO</w:t>
      </w:r>
      <w:r w:rsidRPr="003B7DD5">
        <w:rPr>
          <w:noProof/>
          <w:color w:val="auto"/>
        </w:rPr>
        <w:t xml:space="preserve"> </w:t>
      </w:r>
      <w:r w:rsidRPr="003B7DD5">
        <w:rPr>
          <w:b/>
          <w:bCs/>
          <w:noProof/>
          <w:color w:val="auto"/>
        </w:rPr>
        <w:t>2013</w:t>
      </w:r>
      <w:r w:rsidRPr="003B7DD5">
        <w:rPr>
          <w:noProof/>
          <w:color w:val="auto"/>
        </w:rPr>
        <w:t xml:space="preserve">, </w:t>
      </w:r>
      <w:r w:rsidRPr="003B7DD5">
        <w:rPr>
          <w:i/>
          <w:iCs/>
          <w:noProof/>
          <w:color w:val="auto"/>
        </w:rPr>
        <w:t>18</w:t>
      </w:r>
      <w:r w:rsidRPr="003B7DD5">
        <w:rPr>
          <w:noProof/>
          <w:color w:val="auto"/>
        </w:rPr>
        <w:t>, 1–47, doi:10.2807/ese.18.16.20455-en.</w:t>
      </w:r>
    </w:p>
    <w:p w14:paraId="0FC80B98" w14:textId="77777777" w:rsidR="001A6175" w:rsidRPr="003B7DD5" w:rsidRDefault="001A6175" w:rsidP="001A6175">
      <w:pPr>
        <w:pStyle w:val="MDPI71References"/>
        <w:numPr>
          <w:ilvl w:val="0"/>
          <w:numId w:val="18"/>
        </w:numPr>
        <w:rPr>
          <w:noProof/>
          <w:color w:val="auto"/>
        </w:rPr>
      </w:pPr>
      <w:r w:rsidRPr="003B7DD5">
        <w:rPr>
          <w:noProof/>
          <w:color w:val="auto"/>
        </w:rPr>
        <w:t xml:space="preserve">Bjerrum S, Schiller I, Dendukuri N, Kohli M, Nathavitharana RR, Zwerling AA, Denkinger CM, Steingart KR, S.M. Lateral flow urine lipoarabinomannan assay for detecting active tuberculosis in people living with HIV. </w:t>
      </w:r>
      <w:r w:rsidRPr="003B7DD5">
        <w:rPr>
          <w:i/>
          <w:iCs/>
          <w:noProof/>
          <w:color w:val="auto"/>
        </w:rPr>
        <w:t>Cochrane Database Syst. Rev.</w:t>
      </w:r>
      <w:r w:rsidRPr="003B7DD5">
        <w:rPr>
          <w:noProof/>
          <w:color w:val="auto"/>
        </w:rPr>
        <w:t xml:space="preserve"> </w:t>
      </w:r>
      <w:r w:rsidRPr="003B7DD5">
        <w:rPr>
          <w:b/>
          <w:bCs/>
          <w:noProof/>
          <w:color w:val="auto"/>
        </w:rPr>
        <w:t>2019</w:t>
      </w:r>
      <w:r w:rsidRPr="003B7DD5">
        <w:rPr>
          <w:noProof/>
          <w:color w:val="auto"/>
        </w:rPr>
        <w:t xml:space="preserve">, </w:t>
      </w:r>
      <w:r w:rsidRPr="003B7DD5">
        <w:rPr>
          <w:i/>
          <w:iCs/>
          <w:noProof/>
          <w:color w:val="auto"/>
        </w:rPr>
        <w:t>CD011420</w:t>
      </w:r>
      <w:r w:rsidRPr="003B7DD5">
        <w:rPr>
          <w:noProof/>
          <w:color w:val="auto"/>
        </w:rPr>
        <w:t>, doi:10.1002/14651858.CD011420.pub3.</w:t>
      </w:r>
    </w:p>
    <w:p w14:paraId="08718F0E" w14:textId="77777777" w:rsidR="001A6175" w:rsidRPr="003B7DD5" w:rsidRDefault="001A6175" w:rsidP="001A6175">
      <w:pPr>
        <w:pStyle w:val="MDPI71References"/>
        <w:numPr>
          <w:ilvl w:val="0"/>
          <w:numId w:val="18"/>
        </w:numPr>
        <w:rPr>
          <w:noProof/>
          <w:color w:val="auto"/>
        </w:rPr>
      </w:pPr>
      <w:r w:rsidRPr="003B7DD5">
        <w:rPr>
          <w:noProof/>
          <w:color w:val="auto"/>
        </w:rPr>
        <w:t xml:space="preserve">Bjerrum, S.; Broger, T.; Székely, R.; Mitarai, S.; Opintan, J.A.; Kenu, E.; Lartey, M.; Addo, K.K.; Chikamatsu, K.; Macé, A.; et al. Diagnostic accuracy of a novel and rapid lipoarabinomannan test for diagnosing tuberculosis among people with human immunodeficiency virus. </w:t>
      </w:r>
      <w:r w:rsidRPr="003B7DD5">
        <w:rPr>
          <w:i/>
          <w:iCs/>
          <w:noProof/>
          <w:color w:val="auto"/>
        </w:rPr>
        <w:t>Open Forum Infect. Dis.</w:t>
      </w:r>
      <w:r w:rsidRPr="003B7DD5">
        <w:rPr>
          <w:noProof/>
          <w:color w:val="auto"/>
        </w:rPr>
        <w:t xml:space="preserve"> </w:t>
      </w:r>
      <w:r w:rsidRPr="003B7DD5">
        <w:rPr>
          <w:b/>
          <w:bCs/>
          <w:noProof/>
          <w:color w:val="auto"/>
        </w:rPr>
        <w:t>2020</w:t>
      </w:r>
      <w:r w:rsidRPr="003B7DD5">
        <w:rPr>
          <w:noProof/>
          <w:color w:val="auto"/>
        </w:rPr>
        <w:t xml:space="preserve">, </w:t>
      </w:r>
      <w:r w:rsidRPr="003B7DD5">
        <w:rPr>
          <w:i/>
          <w:iCs/>
          <w:noProof/>
          <w:color w:val="auto"/>
        </w:rPr>
        <w:t>7</w:t>
      </w:r>
      <w:r w:rsidRPr="003B7DD5">
        <w:rPr>
          <w:noProof/>
          <w:color w:val="auto"/>
        </w:rPr>
        <w:t>, doi:10.1093/ofid/ofz530.</w:t>
      </w:r>
    </w:p>
    <w:p w14:paraId="0789AE7B" w14:textId="77777777" w:rsidR="001A6175" w:rsidRPr="003B7DD5" w:rsidRDefault="001A6175" w:rsidP="001A6175">
      <w:pPr>
        <w:pStyle w:val="MDPI71References"/>
        <w:numPr>
          <w:ilvl w:val="0"/>
          <w:numId w:val="18"/>
        </w:numPr>
        <w:rPr>
          <w:noProof/>
          <w:color w:val="auto"/>
        </w:rPr>
      </w:pPr>
      <w:r w:rsidRPr="003B7DD5">
        <w:rPr>
          <w:noProof/>
          <w:color w:val="auto"/>
        </w:rPr>
        <w:t xml:space="preserve">Lawn, S.D.; Gupta-Wright, A. Detection of lipoarabinomannan (LAM) in urine is indicative of disseminated TB with renal involvement in patients living with hiv and advanced immunodeficiency: Evidence and implications. </w:t>
      </w:r>
      <w:r w:rsidRPr="003B7DD5">
        <w:rPr>
          <w:i/>
          <w:iCs/>
          <w:noProof/>
          <w:color w:val="auto"/>
        </w:rPr>
        <w:t>Trans. R. Soc. Trop. Med. Hyg.</w:t>
      </w:r>
      <w:r w:rsidRPr="003B7DD5">
        <w:rPr>
          <w:noProof/>
          <w:color w:val="auto"/>
        </w:rPr>
        <w:t xml:space="preserve"> </w:t>
      </w:r>
      <w:r w:rsidRPr="003B7DD5">
        <w:rPr>
          <w:b/>
          <w:bCs/>
          <w:noProof/>
          <w:color w:val="auto"/>
        </w:rPr>
        <w:t>2015</w:t>
      </w:r>
      <w:r w:rsidRPr="003B7DD5">
        <w:rPr>
          <w:noProof/>
          <w:color w:val="auto"/>
        </w:rPr>
        <w:t xml:space="preserve">, </w:t>
      </w:r>
      <w:r w:rsidRPr="003B7DD5">
        <w:rPr>
          <w:i/>
          <w:iCs/>
          <w:noProof/>
          <w:color w:val="auto"/>
        </w:rPr>
        <w:t>110</w:t>
      </w:r>
      <w:r w:rsidRPr="003B7DD5">
        <w:rPr>
          <w:noProof/>
          <w:color w:val="auto"/>
        </w:rPr>
        <w:t>, 180–185, doi:10.1093/trstmh/trw008.</w:t>
      </w:r>
    </w:p>
    <w:p w14:paraId="47F76678" w14:textId="77777777" w:rsidR="001A6175" w:rsidRPr="003B7DD5" w:rsidRDefault="001A6175" w:rsidP="001A6175">
      <w:pPr>
        <w:pStyle w:val="MDPI71References"/>
        <w:numPr>
          <w:ilvl w:val="0"/>
          <w:numId w:val="18"/>
        </w:numPr>
        <w:rPr>
          <w:noProof/>
          <w:color w:val="auto"/>
        </w:rPr>
      </w:pPr>
      <w:r w:rsidRPr="003B7DD5">
        <w:rPr>
          <w:noProof/>
          <w:color w:val="auto"/>
        </w:rPr>
        <w:t xml:space="preserve">Cox, J.A.; Lukande, R.L.; Kalungi, S.; Van Marck, E.; Van De Vijver, K.; Kambugu, A.; Nelson, A.M.; Colebunders, R.; Manabe, Y.C. Is urinary lipoarabinomannan the result of renal tuberculosis? Assessment of the renal histology in an autopsy cohort of ugandan HIV-infected adults. </w:t>
      </w:r>
      <w:r w:rsidRPr="003B7DD5">
        <w:rPr>
          <w:i/>
          <w:iCs/>
          <w:noProof/>
          <w:color w:val="auto"/>
        </w:rPr>
        <w:t>PLoS One</w:t>
      </w:r>
      <w:r w:rsidRPr="003B7DD5">
        <w:rPr>
          <w:noProof/>
          <w:color w:val="auto"/>
        </w:rPr>
        <w:t xml:space="preserve"> </w:t>
      </w:r>
      <w:r w:rsidRPr="003B7DD5">
        <w:rPr>
          <w:b/>
          <w:bCs/>
          <w:noProof/>
          <w:color w:val="auto"/>
        </w:rPr>
        <w:t>2015</w:t>
      </w:r>
      <w:r w:rsidRPr="003B7DD5">
        <w:rPr>
          <w:noProof/>
          <w:color w:val="auto"/>
        </w:rPr>
        <w:t xml:space="preserve">, </w:t>
      </w:r>
      <w:r w:rsidRPr="003B7DD5">
        <w:rPr>
          <w:i/>
          <w:iCs/>
          <w:noProof/>
          <w:color w:val="auto"/>
        </w:rPr>
        <w:t>10</w:t>
      </w:r>
      <w:r w:rsidRPr="003B7DD5">
        <w:rPr>
          <w:noProof/>
          <w:color w:val="auto"/>
        </w:rPr>
        <w:t>, doi:10.1371/journal.pone.0123323.</w:t>
      </w:r>
    </w:p>
    <w:p w14:paraId="7922F5DD" w14:textId="77777777" w:rsidR="001A6175" w:rsidRPr="003B7DD5" w:rsidRDefault="001A6175" w:rsidP="001A6175">
      <w:pPr>
        <w:pStyle w:val="MDPI71References"/>
        <w:numPr>
          <w:ilvl w:val="0"/>
          <w:numId w:val="18"/>
        </w:numPr>
        <w:rPr>
          <w:noProof/>
          <w:color w:val="auto"/>
        </w:rPr>
      </w:pPr>
      <w:r w:rsidRPr="003B7DD5">
        <w:rPr>
          <w:noProof/>
          <w:color w:val="auto"/>
        </w:rPr>
        <w:t xml:space="preserve">Paris, L.; Magni, R.; Zaidi, F.; Araujo, R.; Saini, N.; Harpole, M.; Coronel, J.; Kirwan, D.E.; Steinberg, H.; Gilman, R.H.; et al. Urine lipoarabinomannan glycan in HIV-negative patients with pulmonary tuberculosis correlates with disease severity. </w:t>
      </w:r>
      <w:r w:rsidRPr="003B7DD5">
        <w:rPr>
          <w:i/>
          <w:iCs/>
          <w:noProof/>
          <w:color w:val="auto"/>
        </w:rPr>
        <w:t>Sci. Transl. Med.</w:t>
      </w:r>
      <w:r w:rsidRPr="003B7DD5">
        <w:rPr>
          <w:noProof/>
          <w:color w:val="auto"/>
        </w:rPr>
        <w:t xml:space="preserve"> </w:t>
      </w:r>
      <w:r w:rsidRPr="003B7DD5">
        <w:rPr>
          <w:b/>
          <w:bCs/>
          <w:noProof/>
          <w:color w:val="auto"/>
        </w:rPr>
        <w:t>2017</w:t>
      </w:r>
      <w:r w:rsidRPr="003B7DD5">
        <w:rPr>
          <w:noProof/>
          <w:color w:val="auto"/>
        </w:rPr>
        <w:t xml:space="preserve">, </w:t>
      </w:r>
      <w:r w:rsidRPr="003B7DD5">
        <w:rPr>
          <w:i/>
          <w:iCs/>
          <w:noProof/>
          <w:color w:val="auto"/>
        </w:rPr>
        <w:t>9</w:t>
      </w:r>
      <w:r w:rsidRPr="003B7DD5">
        <w:rPr>
          <w:noProof/>
          <w:color w:val="auto"/>
        </w:rPr>
        <w:t>, doi:10.1126/scitranslmed.aal2807.</w:t>
      </w:r>
    </w:p>
    <w:p w14:paraId="4D3F0B2E" w14:textId="77777777" w:rsidR="001A6175" w:rsidRPr="003B7DD5" w:rsidRDefault="001A6175" w:rsidP="001A6175">
      <w:pPr>
        <w:pStyle w:val="MDPI71References"/>
        <w:numPr>
          <w:ilvl w:val="0"/>
          <w:numId w:val="18"/>
        </w:numPr>
        <w:rPr>
          <w:noProof/>
          <w:color w:val="auto"/>
        </w:rPr>
      </w:pPr>
      <w:r w:rsidRPr="003B7DD5">
        <w:rPr>
          <w:noProof/>
          <w:color w:val="auto"/>
        </w:rPr>
        <w:t xml:space="preserve">World Health Organization. High-priority target product profiles for new tuberculosis diagnostics: report of a consensus meeting. </w:t>
      </w:r>
      <w:r w:rsidRPr="003B7DD5">
        <w:rPr>
          <w:i/>
          <w:iCs/>
          <w:noProof/>
          <w:color w:val="auto"/>
        </w:rPr>
        <w:t>WHO</w:t>
      </w:r>
      <w:r w:rsidRPr="003B7DD5">
        <w:rPr>
          <w:noProof/>
          <w:color w:val="auto"/>
        </w:rPr>
        <w:t xml:space="preserve"> </w:t>
      </w:r>
      <w:r w:rsidRPr="003B7DD5">
        <w:rPr>
          <w:b/>
          <w:bCs/>
          <w:noProof/>
          <w:color w:val="auto"/>
        </w:rPr>
        <w:t>2014</w:t>
      </w:r>
      <w:r w:rsidRPr="003B7DD5">
        <w:rPr>
          <w:noProof/>
          <w:color w:val="auto"/>
        </w:rPr>
        <w:t>, 1–96.</w:t>
      </w:r>
    </w:p>
    <w:p w14:paraId="069CD322" w14:textId="77777777" w:rsidR="001A6175" w:rsidRPr="003B7DD5" w:rsidRDefault="001A6175" w:rsidP="001A6175">
      <w:pPr>
        <w:pStyle w:val="MDPI71References"/>
        <w:numPr>
          <w:ilvl w:val="0"/>
          <w:numId w:val="18"/>
        </w:numPr>
        <w:rPr>
          <w:noProof/>
          <w:color w:val="auto"/>
        </w:rPr>
      </w:pPr>
      <w:r w:rsidRPr="003B7DD5">
        <w:rPr>
          <w:noProof/>
          <w:color w:val="auto"/>
        </w:rPr>
        <w:lastRenderedPageBreak/>
        <w:t xml:space="preserve">Broger, T.; Nicol, M.P.; Sigal, G.B.; Gotuzzo, E.; Zimmer, A.J.; Surtie, S.; Caceres-Nakiche, T.; Mantsoki, A.; Reipold, E.I.; Székely, R.; et al. Diagnostic accuracy of 3 urine lipoarabinomannan tuberculosis assays in HIV-negative outpatients. </w:t>
      </w:r>
      <w:r w:rsidRPr="003B7DD5">
        <w:rPr>
          <w:i/>
          <w:iCs/>
          <w:noProof/>
          <w:color w:val="auto"/>
        </w:rPr>
        <w:t>J. Clin. Invest.</w:t>
      </w:r>
      <w:r w:rsidRPr="003B7DD5">
        <w:rPr>
          <w:noProof/>
          <w:color w:val="auto"/>
        </w:rPr>
        <w:t xml:space="preserve"> </w:t>
      </w:r>
      <w:r w:rsidRPr="003B7DD5">
        <w:rPr>
          <w:b/>
          <w:bCs/>
          <w:noProof/>
          <w:color w:val="auto"/>
        </w:rPr>
        <w:t>2020</w:t>
      </w:r>
      <w:r w:rsidRPr="003B7DD5">
        <w:rPr>
          <w:noProof/>
          <w:color w:val="auto"/>
        </w:rPr>
        <w:t xml:space="preserve">, </w:t>
      </w:r>
      <w:r w:rsidRPr="003B7DD5">
        <w:rPr>
          <w:i/>
          <w:iCs/>
          <w:noProof/>
          <w:color w:val="auto"/>
        </w:rPr>
        <w:t>130</w:t>
      </w:r>
      <w:r w:rsidRPr="003B7DD5">
        <w:rPr>
          <w:noProof/>
          <w:color w:val="auto"/>
        </w:rPr>
        <w:t>, 5756–5764, doi:10.1172/JCI140461.</w:t>
      </w:r>
    </w:p>
    <w:p w14:paraId="495C76A6" w14:textId="77777777" w:rsidR="001A6175" w:rsidRPr="003B7DD5" w:rsidRDefault="001A6175" w:rsidP="001A6175">
      <w:pPr>
        <w:pStyle w:val="MDPI71References"/>
        <w:numPr>
          <w:ilvl w:val="0"/>
          <w:numId w:val="18"/>
        </w:numPr>
        <w:rPr>
          <w:noProof/>
          <w:color w:val="auto"/>
        </w:rPr>
      </w:pPr>
      <w:r w:rsidRPr="003B7DD5">
        <w:rPr>
          <w:noProof/>
          <w:color w:val="auto"/>
        </w:rPr>
        <w:t xml:space="preserve">Drain, P.K.; Gardiner, J.; Hannah, H.; Broger, T.; Dheda, K.; Fielding, K.; Walzl, G.; Kaforou, M.; Kranzer, K.; Joosten, S.A.; et al. Guidance for Studies Evaluating the Accuracy of Biomarker-Based Nonsputum Tests to Diagnose Tuberculosis. </w:t>
      </w:r>
      <w:r w:rsidRPr="003B7DD5">
        <w:rPr>
          <w:i/>
          <w:iCs/>
          <w:noProof/>
          <w:color w:val="auto"/>
        </w:rPr>
        <w:t>J. Infect. Dis.</w:t>
      </w:r>
      <w:r w:rsidRPr="003B7DD5">
        <w:rPr>
          <w:noProof/>
          <w:color w:val="auto"/>
        </w:rPr>
        <w:t xml:space="preserve"> </w:t>
      </w:r>
      <w:r w:rsidRPr="003B7DD5">
        <w:rPr>
          <w:b/>
          <w:bCs/>
          <w:noProof/>
          <w:color w:val="auto"/>
        </w:rPr>
        <w:t>2019</w:t>
      </w:r>
      <w:r w:rsidRPr="003B7DD5">
        <w:rPr>
          <w:noProof/>
          <w:color w:val="auto"/>
        </w:rPr>
        <w:t xml:space="preserve">, </w:t>
      </w:r>
      <w:r w:rsidRPr="003B7DD5">
        <w:rPr>
          <w:i/>
          <w:iCs/>
          <w:noProof/>
          <w:color w:val="auto"/>
        </w:rPr>
        <w:t>220</w:t>
      </w:r>
      <w:r w:rsidRPr="003B7DD5">
        <w:rPr>
          <w:noProof/>
          <w:color w:val="auto"/>
        </w:rPr>
        <w:t>, S108–S115, doi:10.1093/infdis/jiz356.</w:t>
      </w:r>
    </w:p>
    <w:p w14:paraId="7B409A17" w14:textId="77777777" w:rsidR="001A6175" w:rsidRPr="003B7DD5" w:rsidRDefault="001A6175" w:rsidP="001A6175">
      <w:pPr>
        <w:pStyle w:val="MDPI71References"/>
        <w:numPr>
          <w:ilvl w:val="0"/>
          <w:numId w:val="18"/>
        </w:numPr>
        <w:rPr>
          <w:color w:val="auto"/>
        </w:rPr>
      </w:pPr>
      <w:r w:rsidRPr="003B7DD5">
        <w:rPr>
          <w:noProof/>
          <w:color w:val="auto"/>
        </w:rPr>
        <w:t>FIND DX Pipeline Status Available online: https://www.finddx.org/dx-pipeline-status/ (accessed on Dec 12, 2020).</w:t>
      </w:r>
    </w:p>
    <w:p w14:paraId="786451BF" w14:textId="77777777" w:rsidR="00FE6943" w:rsidRPr="003B7DD5" w:rsidRDefault="001A6175" w:rsidP="001A6175">
      <w:pPr>
        <w:pStyle w:val="MDPI71References"/>
        <w:numPr>
          <w:ilvl w:val="0"/>
          <w:numId w:val="18"/>
        </w:numPr>
        <w:rPr>
          <w:noProof/>
          <w:color w:val="auto"/>
        </w:rPr>
      </w:pPr>
      <w:r w:rsidRPr="003B7DD5">
        <w:rPr>
          <w:noProof/>
          <w:color w:val="auto"/>
        </w:rPr>
        <w:t xml:space="preserve">Reddy, K.P.; Denkinger, C.M.; Broger, T.; McCann, N.C.; Gupta-Wright, A.; Kerkhoff, A.D.; Pei, P.P.; Shebl, F.M.; Fielding, K.L.; Nicol, M.P.; et al. Cost-effectiveness of a novel lipoarabinomannan test for tuberculosis in patients with HIV. </w:t>
      </w:r>
      <w:r w:rsidRPr="003B7DD5">
        <w:rPr>
          <w:i/>
          <w:iCs/>
          <w:noProof/>
          <w:color w:val="auto"/>
        </w:rPr>
        <w:t>Clin. Infect. Dis.</w:t>
      </w:r>
      <w:r w:rsidRPr="003B7DD5">
        <w:rPr>
          <w:noProof/>
          <w:color w:val="auto"/>
        </w:rPr>
        <w:t xml:space="preserve"> </w:t>
      </w:r>
      <w:r w:rsidRPr="003B7DD5">
        <w:rPr>
          <w:b/>
          <w:bCs/>
          <w:noProof/>
          <w:color w:val="auto"/>
        </w:rPr>
        <w:t>2020</w:t>
      </w:r>
      <w:r w:rsidRPr="003B7DD5">
        <w:rPr>
          <w:noProof/>
          <w:color w:val="auto"/>
        </w:rPr>
        <w:t>, doi:10.1093/cid/ciaa1698.</w:t>
      </w:r>
    </w:p>
    <w:sectPr w:rsidR="00FE6943" w:rsidRPr="003B7DD5" w:rsidSect="003B7DD5">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148D" w14:textId="77777777" w:rsidR="00DA7585" w:rsidRDefault="00DA7585">
      <w:pPr>
        <w:spacing w:line="240" w:lineRule="auto"/>
      </w:pPr>
      <w:r>
        <w:separator/>
      </w:r>
    </w:p>
  </w:endnote>
  <w:endnote w:type="continuationSeparator" w:id="0">
    <w:p w14:paraId="76519F40" w14:textId="77777777" w:rsidR="00DA7585" w:rsidRDefault="00DA7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DC81" w14:textId="77777777" w:rsidR="00D00DD3" w:rsidRPr="00032917" w:rsidRDefault="00D00DD3"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AC43" w14:textId="77777777" w:rsidR="00D00DD3" w:rsidRDefault="00D00DD3" w:rsidP="00065CFE">
    <w:pPr>
      <w:pStyle w:val="MDPIfooterfirstpage"/>
      <w:pBdr>
        <w:top w:val="single" w:sz="4" w:space="0" w:color="000000"/>
      </w:pBdr>
      <w:adjustRightInd w:val="0"/>
      <w:snapToGrid w:val="0"/>
      <w:spacing w:before="480" w:line="100" w:lineRule="exact"/>
      <w:rPr>
        <w:i/>
        <w:szCs w:val="16"/>
      </w:rPr>
    </w:pPr>
  </w:p>
  <w:p w14:paraId="41F96580" w14:textId="77777777" w:rsidR="00D00DD3" w:rsidRPr="008B308E" w:rsidRDefault="00D00DD3" w:rsidP="00770821">
    <w:pPr>
      <w:pStyle w:val="MDPIfooterfirstpage"/>
      <w:tabs>
        <w:tab w:val="clear" w:pos="8845"/>
        <w:tab w:val="right" w:pos="10466"/>
      </w:tabs>
      <w:spacing w:line="240" w:lineRule="auto"/>
      <w:jc w:val="both"/>
      <w:rPr>
        <w:lang w:val="fr-CH"/>
      </w:rPr>
    </w:pPr>
    <w:r w:rsidRPr="00BB0268">
      <w:rPr>
        <w:i/>
        <w:szCs w:val="16"/>
      </w:rPr>
      <w:t>J. Clin. Med.</w:t>
    </w:r>
    <w:r w:rsidRPr="00BB0268">
      <w:rPr>
        <w:szCs w:val="16"/>
      </w:rPr>
      <w:t xml:space="preserve"> </w:t>
    </w:r>
    <w:r w:rsidRPr="00E9417E">
      <w:rPr>
        <w:b/>
        <w:szCs w:val="16"/>
      </w:rPr>
      <w:t>2021</w:t>
    </w:r>
    <w:r w:rsidRPr="00853B85">
      <w:rPr>
        <w:szCs w:val="16"/>
      </w:rPr>
      <w:t xml:space="preserve">, </w:t>
    </w:r>
    <w:r w:rsidRPr="00E9417E">
      <w:rPr>
        <w:i/>
        <w:szCs w:val="16"/>
      </w:rPr>
      <w:t>10</w:t>
    </w:r>
    <w:r w:rsidRPr="00853B85">
      <w:rPr>
        <w:szCs w:val="16"/>
      </w:rPr>
      <w:t xml:space="preserve">, </w:t>
    </w:r>
    <w:r>
      <w:rPr>
        <w:szCs w:val="16"/>
      </w:rPr>
      <w:t>x. https://doi.org/10.3390/xxxxx</w:t>
    </w:r>
    <w:r>
      <w:rPr>
        <w:lang w:val="fr-CH"/>
      </w:rPr>
      <w:ptab w:relativeTo="margin" w:alignment="right" w:leader="none"/>
    </w:r>
    <w:r w:rsidRPr="008B308E">
      <w:rPr>
        <w:lang w:val="fr-CH"/>
      </w:rPr>
      <w:t>www.mdpi.com/journal/</w:t>
    </w:r>
    <w:proofErr w:type="spellStart"/>
    <w:r>
      <w:t>jcm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8331" w14:textId="77777777" w:rsidR="00DA7585" w:rsidRDefault="00DA7585">
      <w:pPr>
        <w:spacing w:line="240" w:lineRule="auto"/>
      </w:pPr>
      <w:r>
        <w:separator/>
      </w:r>
    </w:p>
  </w:footnote>
  <w:footnote w:type="continuationSeparator" w:id="0">
    <w:p w14:paraId="3E4A58E4" w14:textId="77777777" w:rsidR="00DA7585" w:rsidRDefault="00DA7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D637" w14:textId="77777777" w:rsidR="00D00DD3" w:rsidRDefault="00D00DD3"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FCEC" w14:textId="77777777" w:rsidR="00D00DD3" w:rsidRDefault="00D00DD3" w:rsidP="00770821">
    <w:pPr>
      <w:tabs>
        <w:tab w:val="right" w:pos="10466"/>
      </w:tabs>
      <w:adjustRightInd w:val="0"/>
      <w:snapToGrid w:val="0"/>
      <w:spacing w:line="240" w:lineRule="auto"/>
      <w:rPr>
        <w:sz w:val="16"/>
      </w:rPr>
    </w:pPr>
    <w:r>
      <w:rPr>
        <w:i/>
        <w:sz w:val="16"/>
      </w:rPr>
      <w:t xml:space="preserve">J. Clin. Med. </w:t>
    </w:r>
    <w:r w:rsidRPr="00085770">
      <w:rPr>
        <w:b/>
        <w:sz w:val="16"/>
      </w:rPr>
      <w:t>2021</w:t>
    </w:r>
    <w:r w:rsidRPr="00853B85">
      <w:rPr>
        <w:sz w:val="16"/>
      </w:rPr>
      <w:t xml:space="preserve">, </w:t>
    </w:r>
    <w:r w:rsidRPr="00085770">
      <w:rPr>
        <w:i/>
        <w:sz w:val="16"/>
      </w:rPr>
      <w:t>10</w:t>
    </w:r>
    <w:r>
      <w:rPr>
        <w:sz w:val="16"/>
      </w:rPr>
      <w:t>, x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8</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8</w:t>
    </w:r>
    <w:r>
      <w:rPr>
        <w:sz w:val="16"/>
      </w:rPr>
      <w:fldChar w:fldCharType="end"/>
    </w:r>
  </w:p>
  <w:p w14:paraId="3D7BB9D5" w14:textId="77777777" w:rsidR="00D00DD3" w:rsidRPr="007A5CE1" w:rsidRDefault="00D00DD3" w:rsidP="00065CF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1A4E" w14:textId="77777777" w:rsidR="00D00DD3" w:rsidRPr="003A2C19" w:rsidRDefault="00D00DD3" w:rsidP="003B7DD5">
    <w:pP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7385020A"/>
    <w:multiLevelType w:val="hybridMultilevel"/>
    <w:tmpl w:val="B90EFB4E"/>
    <w:lvl w:ilvl="0" w:tplc="B2A4B7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7D52"/>
    <w:multiLevelType w:val="hybridMultilevel"/>
    <w:tmpl w:val="E22A1542"/>
    <w:lvl w:ilvl="0" w:tplc="E7A2CA30">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5"/>
  </w:num>
  <w:num w:numId="9">
    <w:abstractNumId w:val="0"/>
  </w:num>
  <w:num w:numId="10">
    <w:abstractNumId w:val="5"/>
  </w:num>
  <w:num w:numId="11">
    <w:abstractNumId w:val="0"/>
  </w:num>
  <w:num w:numId="12">
    <w:abstractNumId w:val="6"/>
  </w:num>
  <w:num w:numId="13">
    <w:abstractNumId w:val="5"/>
  </w:num>
  <w:num w:numId="14">
    <w:abstractNumId w:val="0"/>
  </w:num>
  <w:num w:numId="15">
    <w:abstractNumId w:val="5"/>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1D"/>
    <w:rsid w:val="000019D8"/>
    <w:rsid w:val="00006F9A"/>
    <w:rsid w:val="0002581D"/>
    <w:rsid w:val="000302D9"/>
    <w:rsid w:val="00041D95"/>
    <w:rsid w:val="00065CFE"/>
    <w:rsid w:val="00085770"/>
    <w:rsid w:val="000A607D"/>
    <w:rsid w:val="000A7316"/>
    <w:rsid w:val="000B7CBD"/>
    <w:rsid w:val="000C0FC2"/>
    <w:rsid w:val="00137AD8"/>
    <w:rsid w:val="00152F6D"/>
    <w:rsid w:val="001710B7"/>
    <w:rsid w:val="001A6175"/>
    <w:rsid w:val="001C4EF2"/>
    <w:rsid w:val="001D1C27"/>
    <w:rsid w:val="001D25D3"/>
    <w:rsid w:val="001E2AEB"/>
    <w:rsid w:val="001E6B6B"/>
    <w:rsid w:val="001F4389"/>
    <w:rsid w:val="001F462D"/>
    <w:rsid w:val="00274D95"/>
    <w:rsid w:val="00280F25"/>
    <w:rsid w:val="00280FC4"/>
    <w:rsid w:val="00287BE6"/>
    <w:rsid w:val="0029303F"/>
    <w:rsid w:val="002C5B08"/>
    <w:rsid w:val="002C74FC"/>
    <w:rsid w:val="002E235C"/>
    <w:rsid w:val="00314B6E"/>
    <w:rsid w:val="003207B3"/>
    <w:rsid w:val="00325CF8"/>
    <w:rsid w:val="00326141"/>
    <w:rsid w:val="0034278A"/>
    <w:rsid w:val="0034365E"/>
    <w:rsid w:val="00357C8D"/>
    <w:rsid w:val="00362F34"/>
    <w:rsid w:val="003977A3"/>
    <w:rsid w:val="003A2C19"/>
    <w:rsid w:val="003B7DD5"/>
    <w:rsid w:val="003D4857"/>
    <w:rsid w:val="003D55AB"/>
    <w:rsid w:val="003F2DA1"/>
    <w:rsid w:val="00401D30"/>
    <w:rsid w:val="00412261"/>
    <w:rsid w:val="004142C7"/>
    <w:rsid w:val="004225B0"/>
    <w:rsid w:val="0046295C"/>
    <w:rsid w:val="004B1358"/>
    <w:rsid w:val="004B7429"/>
    <w:rsid w:val="004D54CC"/>
    <w:rsid w:val="004D5F4D"/>
    <w:rsid w:val="004F5B4C"/>
    <w:rsid w:val="005123DF"/>
    <w:rsid w:val="00525EE6"/>
    <w:rsid w:val="00527BF3"/>
    <w:rsid w:val="00547A54"/>
    <w:rsid w:val="005577F2"/>
    <w:rsid w:val="005963C5"/>
    <w:rsid w:val="005E3776"/>
    <w:rsid w:val="00616F82"/>
    <w:rsid w:val="00622838"/>
    <w:rsid w:val="006300CB"/>
    <w:rsid w:val="00637CD2"/>
    <w:rsid w:val="00667913"/>
    <w:rsid w:val="00685F96"/>
    <w:rsid w:val="00691DEB"/>
    <w:rsid w:val="00692393"/>
    <w:rsid w:val="00694025"/>
    <w:rsid w:val="006A11B0"/>
    <w:rsid w:val="006A5D76"/>
    <w:rsid w:val="006C3990"/>
    <w:rsid w:val="006E1776"/>
    <w:rsid w:val="007018DC"/>
    <w:rsid w:val="00705D61"/>
    <w:rsid w:val="00706D77"/>
    <w:rsid w:val="007536F3"/>
    <w:rsid w:val="00770821"/>
    <w:rsid w:val="0079312A"/>
    <w:rsid w:val="00816BBE"/>
    <w:rsid w:val="00821EF1"/>
    <w:rsid w:val="00851192"/>
    <w:rsid w:val="00853B85"/>
    <w:rsid w:val="008D0B41"/>
    <w:rsid w:val="008E63F1"/>
    <w:rsid w:val="008F1228"/>
    <w:rsid w:val="008F6E8C"/>
    <w:rsid w:val="009035B8"/>
    <w:rsid w:val="00904B95"/>
    <w:rsid w:val="00914275"/>
    <w:rsid w:val="00915CAE"/>
    <w:rsid w:val="00943EE6"/>
    <w:rsid w:val="00945A8C"/>
    <w:rsid w:val="00970559"/>
    <w:rsid w:val="00970888"/>
    <w:rsid w:val="009709FF"/>
    <w:rsid w:val="00995F53"/>
    <w:rsid w:val="00996419"/>
    <w:rsid w:val="009C5893"/>
    <w:rsid w:val="009F70E6"/>
    <w:rsid w:val="00A2074E"/>
    <w:rsid w:val="00A73B50"/>
    <w:rsid w:val="00AB2F7D"/>
    <w:rsid w:val="00AC3FDF"/>
    <w:rsid w:val="00AD3640"/>
    <w:rsid w:val="00AD4E9B"/>
    <w:rsid w:val="00AF63F6"/>
    <w:rsid w:val="00AF66CF"/>
    <w:rsid w:val="00B27BDC"/>
    <w:rsid w:val="00B84BC1"/>
    <w:rsid w:val="00BB7AA1"/>
    <w:rsid w:val="00BC2D10"/>
    <w:rsid w:val="00BD5379"/>
    <w:rsid w:val="00BF5D96"/>
    <w:rsid w:val="00C06920"/>
    <w:rsid w:val="00C1439D"/>
    <w:rsid w:val="00C144B6"/>
    <w:rsid w:val="00C17D2C"/>
    <w:rsid w:val="00C76749"/>
    <w:rsid w:val="00CA6FBF"/>
    <w:rsid w:val="00CB5986"/>
    <w:rsid w:val="00CC4494"/>
    <w:rsid w:val="00CE5488"/>
    <w:rsid w:val="00D00DD3"/>
    <w:rsid w:val="00D0452F"/>
    <w:rsid w:val="00D06DB4"/>
    <w:rsid w:val="00D15FBD"/>
    <w:rsid w:val="00D537C4"/>
    <w:rsid w:val="00D72E82"/>
    <w:rsid w:val="00D76EFE"/>
    <w:rsid w:val="00DA7585"/>
    <w:rsid w:val="00DB65CB"/>
    <w:rsid w:val="00DC5308"/>
    <w:rsid w:val="00E548E8"/>
    <w:rsid w:val="00E62446"/>
    <w:rsid w:val="00E9417E"/>
    <w:rsid w:val="00EA792D"/>
    <w:rsid w:val="00EB730D"/>
    <w:rsid w:val="00EC2CB7"/>
    <w:rsid w:val="00F159D6"/>
    <w:rsid w:val="00F20DC0"/>
    <w:rsid w:val="00F41D77"/>
    <w:rsid w:val="00F61547"/>
    <w:rsid w:val="00F733DC"/>
    <w:rsid w:val="00FA2DB6"/>
    <w:rsid w:val="00FA4695"/>
    <w:rsid w:val="00FC70BF"/>
    <w:rsid w:val="00FD4789"/>
    <w:rsid w:val="00FD6134"/>
    <w:rsid w:val="00FE6943"/>
    <w:rsid w:val="00FF1581"/>
    <w:rsid w:val="21E0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9A45F"/>
  <w15:chartTrackingRefBased/>
  <w15:docId w15:val="{7CF1315D-4C36-49E6-B48A-E3CF273C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43"/>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1A617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1A617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1A617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1A617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1A617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1A617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1A617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1A617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FE6943"/>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E6943"/>
    <w:rPr>
      <w:rFonts w:ascii="Palatino Linotype" w:hAnsi="Palatino Linotype"/>
      <w:noProof/>
      <w:color w:val="000000"/>
      <w:szCs w:val="18"/>
    </w:rPr>
  </w:style>
  <w:style w:type="paragraph" w:styleId="Header">
    <w:name w:val="header"/>
    <w:basedOn w:val="Normal"/>
    <w:link w:val="HeaderChar"/>
    <w:uiPriority w:val="99"/>
    <w:rsid w:val="00FE6943"/>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E6943"/>
    <w:rPr>
      <w:rFonts w:ascii="Palatino Linotype" w:hAnsi="Palatino Linotype"/>
      <w:noProof/>
      <w:color w:val="000000"/>
      <w:szCs w:val="18"/>
    </w:rPr>
  </w:style>
  <w:style w:type="paragraph" w:customStyle="1" w:styleId="MDPIheaderjournallogo">
    <w:name w:val="MDPI_header_journal_logo"/>
    <w:qFormat/>
    <w:rsid w:val="001A617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1A6175"/>
    <w:pPr>
      <w:ind w:firstLine="0"/>
    </w:pPr>
  </w:style>
  <w:style w:type="paragraph" w:customStyle="1" w:styleId="MDPI31text">
    <w:name w:val="MDPI_3.1_text"/>
    <w:qFormat/>
    <w:rsid w:val="001A617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1A617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1A617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1A617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1A617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A6175"/>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A6175"/>
    <w:pPr>
      <w:numPr>
        <w:numId w:val="1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1A617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1A617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1A6175"/>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1A6175"/>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1A6175"/>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1A6175"/>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1A617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1A617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1A617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1A617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1A617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1A617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1A617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A6175"/>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E6943"/>
    <w:rPr>
      <w:rFonts w:cs="Tahoma"/>
      <w:szCs w:val="18"/>
    </w:rPr>
  </w:style>
  <w:style w:type="character" w:customStyle="1" w:styleId="BalloonTextChar">
    <w:name w:val="Balloon Text Char"/>
    <w:link w:val="BalloonText"/>
    <w:uiPriority w:val="99"/>
    <w:rsid w:val="00FE6943"/>
    <w:rPr>
      <w:rFonts w:ascii="Palatino Linotype" w:hAnsi="Palatino Linotype" w:cs="Tahoma"/>
      <w:noProof/>
      <w:color w:val="000000"/>
      <w:szCs w:val="18"/>
    </w:rPr>
  </w:style>
  <w:style w:type="character" w:styleId="LineNumber">
    <w:name w:val="line number"/>
    <w:uiPriority w:val="99"/>
    <w:rsid w:val="00F20DC0"/>
    <w:rPr>
      <w:rFonts w:ascii="Palatino Linotype" w:hAnsi="Palatino Linotype"/>
      <w:sz w:val="16"/>
    </w:rPr>
  </w:style>
  <w:style w:type="table" w:customStyle="1" w:styleId="MDPI41threelinetable">
    <w:name w:val="MDPI_4.1_three_line_table"/>
    <w:basedOn w:val="TableNormal"/>
    <w:uiPriority w:val="99"/>
    <w:rsid w:val="001A6175"/>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E6943"/>
    <w:rPr>
      <w:color w:val="0000FF"/>
      <w:u w:val="single"/>
    </w:rPr>
  </w:style>
  <w:style w:type="character" w:customStyle="1" w:styleId="Mencinsinresolver1">
    <w:name w:val="Mención sin resolver1"/>
    <w:uiPriority w:val="99"/>
    <w:semiHidden/>
    <w:unhideWhenUsed/>
    <w:rsid w:val="0034278A"/>
    <w:rPr>
      <w:color w:val="605E5C"/>
      <w:shd w:val="clear" w:color="auto" w:fill="E1DFDD"/>
    </w:rPr>
  </w:style>
  <w:style w:type="table" w:styleId="TableGrid">
    <w:name w:val="Table Grid"/>
    <w:basedOn w:val="TableNormal"/>
    <w:uiPriority w:val="39"/>
    <w:rsid w:val="00FE694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1A6175"/>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1A617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1A6175"/>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1A6175"/>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1A617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1A6175"/>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1A6175"/>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1A6175"/>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1A617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1A617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1A617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1A617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1A617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1A617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1A6175"/>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1A617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1A617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E6943"/>
  </w:style>
  <w:style w:type="paragraph" w:styleId="Bibliography">
    <w:name w:val="Bibliography"/>
    <w:basedOn w:val="Normal"/>
    <w:next w:val="Normal"/>
    <w:uiPriority w:val="37"/>
    <w:semiHidden/>
    <w:unhideWhenUsed/>
    <w:rsid w:val="00FE6943"/>
  </w:style>
  <w:style w:type="paragraph" w:styleId="BodyText">
    <w:name w:val="Body Text"/>
    <w:link w:val="BodyTextChar"/>
    <w:rsid w:val="00FE6943"/>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E6943"/>
    <w:rPr>
      <w:rFonts w:ascii="Palatino Linotype" w:hAnsi="Palatino Linotype"/>
      <w:color w:val="000000"/>
      <w:sz w:val="24"/>
      <w:lang w:eastAsia="de-DE"/>
    </w:rPr>
  </w:style>
  <w:style w:type="character" w:styleId="CommentReference">
    <w:name w:val="annotation reference"/>
    <w:rsid w:val="00FE6943"/>
    <w:rPr>
      <w:sz w:val="21"/>
      <w:szCs w:val="21"/>
    </w:rPr>
  </w:style>
  <w:style w:type="paragraph" w:styleId="CommentText">
    <w:name w:val="annotation text"/>
    <w:basedOn w:val="Normal"/>
    <w:link w:val="CommentTextChar"/>
    <w:uiPriority w:val="99"/>
    <w:rsid w:val="00FE6943"/>
  </w:style>
  <w:style w:type="character" w:customStyle="1" w:styleId="CommentTextChar">
    <w:name w:val="Comment Text Char"/>
    <w:link w:val="CommentText"/>
    <w:uiPriority w:val="99"/>
    <w:rsid w:val="00FE6943"/>
    <w:rPr>
      <w:rFonts w:ascii="Palatino Linotype" w:hAnsi="Palatino Linotype"/>
      <w:noProof/>
      <w:color w:val="000000"/>
    </w:rPr>
  </w:style>
  <w:style w:type="paragraph" w:styleId="CommentSubject">
    <w:name w:val="annotation subject"/>
    <w:basedOn w:val="CommentText"/>
    <w:next w:val="CommentText"/>
    <w:link w:val="CommentSubjectChar"/>
    <w:rsid w:val="00FE6943"/>
    <w:rPr>
      <w:b/>
      <w:bCs/>
    </w:rPr>
  </w:style>
  <w:style w:type="character" w:customStyle="1" w:styleId="CommentSubjectChar">
    <w:name w:val="Comment Subject Char"/>
    <w:link w:val="CommentSubject"/>
    <w:rsid w:val="00FE6943"/>
    <w:rPr>
      <w:rFonts w:ascii="Palatino Linotype" w:hAnsi="Palatino Linotype"/>
      <w:b/>
      <w:bCs/>
      <w:noProof/>
      <w:color w:val="000000"/>
    </w:rPr>
  </w:style>
  <w:style w:type="character" w:styleId="EndnoteReference">
    <w:name w:val="endnote reference"/>
    <w:rsid w:val="00FE6943"/>
    <w:rPr>
      <w:vertAlign w:val="superscript"/>
    </w:rPr>
  </w:style>
  <w:style w:type="paragraph" w:styleId="EndnoteText">
    <w:name w:val="endnote text"/>
    <w:basedOn w:val="Normal"/>
    <w:link w:val="EndnoteTextChar"/>
    <w:semiHidden/>
    <w:unhideWhenUsed/>
    <w:rsid w:val="00FE6943"/>
    <w:pPr>
      <w:spacing w:line="240" w:lineRule="auto"/>
    </w:pPr>
  </w:style>
  <w:style w:type="character" w:customStyle="1" w:styleId="EndnoteTextChar">
    <w:name w:val="Endnote Text Char"/>
    <w:link w:val="EndnoteText"/>
    <w:semiHidden/>
    <w:rsid w:val="00FE6943"/>
    <w:rPr>
      <w:rFonts w:ascii="Palatino Linotype" w:hAnsi="Palatino Linotype"/>
      <w:noProof/>
      <w:color w:val="000000"/>
    </w:rPr>
  </w:style>
  <w:style w:type="character" w:styleId="FollowedHyperlink">
    <w:name w:val="FollowedHyperlink"/>
    <w:rsid w:val="00FE6943"/>
    <w:rPr>
      <w:color w:val="954F72"/>
      <w:u w:val="single"/>
    </w:rPr>
  </w:style>
  <w:style w:type="paragraph" w:styleId="FootnoteText">
    <w:name w:val="footnote text"/>
    <w:basedOn w:val="Normal"/>
    <w:link w:val="FootnoteTextChar"/>
    <w:semiHidden/>
    <w:unhideWhenUsed/>
    <w:rsid w:val="00FE6943"/>
    <w:pPr>
      <w:spacing w:line="240" w:lineRule="auto"/>
    </w:pPr>
  </w:style>
  <w:style w:type="character" w:customStyle="1" w:styleId="FootnoteTextChar">
    <w:name w:val="Footnote Text Char"/>
    <w:link w:val="FootnoteText"/>
    <w:semiHidden/>
    <w:rsid w:val="00FE6943"/>
    <w:rPr>
      <w:rFonts w:ascii="Palatino Linotype" w:hAnsi="Palatino Linotype"/>
      <w:noProof/>
      <w:color w:val="000000"/>
    </w:rPr>
  </w:style>
  <w:style w:type="paragraph" w:styleId="NormalWeb">
    <w:name w:val="Normal (Web)"/>
    <w:basedOn w:val="Normal"/>
    <w:uiPriority w:val="99"/>
    <w:rsid w:val="00FE6943"/>
    <w:rPr>
      <w:szCs w:val="24"/>
    </w:rPr>
  </w:style>
  <w:style w:type="paragraph" w:customStyle="1" w:styleId="MsoFootnoteText0">
    <w:name w:val="MsoFootnoteText"/>
    <w:basedOn w:val="NormalWeb"/>
    <w:qFormat/>
    <w:rsid w:val="00FE6943"/>
    <w:rPr>
      <w:rFonts w:ascii="Times New Roman" w:hAnsi="Times New Roman"/>
    </w:rPr>
  </w:style>
  <w:style w:type="character" w:styleId="PageNumber">
    <w:name w:val="page number"/>
    <w:rsid w:val="00FE6943"/>
  </w:style>
  <w:style w:type="character" w:styleId="PlaceholderText">
    <w:name w:val="Placeholder Text"/>
    <w:uiPriority w:val="99"/>
    <w:semiHidden/>
    <w:rsid w:val="00FE6943"/>
    <w:rPr>
      <w:color w:val="808080"/>
    </w:rPr>
  </w:style>
  <w:style w:type="paragraph" w:customStyle="1" w:styleId="MDPI61Supplementary">
    <w:name w:val="MDPI_6.1_Supplementary"/>
    <w:basedOn w:val="Normal"/>
    <w:qFormat/>
    <w:rsid w:val="001A6175"/>
    <w:pPr>
      <w:adjustRightInd w:val="0"/>
      <w:snapToGrid w:val="0"/>
      <w:spacing w:before="240" w:line="200" w:lineRule="atLeast"/>
    </w:pPr>
    <w:rPr>
      <w:rFonts w:eastAsia="Times New Roman"/>
      <w:noProof w:val="0"/>
      <w:snapToGrid w:val="0"/>
      <w:sz w:val="18"/>
      <w:lang w:eastAsia="en-US" w:bidi="en-US"/>
    </w:rPr>
  </w:style>
  <w:style w:type="paragraph" w:customStyle="1" w:styleId="MDPI62Acknowledgments">
    <w:name w:val="MDPI_6.2_Acknowledgments"/>
    <w:qFormat/>
    <w:rsid w:val="001A6175"/>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63AuthorContributions">
    <w:name w:val="MDPI_6.3_AuthorContributions"/>
    <w:basedOn w:val="MDPI62Acknowledgments"/>
    <w:qFormat/>
    <w:rsid w:val="001A6175"/>
    <w:rPr>
      <w:rFonts w:eastAsia="SimSun"/>
      <w:color w:val="auto"/>
      <w:lang w:eastAsia="en-US"/>
    </w:rPr>
  </w:style>
  <w:style w:type="paragraph" w:customStyle="1" w:styleId="MDPI64CoI">
    <w:name w:val="MDPI_6.4_CoI"/>
    <w:basedOn w:val="MDPI62Acknowledgments"/>
    <w:qFormat/>
    <w:rsid w:val="001A6175"/>
  </w:style>
  <w:style w:type="paragraph" w:customStyle="1" w:styleId="MDPI74PublishersNote">
    <w:name w:val="MDPI_7.4_Publisher'sNote"/>
    <w:qFormat/>
    <w:rsid w:val="001A6175"/>
    <w:pPr>
      <w:adjustRightInd w:val="0"/>
      <w:snapToGrid w:val="0"/>
      <w:spacing w:before="240" w:after="240" w:line="200" w:lineRule="atLeast"/>
    </w:pPr>
    <w:rPr>
      <w:rFonts w:ascii="Palatino Linotype" w:hAnsi="Palatino Linotype"/>
      <w:sz w:val="18"/>
      <w:szCs w:val="22"/>
    </w:rPr>
  </w:style>
  <w:style w:type="character" w:customStyle="1" w:styleId="Ninguno">
    <w:name w:val="Ninguno"/>
    <w:rsid w:val="001A6175"/>
    <w:rPr>
      <w:lang w:val="en-US"/>
    </w:rPr>
  </w:style>
  <w:style w:type="character" w:customStyle="1" w:styleId="author-sup-separator">
    <w:name w:val="author-sup-separator"/>
    <w:basedOn w:val="DefaultParagraphFont"/>
    <w:rsid w:val="001A6175"/>
  </w:style>
  <w:style w:type="table" w:customStyle="1" w:styleId="Tablaconcuadrcula1">
    <w:name w:val="Tabla con cuadrícula1"/>
    <w:basedOn w:val="TableNormal"/>
    <w:next w:val="TableGrid"/>
    <w:uiPriority w:val="39"/>
    <w:rsid w:val="001A6175"/>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K-QtzkLBu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E%20Materials\jc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jcm-template</Template>
  <TotalTime>2</TotalTime>
  <Pages>8</Pages>
  <Words>21745</Words>
  <Characters>123952</Characters>
  <Application>Microsoft Office Word</Application>
  <DocSecurity>4</DocSecurity>
  <Lines>1032</Lines>
  <Paragraphs>290</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Julie Franco</cp:lastModifiedBy>
  <cp:revision>2</cp:revision>
  <cp:lastPrinted>2021-04-23T08:58:00Z</cp:lastPrinted>
  <dcterms:created xsi:type="dcterms:W3CDTF">2021-07-19T12:28:00Z</dcterms:created>
  <dcterms:modified xsi:type="dcterms:W3CDTF">2021-07-19T12:28:00Z</dcterms:modified>
</cp:coreProperties>
</file>