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23798" w14:textId="4B7EA274" w:rsidR="006E3B16" w:rsidRPr="00231B15" w:rsidRDefault="00507C8C" w:rsidP="004F3C35">
      <w:pPr>
        <w:spacing w:after="0"/>
        <w:contextualSpacing/>
        <w:jc w:val="center"/>
        <w:rPr>
          <w:rFonts w:eastAsiaTheme="majorEastAsia" w:cs="Times New Roman"/>
          <w:b/>
          <w:bCs/>
          <w:spacing w:val="-10"/>
          <w:kern w:val="28"/>
          <w:sz w:val="28"/>
          <w:szCs w:val="28"/>
        </w:rPr>
      </w:pPr>
      <w:r w:rsidRPr="00231B15">
        <w:rPr>
          <w:rFonts w:eastAsiaTheme="majorEastAsia" w:cs="Times New Roman"/>
          <w:b/>
          <w:bCs/>
          <w:spacing w:val="-10"/>
          <w:kern w:val="28"/>
          <w:sz w:val="28"/>
          <w:szCs w:val="28"/>
        </w:rPr>
        <w:t>Enantioselective Synthesis</w:t>
      </w:r>
      <w:r w:rsidR="001D65A2">
        <w:rPr>
          <w:rFonts w:eastAsiaTheme="majorEastAsia" w:cs="Times New Roman"/>
          <w:b/>
          <w:bCs/>
          <w:spacing w:val="-10"/>
          <w:kern w:val="28"/>
          <w:sz w:val="28"/>
          <w:szCs w:val="28"/>
        </w:rPr>
        <w:t xml:space="preserve"> and Profiling</w:t>
      </w:r>
      <w:r w:rsidRPr="00231B15">
        <w:rPr>
          <w:rFonts w:eastAsiaTheme="majorEastAsia" w:cs="Times New Roman"/>
          <w:b/>
          <w:bCs/>
          <w:spacing w:val="-10"/>
          <w:kern w:val="28"/>
          <w:sz w:val="28"/>
          <w:szCs w:val="28"/>
        </w:rPr>
        <w:t xml:space="preserve"> of Potent</w:t>
      </w:r>
      <w:r w:rsidR="00231B15" w:rsidRPr="00231B15">
        <w:rPr>
          <w:rFonts w:eastAsiaTheme="majorEastAsia" w:cs="Times New Roman"/>
          <w:b/>
          <w:bCs/>
          <w:spacing w:val="-10"/>
          <w:kern w:val="28"/>
          <w:sz w:val="28"/>
          <w:szCs w:val="28"/>
        </w:rPr>
        <w:t xml:space="preserve">, </w:t>
      </w:r>
      <w:r w:rsidR="00D950A4" w:rsidRPr="00231B15">
        <w:rPr>
          <w:rFonts w:eastAsiaTheme="majorEastAsia" w:cs="Times New Roman"/>
          <w:b/>
          <w:bCs/>
          <w:spacing w:val="-10"/>
          <w:kern w:val="28"/>
          <w:sz w:val="28"/>
          <w:szCs w:val="28"/>
        </w:rPr>
        <w:t>Non</w:t>
      </w:r>
      <w:r w:rsidRPr="00231B15">
        <w:rPr>
          <w:rFonts w:eastAsiaTheme="majorEastAsia" w:cs="Times New Roman"/>
          <w:b/>
          <w:bCs/>
          <w:spacing w:val="-10"/>
          <w:kern w:val="28"/>
          <w:sz w:val="28"/>
          <w:szCs w:val="28"/>
        </w:rPr>
        <w:t xml:space="preserve">-linear Analogues of </w:t>
      </w:r>
      <w:r w:rsidR="000A7F75" w:rsidRPr="00231B15">
        <w:rPr>
          <w:rFonts w:eastAsiaTheme="majorEastAsia" w:cs="Times New Roman"/>
          <w:b/>
          <w:bCs/>
          <w:spacing w:val="-10"/>
          <w:kern w:val="28"/>
          <w:sz w:val="28"/>
          <w:szCs w:val="28"/>
        </w:rPr>
        <w:t>Antimalarial Tetraoxanes</w:t>
      </w:r>
      <w:r w:rsidR="001D65A2">
        <w:rPr>
          <w:rFonts w:eastAsiaTheme="majorEastAsia" w:cs="Times New Roman"/>
          <w:b/>
          <w:bCs/>
          <w:spacing w:val="-10"/>
          <w:kern w:val="28"/>
          <w:sz w:val="28"/>
          <w:szCs w:val="28"/>
        </w:rPr>
        <w:t xml:space="preserve"> E209 and N205</w:t>
      </w:r>
      <w:r w:rsidR="00B86271">
        <w:rPr>
          <w:rFonts w:eastAsiaTheme="majorEastAsia" w:cs="Times New Roman"/>
          <w:b/>
          <w:bCs/>
          <w:spacing w:val="-10"/>
          <w:kern w:val="28"/>
          <w:sz w:val="28"/>
          <w:szCs w:val="28"/>
        </w:rPr>
        <w:t xml:space="preserve"> </w:t>
      </w:r>
    </w:p>
    <w:p w14:paraId="7CD913FC" w14:textId="77777777" w:rsidR="002026E5" w:rsidRPr="00231B15" w:rsidRDefault="002026E5" w:rsidP="002026E5">
      <w:pPr>
        <w:spacing w:line="480" w:lineRule="auto"/>
        <w:rPr>
          <w:rFonts w:cs="Times New Roman"/>
          <w:color w:val="000000" w:themeColor="text1"/>
        </w:rPr>
      </w:pPr>
      <w:r w:rsidRPr="00231B15">
        <w:rPr>
          <w:rFonts w:cs="Times New Roman"/>
          <w:color w:val="000000" w:themeColor="text1"/>
        </w:rPr>
        <w:t>Christopher Woodley</w:t>
      </w:r>
      <w:r w:rsidRPr="00231B15">
        <w:rPr>
          <w:rFonts w:cs="Times New Roman"/>
          <w:color w:val="000000" w:themeColor="text1"/>
          <w:vertAlign w:val="superscript"/>
        </w:rPr>
        <w:t>1</w:t>
      </w:r>
      <w:r w:rsidRPr="00231B15">
        <w:rPr>
          <w:rFonts w:cs="Times New Roman"/>
          <w:color w:val="000000" w:themeColor="text1"/>
        </w:rPr>
        <w:t>, Gemma L. Nixon</w:t>
      </w:r>
      <w:r w:rsidRPr="00231B15">
        <w:rPr>
          <w:rFonts w:cs="Times New Roman"/>
          <w:color w:val="000000" w:themeColor="text1"/>
          <w:vertAlign w:val="superscript"/>
        </w:rPr>
        <w:t>1</w:t>
      </w:r>
      <w:r w:rsidRPr="00231B15">
        <w:rPr>
          <w:rFonts w:cs="Times New Roman"/>
          <w:color w:val="000000" w:themeColor="text1"/>
        </w:rPr>
        <w:t xml:space="preserve">, </w:t>
      </w:r>
      <w:r w:rsidRPr="00936918">
        <w:rPr>
          <w:rFonts w:eastAsiaTheme="majorEastAsia" w:cs="Times New Roman"/>
          <w:bCs/>
          <w:spacing w:val="-10"/>
          <w:kern w:val="28"/>
          <w:sz w:val="24"/>
          <w:szCs w:val="24"/>
        </w:rPr>
        <w:t>Nicoletta Basilico</w:t>
      </w:r>
      <w:r w:rsidRPr="00141538">
        <w:rPr>
          <w:rFonts w:eastAsiaTheme="majorEastAsia" w:cs="Times New Roman"/>
          <w:bCs/>
          <w:spacing w:val="-10"/>
          <w:kern w:val="28"/>
          <w:vertAlign w:val="superscript"/>
        </w:rPr>
        <w:t>2</w:t>
      </w:r>
      <w:r>
        <w:rPr>
          <w:rFonts w:eastAsiaTheme="majorEastAsia" w:cs="Times New Roman"/>
          <w:bCs/>
          <w:spacing w:val="-10"/>
          <w:kern w:val="28"/>
          <w:vertAlign w:val="superscript"/>
        </w:rPr>
        <w:t>,7</w:t>
      </w:r>
      <w:r w:rsidRPr="00936918">
        <w:rPr>
          <w:rFonts w:eastAsiaTheme="majorEastAsia" w:cs="Times New Roman"/>
          <w:bCs/>
          <w:spacing w:val="-10"/>
          <w:kern w:val="28"/>
          <w:sz w:val="24"/>
          <w:szCs w:val="24"/>
        </w:rPr>
        <w:t>,</w:t>
      </w:r>
      <w:r w:rsidRPr="00231B15">
        <w:rPr>
          <w:rFonts w:cs="Times New Roman"/>
          <w:color w:val="000000" w:themeColor="text1"/>
        </w:rPr>
        <w:t xml:space="preserve"> </w:t>
      </w:r>
      <w:r w:rsidRPr="00936918">
        <w:rPr>
          <w:rFonts w:cs="Times New Roman"/>
          <w:bCs/>
        </w:rPr>
        <w:t>Silvia Parapini</w:t>
      </w:r>
      <w:r w:rsidRPr="00936918">
        <w:rPr>
          <w:rFonts w:cs="Times New Roman"/>
          <w:bCs/>
          <w:vertAlign w:val="superscript"/>
        </w:rPr>
        <w:t>3</w:t>
      </w:r>
      <w:r>
        <w:rPr>
          <w:rFonts w:cs="Times New Roman"/>
          <w:bCs/>
          <w:vertAlign w:val="superscript"/>
        </w:rPr>
        <w:t>,7</w:t>
      </w:r>
      <w:r w:rsidRPr="00231B15">
        <w:rPr>
          <w:rFonts w:cs="Times New Roman"/>
          <w:color w:val="000000" w:themeColor="text1"/>
        </w:rPr>
        <w:t>,Weiqian David Hong</w:t>
      </w:r>
      <w:r w:rsidRPr="00231B15">
        <w:rPr>
          <w:rFonts w:cs="Times New Roman"/>
          <w:color w:val="000000" w:themeColor="text1"/>
          <w:vertAlign w:val="superscript"/>
        </w:rPr>
        <w:t>1</w:t>
      </w:r>
      <w:r w:rsidRPr="00231B15">
        <w:rPr>
          <w:rFonts w:cs="Times New Roman"/>
          <w:color w:val="000000" w:themeColor="text1"/>
        </w:rPr>
        <w:t>, Stephen A. Ward</w:t>
      </w:r>
      <w:r>
        <w:rPr>
          <w:rFonts w:cs="Times New Roman"/>
          <w:color w:val="000000" w:themeColor="text1"/>
          <w:vertAlign w:val="superscript"/>
        </w:rPr>
        <w:t>4</w:t>
      </w:r>
      <w:r w:rsidRPr="00231B15">
        <w:rPr>
          <w:rFonts w:cs="Times New Roman"/>
          <w:color w:val="000000" w:themeColor="text1"/>
        </w:rPr>
        <w:t>, Giancarlo A. Biagini</w:t>
      </w:r>
      <w:r>
        <w:rPr>
          <w:rFonts w:cs="Times New Roman"/>
          <w:color w:val="000000" w:themeColor="text1"/>
          <w:vertAlign w:val="superscript"/>
        </w:rPr>
        <w:t>4</w:t>
      </w:r>
      <w:r w:rsidRPr="00231B15">
        <w:rPr>
          <w:rFonts w:cs="Times New Roman"/>
          <w:color w:val="000000" w:themeColor="text1"/>
        </w:rPr>
        <w:t>, Suet C. Leung</w:t>
      </w:r>
      <w:r w:rsidRPr="00231B15">
        <w:rPr>
          <w:rFonts w:cs="Times New Roman"/>
          <w:color w:val="000000" w:themeColor="text1"/>
          <w:vertAlign w:val="superscript"/>
        </w:rPr>
        <w:t>1</w:t>
      </w:r>
      <w:r w:rsidRPr="00231B15">
        <w:rPr>
          <w:rFonts w:cs="Times New Roman"/>
          <w:color w:val="000000" w:themeColor="text1"/>
        </w:rPr>
        <w:t xml:space="preserve"> </w:t>
      </w:r>
      <w:r w:rsidRPr="00936918">
        <w:rPr>
          <w:rFonts w:cs="Times New Roman"/>
          <w:bCs/>
        </w:rPr>
        <w:t>Donatella Taramelli</w:t>
      </w:r>
      <w:r>
        <w:rPr>
          <w:rFonts w:cs="Times New Roman"/>
          <w:bCs/>
          <w:vertAlign w:val="superscript"/>
        </w:rPr>
        <w:t>5,7</w:t>
      </w:r>
      <w:r w:rsidRPr="00231B15">
        <w:rPr>
          <w:rFonts w:cs="Times New Roman"/>
          <w:color w:val="000000" w:themeColor="text1"/>
        </w:rPr>
        <w:t xml:space="preserve"> , Keiko Onuma</w:t>
      </w:r>
      <w:r>
        <w:rPr>
          <w:rFonts w:cs="Times New Roman"/>
          <w:color w:val="000000" w:themeColor="text1"/>
          <w:vertAlign w:val="superscript"/>
        </w:rPr>
        <w:t>6</w:t>
      </w:r>
      <w:r w:rsidRPr="00231B15">
        <w:rPr>
          <w:rFonts w:cs="Times New Roman"/>
          <w:color w:val="000000" w:themeColor="text1"/>
        </w:rPr>
        <w:t>, Takashi Hasebe</w:t>
      </w:r>
      <w:r>
        <w:rPr>
          <w:rFonts w:cs="Times New Roman"/>
          <w:color w:val="000000" w:themeColor="text1"/>
          <w:vertAlign w:val="superscript"/>
        </w:rPr>
        <w:t>6</w:t>
      </w:r>
      <w:r w:rsidRPr="00231B15">
        <w:rPr>
          <w:rFonts w:cs="Times New Roman"/>
          <w:color w:val="000000" w:themeColor="text1"/>
        </w:rPr>
        <w:t xml:space="preserve"> and </w:t>
      </w:r>
      <w:r w:rsidRPr="00231B15">
        <w:rPr>
          <w:rFonts w:cs="Times New Roman"/>
          <w:color w:val="000000" w:themeColor="text1"/>
          <w:vertAlign w:val="superscript"/>
        </w:rPr>
        <w:t>*</w:t>
      </w:r>
      <w:r w:rsidRPr="00231B15">
        <w:rPr>
          <w:rFonts w:cs="Times New Roman"/>
          <w:color w:val="000000" w:themeColor="text1"/>
        </w:rPr>
        <w:t xml:space="preserve"> Paul M. O’Neill</w:t>
      </w:r>
      <w:r w:rsidRPr="00231B15">
        <w:rPr>
          <w:rFonts w:cs="Times New Roman"/>
          <w:color w:val="000000" w:themeColor="text1"/>
          <w:vertAlign w:val="superscript"/>
        </w:rPr>
        <w:t>1*</w:t>
      </w:r>
    </w:p>
    <w:p w14:paraId="69F05A60" w14:textId="77777777" w:rsidR="00BE0BE3" w:rsidRPr="00231B15" w:rsidRDefault="00BE0BE3" w:rsidP="004F3C35">
      <w:pPr>
        <w:spacing w:line="480" w:lineRule="auto"/>
        <w:rPr>
          <w:rFonts w:cs="Times New Roman"/>
          <w:color w:val="000000" w:themeColor="text1"/>
        </w:rPr>
      </w:pPr>
    </w:p>
    <w:p w14:paraId="44CE1C2A" w14:textId="77777777" w:rsidR="002026E5" w:rsidRPr="00231B15" w:rsidRDefault="002026E5" w:rsidP="002026E5">
      <w:pPr>
        <w:spacing w:line="480" w:lineRule="auto"/>
        <w:rPr>
          <w:rFonts w:cs="Times New Roman"/>
          <w:color w:val="000000" w:themeColor="text1"/>
          <w:sz w:val="18"/>
          <w:szCs w:val="18"/>
        </w:rPr>
      </w:pPr>
      <w:r w:rsidRPr="00231B15">
        <w:rPr>
          <w:rFonts w:cs="Times New Roman"/>
          <w:color w:val="000000" w:themeColor="text1"/>
          <w:sz w:val="18"/>
          <w:szCs w:val="18"/>
          <w:vertAlign w:val="superscript"/>
        </w:rPr>
        <w:t>1</w:t>
      </w:r>
      <w:r w:rsidRPr="00231B15">
        <w:rPr>
          <w:rFonts w:cs="Times New Roman"/>
          <w:color w:val="000000" w:themeColor="text1"/>
          <w:sz w:val="18"/>
          <w:szCs w:val="18"/>
        </w:rPr>
        <w:t>Department of Chemistry, University of Liverpool, Liverpool, L69 7ZD, UK</w:t>
      </w:r>
    </w:p>
    <w:p w14:paraId="321B62A2" w14:textId="77777777" w:rsidR="002026E5" w:rsidRDefault="002026E5" w:rsidP="002026E5">
      <w:pPr>
        <w:spacing w:line="480" w:lineRule="auto"/>
        <w:rPr>
          <w:rFonts w:cs="Times New Roman"/>
          <w:color w:val="000000" w:themeColor="text1"/>
          <w:sz w:val="18"/>
          <w:szCs w:val="18"/>
          <w:lang w:val="it-IT"/>
        </w:rPr>
      </w:pPr>
      <w:r w:rsidRPr="00141538">
        <w:rPr>
          <w:rFonts w:cs="Times New Roman"/>
          <w:color w:val="000000" w:themeColor="text1"/>
          <w:sz w:val="18"/>
          <w:szCs w:val="18"/>
          <w:vertAlign w:val="superscript"/>
          <w:lang w:val="it-IT"/>
        </w:rPr>
        <w:t xml:space="preserve">2 </w:t>
      </w:r>
      <w:r w:rsidRPr="00231B15">
        <w:rPr>
          <w:rFonts w:cs="Times New Roman"/>
          <w:color w:val="000000" w:themeColor="text1"/>
          <w:sz w:val="18"/>
          <w:szCs w:val="18"/>
          <w:lang w:val="it-IT"/>
        </w:rPr>
        <w:t xml:space="preserve">Dipartimento di Scienze Biomediche, Chirurgiche e Odontoiatriche, Università degli Studi di Milano, Via Pascal 36, 20133 Milano, Italy. </w:t>
      </w:r>
    </w:p>
    <w:p w14:paraId="5FA39F7D" w14:textId="77777777" w:rsidR="002026E5" w:rsidRPr="00231B15" w:rsidRDefault="002026E5" w:rsidP="002026E5">
      <w:pPr>
        <w:spacing w:line="480" w:lineRule="auto"/>
        <w:rPr>
          <w:rFonts w:cs="Times New Roman"/>
          <w:color w:val="000000" w:themeColor="text1"/>
          <w:sz w:val="18"/>
          <w:szCs w:val="18"/>
          <w:lang w:val="it-IT"/>
        </w:rPr>
      </w:pPr>
      <w:r w:rsidRPr="00936918">
        <w:rPr>
          <w:rFonts w:cs="Times New Roman"/>
          <w:color w:val="000000" w:themeColor="text1"/>
          <w:sz w:val="18"/>
          <w:szCs w:val="18"/>
          <w:vertAlign w:val="superscript"/>
          <w:lang w:val="it-IT"/>
        </w:rPr>
        <w:t>3</w:t>
      </w:r>
      <w:r>
        <w:rPr>
          <w:rFonts w:cs="Times New Roman"/>
          <w:color w:val="000000" w:themeColor="text1"/>
          <w:sz w:val="18"/>
          <w:szCs w:val="18"/>
          <w:lang w:val="it-IT"/>
        </w:rPr>
        <w:t xml:space="preserve"> </w:t>
      </w:r>
      <w:r w:rsidRPr="00231B15">
        <w:rPr>
          <w:rFonts w:cs="Times New Roman"/>
          <w:color w:val="000000" w:themeColor="text1"/>
          <w:sz w:val="18"/>
          <w:szCs w:val="18"/>
          <w:lang w:val="it-IT"/>
        </w:rPr>
        <w:t>Dipartimento di Scienze Biomediche</w:t>
      </w:r>
      <w:r w:rsidRPr="00936918">
        <w:rPr>
          <w:rFonts w:cs="Times New Roman"/>
          <w:color w:val="000000" w:themeColor="text1"/>
          <w:sz w:val="18"/>
          <w:szCs w:val="18"/>
          <w:lang w:val="it-IT"/>
        </w:rPr>
        <w:t xml:space="preserve"> </w:t>
      </w:r>
      <w:r>
        <w:rPr>
          <w:rFonts w:cs="Times New Roman"/>
          <w:color w:val="000000" w:themeColor="text1"/>
          <w:sz w:val="18"/>
          <w:szCs w:val="18"/>
          <w:lang w:val="it-IT"/>
        </w:rPr>
        <w:t xml:space="preserve">per la Salute, </w:t>
      </w:r>
      <w:r w:rsidRPr="00231B15">
        <w:rPr>
          <w:rFonts w:cs="Times New Roman"/>
          <w:color w:val="000000" w:themeColor="text1"/>
          <w:sz w:val="18"/>
          <w:szCs w:val="18"/>
          <w:lang w:val="it-IT"/>
        </w:rPr>
        <w:t xml:space="preserve">Università degli Studi di Milano, Via Pascal 36, 20133 Milano, Italy. </w:t>
      </w:r>
    </w:p>
    <w:p w14:paraId="232A78EC" w14:textId="77777777" w:rsidR="002026E5" w:rsidRDefault="002026E5" w:rsidP="002026E5">
      <w:pPr>
        <w:spacing w:line="480" w:lineRule="auto"/>
        <w:rPr>
          <w:rFonts w:cs="Times New Roman"/>
          <w:color w:val="000000" w:themeColor="text1"/>
          <w:sz w:val="18"/>
          <w:szCs w:val="18"/>
        </w:rPr>
      </w:pPr>
      <w:r>
        <w:rPr>
          <w:rFonts w:cs="Times New Roman"/>
          <w:color w:val="000000" w:themeColor="text1"/>
          <w:sz w:val="18"/>
          <w:szCs w:val="18"/>
          <w:vertAlign w:val="superscript"/>
        </w:rPr>
        <w:t>4</w:t>
      </w:r>
      <w:r w:rsidRPr="00231B15">
        <w:rPr>
          <w:rFonts w:cs="Times New Roman"/>
          <w:color w:val="000000" w:themeColor="text1"/>
          <w:sz w:val="18"/>
          <w:szCs w:val="18"/>
        </w:rPr>
        <w:t>Centre for Drugs and Diagnostics. Department of Tropical Disease Biology, Liverpool School of Tropical Medicine, Liverpool L3 5QA, UK</w:t>
      </w:r>
    </w:p>
    <w:p w14:paraId="2F6DA889" w14:textId="77777777" w:rsidR="002026E5" w:rsidRPr="00141538" w:rsidRDefault="002026E5" w:rsidP="002026E5">
      <w:pPr>
        <w:spacing w:line="480" w:lineRule="auto"/>
        <w:rPr>
          <w:rFonts w:cs="Times New Roman"/>
          <w:color w:val="000000" w:themeColor="text1"/>
          <w:sz w:val="18"/>
          <w:szCs w:val="18"/>
          <w:lang w:val="it-IT"/>
        </w:rPr>
      </w:pPr>
      <w:r w:rsidRPr="00141538">
        <w:rPr>
          <w:rFonts w:cs="Times New Roman"/>
          <w:bCs/>
          <w:vertAlign w:val="superscript"/>
          <w:lang w:val="it-IT"/>
        </w:rPr>
        <w:t xml:space="preserve">5 </w:t>
      </w:r>
      <w:r w:rsidRPr="00231B15">
        <w:rPr>
          <w:rFonts w:cs="Times New Roman"/>
          <w:color w:val="000000" w:themeColor="text1"/>
          <w:sz w:val="18"/>
          <w:szCs w:val="18"/>
          <w:lang w:val="it-IT"/>
        </w:rPr>
        <w:t>Dipartimento di Scienze</w:t>
      </w:r>
      <w:r>
        <w:rPr>
          <w:rFonts w:cs="Times New Roman"/>
          <w:color w:val="000000" w:themeColor="text1"/>
          <w:sz w:val="18"/>
          <w:szCs w:val="18"/>
          <w:lang w:val="it-IT"/>
        </w:rPr>
        <w:t xml:space="preserve"> Farmacologiche e Biomolecolari, </w:t>
      </w:r>
      <w:r w:rsidRPr="00231B15">
        <w:rPr>
          <w:rFonts w:cs="Times New Roman"/>
          <w:color w:val="000000" w:themeColor="text1"/>
          <w:sz w:val="18"/>
          <w:szCs w:val="18"/>
          <w:lang w:val="it-IT"/>
        </w:rPr>
        <w:t>Università degli Studi di Milano, Via Pascal 36, 20133 Milano, Italy.</w:t>
      </w:r>
    </w:p>
    <w:p w14:paraId="1CE76F75" w14:textId="77777777" w:rsidR="002026E5" w:rsidRPr="00231B15" w:rsidRDefault="002026E5" w:rsidP="002026E5">
      <w:pPr>
        <w:spacing w:line="480" w:lineRule="auto"/>
        <w:rPr>
          <w:rFonts w:cs="Times New Roman"/>
          <w:color w:val="000000" w:themeColor="text1"/>
          <w:sz w:val="18"/>
          <w:szCs w:val="18"/>
        </w:rPr>
      </w:pPr>
      <w:r>
        <w:rPr>
          <w:rFonts w:cs="Times New Roman"/>
          <w:color w:val="000000" w:themeColor="text1"/>
          <w:sz w:val="18"/>
          <w:szCs w:val="18"/>
          <w:vertAlign w:val="superscript"/>
        </w:rPr>
        <w:t>6</w:t>
      </w:r>
      <w:r w:rsidRPr="00231B15">
        <w:rPr>
          <w:rFonts w:cs="Times New Roman"/>
          <w:color w:val="000000" w:themeColor="text1"/>
          <w:sz w:val="18"/>
          <w:szCs w:val="18"/>
        </w:rPr>
        <w:t xml:space="preserve"> Eisai </w:t>
      </w:r>
      <w:proofErr w:type="spellStart"/>
      <w:r w:rsidRPr="00231B15">
        <w:rPr>
          <w:rFonts w:cs="Times New Roman"/>
          <w:color w:val="000000" w:themeColor="text1"/>
          <w:sz w:val="18"/>
          <w:szCs w:val="18"/>
        </w:rPr>
        <w:t>Co.,Ltd</w:t>
      </w:r>
      <w:proofErr w:type="spellEnd"/>
      <w:r w:rsidRPr="00231B15">
        <w:rPr>
          <w:rFonts w:cs="Times New Roman"/>
          <w:color w:val="000000" w:themeColor="text1"/>
          <w:sz w:val="18"/>
          <w:szCs w:val="18"/>
        </w:rPr>
        <w:t xml:space="preserve">. Tsukuba Research Laboratories, 5-1-3 </w:t>
      </w:r>
      <w:proofErr w:type="spellStart"/>
      <w:r w:rsidRPr="00231B15">
        <w:rPr>
          <w:rFonts w:cs="Times New Roman"/>
          <w:color w:val="000000" w:themeColor="text1"/>
          <w:sz w:val="18"/>
          <w:szCs w:val="18"/>
        </w:rPr>
        <w:t>Tokodai</w:t>
      </w:r>
      <w:proofErr w:type="spellEnd"/>
      <w:r w:rsidRPr="00231B15">
        <w:rPr>
          <w:rFonts w:cs="Times New Roman"/>
          <w:color w:val="000000" w:themeColor="text1"/>
          <w:sz w:val="18"/>
          <w:szCs w:val="18"/>
        </w:rPr>
        <w:t xml:space="preserve">, </w:t>
      </w:r>
      <w:proofErr w:type="spellStart"/>
      <w:r w:rsidRPr="00231B15">
        <w:rPr>
          <w:rFonts w:cs="Times New Roman"/>
          <w:color w:val="000000" w:themeColor="text1"/>
          <w:sz w:val="18"/>
          <w:szCs w:val="18"/>
        </w:rPr>
        <w:t>Tsukubashi</w:t>
      </w:r>
      <w:proofErr w:type="spellEnd"/>
      <w:r w:rsidRPr="00231B15">
        <w:rPr>
          <w:rFonts w:cs="Times New Roman"/>
          <w:color w:val="000000" w:themeColor="text1"/>
          <w:sz w:val="18"/>
          <w:szCs w:val="18"/>
        </w:rPr>
        <w:t>, Ibaraki, JAPAN 300-2635</w:t>
      </w:r>
    </w:p>
    <w:p w14:paraId="75AB8D41" w14:textId="77777777" w:rsidR="002026E5" w:rsidRPr="00CF36A7" w:rsidRDefault="002026E5" w:rsidP="002026E5">
      <w:pPr>
        <w:spacing w:line="480" w:lineRule="auto"/>
        <w:rPr>
          <w:rFonts w:cs="Times New Roman"/>
          <w:color w:val="000000" w:themeColor="text1"/>
          <w:sz w:val="18"/>
          <w:szCs w:val="18"/>
          <w:lang w:val="it-IT"/>
        </w:rPr>
      </w:pPr>
      <w:r>
        <w:rPr>
          <w:rFonts w:cs="Times New Roman"/>
          <w:color w:val="000000" w:themeColor="text1"/>
          <w:sz w:val="18"/>
          <w:szCs w:val="18"/>
          <w:vertAlign w:val="superscript"/>
          <w:lang w:val="it-IT"/>
        </w:rPr>
        <w:t>7</w:t>
      </w:r>
      <w:r w:rsidRPr="00936918">
        <w:rPr>
          <w:rFonts w:cs="Times New Roman"/>
          <w:color w:val="000000" w:themeColor="text1"/>
          <w:sz w:val="18"/>
          <w:szCs w:val="18"/>
          <w:lang w:val="it-IT"/>
        </w:rPr>
        <w:t>Affiliated</w:t>
      </w:r>
      <w:r w:rsidRPr="00231B15">
        <w:rPr>
          <w:rFonts w:cs="Times New Roman"/>
          <w:color w:val="000000" w:themeColor="text1"/>
          <w:sz w:val="18"/>
          <w:szCs w:val="18"/>
          <w:lang w:val="it-IT"/>
        </w:rPr>
        <w:t xml:space="preserve"> to Centro Interuniversitario di Ricerche sulla Malaria/ Italian Malaria Network (CIRM-IMN), Università degli Studi di Milano</w:t>
      </w:r>
    </w:p>
    <w:p w14:paraId="62AD32DF" w14:textId="77777777" w:rsidR="00BE0BE3" w:rsidRPr="00CF36A7" w:rsidRDefault="00BE0BE3" w:rsidP="004F3C35">
      <w:pPr>
        <w:spacing w:line="480" w:lineRule="auto"/>
        <w:rPr>
          <w:rFonts w:cs="Times New Roman"/>
          <w:color w:val="000000" w:themeColor="text1"/>
          <w:sz w:val="18"/>
          <w:szCs w:val="18"/>
          <w:lang w:val="it-IT"/>
        </w:rPr>
      </w:pPr>
    </w:p>
    <w:p w14:paraId="73FD8BC4" w14:textId="526E0B1D" w:rsidR="00BE0BE3" w:rsidRPr="00CF36A7" w:rsidRDefault="00BE0BE3" w:rsidP="004F3C35">
      <w:pPr>
        <w:spacing w:line="480" w:lineRule="auto"/>
        <w:rPr>
          <w:rStyle w:val="st"/>
          <w:rFonts w:cs="Times New Roman"/>
          <w:color w:val="000000" w:themeColor="text1"/>
          <w:lang w:val="it-IT"/>
        </w:rPr>
        <w:sectPr w:rsidR="00BE0BE3" w:rsidRPr="00CF36A7">
          <w:footerReference w:type="even" r:id="rId8"/>
          <w:footerReference w:type="default" r:id="rId9"/>
          <w:pgSz w:w="11900" w:h="16840"/>
          <w:pgMar w:top="1440" w:right="1440" w:bottom="1440" w:left="1440" w:header="708" w:footer="708" w:gutter="0"/>
          <w:cols w:space="708"/>
          <w:docGrid w:linePitch="360"/>
        </w:sectPr>
      </w:pPr>
    </w:p>
    <w:p w14:paraId="389A00FB" w14:textId="77777777" w:rsidR="004F3C35" w:rsidRPr="00231B15" w:rsidRDefault="004F3C35" w:rsidP="004F3C35">
      <w:pPr>
        <w:spacing w:line="480" w:lineRule="auto"/>
        <w:rPr>
          <w:rFonts w:cs="Times New Roman"/>
          <w:b/>
          <w:bCs/>
          <w:color w:val="000000" w:themeColor="text1"/>
        </w:rPr>
      </w:pPr>
      <w:r w:rsidRPr="00231B15">
        <w:rPr>
          <w:rFonts w:cs="Times New Roman"/>
          <w:b/>
          <w:bCs/>
          <w:color w:val="000000" w:themeColor="text1"/>
        </w:rPr>
        <w:t>Author for correspondence:</w:t>
      </w:r>
    </w:p>
    <w:p w14:paraId="07247F0B" w14:textId="77777777" w:rsidR="004F3C35" w:rsidRPr="00231B15" w:rsidRDefault="004F3C35" w:rsidP="004F3C35">
      <w:pPr>
        <w:spacing w:line="480" w:lineRule="auto"/>
        <w:rPr>
          <w:rFonts w:cs="Times New Roman"/>
          <w:color w:val="000000" w:themeColor="text1"/>
        </w:rPr>
      </w:pPr>
      <w:r w:rsidRPr="00231B15">
        <w:rPr>
          <w:rFonts w:cs="Times New Roman"/>
          <w:color w:val="000000" w:themeColor="text1"/>
        </w:rPr>
        <w:t>Professor Paul M. O’Neill</w:t>
      </w:r>
    </w:p>
    <w:p w14:paraId="1E2A8504" w14:textId="77777777" w:rsidR="004F3C35" w:rsidRPr="00231B15" w:rsidRDefault="004F3C35" w:rsidP="004F3C35">
      <w:pPr>
        <w:spacing w:line="480" w:lineRule="auto"/>
        <w:rPr>
          <w:rFonts w:cs="Times New Roman"/>
          <w:color w:val="000000" w:themeColor="text1"/>
        </w:rPr>
      </w:pPr>
      <w:r w:rsidRPr="00231B15">
        <w:rPr>
          <w:rFonts w:cs="Times New Roman"/>
          <w:color w:val="000000" w:themeColor="text1"/>
        </w:rPr>
        <w:t>Department of Chemistry</w:t>
      </w:r>
    </w:p>
    <w:p w14:paraId="603DB0E2" w14:textId="77777777" w:rsidR="004F3C35" w:rsidRPr="00231B15" w:rsidRDefault="004F3C35" w:rsidP="004F3C35">
      <w:pPr>
        <w:spacing w:line="480" w:lineRule="auto"/>
        <w:rPr>
          <w:rFonts w:cs="Times New Roman"/>
          <w:color w:val="000000" w:themeColor="text1"/>
        </w:rPr>
      </w:pPr>
      <w:r w:rsidRPr="00231B15">
        <w:rPr>
          <w:rFonts w:cs="Times New Roman"/>
          <w:color w:val="000000" w:themeColor="text1"/>
        </w:rPr>
        <w:t>The Robert Robinson Laboratories</w:t>
      </w:r>
    </w:p>
    <w:p w14:paraId="39B7C46A" w14:textId="77777777" w:rsidR="004F3C35" w:rsidRPr="00231B15" w:rsidRDefault="004F3C35" w:rsidP="004F3C35">
      <w:pPr>
        <w:spacing w:line="480" w:lineRule="auto"/>
        <w:rPr>
          <w:rFonts w:cs="Times New Roman"/>
          <w:color w:val="000000" w:themeColor="text1"/>
        </w:rPr>
      </w:pPr>
      <w:r w:rsidRPr="00231B15">
        <w:rPr>
          <w:rFonts w:cs="Times New Roman"/>
          <w:color w:val="000000" w:themeColor="text1"/>
        </w:rPr>
        <w:t>The University of Liverpool</w:t>
      </w:r>
    </w:p>
    <w:p w14:paraId="59F6E914" w14:textId="77777777" w:rsidR="004F3C35" w:rsidRPr="00231B15" w:rsidRDefault="004F3C35" w:rsidP="004F3C35">
      <w:pPr>
        <w:spacing w:line="480" w:lineRule="auto"/>
        <w:rPr>
          <w:rFonts w:cs="Times New Roman"/>
          <w:color w:val="000000" w:themeColor="text1"/>
        </w:rPr>
      </w:pPr>
      <w:r w:rsidRPr="00231B15">
        <w:rPr>
          <w:rFonts w:cs="Times New Roman"/>
          <w:color w:val="000000" w:themeColor="text1"/>
        </w:rPr>
        <w:t>Liverpool L69 3BX</w:t>
      </w:r>
    </w:p>
    <w:p w14:paraId="7058848C" w14:textId="77777777" w:rsidR="004F3C35" w:rsidRPr="00231B15" w:rsidRDefault="004F3C35" w:rsidP="004F3C35">
      <w:pPr>
        <w:spacing w:line="480" w:lineRule="auto"/>
        <w:rPr>
          <w:rFonts w:cs="Times New Roman"/>
          <w:color w:val="000000" w:themeColor="text1"/>
          <w:lang w:val="en-US"/>
        </w:rPr>
      </w:pPr>
      <w:r w:rsidRPr="00231B15">
        <w:rPr>
          <w:rFonts w:cs="Times New Roman"/>
          <w:color w:val="000000" w:themeColor="text1"/>
          <w:lang w:val="en-US"/>
        </w:rPr>
        <w:t>United Kingdom</w:t>
      </w:r>
    </w:p>
    <w:p w14:paraId="0EE1D85D" w14:textId="77777777" w:rsidR="004F3C35" w:rsidRPr="00231B15" w:rsidRDefault="004F3C35" w:rsidP="004F3C35">
      <w:pPr>
        <w:spacing w:line="480" w:lineRule="auto"/>
        <w:rPr>
          <w:rFonts w:cs="Times New Roman"/>
          <w:color w:val="000000" w:themeColor="text1"/>
        </w:rPr>
      </w:pPr>
      <w:r w:rsidRPr="00231B15">
        <w:rPr>
          <w:rFonts w:cs="Times New Roman"/>
          <w:color w:val="000000" w:themeColor="text1"/>
        </w:rPr>
        <w:t>Telephone: 0151 794 3553</w:t>
      </w:r>
    </w:p>
    <w:p w14:paraId="093611AC" w14:textId="77777777" w:rsidR="004F3C35" w:rsidRPr="00231B15" w:rsidRDefault="004F3C35" w:rsidP="004F3C35">
      <w:pPr>
        <w:spacing w:line="480" w:lineRule="auto"/>
        <w:rPr>
          <w:rFonts w:cs="Times New Roman"/>
          <w:color w:val="000000" w:themeColor="text1"/>
        </w:rPr>
      </w:pPr>
      <w:r w:rsidRPr="00231B15">
        <w:rPr>
          <w:rFonts w:cs="Times New Roman"/>
          <w:color w:val="000000" w:themeColor="text1"/>
        </w:rPr>
        <w:t xml:space="preserve">E-mail: </w:t>
      </w:r>
      <w:hyperlink r:id="rId10" w:history="1">
        <w:r w:rsidRPr="00231B15">
          <w:rPr>
            <w:rStyle w:val="Hyperlink"/>
            <w:rFonts w:cs="Times New Roman"/>
            <w:color w:val="000000" w:themeColor="text1"/>
          </w:rPr>
          <w:t>pmoneill@liverpool.ac.uk</w:t>
        </w:r>
      </w:hyperlink>
    </w:p>
    <w:p w14:paraId="7A50BB90" w14:textId="77777777" w:rsidR="004F3C35" w:rsidRPr="00231B15" w:rsidRDefault="004F3C35" w:rsidP="004F3C35">
      <w:pPr>
        <w:spacing w:line="480" w:lineRule="auto"/>
        <w:rPr>
          <w:rFonts w:cs="Times New Roman"/>
          <w:b/>
          <w:bCs/>
          <w:color w:val="000000" w:themeColor="text1"/>
        </w:rPr>
      </w:pPr>
    </w:p>
    <w:p w14:paraId="4C8115D3" w14:textId="3F5243FF" w:rsidR="004F3C35" w:rsidRPr="00231B15" w:rsidRDefault="004F3C35" w:rsidP="004F3C35">
      <w:pPr>
        <w:spacing w:line="480" w:lineRule="auto"/>
        <w:rPr>
          <w:rFonts w:cs="Times New Roman"/>
          <w:color w:val="000000" w:themeColor="text1"/>
        </w:rPr>
      </w:pPr>
      <w:r w:rsidRPr="00231B15">
        <w:rPr>
          <w:rFonts w:cs="Times New Roman"/>
          <w:b/>
          <w:bCs/>
          <w:color w:val="000000" w:themeColor="text1"/>
        </w:rPr>
        <w:t xml:space="preserve"> </w:t>
      </w:r>
    </w:p>
    <w:p w14:paraId="0F2F0D22" w14:textId="77777777" w:rsidR="004F3C35" w:rsidRPr="00231B15" w:rsidRDefault="004F3C35" w:rsidP="004F3C35">
      <w:pPr>
        <w:spacing w:line="480" w:lineRule="auto"/>
        <w:rPr>
          <w:rFonts w:cs="Times New Roman"/>
          <w:color w:val="000000" w:themeColor="text1"/>
        </w:rPr>
        <w:sectPr w:rsidR="004F3C35" w:rsidRPr="00231B15">
          <w:type w:val="continuous"/>
          <w:pgSz w:w="11900" w:h="16840"/>
          <w:pgMar w:top="1440" w:right="1440" w:bottom="1440" w:left="1440" w:header="708" w:footer="708" w:gutter="0"/>
          <w:cols w:num="2" w:space="708"/>
          <w:docGrid w:linePitch="360"/>
        </w:sectPr>
      </w:pPr>
    </w:p>
    <w:p w14:paraId="348DE3B6" w14:textId="54D20831" w:rsidR="001F6EE9" w:rsidRDefault="00472052" w:rsidP="005C0D28">
      <w:pPr>
        <w:pStyle w:val="Heading1"/>
      </w:pPr>
      <w:r>
        <w:lastRenderedPageBreak/>
        <w:t>For Table of Contents Use Only</w:t>
      </w:r>
    </w:p>
    <w:p w14:paraId="1834D112" w14:textId="77777777" w:rsidR="00472052" w:rsidRPr="00231B15" w:rsidRDefault="00472052" w:rsidP="00472052">
      <w:pPr>
        <w:spacing w:after="0"/>
        <w:contextualSpacing/>
        <w:jc w:val="center"/>
        <w:rPr>
          <w:rFonts w:eastAsiaTheme="majorEastAsia" w:cs="Times New Roman"/>
          <w:b/>
          <w:bCs/>
          <w:spacing w:val="-10"/>
          <w:kern w:val="28"/>
          <w:sz w:val="28"/>
          <w:szCs w:val="28"/>
        </w:rPr>
      </w:pPr>
      <w:r w:rsidRPr="00231B15">
        <w:rPr>
          <w:rFonts w:eastAsiaTheme="majorEastAsia" w:cs="Times New Roman"/>
          <w:b/>
          <w:bCs/>
          <w:spacing w:val="-10"/>
          <w:kern w:val="28"/>
          <w:sz w:val="28"/>
          <w:szCs w:val="28"/>
        </w:rPr>
        <w:t>Enantioselective Synthesis</w:t>
      </w:r>
      <w:r>
        <w:rPr>
          <w:rFonts w:eastAsiaTheme="majorEastAsia" w:cs="Times New Roman"/>
          <w:b/>
          <w:bCs/>
          <w:spacing w:val="-10"/>
          <w:kern w:val="28"/>
          <w:sz w:val="28"/>
          <w:szCs w:val="28"/>
        </w:rPr>
        <w:t xml:space="preserve"> and Profiling</w:t>
      </w:r>
      <w:r w:rsidRPr="00231B15">
        <w:rPr>
          <w:rFonts w:eastAsiaTheme="majorEastAsia" w:cs="Times New Roman"/>
          <w:b/>
          <w:bCs/>
          <w:spacing w:val="-10"/>
          <w:kern w:val="28"/>
          <w:sz w:val="28"/>
          <w:szCs w:val="28"/>
        </w:rPr>
        <w:t xml:space="preserve"> of Potent, Non-linear Analogues of Antimalarial Tetraoxanes</w:t>
      </w:r>
      <w:r>
        <w:rPr>
          <w:rFonts w:eastAsiaTheme="majorEastAsia" w:cs="Times New Roman"/>
          <w:b/>
          <w:bCs/>
          <w:spacing w:val="-10"/>
          <w:kern w:val="28"/>
          <w:sz w:val="28"/>
          <w:szCs w:val="28"/>
        </w:rPr>
        <w:t xml:space="preserve"> E209 and N205 </w:t>
      </w:r>
    </w:p>
    <w:p w14:paraId="3D456539" w14:textId="18E0707E" w:rsidR="00472052" w:rsidRDefault="00472052" w:rsidP="00472052">
      <w:pPr>
        <w:spacing w:line="480" w:lineRule="auto"/>
        <w:rPr>
          <w:rFonts w:cs="Times New Roman"/>
          <w:color w:val="000000" w:themeColor="text1"/>
          <w:vertAlign w:val="superscript"/>
        </w:rPr>
      </w:pPr>
      <w:r w:rsidRPr="00231B15">
        <w:rPr>
          <w:rFonts w:cs="Times New Roman"/>
          <w:color w:val="000000" w:themeColor="text1"/>
        </w:rPr>
        <w:t>Christoph</w:t>
      </w:r>
      <w:bookmarkStart w:id="0" w:name="_GoBack"/>
      <w:bookmarkEnd w:id="0"/>
      <w:r w:rsidRPr="00231B15">
        <w:rPr>
          <w:rFonts w:cs="Times New Roman"/>
          <w:color w:val="000000" w:themeColor="text1"/>
        </w:rPr>
        <w:t>er Woodley</w:t>
      </w:r>
      <w:r w:rsidRPr="00231B15">
        <w:rPr>
          <w:rFonts w:cs="Times New Roman"/>
          <w:color w:val="000000" w:themeColor="text1"/>
          <w:vertAlign w:val="superscript"/>
        </w:rPr>
        <w:t>1</w:t>
      </w:r>
      <w:r w:rsidRPr="00231B15">
        <w:rPr>
          <w:rFonts w:cs="Times New Roman"/>
          <w:color w:val="000000" w:themeColor="text1"/>
        </w:rPr>
        <w:t>, Gemma L. Nixon</w:t>
      </w:r>
      <w:r w:rsidRPr="00231B15">
        <w:rPr>
          <w:rFonts w:cs="Times New Roman"/>
          <w:color w:val="000000" w:themeColor="text1"/>
          <w:vertAlign w:val="superscript"/>
        </w:rPr>
        <w:t>1</w:t>
      </w:r>
      <w:r w:rsidRPr="00231B15">
        <w:rPr>
          <w:rFonts w:cs="Times New Roman"/>
          <w:color w:val="000000" w:themeColor="text1"/>
        </w:rPr>
        <w:t xml:space="preserve">, </w:t>
      </w:r>
      <w:r w:rsidRPr="00936918">
        <w:rPr>
          <w:rFonts w:eastAsiaTheme="majorEastAsia" w:cs="Times New Roman"/>
          <w:bCs/>
          <w:spacing w:val="-10"/>
          <w:kern w:val="28"/>
          <w:sz w:val="24"/>
          <w:szCs w:val="24"/>
        </w:rPr>
        <w:t>Nicoletta Basilico</w:t>
      </w:r>
      <w:r w:rsidRPr="00141538">
        <w:rPr>
          <w:rFonts w:eastAsiaTheme="majorEastAsia" w:cs="Times New Roman"/>
          <w:bCs/>
          <w:spacing w:val="-10"/>
          <w:kern w:val="28"/>
          <w:vertAlign w:val="superscript"/>
        </w:rPr>
        <w:t>2</w:t>
      </w:r>
      <w:r>
        <w:rPr>
          <w:rFonts w:eastAsiaTheme="majorEastAsia" w:cs="Times New Roman"/>
          <w:bCs/>
          <w:spacing w:val="-10"/>
          <w:kern w:val="28"/>
          <w:vertAlign w:val="superscript"/>
        </w:rPr>
        <w:t>,7</w:t>
      </w:r>
      <w:r w:rsidRPr="00936918">
        <w:rPr>
          <w:rFonts w:eastAsiaTheme="majorEastAsia" w:cs="Times New Roman"/>
          <w:bCs/>
          <w:spacing w:val="-10"/>
          <w:kern w:val="28"/>
          <w:sz w:val="24"/>
          <w:szCs w:val="24"/>
        </w:rPr>
        <w:t>,</w:t>
      </w:r>
      <w:r w:rsidRPr="00231B15">
        <w:rPr>
          <w:rFonts w:cs="Times New Roman"/>
          <w:color w:val="000000" w:themeColor="text1"/>
        </w:rPr>
        <w:t xml:space="preserve"> </w:t>
      </w:r>
      <w:r w:rsidRPr="00936918">
        <w:rPr>
          <w:rFonts w:cs="Times New Roman"/>
          <w:bCs/>
        </w:rPr>
        <w:t>Silvia Parapini</w:t>
      </w:r>
      <w:r w:rsidRPr="00936918">
        <w:rPr>
          <w:rFonts w:cs="Times New Roman"/>
          <w:bCs/>
          <w:vertAlign w:val="superscript"/>
        </w:rPr>
        <w:t>3</w:t>
      </w:r>
      <w:r>
        <w:rPr>
          <w:rFonts w:cs="Times New Roman"/>
          <w:bCs/>
          <w:vertAlign w:val="superscript"/>
        </w:rPr>
        <w:t>,7</w:t>
      </w:r>
      <w:r w:rsidRPr="00231B15">
        <w:rPr>
          <w:rFonts w:cs="Times New Roman"/>
          <w:color w:val="000000" w:themeColor="text1"/>
        </w:rPr>
        <w:t>,Weiqian David Hong</w:t>
      </w:r>
      <w:r w:rsidRPr="00231B15">
        <w:rPr>
          <w:rFonts w:cs="Times New Roman"/>
          <w:color w:val="000000" w:themeColor="text1"/>
          <w:vertAlign w:val="superscript"/>
        </w:rPr>
        <w:t>1</w:t>
      </w:r>
      <w:r w:rsidRPr="00231B15">
        <w:rPr>
          <w:rFonts w:cs="Times New Roman"/>
          <w:color w:val="000000" w:themeColor="text1"/>
        </w:rPr>
        <w:t>, Stephen A. Ward</w:t>
      </w:r>
      <w:r>
        <w:rPr>
          <w:rFonts w:cs="Times New Roman"/>
          <w:color w:val="000000" w:themeColor="text1"/>
          <w:vertAlign w:val="superscript"/>
        </w:rPr>
        <w:t>4</w:t>
      </w:r>
      <w:r w:rsidRPr="00231B15">
        <w:rPr>
          <w:rFonts w:cs="Times New Roman"/>
          <w:color w:val="000000" w:themeColor="text1"/>
        </w:rPr>
        <w:t>, Giancarlo A. Biagini</w:t>
      </w:r>
      <w:r>
        <w:rPr>
          <w:rFonts w:cs="Times New Roman"/>
          <w:color w:val="000000" w:themeColor="text1"/>
          <w:vertAlign w:val="superscript"/>
        </w:rPr>
        <w:t>4</w:t>
      </w:r>
      <w:r w:rsidRPr="00231B15">
        <w:rPr>
          <w:rFonts w:cs="Times New Roman"/>
          <w:color w:val="000000" w:themeColor="text1"/>
        </w:rPr>
        <w:t>, Suet C. Leung</w:t>
      </w:r>
      <w:r w:rsidRPr="00231B15">
        <w:rPr>
          <w:rFonts w:cs="Times New Roman"/>
          <w:color w:val="000000" w:themeColor="text1"/>
          <w:vertAlign w:val="superscript"/>
        </w:rPr>
        <w:t>1</w:t>
      </w:r>
      <w:r w:rsidRPr="00231B15">
        <w:rPr>
          <w:rFonts w:cs="Times New Roman"/>
          <w:color w:val="000000" w:themeColor="text1"/>
        </w:rPr>
        <w:t xml:space="preserve"> </w:t>
      </w:r>
      <w:r w:rsidRPr="00936918">
        <w:rPr>
          <w:rFonts w:cs="Times New Roman"/>
          <w:bCs/>
        </w:rPr>
        <w:t>Donatella Taramelli</w:t>
      </w:r>
      <w:r>
        <w:rPr>
          <w:rFonts w:cs="Times New Roman"/>
          <w:bCs/>
          <w:vertAlign w:val="superscript"/>
        </w:rPr>
        <w:t>5,7</w:t>
      </w:r>
      <w:r w:rsidRPr="00231B15">
        <w:rPr>
          <w:rFonts w:cs="Times New Roman"/>
          <w:color w:val="000000" w:themeColor="text1"/>
        </w:rPr>
        <w:t xml:space="preserve"> , Keiko Onuma</w:t>
      </w:r>
      <w:r>
        <w:rPr>
          <w:rFonts w:cs="Times New Roman"/>
          <w:color w:val="000000" w:themeColor="text1"/>
          <w:vertAlign w:val="superscript"/>
        </w:rPr>
        <w:t>6</w:t>
      </w:r>
      <w:r w:rsidRPr="00231B15">
        <w:rPr>
          <w:rFonts w:cs="Times New Roman"/>
          <w:color w:val="000000" w:themeColor="text1"/>
        </w:rPr>
        <w:t>, Takashi Hasebe</w:t>
      </w:r>
      <w:r>
        <w:rPr>
          <w:rFonts w:cs="Times New Roman"/>
          <w:color w:val="000000" w:themeColor="text1"/>
          <w:vertAlign w:val="superscript"/>
        </w:rPr>
        <w:t>6</w:t>
      </w:r>
      <w:r w:rsidRPr="00231B15">
        <w:rPr>
          <w:rFonts w:cs="Times New Roman"/>
          <w:color w:val="000000" w:themeColor="text1"/>
        </w:rPr>
        <w:t xml:space="preserve"> and </w:t>
      </w:r>
      <w:r w:rsidRPr="00231B15">
        <w:rPr>
          <w:rFonts w:cs="Times New Roman"/>
          <w:color w:val="000000" w:themeColor="text1"/>
          <w:vertAlign w:val="superscript"/>
        </w:rPr>
        <w:t>*</w:t>
      </w:r>
      <w:r w:rsidRPr="00231B15">
        <w:rPr>
          <w:rFonts w:cs="Times New Roman"/>
          <w:color w:val="000000" w:themeColor="text1"/>
        </w:rPr>
        <w:t xml:space="preserve"> Paul M. O’Neill</w:t>
      </w:r>
      <w:r w:rsidRPr="00231B15">
        <w:rPr>
          <w:rFonts w:cs="Times New Roman"/>
          <w:color w:val="000000" w:themeColor="text1"/>
          <w:vertAlign w:val="superscript"/>
        </w:rPr>
        <w:t>1*</w:t>
      </w:r>
    </w:p>
    <w:p w14:paraId="0447C09A" w14:textId="79164E8B" w:rsidR="00472052" w:rsidRDefault="00096FEB" w:rsidP="005C0D28">
      <w:pPr>
        <w:spacing w:line="480" w:lineRule="auto"/>
        <w:jc w:val="center"/>
        <w:rPr>
          <w:rFonts w:cs="Times New Roman"/>
          <w:color w:val="000000" w:themeColor="text1"/>
          <w:vertAlign w:val="superscript"/>
        </w:rPr>
      </w:pPr>
      <w:r>
        <w:rPr>
          <w:rFonts w:cs="Times New Roman"/>
          <w:noProof/>
          <w:color w:val="000000" w:themeColor="text1"/>
          <w:vertAlign w:val="superscript"/>
          <w:lang w:eastAsia="en-GB"/>
        </w:rPr>
        <w:drawing>
          <wp:inline distT="0" distB="0" distL="0" distR="0" wp14:anchorId="67D0223B" wp14:editId="01EEBF80">
            <wp:extent cx="3168000" cy="12618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C Graphic 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8000" cy="1261872"/>
                    </a:xfrm>
                    <a:prstGeom prst="rect">
                      <a:avLst/>
                    </a:prstGeom>
                  </pic:spPr>
                </pic:pic>
              </a:graphicData>
            </a:graphic>
          </wp:inline>
        </w:drawing>
      </w:r>
    </w:p>
    <w:p w14:paraId="4C75D6B2" w14:textId="77777777" w:rsidR="00472052" w:rsidRPr="00231B15" w:rsidRDefault="00472052" w:rsidP="00472052">
      <w:pPr>
        <w:spacing w:line="480" w:lineRule="auto"/>
        <w:rPr>
          <w:rFonts w:cs="Times New Roman"/>
          <w:color w:val="000000" w:themeColor="text1"/>
        </w:rPr>
      </w:pPr>
    </w:p>
    <w:p w14:paraId="18911080" w14:textId="4F1C6801" w:rsidR="00472052" w:rsidRPr="005C0D28" w:rsidRDefault="00472052" w:rsidP="005C0D28">
      <w:pPr>
        <w:jc w:val="center"/>
      </w:pPr>
    </w:p>
    <w:p w14:paraId="30C29745" w14:textId="77777777" w:rsidR="00472052" w:rsidRDefault="00472052">
      <w:pPr>
        <w:spacing w:line="259" w:lineRule="auto"/>
        <w:jc w:val="left"/>
        <w:rPr>
          <w:rFonts w:cs="Times New Roman"/>
          <w:lang w:eastAsia="zh-CN"/>
        </w:rPr>
      </w:pPr>
      <w:r>
        <w:rPr>
          <w:rFonts w:cs="Times New Roman"/>
          <w:lang w:eastAsia="zh-CN"/>
        </w:rPr>
        <w:br w:type="page"/>
      </w:r>
    </w:p>
    <w:p w14:paraId="6073F7DB" w14:textId="3F6F6D58" w:rsidR="0049645C" w:rsidRPr="005C0D28" w:rsidRDefault="0049645C" w:rsidP="00472052">
      <w:pPr>
        <w:rPr>
          <w:rFonts w:cs="Times New Roman"/>
          <w:b/>
          <w:sz w:val="28"/>
          <w:szCs w:val="28"/>
          <w:lang w:eastAsia="zh-CN"/>
        </w:rPr>
      </w:pPr>
      <w:r w:rsidRPr="005C0D28">
        <w:rPr>
          <w:rFonts w:cs="Times New Roman"/>
          <w:b/>
          <w:sz w:val="28"/>
          <w:szCs w:val="28"/>
          <w:lang w:eastAsia="zh-CN"/>
        </w:rPr>
        <w:lastRenderedPageBreak/>
        <w:t>Abstr</w:t>
      </w:r>
      <w:r w:rsidR="004765FA" w:rsidRPr="005C0D28">
        <w:rPr>
          <w:rFonts w:cs="Times New Roman"/>
          <w:b/>
          <w:sz w:val="28"/>
          <w:szCs w:val="28"/>
          <w:lang w:eastAsia="zh-CN"/>
        </w:rPr>
        <w:t>act</w:t>
      </w:r>
    </w:p>
    <w:p w14:paraId="6845B1A2" w14:textId="77777777" w:rsidR="0049645C" w:rsidRPr="00231B15" w:rsidRDefault="0049645C" w:rsidP="009F2E5F">
      <w:pPr>
        <w:rPr>
          <w:rFonts w:cs="Times New Roman"/>
          <w:lang w:eastAsia="zh-CN"/>
        </w:rPr>
      </w:pPr>
    </w:p>
    <w:p w14:paraId="41AC82D1" w14:textId="63AADD6C" w:rsidR="00182760" w:rsidRPr="00231B15" w:rsidRDefault="000B6AC5" w:rsidP="009F2E5F">
      <w:pPr>
        <w:rPr>
          <w:rFonts w:cs="Times New Roman"/>
        </w:rPr>
      </w:pPr>
      <w:r w:rsidRPr="00231B15">
        <w:rPr>
          <w:rFonts w:cs="Times New Roman"/>
          <w:lang w:eastAsia="zh-CN"/>
        </w:rPr>
        <w:t>Synthetic endoperoxide antimalarials, such as 1</w:t>
      </w:r>
      <w:proofErr w:type="gramStart"/>
      <w:r w:rsidRPr="00231B15">
        <w:rPr>
          <w:rFonts w:cs="Times New Roman"/>
          <w:lang w:eastAsia="zh-CN"/>
        </w:rPr>
        <w:t>,2,4</w:t>
      </w:r>
      <w:proofErr w:type="gramEnd"/>
      <w:r w:rsidRPr="00231B15">
        <w:rPr>
          <w:rFonts w:cs="Times New Roman"/>
          <w:lang w:eastAsia="zh-CN"/>
        </w:rPr>
        <w:t xml:space="preserve">-trioxolanes and 1,2,4,5-tetraoxanes are promising </w:t>
      </w:r>
      <w:r w:rsidR="00AA618B" w:rsidRPr="00231B15">
        <w:rPr>
          <w:rFonts w:cs="Times New Roman"/>
          <w:lang w:eastAsia="zh-CN"/>
        </w:rPr>
        <w:t xml:space="preserve">successors for </w:t>
      </w:r>
      <w:r w:rsidR="00F07831">
        <w:rPr>
          <w:rFonts w:cs="Times New Roman"/>
          <w:lang w:eastAsia="zh-CN"/>
        </w:rPr>
        <w:t>current</w:t>
      </w:r>
      <w:r w:rsidR="00AA618B" w:rsidRPr="00231B15">
        <w:rPr>
          <w:rFonts w:cs="Times New Roman"/>
          <w:lang w:eastAsia="zh-CN"/>
        </w:rPr>
        <w:t xml:space="preserve"> front-line antimalarial</w:t>
      </w:r>
      <w:r w:rsidR="00F07831">
        <w:rPr>
          <w:rFonts w:cs="Times New Roman"/>
          <w:lang w:eastAsia="zh-CN"/>
        </w:rPr>
        <w:t>s</w:t>
      </w:r>
      <w:r w:rsidR="00AA618B" w:rsidRPr="00231B15">
        <w:rPr>
          <w:rFonts w:cs="Times New Roman"/>
          <w:lang w:eastAsia="zh-CN"/>
        </w:rPr>
        <w:t>, semi-synthetic artemisinin derivatives</w:t>
      </w:r>
      <w:r w:rsidR="00F07831">
        <w:rPr>
          <w:rFonts w:cs="Times New Roman"/>
          <w:lang w:eastAsia="zh-CN"/>
        </w:rPr>
        <w:t>.</w:t>
      </w:r>
      <w:r w:rsidR="00AA618B" w:rsidRPr="00231B15">
        <w:rPr>
          <w:rFonts w:cs="Times New Roman"/>
          <w:lang w:eastAsia="zh-CN"/>
        </w:rPr>
        <w:t xml:space="preserve"> </w:t>
      </w:r>
      <w:r w:rsidR="00F07831">
        <w:rPr>
          <w:rFonts w:cs="Times New Roman"/>
          <w:lang w:eastAsia="zh-CN"/>
        </w:rPr>
        <w:t>However,</w:t>
      </w:r>
      <w:r w:rsidR="00AA618B" w:rsidRPr="00231B15">
        <w:rPr>
          <w:rFonts w:cs="Times New Roman"/>
          <w:lang w:eastAsia="zh-CN"/>
        </w:rPr>
        <w:t xml:space="preserve"> limited solubility</w:t>
      </w:r>
      <w:r w:rsidR="00106224">
        <w:rPr>
          <w:rFonts w:cs="Times New Roman"/>
          <w:lang w:eastAsia="zh-CN"/>
        </w:rPr>
        <w:t xml:space="preserve"> of second-generation analogues</w:t>
      </w:r>
      <w:r w:rsidR="00AA618B" w:rsidRPr="00231B15">
        <w:rPr>
          <w:rFonts w:cs="Times New Roman"/>
          <w:lang w:eastAsia="zh-CN"/>
        </w:rPr>
        <w:t xml:space="preserve"> in biological relevant media </w:t>
      </w:r>
      <w:r w:rsidR="00F07831">
        <w:rPr>
          <w:rFonts w:cs="Times New Roman"/>
          <w:lang w:eastAsia="zh-CN"/>
        </w:rPr>
        <w:t>represents a barrier</w:t>
      </w:r>
      <w:r w:rsidR="00AA618B" w:rsidRPr="00231B15">
        <w:rPr>
          <w:rFonts w:cs="Times New Roman"/>
          <w:lang w:eastAsia="zh-CN"/>
        </w:rPr>
        <w:t xml:space="preserve"> in clinical development. </w:t>
      </w:r>
      <w:r w:rsidR="006E3B16" w:rsidRPr="00231B15">
        <w:rPr>
          <w:rFonts w:cs="Times New Roman"/>
        </w:rPr>
        <w:t>We present methodology for the synthesis of non-linear analogues of second generation tetraoxane antimalarials</w:t>
      </w:r>
      <w:r w:rsidR="001D7D7A" w:rsidRPr="00231B15">
        <w:rPr>
          <w:rFonts w:cs="Times New Roman"/>
        </w:rPr>
        <w:t xml:space="preserve"> E209 and N205</w:t>
      </w:r>
      <w:r w:rsidR="006E3B16" w:rsidRPr="00231B15">
        <w:rPr>
          <w:rFonts w:cs="Times New Roman"/>
        </w:rPr>
        <w:t xml:space="preserve"> </w:t>
      </w:r>
      <w:r w:rsidR="00F07831">
        <w:rPr>
          <w:rFonts w:cs="Times New Roman"/>
        </w:rPr>
        <w:t>to investigate</w:t>
      </w:r>
      <w:r w:rsidR="006E3B16" w:rsidRPr="00231B15">
        <w:rPr>
          <w:rFonts w:cs="Times New Roman"/>
        </w:rPr>
        <w:t xml:space="preserve"> reduced molecular symmetry on </w:t>
      </w:r>
      <w:r w:rsidR="00140F2D" w:rsidRPr="00231B15">
        <w:rPr>
          <w:rFonts w:cs="Times New Roman"/>
          <w:i/>
        </w:rPr>
        <w:t>in vitro</w:t>
      </w:r>
      <w:r w:rsidR="00140F2D" w:rsidRPr="00231B15">
        <w:rPr>
          <w:rFonts w:cs="Times New Roman"/>
        </w:rPr>
        <w:t xml:space="preserve"> antimalarial </w:t>
      </w:r>
      <w:r w:rsidR="006E3B16" w:rsidRPr="00231B15">
        <w:rPr>
          <w:rFonts w:cs="Times New Roman"/>
        </w:rPr>
        <w:t xml:space="preserve">activity and physicochemical properties. </w:t>
      </w:r>
      <w:r w:rsidR="00AA618B" w:rsidRPr="00231B15">
        <w:rPr>
          <w:rFonts w:cs="Times New Roman"/>
          <w:lang w:eastAsia="zh-CN"/>
        </w:rPr>
        <w:t>Whil</w:t>
      </w:r>
      <w:r w:rsidR="00A04B1A" w:rsidRPr="00231B15">
        <w:rPr>
          <w:rFonts w:cs="Times New Roman"/>
          <w:lang w:eastAsia="zh-CN"/>
        </w:rPr>
        <w:t>st</w:t>
      </w:r>
      <w:r w:rsidR="00AA618B" w:rsidRPr="00231B15">
        <w:rPr>
          <w:rFonts w:cs="Times New Roman"/>
          <w:lang w:eastAsia="zh-CN"/>
        </w:rPr>
        <w:t xml:space="preserve"> maintaining good antimalarial activity and metabolic stability,</w:t>
      </w:r>
      <w:r w:rsidR="001D7D7A" w:rsidRPr="00231B15">
        <w:rPr>
          <w:rFonts w:cs="Times New Roman"/>
        </w:rPr>
        <w:t xml:space="preserve"> </w:t>
      </w:r>
      <w:r w:rsidR="00AA618B" w:rsidRPr="00231B15">
        <w:rPr>
          <w:rFonts w:cs="Times New Roman"/>
          <w:lang w:eastAsia="zh-CN"/>
        </w:rPr>
        <w:t>h</w:t>
      </w:r>
      <w:r w:rsidR="00AA618B" w:rsidRPr="00231B15">
        <w:rPr>
          <w:rFonts w:cs="Times New Roman"/>
        </w:rPr>
        <w:t>ead</w:t>
      </w:r>
      <w:r w:rsidR="001D7D7A" w:rsidRPr="00231B15">
        <w:rPr>
          <w:rFonts w:cs="Times New Roman"/>
        </w:rPr>
        <w:t xml:space="preserve">-to-head comparison of linear and non-linear counterparts showed </w:t>
      </w:r>
      <w:r w:rsidR="00B64B3C">
        <w:rPr>
          <w:rFonts w:cs="Times New Roman"/>
        </w:rPr>
        <w:t>up to ten-fold</w:t>
      </w:r>
      <w:r w:rsidR="00E607B5" w:rsidRPr="00231B15">
        <w:rPr>
          <w:rFonts w:cs="Times New Roman"/>
        </w:rPr>
        <w:t xml:space="preserve"> improvement </w:t>
      </w:r>
      <w:r w:rsidR="00B64B3C">
        <w:rPr>
          <w:rFonts w:cs="Times New Roman"/>
        </w:rPr>
        <w:t xml:space="preserve">in </w:t>
      </w:r>
      <w:proofErr w:type="spellStart"/>
      <w:r w:rsidR="00B64B3C">
        <w:rPr>
          <w:rFonts w:cs="Times New Roman"/>
        </w:rPr>
        <w:t>FaSSIF</w:t>
      </w:r>
      <w:proofErr w:type="spellEnd"/>
      <w:r w:rsidR="00B64B3C">
        <w:rPr>
          <w:rFonts w:cs="Times New Roman"/>
        </w:rPr>
        <w:t xml:space="preserve"> solubility </w:t>
      </w:r>
      <w:r w:rsidR="00E607B5" w:rsidRPr="00231B15">
        <w:rPr>
          <w:rFonts w:cs="Times New Roman"/>
        </w:rPr>
        <w:t>for three of the four analogues studied</w:t>
      </w:r>
      <w:r w:rsidR="001D7D7A" w:rsidRPr="00231B15">
        <w:rPr>
          <w:rFonts w:cs="Times New Roman"/>
        </w:rPr>
        <w:t xml:space="preserve">. </w:t>
      </w:r>
      <w:r w:rsidR="00EB5C18">
        <w:rPr>
          <w:rFonts w:cs="Times New Roman"/>
          <w:lang w:eastAsia="zh-CN"/>
        </w:rPr>
        <w:t>Pharmacokinetic</w:t>
      </w:r>
      <w:r w:rsidR="008171A9">
        <w:rPr>
          <w:rFonts w:cs="Times New Roman" w:hint="eastAsia"/>
          <w:lang w:eastAsia="zh-CN"/>
        </w:rPr>
        <w:t xml:space="preserve"> studies in the rat comparing </w:t>
      </w:r>
      <w:r w:rsidR="00EB5C18">
        <w:rPr>
          <w:rFonts w:cs="Times New Roman"/>
          <w:lang w:eastAsia="zh-CN"/>
        </w:rPr>
        <w:t>a</w:t>
      </w:r>
      <w:r w:rsidR="008171A9">
        <w:rPr>
          <w:rFonts w:cs="Times New Roman" w:hint="eastAsia"/>
          <w:lang w:eastAsia="zh-CN"/>
        </w:rPr>
        <w:t xml:space="preserve"> selected non-linear analogue</w:t>
      </w:r>
      <w:r w:rsidR="00EB5C18">
        <w:rPr>
          <w:rFonts w:cs="Times New Roman"/>
          <w:lang w:eastAsia="zh-CN"/>
        </w:rPr>
        <w:t xml:space="preserve"> </w:t>
      </w:r>
      <w:r w:rsidR="00EB5C18" w:rsidRPr="00B97DCD">
        <w:rPr>
          <w:rFonts w:cs="Times New Roman"/>
          <w:b/>
          <w:bCs/>
          <w:lang w:eastAsia="zh-CN"/>
        </w:rPr>
        <w:t>14a</w:t>
      </w:r>
      <w:r w:rsidR="008171A9">
        <w:rPr>
          <w:rFonts w:cs="Times New Roman" w:hint="eastAsia"/>
          <w:lang w:eastAsia="zh-CN"/>
        </w:rPr>
        <w:t xml:space="preserve"> and its parent</w:t>
      </w:r>
      <w:r w:rsidR="00EB5C18">
        <w:rPr>
          <w:rFonts w:cs="Times New Roman"/>
          <w:lang w:eastAsia="zh-CN"/>
        </w:rPr>
        <w:t xml:space="preserve"> N205</w:t>
      </w:r>
      <w:r w:rsidR="008171A9">
        <w:rPr>
          <w:rFonts w:cs="Times New Roman" w:hint="eastAsia"/>
          <w:lang w:eastAsia="zh-CN"/>
        </w:rPr>
        <w:t xml:space="preserve"> showed </w:t>
      </w:r>
      <w:r w:rsidR="00F07831">
        <w:rPr>
          <w:rFonts w:cs="Times New Roman"/>
          <w:lang w:eastAsia="zh-CN"/>
        </w:rPr>
        <w:t>improvement</w:t>
      </w:r>
      <w:r w:rsidR="008171A9">
        <w:rPr>
          <w:rFonts w:cs="Times New Roman" w:hint="eastAsia"/>
          <w:lang w:eastAsia="zh-CN"/>
        </w:rPr>
        <w:t xml:space="preserve"> </w:t>
      </w:r>
      <w:r w:rsidR="00A32AC9">
        <w:rPr>
          <w:rFonts w:cs="Times New Roman"/>
          <w:lang w:eastAsia="zh-CN"/>
        </w:rPr>
        <w:t>o</w:t>
      </w:r>
      <w:r w:rsidR="008171A9">
        <w:rPr>
          <w:rFonts w:cs="Times New Roman" w:hint="eastAsia"/>
          <w:lang w:eastAsia="zh-CN"/>
        </w:rPr>
        <w:t xml:space="preserve">n oral absorption and exposure </w:t>
      </w:r>
      <w:r w:rsidR="008171A9" w:rsidRPr="008171A9">
        <w:rPr>
          <w:rFonts w:cs="Times New Roman" w:hint="eastAsia"/>
          <w:i/>
          <w:lang w:eastAsia="zh-CN"/>
        </w:rPr>
        <w:t>in vivo</w:t>
      </w:r>
      <w:r w:rsidR="005755EF">
        <w:rPr>
          <w:rFonts w:cs="Times New Roman"/>
          <w:lang w:eastAsia="zh-CN"/>
        </w:rPr>
        <w:t xml:space="preserve"> </w:t>
      </w:r>
      <w:r w:rsidR="00EB5C18">
        <w:rPr>
          <w:rFonts w:cs="Times New Roman"/>
          <w:lang w:eastAsia="zh-CN"/>
        </w:rPr>
        <w:t>with more than double the AUC and a significant increase in oral bioavailability (76% versus 41%)</w:t>
      </w:r>
      <w:r w:rsidR="005755EF">
        <w:rPr>
          <w:rFonts w:cs="Times New Roman"/>
          <w:lang w:eastAsia="zh-CN"/>
        </w:rPr>
        <w:t>.</w:t>
      </w:r>
      <w:r w:rsidR="008171A9">
        <w:rPr>
          <w:rFonts w:cs="Times New Roman" w:hint="eastAsia"/>
          <w:lang w:eastAsia="zh-CN"/>
        </w:rPr>
        <w:t xml:space="preserve"> </w:t>
      </w:r>
      <w:r w:rsidR="00F07831">
        <w:rPr>
          <w:rFonts w:cs="Times New Roman"/>
          <w:lang w:eastAsia="zh-CN"/>
        </w:rPr>
        <w:t xml:space="preserve">These findings provide support for further </w:t>
      </w:r>
      <w:r w:rsidR="00F07831" w:rsidRPr="00F07831">
        <w:rPr>
          <w:rFonts w:cs="Times New Roman"/>
          <w:i/>
          <w:szCs w:val="28"/>
          <w:lang w:eastAsia="zh-CN"/>
        </w:rPr>
        <w:t>in vivo</w:t>
      </w:r>
      <w:r w:rsidR="00F07831">
        <w:rPr>
          <w:rFonts w:cs="Times New Roman"/>
          <w:i/>
          <w:lang w:eastAsia="zh-CN"/>
        </w:rPr>
        <w:t xml:space="preserve"> </w:t>
      </w:r>
      <w:r w:rsidR="00F07831">
        <w:rPr>
          <w:rFonts w:cs="Times New Roman"/>
          <w:lang w:eastAsia="zh-CN"/>
        </w:rPr>
        <w:t>efficacy studies in preclinical animal species.</w:t>
      </w:r>
    </w:p>
    <w:p w14:paraId="390FFEF7" w14:textId="58462931" w:rsidR="00182760" w:rsidRPr="00231B15" w:rsidRDefault="00182760" w:rsidP="00182760">
      <w:pPr>
        <w:pStyle w:val="NormalWeb"/>
      </w:pPr>
      <w:r w:rsidRPr="00487E0A">
        <w:rPr>
          <w:b/>
          <w:bCs/>
          <w:sz w:val="20"/>
          <w:szCs w:val="20"/>
        </w:rPr>
        <w:t>KEYWORDS</w:t>
      </w:r>
      <w:r w:rsidRPr="00231B15">
        <w:rPr>
          <w:sz w:val="20"/>
          <w:szCs w:val="20"/>
        </w:rPr>
        <w:t xml:space="preserve">: </w:t>
      </w:r>
      <w:r w:rsidR="00E84C6C" w:rsidRPr="00231B15">
        <w:rPr>
          <w:sz w:val="20"/>
          <w:szCs w:val="20"/>
        </w:rPr>
        <w:t>Endoperoxide</w:t>
      </w:r>
      <w:r w:rsidRPr="00231B15">
        <w:rPr>
          <w:sz w:val="20"/>
          <w:szCs w:val="20"/>
        </w:rPr>
        <w:t xml:space="preserve">, antimalarial, </w:t>
      </w:r>
      <w:r w:rsidRPr="00E26468">
        <w:rPr>
          <w:i/>
          <w:sz w:val="20"/>
          <w:szCs w:val="20"/>
        </w:rPr>
        <w:t>Plasmodium falciparum</w:t>
      </w:r>
      <w:r w:rsidRPr="00231B15">
        <w:rPr>
          <w:sz w:val="20"/>
          <w:szCs w:val="20"/>
        </w:rPr>
        <w:t xml:space="preserve">, </w:t>
      </w:r>
      <w:r w:rsidR="00E84C6C" w:rsidRPr="00231B15">
        <w:rPr>
          <w:sz w:val="20"/>
          <w:szCs w:val="20"/>
        </w:rPr>
        <w:t>asymmetry</w:t>
      </w:r>
      <w:r w:rsidRPr="00231B15">
        <w:rPr>
          <w:sz w:val="20"/>
          <w:szCs w:val="20"/>
        </w:rPr>
        <w:t xml:space="preserve">, </w:t>
      </w:r>
      <w:r w:rsidR="00106224">
        <w:rPr>
          <w:sz w:val="20"/>
          <w:szCs w:val="20"/>
        </w:rPr>
        <w:t xml:space="preserve">melting point, </w:t>
      </w:r>
      <w:r w:rsidR="00E84C6C" w:rsidRPr="00231B15">
        <w:rPr>
          <w:sz w:val="20"/>
          <w:szCs w:val="20"/>
        </w:rPr>
        <w:t>solubility</w:t>
      </w:r>
      <w:r w:rsidRPr="00231B15">
        <w:rPr>
          <w:sz w:val="20"/>
          <w:szCs w:val="20"/>
        </w:rPr>
        <w:t xml:space="preserve"> </w:t>
      </w:r>
    </w:p>
    <w:p w14:paraId="71CD7B4E" w14:textId="77777777" w:rsidR="00182760" w:rsidRPr="00231B15" w:rsidRDefault="00182760" w:rsidP="009F2E5F">
      <w:pPr>
        <w:rPr>
          <w:rFonts w:cs="Times New Roman"/>
        </w:rPr>
      </w:pPr>
    </w:p>
    <w:p w14:paraId="6CCECBF3" w14:textId="77777777" w:rsidR="00182760" w:rsidRPr="00231B15" w:rsidRDefault="00182760" w:rsidP="009F2E5F">
      <w:pPr>
        <w:rPr>
          <w:rFonts w:cs="Times New Roman"/>
        </w:rPr>
      </w:pPr>
    </w:p>
    <w:p w14:paraId="598AFD07" w14:textId="77777777" w:rsidR="00472052" w:rsidRDefault="00472052">
      <w:pPr>
        <w:spacing w:line="259" w:lineRule="auto"/>
        <w:jc w:val="left"/>
        <w:rPr>
          <w:rFonts w:cs="Times New Roman"/>
        </w:rPr>
      </w:pPr>
      <w:r>
        <w:rPr>
          <w:rFonts w:cs="Times New Roman"/>
        </w:rPr>
        <w:br w:type="page"/>
      </w:r>
    </w:p>
    <w:p w14:paraId="1F8423ED" w14:textId="276B46E1" w:rsidR="00626096" w:rsidRPr="00231B15" w:rsidRDefault="00507C8C" w:rsidP="008113FF">
      <w:pPr>
        <w:rPr>
          <w:rFonts w:cs="Times New Roman"/>
        </w:rPr>
      </w:pPr>
      <w:r w:rsidRPr="00231B15">
        <w:rPr>
          <w:rFonts w:cs="Times New Roman"/>
        </w:rPr>
        <w:lastRenderedPageBreak/>
        <w:t xml:space="preserve">Artemisinin combination therapies (ACTs) are currently the </w:t>
      </w:r>
      <w:r w:rsidR="007D5437" w:rsidRPr="00231B15">
        <w:rPr>
          <w:rFonts w:cs="Times New Roman"/>
        </w:rPr>
        <w:t>front-line</w:t>
      </w:r>
      <w:r w:rsidRPr="00231B15">
        <w:rPr>
          <w:rFonts w:cs="Times New Roman"/>
        </w:rPr>
        <w:t xml:space="preserve"> treatment for uncomplicated malaria. All World Health Organisation (WHO) approved ACTs contain a fast acting semi-synthetic </w:t>
      </w:r>
      <w:r w:rsidR="001F6EE9">
        <w:rPr>
          <w:rFonts w:cs="Times New Roman"/>
        </w:rPr>
        <w:t xml:space="preserve">short half-life </w:t>
      </w:r>
      <w:r w:rsidRPr="00231B15">
        <w:rPr>
          <w:rFonts w:cs="Times New Roman"/>
        </w:rPr>
        <w:t>artemisinin (ART</w:t>
      </w:r>
      <w:r w:rsidR="00AE48E1" w:rsidRPr="00231B15">
        <w:rPr>
          <w:rFonts w:cs="Times New Roman"/>
        </w:rPr>
        <w:t xml:space="preserve">, </w:t>
      </w:r>
      <w:r w:rsidR="004F49C2" w:rsidRPr="00231B15">
        <w:rPr>
          <w:rFonts w:cs="Times New Roman"/>
        </w:rPr>
        <w:t>F</w:t>
      </w:r>
      <w:r w:rsidR="00AE48E1" w:rsidRPr="00231B15">
        <w:rPr>
          <w:rFonts w:cs="Times New Roman"/>
        </w:rPr>
        <w:t xml:space="preserve">igure </w:t>
      </w:r>
      <w:r w:rsidR="004F49C2" w:rsidRPr="00231B15">
        <w:rPr>
          <w:rFonts w:cs="Times New Roman"/>
        </w:rPr>
        <w:t>1</w:t>
      </w:r>
      <w:r w:rsidRPr="00231B15">
        <w:rPr>
          <w:rFonts w:cs="Times New Roman"/>
        </w:rPr>
        <w:t xml:space="preserve">) derivative alongside a partner drug </w:t>
      </w:r>
      <w:r w:rsidR="001F6EE9">
        <w:rPr>
          <w:rFonts w:cs="Times New Roman"/>
        </w:rPr>
        <w:t xml:space="preserve">with a longer half-life </w:t>
      </w:r>
      <w:r w:rsidRPr="00231B15">
        <w:rPr>
          <w:rFonts w:cs="Times New Roman"/>
        </w:rPr>
        <w:t>to maintain a prolonged para</w:t>
      </w:r>
      <w:r w:rsidR="00EB5C18">
        <w:rPr>
          <w:rFonts w:cs="Times New Roman"/>
        </w:rPr>
        <w:t>s</w:t>
      </w:r>
      <w:r w:rsidRPr="00231B15">
        <w:rPr>
          <w:rFonts w:cs="Times New Roman"/>
        </w:rPr>
        <w:t xml:space="preserve">iticidal </w:t>
      </w:r>
      <w:r w:rsidR="001F6EE9">
        <w:rPr>
          <w:rFonts w:cs="Times New Roman"/>
        </w:rPr>
        <w:t>effect</w:t>
      </w:r>
      <w:r w:rsidRPr="00231B15">
        <w:rPr>
          <w:rFonts w:cs="Times New Roman"/>
        </w:rPr>
        <w:t>.</w:t>
      </w:r>
      <w:r w:rsidR="006F1E6D" w:rsidRPr="00231B15">
        <w:rPr>
          <w:rFonts w:cs="Times New Roman"/>
        </w:rPr>
        <w:fldChar w:fldCharType="begin" w:fldLock="1"/>
      </w:r>
      <w:r w:rsidR="00255C09" w:rsidRPr="00231B15">
        <w:rPr>
          <w:rFonts w:cs="Times New Roman"/>
        </w:rPr>
        <w:instrText>ADDIN CSL_CITATION {"citationItems":[{"id":"ITEM-1","itemData":{"abstract":"These guidelines consist of recommendations on the diagnosis and treatment of uncomplicated and severe malaria, including among at-risk populations (young children, pregnant women, tuberculosis or HIV/AIDS patients, non-immune travellers), in epidemic situations and in humanitarian emergencies. They also include recommendations on the use of drugs to prevent malaria in high-risk groups. The guidelines support national policy-makers and health care providers to design and implement effective national treatment policies and protocols; promote the use of safe, effective malaria treatment; and protect currently effective malaria treatment against the development of resistance.","author":[{"dropping-particle":"","family":"WHO","given":"","non-dropping-particle":"","parse-names":false,"suffix":""}],"id":"ITEM-1","issued":{"date-parts":[["2015"]]},"title":"Guidelines for the treatment of malaria, 3rd edition","type":"report"},"uris":["http://www.mendeley.com/documents/?uuid=0e922660-9bfd-4072-843c-24d1f762b167"]}],"mendeley":{"formattedCitation":"&lt;sup&gt;1&lt;/sup&gt;","plainTextFormattedCitation":"1","previouslyFormattedCitation":"&lt;sup&gt;1&lt;/sup&gt;"},"properties":{"noteIndex":0},"schema":"https://github.com/citation-style-language/schema/raw/master/csl-citation.json"}</w:instrText>
      </w:r>
      <w:r w:rsidR="006F1E6D" w:rsidRPr="00231B15">
        <w:rPr>
          <w:rFonts w:cs="Times New Roman"/>
        </w:rPr>
        <w:fldChar w:fldCharType="separate"/>
      </w:r>
      <w:r w:rsidR="006F1E6D" w:rsidRPr="00231B15">
        <w:rPr>
          <w:rFonts w:cs="Times New Roman"/>
          <w:noProof/>
          <w:vertAlign w:val="superscript"/>
        </w:rPr>
        <w:t>1</w:t>
      </w:r>
      <w:r w:rsidR="006F1E6D" w:rsidRPr="00231B15">
        <w:rPr>
          <w:rFonts w:cs="Times New Roman"/>
        </w:rPr>
        <w:fldChar w:fldCharType="end"/>
      </w:r>
      <w:r w:rsidRPr="00231B15">
        <w:rPr>
          <w:rFonts w:cs="Times New Roman"/>
        </w:rPr>
        <w:t xml:space="preserve"> </w:t>
      </w:r>
      <w:r w:rsidR="0038654F" w:rsidRPr="00231B15">
        <w:rPr>
          <w:rFonts w:cs="Times New Roman"/>
        </w:rPr>
        <w:t xml:space="preserve">Whilst </w:t>
      </w:r>
      <w:r w:rsidRPr="00231B15">
        <w:rPr>
          <w:rFonts w:cs="Times New Roman"/>
        </w:rPr>
        <w:t>effective, ART derivatives suffer from</w:t>
      </w:r>
      <w:r w:rsidR="0038654F" w:rsidRPr="00231B15">
        <w:rPr>
          <w:rFonts w:cs="Times New Roman"/>
        </w:rPr>
        <w:t xml:space="preserve"> </w:t>
      </w:r>
      <w:r w:rsidRPr="00231B15">
        <w:rPr>
          <w:rFonts w:cs="Times New Roman"/>
        </w:rPr>
        <w:t xml:space="preserve"> poor pharmacokinetic</w:t>
      </w:r>
      <w:r w:rsidR="00F84FBB" w:rsidRPr="00231B15">
        <w:rPr>
          <w:rFonts w:cs="Times New Roman"/>
        </w:rPr>
        <w:t xml:space="preserve"> (PK)</w:t>
      </w:r>
      <w:r w:rsidRPr="00231B15">
        <w:rPr>
          <w:rFonts w:cs="Times New Roman"/>
        </w:rPr>
        <w:t xml:space="preserve"> profile</w:t>
      </w:r>
      <w:r w:rsidR="0038654F" w:rsidRPr="00231B15">
        <w:rPr>
          <w:rFonts w:cs="Times New Roman"/>
        </w:rPr>
        <w:t>s</w:t>
      </w:r>
      <w:r w:rsidR="002451B8" w:rsidRPr="00231B15">
        <w:rPr>
          <w:rFonts w:cs="Times New Roman"/>
        </w:rPr>
        <w:t>,</w:t>
      </w:r>
      <w:r w:rsidRPr="00231B15">
        <w:rPr>
          <w:rFonts w:cs="Times New Roman"/>
        </w:rPr>
        <w:t xml:space="preserve"> with </w:t>
      </w:r>
      <w:r w:rsidR="001F6EE9">
        <w:rPr>
          <w:rFonts w:cs="Times New Roman"/>
        </w:rPr>
        <w:t>the</w:t>
      </w:r>
      <w:r w:rsidRPr="00231B15">
        <w:rPr>
          <w:rFonts w:cs="Times New Roman"/>
        </w:rPr>
        <w:t xml:space="preserve"> short half-life being the main limiting factor preventing </w:t>
      </w:r>
      <w:r w:rsidR="0038654F" w:rsidRPr="00231B15">
        <w:rPr>
          <w:rFonts w:cs="Times New Roman"/>
        </w:rPr>
        <w:t>deployment in dosing regimens of less than 3 days</w:t>
      </w:r>
      <w:r w:rsidRPr="00231B15">
        <w:rPr>
          <w:rFonts w:cs="Times New Roman"/>
        </w:rPr>
        <w:t>.</w:t>
      </w:r>
      <w:r w:rsidR="00255C09" w:rsidRPr="00231B15">
        <w:rPr>
          <w:rFonts w:cs="Times New Roman"/>
        </w:rPr>
        <w:fldChar w:fldCharType="begin" w:fldLock="1"/>
      </w:r>
      <w:r w:rsidR="00255C09" w:rsidRPr="00231B15">
        <w:rPr>
          <w:rFonts w:cs="Times New Roman"/>
        </w:rPr>
        <w:instrText>ADDIN CSL_CITATION {"citationItems":[{"id":"ITEM-1","itemData":{"DOI":"10.2165/00003495-199652060-00004","ISSN":"00126667","abstract":"Artemisinin and its derivatives are renowned for their potent antimalarial activity. They have found their way into clinical use in many areas where malaria is endemic. The in vitro concentration at which artemisinin can inhibit 50% of the growth of Plasmodium falciparum ranges from 3 to 30 μg/L. The fat-soluble derivatives artemether and arteether are approximately twice as active. The water-soluble dihydro-artemisinin and artesunate are 4 to 5 times more active in vitro. Artemisinin is available only for oral and rectal administration. Absorption is incomplete and elimination is fast, with an elimination half-life of 2 to 5 hours. Plasma concentrations after a single 500 mg oral dose most often exceed 200 μg/L. Artesunate and artemether can be considered as prodrugs. Biotransformation into the active metabolite dihydro-artemisinin occurs rapidly - almost immediately for artesunate. The reported elimination half-life of artesunate is less than 1 hour, and for artemether the figure is 3 to 11 hours. The pharmacokinetics of dihydroartemisinin are not yet completely clear. Elimination is probably also rapid, with an elimination half-life of a few hours. Arteether, dissolved in oil for intramuscular administration, has a much longer elimination half-life of over 20 hours. The clinical efficacy of this, group of drugs is characterised by an almost immediate onset and rapid reduction of parasitaemia, with complete clearance in most cases within 48 hours. Efficacy is high even in areas with multidrug-resistant parasite strains. To prevent recrudescence with monotherapy of these compounds, treatment needs to be extended beyond the disappearance of parasites. After 5 days of therapy the rate of recrudescence is approximately 10%. Alternatively, combination with other drugs can be used. Combination with mefloquine is recommended for areas with multidrug-resistant P. falciparum.","author":[{"dropping-particle":"","family":"Vries","given":"Peter J.","non-dropping-particle":"De","parse-names":false,"suffix":""},{"dropping-particle":"","family":"Dien","given":"Tran K.","non-dropping-particle":"","parse-names":false,"suffix":""}],"container-title":"Drugs","id":"ITEM-1","issued":{"date-parts":[["1996"]]},"title":"Clinical pharmacology and therapeutic potential of artemisinin and its derivatives in the treatment of malaria","type":"article"},"uris":["http://www.mendeley.com/documents/?uuid=139b6880-9b28-4ebd-85a9-78622dc3da30"]}],"mendeley":{"formattedCitation":"&lt;sup&gt;2&lt;/sup&gt;","plainTextFormattedCitation":"2","previouslyFormattedCitation":"&lt;sup&gt;2&lt;/sup&gt;"},"properties":{"noteIndex":0},"schema":"https://github.com/citation-style-language/schema/raw/master/csl-citation.json"}</w:instrText>
      </w:r>
      <w:r w:rsidR="00255C09" w:rsidRPr="00231B15">
        <w:rPr>
          <w:rFonts w:cs="Times New Roman"/>
        </w:rPr>
        <w:fldChar w:fldCharType="separate"/>
      </w:r>
      <w:r w:rsidR="00255C09" w:rsidRPr="00231B15">
        <w:rPr>
          <w:rFonts w:cs="Times New Roman"/>
          <w:noProof/>
          <w:vertAlign w:val="superscript"/>
        </w:rPr>
        <w:t>2</w:t>
      </w:r>
      <w:r w:rsidR="00255C09" w:rsidRPr="00231B15">
        <w:rPr>
          <w:rFonts w:cs="Times New Roman"/>
        </w:rPr>
        <w:fldChar w:fldCharType="end"/>
      </w:r>
      <w:r w:rsidR="00255C09" w:rsidRPr="00231B15">
        <w:rPr>
          <w:rFonts w:cs="Times New Roman"/>
        </w:rPr>
        <w:t xml:space="preserve"> </w:t>
      </w:r>
      <w:r w:rsidRPr="00231B15">
        <w:rPr>
          <w:rFonts w:cs="Times New Roman"/>
        </w:rPr>
        <w:t xml:space="preserve">Due to this, it is unlikely that semi-synthetic artemisinin derivatives </w:t>
      </w:r>
      <w:r w:rsidR="0038654F" w:rsidRPr="00231B15">
        <w:rPr>
          <w:rFonts w:cs="Times New Roman"/>
        </w:rPr>
        <w:t>can achiev</w:t>
      </w:r>
      <w:r w:rsidRPr="00231B15">
        <w:rPr>
          <w:rFonts w:cs="Times New Roman"/>
        </w:rPr>
        <w:t xml:space="preserve">e </w:t>
      </w:r>
      <w:r w:rsidR="0038654F" w:rsidRPr="00231B15">
        <w:rPr>
          <w:rFonts w:cs="Times New Roman"/>
        </w:rPr>
        <w:t xml:space="preserve">the </w:t>
      </w:r>
      <w:r w:rsidR="007521C9" w:rsidRPr="00231B15">
        <w:rPr>
          <w:rFonts w:cs="Times New Roman"/>
        </w:rPr>
        <w:t>requisite</w:t>
      </w:r>
      <w:r w:rsidR="0038654F" w:rsidRPr="00231B15">
        <w:rPr>
          <w:rFonts w:cs="Times New Roman"/>
        </w:rPr>
        <w:t xml:space="preserve"> </w:t>
      </w:r>
      <w:r w:rsidRPr="00231B15">
        <w:rPr>
          <w:rFonts w:cs="Times New Roman"/>
        </w:rPr>
        <w:t>target of a single-dose cure</w:t>
      </w:r>
      <w:r w:rsidR="0038654F" w:rsidRPr="00231B15">
        <w:rPr>
          <w:rFonts w:cs="Times New Roman"/>
        </w:rPr>
        <w:t xml:space="preserve"> of malaria</w:t>
      </w:r>
      <w:r w:rsidR="008113FF">
        <w:rPr>
          <w:rFonts w:cs="Times New Roman"/>
        </w:rPr>
        <w:t xml:space="preserve"> even in </w:t>
      </w:r>
      <w:r w:rsidR="008113FF" w:rsidRPr="00D13303">
        <w:rPr>
          <w:rFonts w:cs="Times New Roman"/>
        </w:rPr>
        <w:t>combination</w:t>
      </w:r>
      <w:r w:rsidR="0038654F" w:rsidRPr="00D13303">
        <w:rPr>
          <w:rFonts w:cs="Times New Roman"/>
        </w:rPr>
        <w:t>,</w:t>
      </w:r>
      <w:r w:rsidR="0038654F" w:rsidRPr="00231B15">
        <w:rPr>
          <w:rFonts w:cs="Times New Roman"/>
        </w:rPr>
        <w:t xml:space="preserve"> </w:t>
      </w:r>
      <w:r w:rsidRPr="00231B15">
        <w:rPr>
          <w:rFonts w:cs="Times New Roman"/>
        </w:rPr>
        <w:t xml:space="preserve"> the preferred</w:t>
      </w:r>
      <w:r w:rsidR="008113FF" w:rsidRPr="008113FF">
        <w:rPr>
          <w:rFonts w:cs="Times New Roman"/>
        </w:rPr>
        <w:t xml:space="preserve"> </w:t>
      </w:r>
      <w:r w:rsidR="008113FF" w:rsidRPr="00231B15">
        <w:rPr>
          <w:rFonts w:cs="Times New Roman"/>
        </w:rPr>
        <w:t>target candidate profile 1 (TCP1)</w:t>
      </w:r>
      <w:r w:rsidRPr="00231B15">
        <w:rPr>
          <w:rFonts w:cs="Times New Roman"/>
        </w:rPr>
        <w:t xml:space="preserve"> as defined </w:t>
      </w:r>
      <w:r w:rsidR="008113FF">
        <w:rPr>
          <w:rFonts w:cs="Times New Roman"/>
        </w:rPr>
        <w:t>by</w:t>
      </w:r>
      <w:r w:rsidRPr="00231B15">
        <w:rPr>
          <w:rFonts w:cs="Times New Roman"/>
        </w:rPr>
        <w:t xml:space="preserve"> the Medicines for Malaria Venture (MMV).</w:t>
      </w:r>
      <w:r w:rsidR="00255C09" w:rsidRPr="00231B15">
        <w:rPr>
          <w:rFonts w:cs="Times New Roman"/>
        </w:rPr>
        <w:fldChar w:fldCharType="begin" w:fldLock="1"/>
      </w:r>
      <w:r w:rsidR="00A94F1B" w:rsidRPr="00231B15">
        <w:rPr>
          <w:rFonts w:cs="Times New Roman"/>
        </w:rPr>
        <w:instrText>ADDIN CSL_CITATION {"citationItems":[{"id":"ITEM-1","itemData":{"DOI":"10.1186/s12936-016-1675-x","ISSN":"14752875","PMID":"28086874","abstract":"A decade of discovery and development of new anti-malarial medicines has led to a renewed focus on malaria elimination and eradication. Changes in the way new anti-malarial drugs are discovered and developed have led to a dramatic increase in the number and diversity of new molecules presently in pre-clinical and early clinical development. The twin challenges faced can be summarized by multi-drug resistant malaria from the Greater Mekong Sub-region, and the need to provide simplified medicines. This review lists changes in anti-malarial target candidate and target product profiles over the last 4 years. As well as new medicines to treat disease and prevent transmission, there has been increased focus on the longer term goal of finding new medicines for chemoprotection, potentially with long-acting molecules, or parenteral formulations. Other gaps in the malaria armamentarium, such as drugs to treat severe malaria and endectocides (that kill mosquitoes which feed on people who have taken the drug), are defined here. Ultimately the elimination of malaria requires medicines that are safe and well-tolerated to be used in vulnerable populations: in pregnancy, especially the first trimester, and in those suffering from malnutrition or co-infection with other pathogens. These updates reflect the maturing of an understanding of the key challenges in producing the next generation of medicines to control, eliminate and ultimately eradicate malaria.","author":[{"dropping-particle":"","family":"Burrows","given":"Jeremy N.","non-dropping-particle":"","parse-names":false,"suffix":""},{"dropping-particle":"","family":"Duparc","given":"Stephan","non-dropping-particle":"","parse-names":false,"suffix":""},{"dropping-particle":"","family":"Gutteridge","given":"Winston E.","non-dropping-particle":"","parse-names":false,"suffix":""},{"dropping-particle":"","family":"Hooft Van Huijsduijnen","given":"Rob","non-dropping-particle":"","parse-names":false,"suffix":""},{"dropping-particle":"","family":"Kaszubska","given":"Wiweka","non-dropping-particle":"","parse-names":false,"suffix":""},{"dropping-particle":"","family":"Macintyre","given":"Fiona","non-dropping-particle":"","parse-names":false,"suffix":""},{"dropping-particle":"","family":"Mazzuri","given":"Sébastien","non-dropping-particle":"","parse-names":false,"suffix":""},{"dropping-particle":"","family":"Möhrle","given":"Jörg J.","non-dropping-particle":"","parse-names":false,"suffix":""},{"dropping-particle":"","family":"Wells","given":"Timothy N.C.","non-dropping-particle":"","parse-names":false,"suffix":""}],"container-title":"Malaria Journal","id":"ITEM-1","issue":"1","issued":{"date-parts":[["2017"]]},"page":"26","title":"New developments in anti-malarial target candidate and product profiles","type":"article-journal","volume":"16"},"uris":["http://www.mendeley.com/documents/?uuid=bc369b16-26a9-4d3e-95fb-6040244de494"]}],"mendeley":{"formattedCitation":"&lt;sup&gt;3&lt;/sup&gt;","plainTextFormattedCitation":"3","previouslyFormattedCitation":"&lt;sup&gt;3&lt;/sup&gt;"},"properties":{"noteIndex":0},"schema":"https://github.com/citation-style-language/schema/raw/master/csl-citation.json"}</w:instrText>
      </w:r>
      <w:r w:rsidR="00255C09" w:rsidRPr="00231B15">
        <w:rPr>
          <w:rFonts w:cs="Times New Roman"/>
        </w:rPr>
        <w:fldChar w:fldCharType="separate"/>
      </w:r>
      <w:r w:rsidR="00255C09" w:rsidRPr="00231B15">
        <w:rPr>
          <w:rFonts w:cs="Times New Roman"/>
          <w:noProof/>
          <w:vertAlign w:val="superscript"/>
        </w:rPr>
        <w:t>3</w:t>
      </w:r>
      <w:r w:rsidR="00255C09" w:rsidRPr="00231B15">
        <w:rPr>
          <w:rFonts w:cs="Times New Roman"/>
        </w:rPr>
        <w:fldChar w:fldCharType="end"/>
      </w:r>
      <w:r w:rsidRPr="00231B15">
        <w:rPr>
          <w:rFonts w:cs="Times New Roman"/>
        </w:rPr>
        <w:t xml:space="preserve"> Additionally, </w:t>
      </w:r>
      <w:r w:rsidR="008F34AC" w:rsidRPr="00231B15">
        <w:rPr>
          <w:rFonts w:cs="Times New Roman"/>
        </w:rPr>
        <w:t>cases of ACT treatment failure have been reported across the Greater Mekong subregion spreading from the Thai-Cambodian border into Vietnam.</w:t>
      </w:r>
      <w:r w:rsidR="00255C09" w:rsidRPr="00231B15">
        <w:rPr>
          <w:rFonts w:cs="Times New Roman"/>
        </w:rPr>
        <w:fldChar w:fldCharType="begin" w:fldLock="1"/>
      </w:r>
      <w:r w:rsidR="00255C09" w:rsidRPr="00231B15">
        <w:rPr>
          <w:rFonts w:cs="Times New Roman"/>
        </w:rPr>
        <w:instrText>ADDIN CSL_CITATION {"citationItems":[{"id":"ITEM-1","itemData":{"DOI":"10.1016/S1473-3099(17)30048-8","ISSN":"14744457","PMID":"28161569","abstract":"Background Evidence suggests that the PfKelch13 mutations that confer artemisinin resistance in falciparum malaria have multiple independent origins across the Greater Mekong subregion, which has motivated a regional malaria elimination agenda. We aimed to use molecular genotyping to assess antimalarial drug resistance selection and spread in the Greater Mekong subregion. Methods In this observational study, we tested Plasmodium falciparum isolates from Myanmar, northeastern Thailand, southern Laos, and western Cambodia for PfKelch13 mutations and for Pfplasmepsin2 gene amplification (indicating piperaquine resistance). We collected blood spots from patients with microscopy or rapid test confirmed uncomplicated falciparum malaria. We used microsatellite genotyping to assess genetic relatedness. Findings As part of studies on the epidemiology of artemisinin-resistant malaria between Jan 1, 2008, and Dec 31, 2015, we collected 434 isolates. In 2014–15, a single long PfKelch13 C580Y haplotype (−50 to +31·5 kb) lineage, which emerged in western Cambodia in 2008, was detected in 65 of 88 isolates from northeastern Thailand, 86 of 111 isolates from southern Laos, and 14 of 14 isolates from western Cambodia, signifying a hard transnational selective sweep. Pfplasmepsin2 amplification occurred only within this lineage, and by 2015 these closely related parasites were found in ten of the 14 isolates from Cambodia and 15 of 15 isolates from northeastern Thailand. C580Y mutated parasites from Myanmar had a different genetic origin. Interpretation Our results suggest that the dominant artemisinin-resistant P falciparum C580Y lineage probably arose in western Cambodia and then spread to Thailand and Laos, outcompeting other parasites and acquiring piperaquine resistance. The emergence and spread of fit artemisinin-resistant P falciparum parasite lineages, which then acquire partner drug resistance across the Greater Mekong subregion, threatens regional malaria control and elimination goals. Elimination of falciparum malaria from this region should be accelerated while available antimalarial drugs still remain effective. Funding The Wellcome Trust and the Bill and Melinda Gates Foundation.","author":[{"dropping-particle":"","family":"Imwong","given":"Mallika","non-dropping-particle":"","parse-names":false,"suffix":""},{"dropping-particle":"","family":"Suwannasin","given":"Kanokon","non-dropping-particle":"","parse-names":false,"suffix":""},{"dropping-particle":"","family":"Kunasol","given":"Chanon","non-dropping-particle":"","parse-names":false,"suffix":""},{"dropping-particle":"","family":"Sutawong","given":"Kreepol","non-dropping-particle":"","parse-names":false,"suffix":""},{"dropping-particle":"","family":"Mayxay","given":"Mayfong","non-dropping-particle":"","parse-names":false,"suffix":""},{"dropping-particle":"","family":"Rekol","given":"Huy","non-dropping-particle":"","parse-names":false,"suffix":""},{"dropping-particle":"","family":"Smithuis","given":"Frank M.","non-dropping-particle":"","parse-names":false,"suffix":""},{"dropping-particle":"","family":"Hlaing","given":"Tin Maung","non-dropping-particle":"","parse-names":false,"suffix":""},{"dropping-particle":"","family":"Tun","given":"Kyaw M.","non-dropping-particle":"","parse-names":false,"suffix":""},{"dropping-particle":"","family":"Pluijm","given":"Rob W.","non-dropping-particle":"van der","parse-names":false,"suffix":""},{"dropping-particle":"","family":"Tripura","given":"Rupam","non-dropping-particle":"","parse-names":false,"suffix":""},{"dropping-particle":"","family":"Miotto","given":"Olivo","non-dropping-particle":"","parse-names":false,"suffix":""},{"dropping-particle":"","family":"Menard","given":"Didier","non-dropping-particle":"","parse-names":false,"suffix":""},{"dropping-particle":"","family":"Dhorda","given":"Mehul","non-dropping-particle":"","parse-names":false,"suffix":""},{"dropping-particle":"","family":"Day","given":"Nicholas P.J.","non-dropping-particle":"","parse-names":false,"suffix":""},{"dropping-particle":"","family":"White","given":"Nicholas J.","non-dropping-particle":"","parse-names":false,"suffix":""},{"dropping-particle":"","family":"Dondorp","given":"Arjen M.","non-dropping-particle":"","parse-names":false,"suffix":""}],"container-title":"The Lancet Infectious Diseases","id":"ITEM-1","issued":{"date-parts":[["2017"]]},"title":"The spread of artemisinin-resistant Plasmodium falciparum in the Greater Mekong subregion: a molecular epidemiology observational study","type":"article-journal"},"uris":["http://www.mendeley.com/documents/?uuid=c8cd53a5-7dd0-4d91-a214-69b174210fd3"]},{"id":"ITEM-2","itemData":{"DOI":"10.1128/AAC.01578-16","ISSN":"10986596","PMID":"28137815","abstract":"The spread of artemisinin-resistant Plasmodium falciparum compromises the therapeutic efficacy of artemisinin combination therapies (ACTs) and is considered the greatest threat to current global initiatives to control and eliminate malaria. This is particularly relevant in Vietnam, where dihydroartemisinin-piperaquine (DP) is the recommended ACT for P. falciparum infection. The propeller domain gene of K13, a molecular marker of artemisinin resistance, was successfully sequenced in 1,060 P. falciparum isolates collected at 3 malaria hot spots in Vietnam between 2009 and 2016. Eight K13 propeller mutations (Thr474Ile, Tyr493His, Arg539Thr, Ile543Thr, Pro553Leu, Val568Gly, Pro574Leu, and Cys580Tyr), including several that have been validated to be artemisinin resistance markers, were found. The prevalences of K13 mutations were 29% (222/767), 6% (11/188), and 43% (45/105) in the Binh Phuoc, Ninh Thuan, and Gia Lai Provinces of Vietnam, respectively. Cys580Tyr became the dominant genotype in recent years, with 79.1% (34/43) of isolates in Binh Phuoc Province and 63% (17/27) of isolates in Gia Lai Province carrying this mutation. K13 mutations were associated with reduced ring-stage susceptibility to dihydroartemisinin (DHA) in vitro and prolonged parasite clearance in vivo. An analysis of haplotypes flanking K13 suggested the presence of multiple strains with the Cys580Tyr mutation rather than a single strain expanding across the three sites.","author":[{"dropping-particle":"","family":"Thuy-Nhien","given":"Nguyen","non-dropping-particle":"","parse-names":false,"suffix":""},{"dropping-particle":"","family":"Tuyen","given":"Nguyen Kim","non-dropping-particle":"","parse-names":false,"suffix":""},{"dropping-particle":"","family":"Tong","given":"Nguyen Thanh","non-dropping-particle":"","parse-names":false,"suffix":""},{"dropping-particle":"","family":"Vy","given":"Nguyen Tuong","non-dropping-particle":"","parse-names":false,"suffix":""},{"dropping-particle":"","family":"Thanh","given":"Ngo Viet","non-dropping-particle":"","parse-names":false,"suffix":""},{"dropping-particle":"","family":"Van","given":"Huynh Thuy","non-dropping-particle":"","parse-names":false,"suffix":""},{"dropping-particle":"","family":"Huong-Thu","given":"Pham","non-dropping-particle":"","parse-names":false,"suffix":""},{"dropping-particle":"","family":"Quang","given":"Huynh Hong","non-dropping-particle":"","parse-names":false,"suffix":""},{"dropping-particle":"","family":"Boni","given":"Maciej F.","non-dropping-particle":"","parse-names":false,"suffix":""},{"dropping-particle":"","family":"Dolecek","given":"Christiane","non-dropping-particle":"","parse-names":false,"suffix":""},{"dropping-particle":"","family":"Farrar","given":"Jeremy","non-dropping-particle":"","parse-names":false,"suffix":""},{"dropping-particle":"","family":"Thwaites","given":"Guy E.","non-dropping-particle":"","parse-names":false,"suffix":""},{"dropping-particle":"","family":"Miotto","given":"Olivo","non-dropping-particle":"","parse-names":false,"suffix":""},{"dropping-particle":"","family":"White","given":"Nicholas J.","non-dropping-particle":"","parse-names":false,"suffix":""},{"dropping-particle":"","family":"Hien","given":"Tran Tinh","non-dropping-particle":"","parse-names":false,"suffix":""}],"container-title":"Antimicrobial Agents and Chemotherapy","id":"ITEM-2","issued":{"date-parts":[["2017"]]},"title":"K13 propeller mutations in Plasmodium falciparum populations in regions of malaria endemicity in Vietnam from 2009 to 2016","type":"article-journal"},"uris":["http://www.mendeley.com/documents/?uuid=5f7d2d19-faeb-4d0f-89be-138305d576a4"]}],"mendeley":{"formattedCitation":"&lt;sup&gt;4,5&lt;/sup&gt;","plainTextFormattedCitation":"4,5","previouslyFormattedCitation":"&lt;sup&gt;4,5&lt;/sup&gt;"},"properties":{"noteIndex":0},"schema":"https://github.com/citation-style-language/schema/raw/master/csl-citation.json"}</w:instrText>
      </w:r>
      <w:r w:rsidR="00255C09" w:rsidRPr="00231B15">
        <w:rPr>
          <w:rFonts w:cs="Times New Roman"/>
        </w:rPr>
        <w:fldChar w:fldCharType="separate"/>
      </w:r>
      <w:r w:rsidR="00255C09" w:rsidRPr="00231B15">
        <w:rPr>
          <w:rFonts w:cs="Times New Roman"/>
          <w:noProof/>
          <w:vertAlign w:val="superscript"/>
        </w:rPr>
        <w:t>4,5</w:t>
      </w:r>
      <w:r w:rsidR="00255C09" w:rsidRPr="00231B15">
        <w:rPr>
          <w:rFonts w:cs="Times New Roman"/>
        </w:rPr>
        <w:fldChar w:fldCharType="end"/>
      </w:r>
      <w:r w:rsidR="008F34AC" w:rsidRPr="00231B15">
        <w:rPr>
          <w:rFonts w:cs="Times New Roman"/>
        </w:rPr>
        <w:t xml:space="preserve"> </w:t>
      </w:r>
      <w:r w:rsidR="00221F24" w:rsidRPr="00231B15">
        <w:rPr>
          <w:rFonts w:cs="Times New Roman"/>
        </w:rPr>
        <w:t xml:space="preserve">The K13 C580Y gene mutation is used as a primary marker of ART resistance in </w:t>
      </w:r>
      <w:r w:rsidR="00221F24" w:rsidRPr="00231B15">
        <w:rPr>
          <w:rFonts w:cs="Times New Roman"/>
          <w:i/>
        </w:rPr>
        <w:t xml:space="preserve">Plasmodium falciparum </w:t>
      </w:r>
      <w:r w:rsidR="00221F24" w:rsidRPr="00231B15">
        <w:rPr>
          <w:rFonts w:cs="Times New Roman"/>
        </w:rPr>
        <w:t xml:space="preserve">malaria with the proposed mechanism of resistance </w:t>
      </w:r>
      <w:r w:rsidR="008113FF" w:rsidRPr="008113FF">
        <w:rPr>
          <w:rFonts w:cs="Times New Roman"/>
        </w:rPr>
        <w:t>pointing towards altered endocytosis of hemoglobin, which is</w:t>
      </w:r>
      <w:r w:rsidR="008113FF">
        <w:rPr>
          <w:rFonts w:cs="Times New Roman"/>
        </w:rPr>
        <w:t xml:space="preserve"> </w:t>
      </w:r>
      <w:r w:rsidR="008113FF" w:rsidRPr="008113FF">
        <w:rPr>
          <w:rFonts w:cs="Times New Roman"/>
        </w:rPr>
        <w:t>required for parasite growth and artemisinin activation</w:t>
      </w:r>
      <w:r w:rsidR="00221F24" w:rsidRPr="00231B15">
        <w:rPr>
          <w:rFonts w:cs="Times New Roman"/>
        </w:rPr>
        <w:t>.</w:t>
      </w:r>
      <w:r w:rsidR="00255C09" w:rsidRPr="00231B15">
        <w:rPr>
          <w:rFonts w:cs="Times New Roman"/>
        </w:rPr>
        <w:fldChar w:fldCharType="begin" w:fldLock="1"/>
      </w:r>
      <w:r w:rsidR="00A94F1B" w:rsidRPr="00231B15">
        <w:rPr>
          <w:rFonts w:cs="Times New Roman"/>
        </w:rPr>
        <w:instrText>ADDIN CSL_CITATION {"citationItems":[{"id":"ITEM-1","itemData":{"DOI":"10.1186/s12936-016-1206-9","ISSN":"14752875","PMID":"26955948","abstract":"Plasmodium falciparum resistance to artemisinins, the most potent and fastest acting anti-malarials, threatens malaria elimination strategies. Artemisinin resistance is due to mutation of the PfK13 propeller domain and involves an unconventional mechanism based on a quiescence state leading to parasite recrudescence as soon as drug pressure is removed. The enhanced P. falciparum quiescence capacity of artemisinin-resistant parasites results from an increased ability to manage oxidative damage and an altered cell cycle gene regulation within a complex network involving the unfolded protein response, the PI3K/PI3P/AKT pathway, the PfPK4/eIF2α cascade and yet unidentified transcription factor(s), with minimal energetic requirements and fatty acid metabolism maintained in the mitochondrion and apicoplast. The detailed study of these mechanisms offers a way forward for identifying future intervention targets to fend off established artemisinin resistance.","author":[{"dropping-particle":"","family":"Paloque","given":"Lucie","non-dropping-particle":"","parse-names":false,"suffix":""},{"dropping-particle":"","family":"Ramadani","given":"Arba P.","non-dropping-particle":"","parse-names":false,"suffix":""},{"dropping-particle":"","family":"Mercereau-Puijalon","given":"Odile","non-dropping-particle":"","parse-names":false,"suffix":""},{"dropping-particle":"","family":"Augereau","given":"Jean Michel","non-dropping-particle":"","parse-names":false,"suffix":""},{"dropping-particle":"","family":"Benoit-Vical","given":"Françoise","non-dropping-particle":"","parse-names":false,"suffix":""}],"container-title":"Malaria Journal","id":"ITEM-1","issued":{"date-parts":[["2016"]]},"page":"149","title":"Plasmodium falciparum: multifaceted resistance to artemisinins","type":"article-journal","volume":"15"},"uris":["http://www.mendeley.com/documents/?uuid=518e3134-91ae-46e5-9187-4ec71835399a"]}],"mendeley":{"formattedCitation":"&lt;sup&gt;6&lt;/sup&gt;","plainTextFormattedCitation":"6","previouslyFormattedCitation":"&lt;sup&gt;6&lt;/sup&gt;"},"properties":{"noteIndex":0},"schema":"https://github.com/citation-style-language/schema/raw/master/csl-citation.json"}</w:instrText>
      </w:r>
      <w:r w:rsidR="00255C09" w:rsidRPr="00231B15">
        <w:rPr>
          <w:rFonts w:cs="Times New Roman"/>
        </w:rPr>
        <w:fldChar w:fldCharType="separate"/>
      </w:r>
      <w:r w:rsidR="00255C09" w:rsidRPr="00231B15">
        <w:rPr>
          <w:rFonts w:cs="Times New Roman"/>
          <w:noProof/>
          <w:vertAlign w:val="superscript"/>
        </w:rPr>
        <w:t>6</w:t>
      </w:r>
      <w:r w:rsidR="00255C09" w:rsidRPr="00231B15">
        <w:rPr>
          <w:rFonts w:cs="Times New Roman"/>
        </w:rPr>
        <w:fldChar w:fldCharType="end"/>
      </w:r>
      <w:r w:rsidR="00221F24" w:rsidRPr="00231B15">
        <w:rPr>
          <w:rFonts w:cs="Times New Roman"/>
        </w:rPr>
        <w:t xml:space="preserve"> Due to this, there is a pressure for new fast-killing antimalarials to take the place of failing ART-derivatives in ACT programmes.</w:t>
      </w:r>
    </w:p>
    <w:p w14:paraId="27427097" w14:textId="77777777" w:rsidR="00AE48E1" w:rsidRPr="00231B15" w:rsidRDefault="00FD628A" w:rsidP="00AE48E1">
      <w:pPr>
        <w:keepNext/>
        <w:jc w:val="center"/>
        <w:rPr>
          <w:rFonts w:cs="Times New Roman"/>
        </w:rPr>
      </w:pPr>
      <w:r w:rsidRPr="0073657C">
        <w:rPr>
          <w:rFonts w:cs="Times New Roman"/>
          <w:noProof/>
        </w:rPr>
        <w:object w:dxaOrig="9093" w:dyaOrig="3643" w14:anchorId="255855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52.1pt;height:180pt;mso-width-percent:0;mso-height-percent:0;mso-width-percent:0;mso-height-percent:0" o:ole="">
            <v:imagedata r:id="rId12" o:title=""/>
          </v:shape>
          <o:OLEObject Type="Embed" ProgID="ChemDraw.Document.6.0" ShapeID="_x0000_i1026" DrawAspect="Content" ObjectID="_1684854709" r:id="rId13"/>
        </w:object>
      </w:r>
    </w:p>
    <w:p w14:paraId="39E18A78" w14:textId="2B91723F" w:rsidR="00B720DD" w:rsidRPr="00231B15" w:rsidRDefault="00AE48E1" w:rsidP="00AE48E1">
      <w:pPr>
        <w:pStyle w:val="Caption"/>
        <w:jc w:val="center"/>
        <w:rPr>
          <w:rFonts w:cs="Times New Roman"/>
        </w:rPr>
      </w:pPr>
      <w:r w:rsidRPr="00231B15">
        <w:rPr>
          <w:rFonts w:cs="Times New Roman"/>
        </w:rPr>
        <w:t xml:space="preserve">Figure </w:t>
      </w:r>
      <w:r w:rsidR="00336CF2" w:rsidRPr="00231B15">
        <w:rPr>
          <w:rFonts w:cs="Times New Roman"/>
        </w:rPr>
        <w:fldChar w:fldCharType="begin"/>
      </w:r>
      <w:r w:rsidR="00336CF2" w:rsidRPr="00231B15">
        <w:rPr>
          <w:rFonts w:cs="Times New Roman"/>
        </w:rPr>
        <w:instrText xml:space="preserve"> SEQ Figure \* ARABIC </w:instrText>
      </w:r>
      <w:r w:rsidR="00336CF2" w:rsidRPr="00231B15">
        <w:rPr>
          <w:rFonts w:cs="Times New Roman"/>
        </w:rPr>
        <w:fldChar w:fldCharType="separate"/>
      </w:r>
      <w:r w:rsidR="00944FAE">
        <w:rPr>
          <w:rFonts w:cs="Times New Roman"/>
          <w:noProof/>
        </w:rPr>
        <w:t>1</w:t>
      </w:r>
      <w:r w:rsidR="00336CF2" w:rsidRPr="00231B15">
        <w:rPr>
          <w:rFonts w:cs="Times New Roman"/>
          <w:noProof/>
        </w:rPr>
        <w:fldChar w:fldCharType="end"/>
      </w:r>
      <w:r w:rsidRPr="00231B15">
        <w:rPr>
          <w:rFonts w:cs="Times New Roman"/>
        </w:rPr>
        <w:t xml:space="preserve">: Structures of artemisinin and </w:t>
      </w:r>
      <w:r w:rsidR="00E047D3" w:rsidRPr="00231B15">
        <w:rPr>
          <w:rFonts w:cs="Times New Roman"/>
        </w:rPr>
        <w:t>fully-synthetic</w:t>
      </w:r>
      <w:r w:rsidRPr="00231B15">
        <w:rPr>
          <w:rFonts w:cs="Times New Roman"/>
        </w:rPr>
        <w:t xml:space="preserve"> endoperoxide antimalarials</w:t>
      </w:r>
    </w:p>
    <w:p w14:paraId="09ECBCFA" w14:textId="5EFC3F6E" w:rsidR="008B7B26" w:rsidRPr="00231B15" w:rsidRDefault="00CC7839" w:rsidP="00B720DD">
      <w:pPr>
        <w:rPr>
          <w:rFonts w:cs="Times New Roman"/>
        </w:rPr>
      </w:pPr>
      <w:r w:rsidRPr="00231B15">
        <w:rPr>
          <w:rFonts w:cs="Times New Roman"/>
        </w:rPr>
        <w:t>Presently, OZ439 (</w:t>
      </w:r>
      <w:r w:rsidR="00140F2D" w:rsidRPr="00231B15">
        <w:rPr>
          <w:rFonts w:cs="Times New Roman"/>
        </w:rPr>
        <w:t xml:space="preserve">Figure 1, </w:t>
      </w:r>
      <w:r w:rsidR="00EF1122">
        <w:rPr>
          <w:rFonts w:cs="Times New Roman"/>
        </w:rPr>
        <w:t>known</w:t>
      </w:r>
      <w:r w:rsidRPr="00231B15">
        <w:rPr>
          <w:rFonts w:cs="Times New Roman"/>
        </w:rPr>
        <w:t xml:space="preserve"> as Artefenomel) is the most developed fully-synthetic </w:t>
      </w:r>
      <w:r w:rsidR="002026E5">
        <w:rPr>
          <w:rFonts w:cs="Times New Roman"/>
        </w:rPr>
        <w:t xml:space="preserve">second generation </w:t>
      </w:r>
      <w:r w:rsidR="00475273" w:rsidRPr="00231B15">
        <w:rPr>
          <w:rFonts w:cs="Times New Roman"/>
        </w:rPr>
        <w:t>endoperoxide antimalarial</w:t>
      </w:r>
      <w:r w:rsidR="00D574B1" w:rsidRPr="00231B15">
        <w:rPr>
          <w:rFonts w:cs="Times New Roman"/>
        </w:rPr>
        <w:t xml:space="preserve"> currently undergoing phase</w:t>
      </w:r>
      <w:r w:rsidR="0038654F" w:rsidRPr="00231B15">
        <w:rPr>
          <w:rFonts w:cs="Times New Roman"/>
        </w:rPr>
        <w:t xml:space="preserve"> </w:t>
      </w:r>
      <w:r w:rsidR="00F05D81" w:rsidRPr="00231B15">
        <w:rPr>
          <w:rFonts w:cs="Times New Roman"/>
        </w:rPr>
        <w:t>IIb clinical trials in combination with the longer acting partner drug Ferroquine.</w:t>
      </w:r>
      <w:r w:rsidR="005D17DA" w:rsidRPr="00231B15">
        <w:rPr>
          <w:rFonts w:cs="Times New Roman"/>
        </w:rPr>
        <w:fldChar w:fldCharType="begin" w:fldLock="1"/>
      </w:r>
      <w:r w:rsidR="00A94F1B" w:rsidRPr="00231B15">
        <w:rPr>
          <w:rFonts w:cs="Times New Roman"/>
        </w:rPr>
        <w:instrText>ADDIN CSL_CITATION {"citationItems":[{"id":"ITEM-1","itemData":{"DOI":"10.1016/S1473-3099(15)00320-5","ISSN":"14744457","PMID":"26448141","abstract":"Background Artefenomel (OZ439) is a novel synthetic trioxolane with improved pharmacokinetic properties compared with other antimalarial drugs with the artemisinin pharmacophore. Artefenomel has been generally well tolerated in volunteers at doses up to 1600 mg and is being developed as a partner drug in an antimalarial combination treatment. We investigated the efficacy, tolerability, and pharmacokinetics of artefenomel at different doses in patients with Plasmodium falciparum or Plasmodium vivax malaria. Methods This phase 2a exploratory, open-label trial was done at the Hospital for Tropical Diseases, Bangkok, and the Shoklo Malaria Research Unit in Thailand. Adult patients with acute, uncomplicated P falciparum or P vivax malaria received artefenomel in a single oral dose (200 mg, 400 mg, 800 mg, or 1200 mg). The first cohort received 800 mg. Testing of a new dose of artefenomel in a patient cohort was decided on after safety and efficacy assessment of the preceding cohort. The primary endpoint was the natural log parasite reduction per 24 h. Definitive oral treatment was given at 36 h. This trial is registered with ClinicalTrials.gov, number NCT01213966. Findings Between Oct 24, 2010, and May 25, 2012, 82 patients were enrolled (20 in each of the 200 mg, 400 mg, and 800 mg cohorts, and 21 in the 1200 mg cohort). One patient withdrew consent (before the administration of artefenomel) but there were no further dropouts. The parasite reduction rates per 24 h ranged from 0·90 to 1·88 for P falciparum, and 2·09 to 2·53 for P vivax. All doses were equally effective in both P falciparum and P vivax malaria, with median parasite clearance half-lives of 4·1 h (range 1·3–6·7) to 5·6 h (2·0–8·5) for P falciparum and 2·3 h (1·2–3·9) to 3·2 h (0·9–15·0) for P vivax. Maximum plasma concentrations, dose-proportional to 800 mg, occurred at 4 h (median). The estimated elimination half-life was 46–62 h. No serious drug-related adverse effects were reported; other adverse effects were generally mild and reversible, with the highest number in the 1200 mg cohort (17 [81%] patients with at least one adverse event). The most frequently reported adverse effect was an asymptomatic increase in plasma creatine phosphokinase concentration (200 mg, n=5; 400 mg, n=3; 800 mg, n=1; 1200 mg, n=3). Interpretation Artefenomel is a new synthetic antimalarial peroxide with a good safety profile that clears parasitaemia rapidly in both P falciparum and P vivax malaria. Its long half-li…","author":[{"dropping-particle":"","family":"Phyo","given":"Aung Pyae","non-dropping-particle":"","parse-names":false,"suffix":""},{"dropping-particle":"","family":"Jittamala","given":"Podjanee","non-dropping-particle":"","parse-names":false,"suffix":""},{"dropping-particle":"","family":"Nosten","given":"François H.","non-dropping-particle":"","parse-names":false,"suffix":""},{"dropping-particle":"","family":"Pukrittayakamee","given":"Sasithon","non-dropping-particle":"","parse-names":false,"suffix":""},{"dropping-particle":"","family":"Imwong","given":"Mallika","non-dropping-particle":"","parse-names":false,"suffix":""},{"dropping-particle":"","family":"White","given":"Nicholas J.","non-dropping-particle":"","parse-names":false,"suffix":""},{"dropping-particle":"","family":"Duparc","given":"Stephan","non-dropping-particle":"","parse-names":false,"suffix":""},{"dropping-particle":"","family":"Macintyre","given":"Fiona","non-dropping-particle":"","parse-names":false,"suffix":""},{"dropping-particle":"","family":"Baker","given":"Mark","non-dropping-particle":"","parse-names":false,"suffix":""},{"dropping-particle":"","family":"Möhrle","given":"Jörg J.","non-dropping-particle":"","parse-names":false,"suffix":""}],"container-title":"The Lancet Infectious Diseases","id":"ITEM-1","issue":"1","issued":{"date-parts":[["2016"]]},"page":"61-69","title":"Antimalarial activity of artefenomel (OZ439), a novel synthetic antimalarial endoperoxide, in patients with Plasmodium falciparum and Plasmodium vivax malaria: an open-label phase 2 trial","type":"article-journal","volume":"16"},"uris":["http://www.mendeley.com/documents/?uuid=d414224d-5771-4af8-9f32-42d1ff1b4dfc"]},{"id":"ITEM-2","itemData":{"URL":"https://clinicaltrials.gov/ct2/show/NCT03660839","accessed":{"date-parts":[["2020","5","15"]]},"id":"ITEM-2","issued":{"date-parts":[["0"]]},"title":"Study to Investigate the Clinical and Parasiticidal Activity and Pharmacokinetics of Different Doses of Artefenomel and Ferroquine in Patients With Uncomplicated Plasmodium Falciparum Malaria","type":"webpage"},"uris":["http://www.mendeley.com/documents/?uuid=ad3f73f1-c768-4c1b-a7ad-0ef907e3c80c"]}],"mendeley":{"formattedCitation":"&lt;sup&gt;7,8&lt;/sup&gt;","plainTextFormattedCitation":"7,8","previouslyFormattedCitation":"&lt;sup&gt;7,8&lt;/sup&gt;"},"properties":{"noteIndex":0},"schema":"https://github.com/citation-style-language/schema/raw/master/csl-citation.json"}</w:instrText>
      </w:r>
      <w:r w:rsidR="005D17DA" w:rsidRPr="00231B15">
        <w:rPr>
          <w:rFonts w:cs="Times New Roman"/>
        </w:rPr>
        <w:fldChar w:fldCharType="separate"/>
      </w:r>
      <w:r w:rsidR="005D17DA" w:rsidRPr="00231B15">
        <w:rPr>
          <w:rFonts w:cs="Times New Roman"/>
          <w:noProof/>
          <w:vertAlign w:val="superscript"/>
        </w:rPr>
        <w:t>7,8</w:t>
      </w:r>
      <w:r w:rsidR="005D17DA" w:rsidRPr="00231B15">
        <w:rPr>
          <w:rFonts w:cs="Times New Roman"/>
        </w:rPr>
        <w:fldChar w:fldCharType="end"/>
      </w:r>
      <w:r w:rsidR="00255C09" w:rsidRPr="00231B15">
        <w:rPr>
          <w:rFonts w:cs="Times New Roman"/>
        </w:rPr>
        <w:t xml:space="preserve"> </w:t>
      </w:r>
      <w:r w:rsidR="00E0355D" w:rsidRPr="00231B15">
        <w:rPr>
          <w:rFonts w:cs="Times New Roman"/>
        </w:rPr>
        <w:t>OZ439</w:t>
      </w:r>
      <w:r w:rsidR="00F7270B" w:rsidRPr="00231B15">
        <w:rPr>
          <w:rFonts w:cs="Times New Roman"/>
        </w:rPr>
        <w:t xml:space="preserve"> is a 1,2,4-triox</w:t>
      </w:r>
      <w:r w:rsidR="009531D1" w:rsidRPr="00231B15">
        <w:rPr>
          <w:rFonts w:cs="Times New Roman"/>
        </w:rPr>
        <w:t>ol</w:t>
      </w:r>
      <w:r w:rsidR="00F7270B" w:rsidRPr="00231B15">
        <w:rPr>
          <w:rFonts w:cs="Times New Roman"/>
        </w:rPr>
        <w:t>ane containing antimalarial</w:t>
      </w:r>
      <w:r w:rsidR="00E0355D" w:rsidRPr="00231B15">
        <w:rPr>
          <w:rFonts w:cs="Times New Roman"/>
        </w:rPr>
        <w:t xml:space="preserve"> </w:t>
      </w:r>
      <w:r w:rsidR="00F7270B" w:rsidRPr="00231B15">
        <w:rPr>
          <w:rFonts w:cs="Times New Roman"/>
        </w:rPr>
        <w:t xml:space="preserve">possessing </w:t>
      </w:r>
      <w:r w:rsidR="00E0355D" w:rsidRPr="00231B15">
        <w:rPr>
          <w:rFonts w:cs="Times New Roman"/>
        </w:rPr>
        <w:t xml:space="preserve">potent fast-killing activity against plasmodium parasites </w:t>
      </w:r>
      <w:r w:rsidR="00EB3BEA" w:rsidRPr="00231B15">
        <w:rPr>
          <w:rFonts w:cs="Times New Roman"/>
        </w:rPr>
        <w:t xml:space="preserve">and crucially has been shown to </w:t>
      </w:r>
      <w:r w:rsidR="00140F2D" w:rsidRPr="00231B15">
        <w:rPr>
          <w:rFonts w:cs="Times New Roman"/>
        </w:rPr>
        <w:t>achieve</w:t>
      </w:r>
      <w:r w:rsidR="00EB3BEA" w:rsidRPr="00231B15">
        <w:rPr>
          <w:rFonts w:cs="Times New Roman"/>
        </w:rPr>
        <w:t xml:space="preserve"> a single dose </w:t>
      </w:r>
      <w:r w:rsidR="00140F2D" w:rsidRPr="00231B15">
        <w:rPr>
          <w:rFonts w:cs="Times New Roman"/>
        </w:rPr>
        <w:t xml:space="preserve">100% </w:t>
      </w:r>
      <w:r w:rsidR="00EB3BEA" w:rsidRPr="00231B15">
        <w:rPr>
          <w:rFonts w:cs="Times New Roman"/>
        </w:rPr>
        <w:t>cure</w:t>
      </w:r>
      <w:r w:rsidR="00800B0B" w:rsidRPr="00231B15">
        <w:rPr>
          <w:rFonts w:cs="Times New Roman"/>
        </w:rPr>
        <w:t xml:space="preserve"> in the </w:t>
      </w:r>
      <w:r w:rsidR="00800B0B" w:rsidRPr="00231B15">
        <w:rPr>
          <w:rFonts w:cs="Times New Roman"/>
          <w:i/>
          <w:iCs/>
        </w:rPr>
        <w:t xml:space="preserve">P. berghei </w:t>
      </w:r>
      <w:r w:rsidR="00800B0B" w:rsidRPr="00231B15">
        <w:rPr>
          <w:rFonts w:cs="Times New Roman"/>
        </w:rPr>
        <w:t>mouse model</w:t>
      </w:r>
      <w:r w:rsidR="00140F2D" w:rsidRPr="00231B15">
        <w:rPr>
          <w:rFonts w:cs="Times New Roman"/>
        </w:rPr>
        <w:t xml:space="preserve"> of malaria infection</w:t>
      </w:r>
      <w:r w:rsidR="00800B0B" w:rsidRPr="00231B15">
        <w:rPr>
          <w:rFonts w:cs="Times New Roman"/>
        </w:rPr>
        <w:t>.</w:t>
      </w:r>
      <w:r w:rsidR="005D17DA" w:rsidRPr="00231B15">
        <w:rPr>
          <w:rFonts w:cs="Times New Roman"/>
        </w:rPr>
        <w:fldChar w:fldCharType="begin" w:fldLock="1"/>
      </w:r>
      <w:r w:rsidR="005D17DA" w:rsidRPr="00231B15">
        <w:rPr>
          <w:rFonts w:cs="Times New Roman"/>
        </w:rPr>
        <w:instrText>ADDIN CSL_CITATION {"citationItems":[{"id":"ITEM-1","itemData":{"DOI":"10.1073/pnas.1015762108","ISSN":"00278424","abstract":"Ozonide OZ439 is a synthetic peroxide antimalarial drug candidate designed to provide a single-dose oral cure in humans. OZ439 has successfully completed Phase I clinical trials, where it was shown to be safe at doses up to 1,600 mg and is currently undergoing Phase IIa trials in malaria patients. Herein, we describe the discovery of OZ439 and the exceptional antimalarial and pharmacokinetic properties that led to its selection as a clinical drug development candidate. In vitro, OZ439 is fast-acting against all asexual erythrocytic Plasmodium falciparum stages with IC50 values comparable to those for the clinically used artemisinin derivatives. Unlike all other synthetic peroxides and semisynthetic artemisinin derivatives, OZ439 completely cures Plasmodium berghei-infected mice with a single oral dose of 20 mg/kg and exhibits prophylactic activity superior to that of the benchmark chemoprophylactic agent, mefloquine. Compared with other peroxide-containing antimalarial agents, such as the artemisinin derivatives and the first-generation ozonide OZ277, OZ439 exhibits a substantial increase in the pharmacokinetic half-life and blood concentration versus time profile in three preclinical species. The outstanding efficacy and prolonged blood concentrations of OZ439 are the result of a design strategy that stabilizes the intrinsically unstable pharmacophoric peroxide bond, thereby reducing clearance yet maintaining the necessary Fe (II)-reactivity to elicit parasite death.","author":[{"dropping-particle":"","family":"Charman","given":"Susan A.","non-dropping-particle":"","parse-names":false,"suffix":""},{"dropping-particle":"","family":"Arbe-Barnes","given":"Sarah","non-dropping-particle":"","parse-names":false,"suffix":""},{"dropping-particle":"","family":"Bathurst","given":"Ian C.","non-dropping-particle":"","parse-names":false,"suffix":""},{"dropping-particle":"","family":"Brund","given":"Reto","non-dropping-particle":"","parse-names":false,"suffix":""},{"dropping-particle":"","family":"Campbell","given":"Michael","non-dropping-particle":"","parse-names":false,"suffix":""},{"dropping-particle":"","family":"Charman","given":"William N.","non-dropping-particle":"","parse-names":false,"suffix":""},{"dropping-particle":"","family":"Chiu","given":"Francis C.K.","non-dropping-particle":"","parse-names":false,"suffix":""},{"dropping-particle":"","family":"Chollet","given":"Jacques","non-dropping-particle":"","parse-names":false,"suffix":""},{"dropping-particle":"","family":"Craft","given":"J. Carl","non-dropping-particle":"","parse-names":false,"suffix":""},{"dropping-particle":"","family":"Creek","given":"Darren J.","non-dropping-particle":"","parse-names":false,"suffix":""},{"dropping-particle":"","family":"Don","given":"Yuxiang","non-dropping-particle":"","parse-names":false,"suffix":""},{"dropping-particle":"","family":"Matile","given":"Hugues","non-dropping-particle":"","parse-names":false,"suffix":""},{"dropping-particle":"","family":"Maurer","given":"Melanie","non-dropping-particle":"","parse-names":false,"suffix":""},{"dropping-particle":"","family":"Morizzi","given":"Julia","non-dropping-particle":"","parse-names":false,"suffix":""},{"dropping-particle":"","family":"Nguyen","given":"Tien","non-dropping-particle":"","parse-names":false,"suffix":""},{"dropping-particle":"","family":"Papastogiannidis","given":"Petros","non-dropping-particle":"","parse-names":false,"suffix":""},{"dropping-particle":"","family":"Scheurer","given":"Christian","non-dropping-particle":"","parse-names":false,"suffix":""},{"dropping-particle":"","family":"Shackleford","given":"David M.","non-dropping-particle":"","parse-names":false,"suffix":""},{"dropping-particle":"","family":"Sriraghavan","given":"Kamaraj","non-dropping-particle":"","parse-names":false,"suffix":""},{"dropping-particle":"","family":"Stingelin","given":"Lukas","non-dropping-particle":"","parse-names":false,"suffix":""},{"dropping-particle":"","family":"Tang","given":"Yuanqing","non-dropping-particle":"","parse-names":false,"suffix":""},{"dropping-particle":"","family":"Urwyler","given":"Heinrich","non-dropping-particle":"","parse-names":false,"suffix":""},{"dropping-particle":"","family":"Wang","given":"Xiaofang","non-dropping-particle":"","parse-names":false,"suffix":""},{"dropping-particle":"","family":"White","given":"Karen L.","non-dropping-particle":"","parse-names":false,"suffix":""},{"dropping-particle":"","family":"Wittlin","given":"Sergio","non-dropping-particle":"","parse-names":false,"suffix":""},{"dropping-particle":"","family":"Zhou","given":"Lin","non-dropping-particle":"","parse-names":false,"suffix":""},{"dropping-particle":"","family":"Vennerstrom","given":"Jonathan L.","non-dropping-particle":"","parse-names":false,"suffix":""}],"container-title":"Proceedings of the National Academy of Sciences of the United States of America","id":"ITEM-1","issued":{"date-parts":[["2011"]]},"title":"Synthetic ozonide drug candidate OZ439 offers new hope for a single-dose cure of uncomplicated malaria","type":"article-journal"},"uris":["http://www.mendeley.com/documents/?uuid=855bb978-eb08-4d0c-9a23-254f1ab59205"]}],"mendeley":{"formattedCitation":"&lt;sup&gt;9&lt;/sup&gt;","plainTextFormattedCitation":"9","previouslyFormattedCitation":"&lt;sup&gt;9&lt;/sup&gt;"},"properties":{"noteIndex":0},"schema":"https://github.com/citation-style-language/schema/raw/master/csl-citation.json"}</w:instrText>
      </w:r>
      <w:r w:rsidR="005D17DA" w:rsidRPr="00231B15">
        <w:rPr>
          <w:rFonts w:cs="Times New Roman"/>
        </w:rPr>
        <w:fldChar w:fldCharType="separate"/>
      </w:r>
      <w:r w:rsidR="005D17DA" w:rsidRPr="00231B15">
        <w:rPr>
          <w:rFonts w:cs="Times New Roman"/>
          <w:noProof/>
          <w:vertAlign w:val="superscript"/>
        </w:rPr>
        <w:t>9</w:t>
      </w:r>
      <w:r w:rsidR="005D17DA" w:rsidRPr="00231B15">
        <w:rPr>
          <w:rFonts w:cs="Times New Roman"/>
        </w:rPr>
        <w:fldChar w:fldCharType="end"/>
      </w:r>
      <w:r w:rsidR="00CF49D5" w:rsidRPr="00231B15">
        <w:rPr>
          <w:rFonts w:cs="Times New Roman"/>
        </w:rPr>
        <w:t xml:space="preserve"> </w:t>
      </w:r>
      <w:r w:rsidR="003E308B" w:rsidRPr="00231B15">
        <w:rPr>
          <w:rFonts w:cs="Times New Roman"/>
        </w:rPr>
        <w:t>The structure activity relationship of OZ439 centres around the</w:t>
      </w:r>
      <w:r w:rsidR="00800B0B" w:rsidRPr="00231B15">
        <w:rPr>
          <w:rFonts w:cs="Times New Roman"/>
        </w:rPr>
        <w:t xml:space="preserve"> </w:t>
      </w:r>
      <w:r w:rsidR="009531D1" w:rsidRPr="00231B15">
        <w:rPr>
          <w:rFonts w:cs="Times New Roman"/>
        </w:rPr>
        <w:t>1,2,4-trioxolane</w:t>
      </w:r>
      <w:r w:rsidR="003E308B" w:rsidRPr="00231B15">
        <w:rPr>
          <w:rFonts w:cs="Times New Roman"/>
        </w:rPr>
        <w:t xml:space="preserve"> endoperoxide unit which</w:t>
      </w:r>
      <w:r w:rsidR="009531D1" w:rsidRPr="00231B15">
        <w:rPr>
          <w:rFonts w:cs="Times New Roman"/>
        </w:rPr>
        <w:t xml:space="preserve"> mimics the 1,2,4</w:t>
      </w:r>
      <w:r w:rsidR="00BA3916" w:rsidRPr="00231B15">
        <w:rPr>
          <w:rFonts w:cs="Times New Roman"/>
        </w:rPr>
        <w:t>-trioxane moiety of ART allowing bioactivation by Fe(II)</w:t>
      </w:r>
      <w:r w:rsidR="0038654F" w:rsidRPr="00231B15">
        <w:rPr>
          <w:rFonts w:cs="Times New Roman"/>
        </w:rPr>
        <w:t>,</w:t>
      </w:r>
      <w:r w:rsidR="00BA3916" w:rsidRPr="00231B15">
        <w:rPr>
          <w:rFonts w:cs="Times New Roman"/>
        </w:rPr>
        <w:t xml:space="preserve"> while the spiro-adamantane and adjacent 4”-phenyl moieties </w:t>
      </w:r>
      <w:r w:rsidR="00056D98" w:rsidRPr="00231B15">
        <w:rPr>
          <w:rFonts w:cs="Times New Roman"/>
        </w:rPr>
        <w:t xml:space="preserve">restrict </w:t>
      </w:r>
      <w:r w:rsidR="00BA3916" w:rsidRPr="00231B15">
        <w:rPr>
          <w:rFonts w:cs="Times New Roman"/>
        </w:rPr>
        <w:t xml:space="preserve">the accessibility of the O-O linkage </w:t>
      </w:r>
      <w:r w:rsidR="003E308B" w:rsidRPr="00231B15">
        <w:rPr>
          <w:rFonts w:cs="Times New Roman"/>
        </w:rPr>
        <w:t>enabling greater stability to serum Fe(II).</w:t>
      </w:r>
      <w:r w:rsidR="005D17DA" w:rsidRPr="00231B15">
        <w:rPr>
          <w:rFonts w:cs="Times New Roman"/>
        </w:rPr>
        <w:fldChar w:fldCharType="begin" w:fldLock="1"/>
      </w:r>
      <w:r w:rsidR="00A94F1B" w:rsidRPr="00231B15">
        <w:rPr>
          <w:rFonts w:cs="Times New Roman"/>
        </w:rPr>
        <w:instrText>ADDIN CSL_CITATION {"citationItems":[{"id":"ITEM-1","itemData":{"DOI":"10.1002/jps.20958","ISSN":"15206017","PMID":"17549767","abstract":"The iron-mediated reactivity of various dispiro-1,2,4-trioxolanes was determined by automated kinetic analysis under standard reaction conditions. The active antimalarial compounds underwent peroxide bond cleavage by Fe(II) resulting in products indicative of carbon-centered radical formation. The rate of reaction was heavily influenced by the presence of spiro-substituted adamantane and cyclohexane rings, and was also significantly affected by cyclohexane ring substitution. Steric hindrance around the peroxide oxygen atoms appeared to be the major determinant of reaction rate, however polar substituents also affected reactivity by an independent mechanism. A wide range of reaction rates was observed within this class of peroxide antimalarials, however iron-mediated reactivity did not directly correlate with in vitro antimalarial activity. © 2007 Wiley-Liss, Inc. and the American Pharmacists Association.","author":[{"dropping-particle":"","family":"Creek","given":"Darren J.","non-dropping-particle":"","parse-names":false,"suffix":""},{"dropping-particle":"","family":"Charman","given":"William N.","non-dropping-particle":"","parse-names":false,"suffix":""},{"dropping-particle":"","family":"Chiu","given":"Francis C.K.","non-dropping-particle":"","parse-names":false,"suffix":""},{"dropping-particle":"","family":"Prankerd","given":"Richard J.","non-dropping-particle":"","parse-names":false,"suffix":""},{"dropping-particle":"","family":"McCullough","given":"Kevin J.","non-dropping-particle":"","parse-names":false,"suffix":""},{"dropping-particle":"","family":"Dong","given":"Yuxiang","non-dropping-particle":"","parse-names":false,"suffix":""},{"dropping-particle":"","family":"Vennerstrom","given":"Jonathan L.","non-dropping-particle":"","parse-names":false,"suffix":""},{"dropping-particle":"","family":"Charman","given":"Susan A.","non-dropping-particle":"","parse-names":false,"suffix":""}],"container-title":"Journal of Pharmaceutical Sciences","id":"ITEM-1","issue":"11","issued":{"date-parts":[["2007"]]},"page":"2945-2956","title":"Iron-mediated degradation kinetics of substituted dispiro-1,2,4-trioxolane antimalarials","type":"article-journal","volume":"96"},"uris":["http://www.mendeley.com/documents/?uuid=b1982492-621a-4d9f-9663-bb8708fa604d"]}],"mendeley":{"formattedCitation":"&lt;sup&gt;10&lt;/sup&gt;","plainTextFormattedCitation":"10","previouslyFormattedCitation":"&lt;sup&gt;10&lt;/sup&gt;"},"properties":{"noteIndex":0},"schema":"https://github.com/citation-style-language/schema/raw/master/csl-citation.json"}</w:instrText>
      </w:r>
      <w:r w:rsidR="005D17DA" w:rsidRPr="00231B15">
        <w:rPr>
          <w:rFonts w:cs="Times New Roman"/>
        </w:rPr>
        <w:fldChar w:fldCharType="separate"/>
      </w:r>
      <w:r w:rsidR="005D17DA" w:rsidRPr="00231B15">
        <w:rPr>
          <w:rFonts w:cs="Times New Roman"/>
          <w:noProof/>
          <w:vertAlign w:val="superscript"/>
        </w:rPr>
        <w:t>10</w:t>
      </w:r>
      <w:r w:rsidR="005D17DA" w:rsidRPr="00231B15">
        <w:rPr>
          <w:rFonts w:cs="Times New Roman"/>
        </w:rPr>
        <w:fldChar w:fldCharType="end"/>
      </w:r>
      <w:r w:rsidR="005D17DA" w:rsidRPr="00231B15">
        <w:rPr>
          <w:rFonts w:cs="Times New Roman"/>
        </w:rPr>
        <w:t xml:space="preserve"> </w:t>
      </w:r>
      <w:r w:rsidR="003E308B" w:rsidRPr="00231B15">
        <w:rPr>
          <w:rFonts w:cs="Times New Roman"/>
        </w:rPr>
        <w:t xml:space="preserve">While OZ439 has demonstrated outstanding efficacy, there are known issues with variable pharmacokinetics (PK) </w:t>
      </w:r>
      <w:r w:rsidR="003E308B" w:rsidRPr="00231B15">
        <w:rPr>
          <w:rFonts w:cs="Times New Roman"/>
          <w:i/>
          <w:iCs/>
        </w:rPr>
        <w:t xml:space="preserve">in vivo </w:t>
      </w:r>
      <w:r w:rsidR="003E308B" w:rsidRPr="00231B15">
        <w:rPr>
          <w:rFonts w:cs="Times New Roman"/>
        </w:rPr>
        <w:t>owing to solubility issues and formation of colloids.</w:t>
      </w:r>
      <w:r w:rsidR="007D7727" w:rsidRPr="00231B15">
        <w:rPr>
          <w:rFonts w:cs="Times New Roman"/>
        </w:rPr>
        <w:fldChar w:fldCharType="begin" w:fldLock="1"/>
      </w:r>
      <w:r w:rsidR="00A94F1B" w:rsidRPr="00231B15">
        <w:rPr>
          <w:rFonts w:cs="Times New Roman"/>
        </w:rPr>
        <w:instrText>ADDIN CSL_CITATION {"citationItems":[{"id":"ITEM-1","itemData":{"DOI":"10.1021/acs.molpharmaceut.8b00173","ISSN":"15438392","PMID":"29558146","abstract":"Efforts to develop orally administered drugs tend to place an exceptional focus on aqueous solubility as this is an essential criterion for their absorption in the gastrointestinal tract. In this work we examine the solid state behavior and solubility of OZ439, a promising single-dose cure for malaria being developed as the highly water-soluble mesylate salt. The aqueous phase behavior of the OZ439 mesylate salt was determined using a combination of small angle neutron and X-ray scattering (SANS and SAXS, respectively). It was found that this salt has low solubility at low concentrations with the drug largely precipitated in free base aggregates. However, with increasing concentration these crystalline aggregates were observed to dissociate into cationic micelles and lamellar phases, effectively increasing the dissolved drug concentration. It was also found that the dissolved OZ439 spontaneously precipitated in the presence of biologically relevant anions, which we attribute to the high lattice energies of most of the salt forms of the drug. These findings show that aqueous solubility is not always what it seems in the context of amphiphilic drug molecules and highlights that its use as the principal metric in selecting drug candidates for development can be perilous.","author":[{"dropping-particle":"","family":"Clulow","given":"Andrew J.","non-dropping-particle":"","parse-names":false,"suffix":""},{"dropping-particle":"","family":"Salim","given":"Malinda","non-dropping-particle":"","parse-names":false,"suffix":""},{"dropping-particle":"","family":"Hawley","given":"Adrian","non-dropping-particle":"","parse-names":false,"suffix":""},{"dropping-particle":"","family":"Gilbert","given":"Elliot P.","non-dropping-particle":"","parse-names":false,"suffix":""},{"dropping-particle":"","family":"Boyd","given":"Ben J.","non-dropping-particle":"","parse-names":false,"suffix":""}],"container-title":"Molecular Pharmaceutics","id":"ITEM-1","issue":"5","issued":{"date-parts":[["2018"]]},"page":"2027-2035","title":"The Curious Case of the OZ439 Mesylate Salt: An Amphiphilic Antimalarial Drug with Diverse Solution and Solid State Structures","type":"article-journal","volume":"15"},"uris":["http://www.mendeley.com/documents/?uuid=1878e197-8490-4e21-883c-54a28d24bff6"]}],"mendeley":{"formattedCitation":"&lt;sup&gt;11&lt;/sup&gt;","plainTextFormattedCitation":"11","previouslyFormattedCitation":"&lt;sup&gt;11&lt;/sup&gt;"},"properties":{"noteIndex":0},"schema":"https://github.com/citation-style-language/schema/raw/master/csl-citation.json"}</w:instrText>
      </w:r>
      <w:r w:rsidR="007D7727" w:rsidRPr="00231B15">
        <w:rPr>
          <w:rFonts w:cs="Times New Roman"/>
        </w:rPr>
        <w:fldChar w:fldCharType="separate"/>
      </w:r>
      <w:r w:rsidR="007D7727" w:rsidRPr="00231B15">
        <w:rPr>
          <w:rFonts w:cs="Times New Roman"/>
          <w:noProof/>
          <w:vertAlign w:val="superscript"/>
        </w:rPr>
        <w:t>11</w:t>
      </w:r>
      <w:r w:rsidR="007D7727" w:rsidRPr="00231B15">
        <w:rPr>
          <w:rFonts w:cs="Times New Roman"/>
        </w:rPr>
        <w:fldChar w:fldCharType="end"/>
      </w:r>
      <w:r w:rsidR="003E308B" w:rsidRPr="00231B15">
        <w:rPr>
          <w:rFonts w:cs="Times New Roman"/>
        </w:rPr>
        <w:t xml:space="preserve"> </w:t>
      </w:r>
      <w:r w:rsidR="00967E51" w:rsidRPr="00231B15">
        <w:rPr>
          <w:rFonts w:cs="Times New Roman"/>
        </w:rPr>
        <w:t>OZ</w:t>
      </w:r>
      <w:r w:rsidR="00140F2D" w:rsidRPr="00231B15">
        <w:rPr>
          <w:rFonts w:cs="Times New Roman"/>
        </w:rPr>
        <w:t>439 has</w:t>
      </w:r>
      <w:r w:rsidR="00967E51" w:rsidRPr="00231B15">
        <w:rPr>
          <w:rFonts w:cs="Times New Roman"/>
        </w:rPr>
        <w:t xml:space="preserve"> been formulated as a mesylate salt due to its high aqueous solubility, however recent studies </w:t>
      </w:r>
      <w:r w:rsidR="00443BAE" w:rsidRPr="00231B15">
        <w:rPr>
          <w:rFonts w:cs="Times New Roman"/>
        </w:rPr>
        <w:t>have</w:t>
      </w:r>
      <w:r w:rsidR="00967E51" w:rsidRPr="00231B15">
        <w:rPr>
          <w:rFonts w:cs="Times New Roman"/>
        </w:rPr>
        <w:t xml:space="preserve"> </w:t>
      </w:r>
      <w:r w:rsidR="00967E51" w:rsidRPr="00231B15">
        <w:rPr>
          <w:rFonts w:cs="Times New Roman"/>
        </w:rPr>
        <w:lastRenderedPageBreak/>
        <w:t>suggested that in the digestion process OZ439-mesylate can undergo anion transfer with chloride ions in the stomach causing precipitation of colloidal OZ439-hydrochloride.</w:t>
      </w:r>
      <w:r w:rsidR="007D7727" w:rsidRPr="00231B15">
        <w:rPr>
          <w:rFonts w:cs="Times New Roman"/>
        </w:rPr>
        <w:fldChar w:fldCharType="begin" w:fldLock="1"/>
      </w:r>
      <w:r w:rsidR="00A94F1B" w:rsidRPr="00231B15">
        <w:rPr>
          <w:rFonts w:cs="Times New Roman"/>
        </w:rPr>
        <w:instrText>ADDIN CSL_CITATION {"citationItems":[{"id":"ITEM-1","itemData":{"DOI":"10.1021/acs.molpharmaceut.8b00173","ISSN":"15438392","PMID":"29558146","abstract":"Efforts to develop orally administered drugs tend to place an exceptional focus on aqueous solubility as this is an essential criterion for their absorption in the gastrointestinal tract. In this work we examine the solid state behavior and solubility of OZ439, a promising single-dose cure for malaria being developed as the highly water-soluble mesylate salt. The aqueous phase behavior of the OZ439 mesylate salt was determined using a combination of small angle neutron and X-ray scattering (SANS and SAXS, respectively). It was found that this salt has low solubility at low concentrations with the drug largely precipitated in free base aggregates. However, with increasing concentration these crystalline aggregates were observed to dissociate into cationic micelles and lamellar phases, effectively increasing the dissolved drug concentration. It was also found that the dissolved OZ439 spontaneously precipitated in the presence of biologically relevant anions, which we attribute to the high lattice energies of most of the salt forms of the drug. These findings show that aqueous solubility is not always what it seems in the context of amphiphilic drug molecules and highlights that its use as the principal metric in selecting drug candidates for development can be perilous.","author":[{"dropping-particle":"","family":"Clulow","given":"Andrew J.","non-dropping-particle":"","parse-names":false,"suffix":""},{"dropping-particle":"","family":"Salim","given":"Malinda","non-dropping-particle":"","parse-names":false,"suffix":""},{"dropping-particle":"","family":"Hawley","given":"Adrian","non-dropping-particle":"","parse-names":false,"suffix":""},{"dropping-particle":"","family":"Gilbert","given":"Elliot P.","non-dropping-particle":"","parse-names":false,"suffix":""},{"dropping-particle":"","family":"Boyd","given":"Ben J.","non-dropping-particle":"","parse-names":false,"suffix":""}],"container-title":"Molecular Pharmaceutics","id":"ITEM-1","issue":"5","issued":{"date-parts":[["2018"]]},"page":"2027-2035","title":"The Curious Case of the OZ439 Mesylate Salt: An Amphiphilic Antimalarial Drug with Diverse Solution and Solid State Structures","type":"article-journal","volume":"15"},"uris":["http://www.mendeley.com/documents/?uuid=1878e197-8490-4e21-883c-54a28d24bff6"]}],"mendeley":{"formattedCitation":"&lt;sup&gt;11&lt;/sup&gt;","plainTextFormattedCitation":"11","previouslyFormattedCitation":"&lt;sup&gt;11&lt;/sup&gt;"},"properties":{"noteIndex":0},"schema":"https://github.com/citation-style-language/schema/raw/master/csl-citation.json"}</w:instrText>
      </w:r>
      <w:r w:rsidR="007D7727" w:rsidRPr="00231B15">
        <w:rPr>
          <w:rFonts w:cs="Times New Roman"/>
        </w:rPr>
        <w:fldChar w:fldCharType="separate"/>
      </w:r>
      <w:r w:rsidR="007D7727" w:rsidRPr="00231B15">
        <w:rPr>
          <w:rFonts w:cs="Times New Roman"/>
          <w:noProof/>
          <w:vertAlign w:val="superscript"/>
        </w:rPr>
        <w:t>11</w:t>
      </w:r>
      <w:r w:rsidR="007D7727" w:rsidRPr="00231B15">
        <w:rPr>
          <w:rFonts w:cs="Times New Roman"/>
        </w:rPr>
        <w:fldChar w:fldCharType="end"/>
      </w:r>
      <w:r w:rsidR="00967E51" w:rsidRPr="00231B15">
        <w:rPr>
          <w:rFonts w:cs="Times New Roman"/>
        </w:rPr>
        <w:t xml:space="preserve"> Furthermore, in the less acidic environment of the small intestine the free-base form of OZ439 has also been observed to </w:t>
      </w:r>
      <w:r w:rsidR="00997D2E" w:rsidRPr="00231B15">
        <w:rPr>
          <w:rFonts w:cs="Times New Roman"/>
        </w:rPr>
        <w:t>precipitate</w:t>
      </w:r>
      <w:r w:rsidR="005D17DA" w:rsidRPr="00231B15">
        <w:rPr>
          <w:rFonts w:cs="Times New Roman"/>
        </w:rPr>
        <w:t xml:space="preserve"> reducing the amount of solubilised OZ439 available for absorption</w:t>
      </w:r>
      <w:r w:rsidR="00BF4419" w:rsidRPr="00231B15">
        <w:rPr>
          <w:rFonts w:cs="Times New Roman"/>
        </w:rPr>
        <w:t>.</w:t>
      </w:r>
      <w:r w:rsidR="005D17DA" w:rsidRPr="00231B15">
        <w:rPr>
          <w:rFonts w:cs="Times New Roman"/>
        </w:rPr>
        <w:t xml:space="preserve"> </w:t>
      </w:r>
      <w:r w:rsidR="005D17DA" w:rsidRPr="00231B15">
        <w:rPr>
          <w:rFonts w:cs="Times New Roman"/>
        </w:rPr>
        <w:fldChar w:fldCharType="begin" w:fldLock="1"/>
      </w:r>
      <w:r w:rsidR="00A94F1B" w:rsidRPr="00231B15">
        <w:rPr>
          <w:rFonts w:cs="Times New Roman"/>
        </w:rPr>
        <w:instrText>ADDIN CSL_CITATION {"citationItems":[{"id":"ITEM-1","itemData":{"DOI":"10.1021/acs.molpharmaceut.8b00173","ISSN":"15438392","PMID":"29558146","abstract":"Efforts to develop orally administered drugs tend to place an exceptional focus on aqueous solubility as this is an essential criterion for their absorption in the gastrointestinal tract. In this work we examine the solid state behavior and solubility of OZ439, a promising single-dose cure for malaria being developed as the highly water-soluble mesylate salt. The aqueous phase behavior of the OZ439 mesylate salt was determined using a combination of small angle neutron and X-ray scattering (SANS and SAXS, respectively). It was found that this salt has low solubility at low concentrations with the drug largely precipitated in free base aggregates. However, with increasing concentration these crystalline aggregates were observed to dissociate into cationic micelles and lamellar phases, effectively increasing the dissolved drug concentration. It was also found that the dissolved OZ439 spontaneously precipitated in the presence of biologically relevant anions, which we attribute to the high lattice energies of most of the salt forms of the drug. These findings show that aqueous solubility is not always what it seems in the context of amphiphilic drug molecules and highlights that its use as the principal metric in selecting drug candidates for development can be perilous.","author":[{"dropping-particle":"","family":"Clulow","given":"Andrew J.","non-dropping-particle":"","parse-names":false,"suffix":""},{"dropping-particle":"","family":"Salim","given":"Malinda","non-dropping-particle":"","parse-names":false,"suffix":""},{"dropping-particle":"","family":"Hawley","given":"Adrian","non-dropping-particle":"","parse-names":false,"suffix":""},{"dropping-particle":"","family":"Gilbert","given":"Elliot P.","non-dropping-particle":"","parse-names":false,"suffix":""},{"dropping-particle":"","family":"Boyd","given":"Ben J.","non-dropping-particle":"","parse-names":false,"suffix":""}],"container-title":"Molecular Pharmaceutics","id":"ITEM-1","issue":"5","issued":{"date-parts":[["2018"]]},"page":"2027-2035","title":"The Curious Case of the OZ439 Mesylate Salt: An Amphiphilic Antimalarial Drug with Diverse Solution and Solid State Structures","type":"article-journal","volume":"15"},"uris":["http://www.mendeley.com/documents/?uuid=1878e197-8490-4e21-883c-54a28d24bff6"]},{"id":"ITEM-2","itemData":{"DOI":"10.1021/acs.molpharmaceut.8b00541","ISSN":"15438392","PMID":"29932660","abstract":"Milk has been used as a vehicle for the delivery of antimalarial drugs during clinical trials to test for a food effect and artefenomel (OZ439) showed enhanced oral bioavailability with milk. However, the nature of the interaction between milk and OZ439 in the gastrointestinal tract remains poorly understood. To understand the role of milk digestion on the solubilization of OZ439 and polymorphism, we conducted real-time monitoring of crystalline drug in suspension during in vitro intestinal lipolysis of milk containing OZ439 using synchrotron X-ray scattering. OZ439 formed an unstable solid-state intermediate free base form (OZ439-FB form 1) at intestinal pH and was partially solubilized by milk fat globules prior to lipolysis. Dissolution of the free base form 1 and recrystallization of OZ439 in a more stable polymorphic form (OZ439-FB form 2) occurred during in vitro lipolysis in milk. Simply stirring the milk/drug suspension in the absence of lipase or addition of lipase to OZ439 in a lipid-free buffer did not induce this polymorphic transformation. The formation of OZ439-FB form 2 was therefore accelerated by the solubilization of OZ439-FB form 1 during the digestion of milk. Our findings confirmed that although crystalline precipitates of OZ439-FB form 2 could still be detected after in vitro digestion, milk-based lipid formulations provided a significant reduction in crystalline OZ439 compared to lipid-free formulations, which we attribute to the formation of colloidal structures by the digested milk lipids. Milk may therefore be particularly suited as a form of lipid-based formulation (LBF) for coadministration with OZ439, from which both an enhancement in OZ439 oral bioavailability and the delivery of essential nutrients should result.","author":[{"dropping-particle":"","family":"Salim","given":"Malinda","non-dropping-particle":"","parse-names":false,"suffix":""},{"dropping-particle":"","family":"Khan","given":"Jamal","non-dropping-particle":"","parse-names":false,"suffix":""},{"dropping-particle":"","family":"Ramirez","given":"Gisela","non-dropping-particle":"","parse-names":false,"suffix":""},{"dropping-particle":"","family":"Clulow","given":"Andrew J.","non-dropping-particle":"","parse-names":false,"suffix":""},{"dropping-particle":"","family":"Hawley","given":"Adrian","non-dropping-particle":"","parse-names":false,"suffix":""},{"dropping-particle":"","family":"Ramachandruni","given":"Hanu","non-dropping-particle":"","parse-names":false,"suffix":""},{"dropping-particle":"","family":"Boyd","given":"Ben J.","non-dropping-particle":"","parse-names":false,"suffix":""}],"container-title":"Molecular Pharmaceutics","id":"ITEM-2","issue":"8","issued":{"date-parts":[["2018"]]},"page":"3535-3544","title":"Interactions of Artefenomel (OZ439) with Milk during Digestion: Insights into Digestion-Driven Solubilization and Polymorphic Transformations","type":"article-journal","volume":"15"},"uris":["http://www.mendeley.com/documents/?uuid=77f39444-81fb-4c80-985f-0b7ae705eb10"]},{"id":"ITEM-3","itemData":{"DOI":"10.1021/acs.molpharmaceut.8b01333","ISSN":"15438392","PMID":"30830789","abstract":"Milk is an attractive lipid-based formulation for the delivery of poorly water-soluble drugs to pediatric populations. We recently observed that solubilization of artefenomel (OZ439) during in vitro intestinal lipolysis was driven by digestion of triglycerides in full-cream bovine milk, reflecting the ability of milk to act as an enabling formulation in the clinic. However, when OZ439 was co-administered with a second antimalarial drug, ferroquine (FQ) the exposure of OZ439 was reduced. The current study therefore aimed to understand the impact of the presence of FQ on the solubilization of OZ439 in milk during in vitro intestinal digestion. Synchrotron small-angle X-ray scattering was used for in situ monitoring of drug solubilization (inferred via decreases in the intensity of drug diffraction peaks) and polymorphic transformations that occurred during the course of digestion. Quantification of the amount of each drug solubilized over time and analysis of their distributions across the separated phases of digested milk were determined using high-performance liquid chromatography. The results show that FQ reduced the solubilization of OZ439 during milk digestion, which may be due to competitive binding of FQ to the digested milk products. Interactions between the protonated FQ-H + and ionized liberated free fatty acids resulted in the formation of amorphous salts, which removes the low-energy crystalline state as a barrier to dissolution of FQ, while inhibiting the solubilization of OZ439. We conclude that although milk could enhance the solubilization of poorly water-soluble OZ439 during in vitro digestion principally due to the formation of fatty acids, the solubilization efficiency was reduced by the presence of FQ by competition for the available fatty acids. Assessment of the solubilization of both drugs during digestion of fixed-dose combination lipid formulations (such as milk) is important and may rationalize changes in bioavailability when compared to that of the individual drugs in the same formulation.","author":[{"dropping-particle":"","family":"Salim","given":"Malinda","non-dropping-particle":"","parse-names":false,"suffix":""},{"dropping-particle":"","family":"Khan","given":"Jamal","non-dropping-particle":"","parse-names":false,"suffix":""},{"dropping-particle":"","family":"Ramirez","given":"Gisela","non-dropping-particle":"","parse-names":false,"suffix":""},{"dropping-particle":"","family":"Murshed","given":"Mubtasim","non-dropping-particle":"","parse-names":false,"suffix":""},{"dropping-particle":"","family":"Clulow","given":"Andrew J.","non-dropping-particle":"","parse-names":false,"suffix":""},{"dropping-particle":"","family":"Hawley","given":"Adrian","non-dropping-particle":"","parse-names":false,"suffix":""},{"dropping-particle":"","family":"Ramachandruni","given":"Hanu","non-dropping-particle":"","parse-names":false,"suffix":""},{"dropping-particle":"","family":"Beilles","given":"Stephane","non-dropping-particle":"","parse-names":false,"suffix":""},{"dropping-particle":"","family":"Boyd","given":"Ben J.","non-dropping-particle":"","parse-names":false,"suffix":""}],"container-title":"Molecular Pharmaceutics","id":"ITEM-3","issue":"4","issued":{"date-parts":[["2019"]]},"page":"1658-1668","title":"Impact of Ferroquine on the Solubilization of Artefenomel (OZ439) during in Vitro Lipolysis in Milk and Implications for Oral Combination Therapy for Malaria","type":"article-journal","volume":"16"},"uris":["http://www.mendeley.com/documents/?uuid=81dd1318-c212-417d-9f3c-799e5914fa30"]}],"mendeley":{"formattedCitation":"&lt;sup&gt;11–13&lt;/sup&gt;","plainTextFormattedCitation":"11–13","previouslyFormattedCitation":"&lt;sup&gt;11–13&lt;/sup&gt;"},"properties":{"noteIndex":0},"schema":"https://github.com/citation-style-language/schema/raw/master/csl-citation.json"}</w:instrText>
      </w:r>
      <w:r w:rsidR="005D17DA" w:rsidRPr="00231B15">
        <w:rPr>
          <w:rFonts w:cs="Times New Roman"/>
        </w:rPr>
        <w:fldChar w:fldCharType="separate"/>
      </w:r>
      <w:r w:rsidR="005D17DA" w:rsidRPr="00231B15">
        <w:rPr>
          <w:rFonts w:cs="Times New Roman"/>
          <w:noProof/>
          <w:vertAlign w:val="superscript"/>
        </w:rPr>
        <w:t>11–13</w:t>
      </w:r>
      <w:r w:rsidR="005D17DA" w:rsidRPr="00231B15">
        <w:rPr>
          <w:rFonts w:cs="Times New Roman"/>
        </w:rPr>
        <w:fldChar w:fldCharType="end"/>
      </w:r>
    </w:p>
    <w:p w14:paraId="71CBC4E6" w14:textId="1D41C8AD" w:rsidR="00D00DBF" w:rsidRPr="00231B15" w:rsidRDefault="00FD628A" w:rsidP="00D00DBF">
      <w:pPr>
        <w:keepNext/>
        <w:jc w:val="center"/>
        <w:rPr>
          <w:rFonts w:cs="Times New Roman"/>
        </w:rPr>
      </w:pPr>
      <w:r w:rsidRPr="0073657C">
        <w:rPr>
          <w:rFonts w:cs="Times New Roman"/>
          <w:noProof/>
        </w:rPr>
        <w:object w:dxaOrig="6914" w:dyaOrig="5637" w14:anchorId="2479E5F3">
          <v:shape id="_x0000_i1027" type="#_x0000_t75" alt="" style="width:346.6pt;height:280.45pt;mso-width-percent:0;mso-height-percent:0;mso-width-percent:0;mso-height-percent:0" o:ole="">
            <v:imagedata r:id="rId14" o:title=""/>
          </v:shape>
          <o:OLEObject Type="Embed" ProgID="ChemDraw.Document.6.0" ShapeID="_x0000_i1027" DrawAspect="Content" ObjectID="_1684854710" r:id="rId15"/>
        </w:object>
      </w:r>
    </w:p>
    <w:p w14:paraId="419974C7" w14:textId="33B6FDEA" w:rsidR="00D00DBF" w:rsidRPr="00231B15" w:rsidRDefault="00D00DBF" w:rsidP="00D00DBF">
      <w:pPr>
        <w:pStyle w:val="Caption"/>
        <w:jc w:val="center"/>
        <w:rPr>
          <w:rFonts w:cs="Times New Roman"/>
        </w:rPr>
      </w:pPr>
      <w:r w:rsidRPr="00231B15">
        <w:rPr>
          <w:rFonts w:cs="Times New Roman"/>
        </w:rPr>
        <w:t xml:space="preserve">Figure </w:t>
      </w:r>
      <w:r w:rsidR="00336CF2" w:rsidRPr="00231B15">
        <w:rPr>
          <w:rFonts w:cs="Times New Roman"/>
        </w:rPr>
        <w:fldChar w:fldCharType="begin"/>
      </w:r>
      <w:r w:rsidR="00336CF2" w:rsidRPr="00231B15">
        <w:rPr>
          <w:rFonts w:cs="Times New Roman"/>
        </w:rPr>
        <w:instrText xml:space="preserve"> SEQ Figure \* ARABIC </w:instrText>
      </w:r>
      <w:r w:rsidR="00336CF2" w:rsidRPr="00231B15">
        <w:rPr>
          <w:rFonts w:cs="Times New Roman"/>
        </w:rPr>
        <w:fldChar w:fldCharType="separate"/>
      </w:r>
      <w:r w:rsidR="00944FAE">
        <w:rPr>
          <w:rFonts w:cs="Times New Roman"/>
          <w:noProof/>
        </w:rPr>
        <w:t>2</w:t>
      </w:r>
      <w:r w:rsidR="00336CF2" w:rsidRPr="00231B15">
        <w:rPr>
          <w:rFonts w:cs="Times New Roman"/>
          <w:noProof/>
        </w:rPr>
        <w:fldChar w:fldCharType="end"/>
      </w:r>
      <w:r w:rsidRPr="00231B15">
        <w:rPr>
          <w:rFonts w:cs="Times New Roman"/>
        </w:rPr>
        <w:t>: Structure of OZ277 (arterolane) and regioisomeric analogue</w:t>
      </w:r>
      <w:r w:rsidR="000D252A" w:rsidRPr="00231B15">
        <w:rPr>
          <w:rFonts w:cs="Times New Roman"/>
        </w:rPr>
        <w:t>s from amide (</w:t>
      </w:r>
      <w:r w:rsidR="000D252A" w:rsidRPr="00231B15">
        <w:rPr>
          <w:rFonts w:cs="Times New Roman"/>
          <w:b/>
        </w:rPr>
        <w:t>1</w:t>
      </w:r>
      <w:r w:rsidR="000D252A" w:rsidRPr="00231B15">
        <w:rPr>
          <w:rFonts w:cs="Times New Roman"/>
        </w:rPr>
        <w:t>)</w:t>
      </w:r>
      <w:r w:rsidR="000D252A" w:rsidRPr="00231B15">
        <w:rPr>
          <w:rFonts w:cs="Times New Roman"/>
        </w:rPr>
        <w:fldChar w:fldCharType="begin" w:fldLock="1"/>
      </w:r>
      <w:r w:rsidR="00B60F81">
        <w:rPr>
          <w:rFonts w:cs="Times New Roman"/>
        </w:rPr>
        <w:instrText>ADDIN CSL_CITATION {"citationItems":[{"id":"ITEM-1","itemData":{"DOI":"10.1021/acs.jmedchem.7b00699","ISSN":"15204804","PMID":"28692297","abstract":"We describe the first systematic study of antimalarial 1,2,4-trioxolanes bearing a substitution pattern re</w:instrText>
      </w:r>
      <w:r w:rsidR="00B60F81">
        <w:rPr>
          <w:rFonts w:cs="Times New Roman" w:hint="eastAsia"/>
        </w:rPr>
        <w:instrText>gioisomeric to that of arterolane. Conformational analysis suggested that trans-3</w:instrText>
      </w:r>
      <w:r w:rsidR="00B60F81">
        <w:rPr>
          <w:rFonts w:cs="Times New Roman" w:hint="eastAsia"/>
        </w:rPr>
        <w:instrText>″</w:instrText>
      </w:r>
      <w:r w:rsidR="00B60F81">
        <w:rPr>
          <w:rFonts w:cs="Times New Roman" w:hint="eastAsia"/>
        </w:rPr>
        <w:instrText>-substituted trioxolanes would exhibit Fe(II) reactivity and antiparasitic activity similar to that achieved with canonical cis-4</w:instrText>
      </w:r>
      <w:r w:rsidR="00B60F81">
        <w:rPr>
          <w:rFonts w:cs="Times New Roman" w:hint="eastAsia"/>
        </w:rPr>
        <w:instrText>″</w:instrText>
      </w:r>
      <w:r w:rsidR="00B60F81">
        <w:rPr>
          <w:rFonts w:cs="Times New Roman" w:hint="eastAsia"/>
        </w:rPr>
        <w:instrText xml:space="preserve"> substitution. The chiral 3</w:instrText>
      </w:r>
      <w:r w:rsidR="00B60F81">
        <w:rPr>
          <w:rFonts w:cs="Times New Roman" w:hint="eastAsia"/>
        </w:rPr>
        <w:instrText>″</w:instrText>
      </w:r>
      <w:r w:rsidR="00B60F81">
        <w:rPr>
          <w:rFonts w:cs="Times New Roman" w:hint="eastAsia"/>
        </w:rPr>
        <w:instrText xml:space="preserve"> analogues were prepared as single stereoisomers and evaluated alongside their 4</w:instrText>
      </w:r>
      <w:r w:rsidR="00B60F81">
        <w:rPr>
          <w:rFonts w:cs="Times New Roman" w:hint="eastAsia"/>
        </w:rPr>
        <w:instrText>″</w:instrText>
      </w:r>
      <w:r w:rsidR="00B60F81">
        <w:rPr>
          <w:rFonts w:cs="Times New Roman" w:hint="eastAsia"/>
        </w:rPr>
        <w:instrText xml:space="preserve"> congeners against cultured malaria parasites and in a murine malaria model. As predicted, the trans-3</w:instrText>
      </w:r>
      <w:r w:rsidR="00B60F81">
        <w:rPr>
          <w:rFonts w:cs="Times New Roman" w:hint="eastAsia"/>
        </w:rPr>
        <w:instrText>″</w:instrText>
      </w:r>
      <w:r w:rsidR="00B60F81">
        <w:rPr>
          <w:rFonts w:cs="Times New Roman" w:hint="eastAsia"/>
        </w:rPr>
        <w:instrText xml:space="preserve"> analogues exhibited in vitro antiplasmodial activity remarkably similar to that of their cis-4</w:instrText>
      </w:r>
      <w:r w:rsidR="00B60F81">
        <w:rPr>
          <w:rFonts w:cs="Times New Roman" w:hint="eastAsia"/>
        </w:rPr>
        <w:instrText>″</w:instrText>
      </w:r>
      <w:r w:rsidR="00B60F81">
        <w:rPr>
          <w:rFonts w:cs="Times New Roman" w:hint="eastAsia"/>
        </w:rPr>
        <w:instrText xml:space="preserve"> comparators. In contrast, efficacy in the Plasmodium berghei mouse model differed dramatically for some of the congeneric pairs. The best of the novel 3</w:instrText>
      </w:r>
      <w:r w:rsidR="00B60F81">
        <w:rPr>
          <w:rFonts w:cs="Times New Roman" w:hint="eastAsia"/>
        </w:rPr>
        <w:instrText>″</w:instrText>
      </w:r>
      <w:r w:rsidR="00B60F81">
        <w:rPr>
          <w:rFonts w:cs="Times New Roman" w:hint="eastAsia"/>
        </w:rPr>
        <w:instrText xml:space="preserve"> analogues (e.g., 12i) outperformed arterolane itself, producing cures in mice after a sing</w:instrText>
      </w:r>
      <w:r w:rsidR="00B60F81">
        <w:rPr>
          <w:rFonts w:cs="Times New Roman"/>
        </w:rPr>
        <w:instrText>le oral exposure. Overall, this study suggests new avenues for modulating Fe(II) reactivity and the pharmacokinetic and pharmacodynamic properties of 1,2,4-trioxolane antimalarials.","author":[{"dropping-particle":"","family":"Blank","given":"Brian R.","non-dropping-particle":"","parse-names":false,"suffix":""},{"dropping-particle":"","family":"Gut","given":"Jiri","non-dropping-particle":"","parse-names":false,"suffix":""},{"dropping-particle":"","family":"Rosenthal","given":"Philip J.","non-dropping-particle":"","parse-names":false,"suffix":""},{"dropping-particle":"","family":"Renslo","given":"Adam R.","non-dropping-particle":"","parse-names":false,"suffix":""}],"container-title":"Journal of Medicinal Chemistry","id":"ITEM-1","issue":"14","issued":{"date-parts":[["2017"]]},"page":"6400-6407","title":"Enantioselective Synthesis and in Vivo Evaluation of Regioisomeric Analogues of the Antimalarial Arterolane","type":"article-journal","volume":"60"},"uris":["http://www.mendeley.com/documents/?uuid=72a71c79-86c9-4fc5-983e-ce4a9f6fa8c9"]}],"mendeley":{"formattedCitation":"&lt;sup&gt;14&lt;/sup&gt;","plainTextFormattedCitation":"14","previouslyFormattedCitation":"&lt;sup&gt;14&lt;/sup&gt;"},"properties":{"noteIndex":0},"schema":"https://github.com/citation-style-language/schema/raw/master/csl-citation.json"}</w:instrText>
      </w:r>
      <w:r w:rsidR="000D252A" w:rsidRPr="00231B15">
        <w:rPr>
          <w:rFonts w:cs="Times New Roman"/>
        </w:rPr>
        <w:fldChar w:fldCharType="separate"/>
      </w:r>
      <w:r w:rsidR="000D252A" w:rsidRPr="00231B15">
        <w:rPr>
          <w:rFonts w:cs="Times New Roman"/>
          <w:i w:val="0"/>
          <w:noProof/>
          <w:vertAlign w:val="superscript"/>
        </w:rPr>
        <w:t>14</w:t>
      </w:r>
      <w:r w:rsidR="000D252A" w:rsidRPr="00231B15">
        <w:rPr>
          <w:rFonts w:cs="Times New Roman"/>
        </w:rPr>
        <w:fldChar w:fldCharType="end"/>
      </w:r>
      <w:r w:rsidR="000D252A" w:rsidRPr="00231B15">
        <w:rPr>
          <w:rFonts w:cs="Times New Roman"/>
        </w:rPr>
        <w:t xml:space="preserve"> and carbamate (</w:t>
      </w:r>
      <w:r w:rsidR="000D252A" w:rsidRPr="00231B15">
        <w:rPr>
          <w:rFonts w:cs="Times New Roman"/>
          <w:b/>
        </w:rPr>
        <w:t>2</w:t>
      </w:r>
      <w:r w:rsidR="000D252A" w:rsidRPr="00231B15">
        <w:rPr>
          <w:rFonts w:cs="Times New Roman"/>
        </w:rPr>
        <w:t xml:space="preserve">) </w:t>
      </w:r>
      <w:r w:rsidR="000D252A" w:rsidRPr="00231B15">
        <w:rPr>
          <w:rFonts w:cs="Times New Roman"/>
        </w:rPr>
        <w:fldChar w:fldCharType="begin" w:fldLock="1"/>
      </w:r>
      <w:r w:rsidR="00B60F81">
        <w:rPr>
          <w:rFonts w:cs="Times New Roman"/>
        </w:rPr>
        <w:instrText>ADDIN CSL_CITATION {"citationItems":[{"id":"ITEM-1","itemData":{"DOI":"10.1021/acsinfecdis.0c00064","ISSN":"2373-8227","abstract":"The emergence of artemisinin resistance, combined with certain sub-optimal properties of ozonide agents arterolane and artefenomel has necessitated the search for new drug candidates in the endoper-oxide class. Our group has focused on trioxolanes analogs bearing substitution patterns not previously explored. Here we describe the enantioselective synthesis of analogs bearing a trans-3'' carbamate side chain and find these to be superior, both in vitro and in vivo, to previously reported amide analogs. We identified multiple analogs that surpass the oral efficacy of arterolane in the P. berghei model while exhibiting drug-like properties (logD, solubility, metabolic stability) superior to next-generation clinical candidates like E209 and OZ609. While full preclinical assessment of these analogs is still underway, current data suggest the potential of this new scaffold as a likely source of future drug candidates from this class.","author":[{"dropping-particle":"","family":"Blank","given":"Brian","non-dropping-particle":"","parse-names":false,"suffix":""},{"dropping-particle":"","family":"Gonciarz","given":"Ryan","non-dropping-particle":"","parse-names":false,"suffix":""},{"dropping-particle":"","family":"Talukder","given":"Poulami","non-dropping-particle":"","parse-names":false,"suffix":""},{"dropping-particle":"","family":"Gut","given":"Jiri","non-dropping-particle":"","parse-names":false,"suffix":""},{"dropping-particle":"","family":"Legac","given":"Jennifer","non-dropping-particle":"","parse-names":false,"suffix":""},{"dropping-particle":"","family":"Rosenthal","given":"Philip J.","non-dropping-particle":"","parse-names":false,"suffix":""},{"dropping-particle":"","family":"Renslo","given":"Adam R.","non-dropping-particle":"","parse-names":false,"suffix":""}],"container-title":"ACS Infectious Diseases","id":"ITEM-1","issued":{"date-parts":[["2020"]]},"title":"Antimalarial Trioxolanes with Superior Drug-Like Properties and In Vivo Efficacy","type":"article-journal"},"uris":["http://www.mendeley.com/documents/?uuid=83d281ef-214c-46b4-8a5b-26b70d419701"]}],"mendeley":{"formattedCitation":"&lt;sup&gt;15&lt;/sup&gt;","plainTextFormattedCitation":"15","previouslyFormattedCitation":"&lt;sup&gt;15&lt;/sup&gt;"},"properties":{"noteIndex":0},"schema":"https://github.com/citation-style-language/schema/raw/master/csl-citation.json"}</w:instrText>
      </w:r>
      <w:r w:rsidR="000D252A" w:rsidRPr="00231B15">
        <w:rPr>
          <w:rFonts w:cs="Times New Roman"/>
        </w:rPr>
        <w:fldChar w:fldCharType="separate"/>
      </w:r>
      <w:r w:rsidR="000D252A" w:rsidRPr="00231B15">
        <w:rPr>
          <w:rFonts w:cs="Times New Roman"/>
          <w:i w:val="0"/>
          <w:noProof/>
          <w:vertAlign w:val="superscript"/>
        </w:rPr>
        <w:t>15</w:t>
      </w:r>
      <w:r w:rsidR="000D252A" w:rsidRPr="00231B15">
        <w:rPr>
          <w:rFonts w:cs="Times New Roman"/>
        </w:rPr>
        <w:fldChar w:fldCharType="end"/>
      </w:r>
      <w:r w:rsidR="000D252A" w:rsidRPr="00231B15">
        <w:rPr>
          <w:rFonts w:cs="Times New Roman"/>
        </w:rPr>
        <w:t xml:space="preserve"> series</w:t>
      </w:r>
    </w:p>
    <w:p w14:paraId="2C62E7C8" w14:textId="0264BE14" w:rsidR="00235C51" w:rsidRPr="00231B15" w:rsidRDefault="00235C51" w:rsidP="00EF1122">
      <w:pPr>
        <w:rPr>
          <w:rFonts w:cs="Times New Roman"/>
        </w:rPr>
      </w:pPr>
      <w:r w:rsidRPr="00E1336C">
        <w:rPr>
          <w:rFonts w:cs="Times New Roman"/>
        </w:rPr>
        <w:t xml:space="preserve">Recently, a series of antimalarials based on the early trioxolane </w:t>
      </w:r>
      <w:r w:rsidR="0097118B" w:rsidRPr="00E1336C">
        <w:rPr>
          <w:rFonts w:cs="Times New Roman"/>
        </w:rPr>
        <w:t>arterolane</w:t>
      </w:r>
      <w:r w:rsidR="000D252A" w:rsidRPr="00E1336C">
        <w:rPr>
          <w:rFonts w:cs="Times New Roman"/>
        </w:rPr>
        <w:t xml:space="preserve"> (</w:t>
      </w:r>
      <w:r w:rsidR="000D252A" w:rsidRPr="00E1336C">
        <w:rPr>
          <w:rFonts w:cs="Times New Roman"/>
          <w:b/>
        </w:rPr>
        <w:t>OZ277</w:t>
      </w:r>
      <w:r w:rsidR="000D252A" w:rsidRPr="00E1336C">
        <w:rPr>
          <w:rFonts w:cs="Times New Roman"/>
        </w:rPr>
        <w:t>, Figure 2)</w:t>
      </w:r>
      <w:r w:rsidR="00B60F81" w:rsidRPr="00E1336C">
        <w:rPr>
          <w:rFonts w:cs="Times New Roman"/>
        </w:rPr>
        <w:t>, approved for use in combination with piperaquine as Synriam in 2012,</w:t>
      </w:r>
      <w:r w:rsidR="00B60F81" w:rsidRPr="00E1336C">
        <w:rPr>
          <w:rFonts w:cs="Times New Roman"/>
        </w:rPr>
        <w:fldChar w:fldCharType="begin" w:fldLock="1"/>
      </w:r>
      <w:r w:rsidR="00A26B94" w:rsidRPr="00E1336C">
        <w:rPr>
          <w:rFonts w:cs="Times New Roman"/>
        </w:rPr>
        <w:instrText>ADDIN CSL_CITATION {"citationItems":[{"id":"ITEM-1","itemData":{"DOI":"10.1016/j.actatropica.2014.12.005","ISSN":"18736254","PMID":"25530543","abstract":"Control of schistosomiasis relies on a single drug, praziquantel (PZQ). Given the rising concerns about the potential emergence of PZQ-resistant strains, it has now become necessary to search for novel therapeutics. However, the current pace for anti-schistosomal drug discovery is slow; hence, repositioning of existing approved drugs can offer a safe, rapid and cost-effective solution. The anti-malarial synthetic artemisinin-derivatives trioxolanes demonstrated anti-schistosomal efficacies against the three major species infecting humans and, unlike PZQ, showed activities against both juvenile and adult worm stages. The 1,2,4-trioxolane/OZ277 (arterolane maleate) in combination with a partner drug: piperaquine phosphate was recently developed as an anti-malarial drug and manufactured by Ranbaxy (India) as Synriam™ (SYN). Herein, the in vivo activities of SYN were investigated in a mouse model of Schistosoma mansoni (S. mansoni), compared to PZQ. We show that a single fixed dose of 240. mg/kg SYN (40. mg/kg arterolane and 200. mg/kg piperaqine) induced significant protective effects in mice, in terms of reduction in worm and tissue egg burdens, which were evident against all schistosome developmental stages. Extensive alterations in the tegument and subtegumental tissues of SYN-exposed worms were revealed by both scanning and transmission electron microscopes. Progressive decrease in worm activity and occurrence of death were noticed in vitro upon exposure to the drug - more pronounced in the presence of haemin. This report provides the first evidence of the efficacy of a combination of 1,2,4-trioxolane and piperaquine against S. mansoni in mice. Being effective against young stages, SYN could be used to prevent early Schistosoma infection.","author":[{"dropping-particle":"","family":"Mossallam","given":"Shereen F.","non-dropping-particle":"","parse-names":false,"suffix":""},{"dropping-particle":"","family":"Amer","given":"Eglal I.","non-dropping-particle":"","parse-names":false,"suffix":""},{"dropping-particle":"","family":"El-Faham","given":"Marwa H.","non-dropping-particle":"","parse-names":false,"suffix":""}],"container-title":"Acta Tropica","id":"ITEM-1","issued":{"date-parts":[["2015"]]},"page":"36-46","publisher":"Elsevier B.V.","title":"Efficacy of Synriam™, a new antimalarial combination of OZ277 and piperaquine, against different developmental stages of Schistosoma mansoni","type":"article-journal","volume":"143"},"uris":["http://www.mendeley.com/documents/?uuid=68ce85b9-d3d2-442d-aa12-fdc45b7706f9"]}],"mendeley":{"formattedCitation":"&lt;sup&gt;16&lt;/sup&gt;","plainTextFormattedCitation":"16","previouslyFormattedCitation":"&lt;sup&gt;16&lt;/sup&gt;"},"properties":{"noteIndex":0},"schema":"https://github.com/citation-style-language/schema/raw/master/csl-citation.json"}</w:instrText>
      </w:r>
      <w:r w:rsidR="00B60F81" w:rsidRPr="00E1336C">
        <w:rPr>
          <w:rFonts w:cs="Times New Roman"/>
        </w:rPr>
        <w:fldChar w:fldCharType="separate"/>
      </w:r>
      <w:r w:rsidR="00B60F81" w:rsidRPr="00E1336C">
        <w:rPr>
          <w:rFonts w:cs="Times New Roman"/>
          <w:noProof/>
          <w:vertAlign w:val="superscript"/>
        </w:rPr>
        <w:t>16</w:t>
      </w:r>
      <w:r w:rsidR="00B60F81" w:rsidRPr="00E1336C">
        <w:rPr>
          <w:rFonts w:cs="Times New Roman"/>
        </w:rPr>
        <w:fldChar w:fldCharType="end"/>
      </w:r>
      <w:r w:rsidRPr="00E1336C">
        <w:rPr>
          <w:rFonts w:cs="Times New Roman"/>
        </w:rPr>
        <w:t xml:space="preserve"> with regioisomeric substitutions have</w:t>
      </w:r>
      <w:r w:rsidRPr="00231B15">
        <w:rPr>
          <w:rFonts w:cs="Times New Roman"/>
        </w:rPr>
        <w:t xml:space="preserve"> been synthesised and evaluated. These differ from the parent compound by possessing a 3” substitution pattern on the cyclohexyl ring</w:t>
      </w:r>
      <w:r w:rsidR="00D00DBF" w:rsidRPr="00231B15">
        <w:rPr>
          <w:rFonts w:cs="Times New Roman"/>
        </w:rPr>
        <w:t xml:space="preserve"> affording control over the conformation</w:t>
      </w:r>
      <w:r w:rsidR="009000A7" w:rsidRPr="00231B15">
        <w:rPr>
          <w:rFonts w:cs="Times New Roman"/>
        </w:rPr>
        <w:t>-</w:t>
      </w:r>
      <w:r w:rsidR="00D00DBF" w:rsidRPr="00231B15">
        <w:rPr>
          <w:rFonts w:cs="Times New Roman"/>
        </w:rPr>
        <w:t>dependent activity of the trioxolane pharmacophore</w:t>
      </w:r>
      <w:r w:rsidRPr="00231B15">
        <w:rPr>
          <w:rFonts w:cs="Times New Roman"/>
        </w:rPr>
        <w:t>.</w:t>
      </w:r>
      <w:r w:rsidR="00D00DBF" w:rsidRPr="00231B15">
        <w:rPr>
          <w:rFonts w:cs="Times New Roman"/>
        </w:rPr>
        <w:fldChar w:fldCharType="begin" w:fldLock="1"/>
      </w:r>
      <w:r w:rsidR="00A94F1B" w:rsidRPr="00231B15">
        <w:rPr>
          <w:rFonts w:cs="Times New Roman"/>
        </w:rPr>
        <w:instrText>ADDIN CSL_CITATION {"citationItems":[{"id":"ITEM-1","itemData":{"DOI":"10.1021/acs.jmedchem.7b00699","ISSN":"15204804","PMID":"28692297","abstract":"We describe the first systematic study of antimalarial 1,2,4-trioxolanes bearing a substitution pattern regioisomeric to that of arterolane. Conformational analysis suggested that trans-3″-substituted trioxolanes would exhibit Fe(II) reactivity and antiparasitic activity similar to that achieved with canonical cis-4″ substitution. The chiral 3″ analogues were prepared as single stereoisomers and evaluated alongside their 4″ congeners against cultured malaria parasites and in a murine malaria model. As predicted, the trans-3″ analogues exhibited in vitro antiplasmodial activity remarkably similar to that of their cis-4″ comparators. In contrast, efficacy in the Plasmodium berghei mouse model differed dramatically for some of the congeneric pairs. The best of the novel 3″ analogues (e.g., 12i) outperformed arterolane itself, producing cures in mice after a single oral exposure. Overall, this study suggests new avenues for modulating Fe(II) reactivity and the pharmacokinetic and pharmacodynamic properties of 1,2,4-trioxolane antimalarials.","author":[{"dropping-particle":"","family":"Blank","given":"Brian R.","non-dropping-particle":"","parse-names":false,"suffix":""},{"dropping-particle":"","family":"Gut","given":"Jiri","non-dropping-particle":"","parse-names":false,"suffix":""},{"dropping-particle":"","family":"Rosenthal","given":"Philip J.","non-dropping-particle":"","parse-names":false,"suffix":""},{"dropping-particle":"","family":"Renslo","given":"Adam R.","non-dropping-particle":"","parse-names":false,"suffix":""}],"container-title":"Journal of Medicinal Chemistry","id":"ITEM-1","issue":"14","issued":{"date-parts":[["2017"]]},"page":"6400-6407","title":"Enantioselective Synthesis and in Vivo Evaluation of Regioisomeric Analogues of the Antimalarial Arterolane","type":"article-journal","volume":"60"},"uris":["http://www.mendeley.com/documents/?uuid=72a71c79-86c9-4fc5-983e-ce4a9f6fa8c9"]},{"id":"ITEM-2","itemData":{"DOI":"10.1021/acsinfecdis.0c00064","ISSN":"2373-8227","abstract":"The emergence of artemisinin resistance, combined with certain sub-optimal properties of ozonide agents arterolane and artefenomel has necessitated the search for new drug candidates in the endoper-oxide class. Our group has focused on trioxolanes analogs bearing substitution patterns not previously explored. Here we describe the enantioselective synthesis of analogs bearing a trans-3'' carbamate side chain and find these to be superior, both in vitro and in vivo, to previously reported amide analogs. We identified multiple analogs that surpass the oral efficacy of arterolane in the P. berghei model while exhibiting drug-like properties (logD, solubility, metabolic stability) superior to next-generation clinical candidates like E209 and OZ609. While full preclinical assessment of these analogs is still underway, current data suggest the potential of this new scaffold as a likely source of future drug candidates from this class.","author":[{"dropping-particle":"","family":"Blank","given":"Brian","non-dropping-particle":"","parse-names":false,"suffix":""},{"dropping-particle":"","family":"Gonciarz","given":"Ryan","non-dropping-particle":"","parse-names":false,"suffix":""},{"dropping-particle":"","family":"Talukder","given":"Poulami","non-dropping-particle":"","parse-names":false,"suffix":""},{"dropping-particle":"","family":"Gut","given":"Jiri","non-dropping-particle":"","parse-names":false,"suffix":""},{"dropping-particle":"","family":"Legac","given":"Jennifer","non-dropping-particle":"","parse-names":false,"suffix":""},{"dropping-particle":"","family":"Rosenthal","given":"Philip J.","non-dropping-particle":"","parse-names":false,"suffix":""},{"dropping-particle":"","family":"Renslo","given":"Adam R.","non-dropping-particle":"","parse-names":false,"suffix":""}],"container-title":"ACS Infectious Diseases","id":"ITEM-2","issued":{"date-parts":[["2020"]]},"title":"Antimalarial Trioxolanes with Superior Drug-Like Properties and In Vivo Efficacy","type":"article-journal"},"uris":["http://www.mendeley.com/documents/?uuid=83d281ef-214c-46b4-8a5b-26b70d419701"]}],"mendeley":{"formattedCitation":"&lt;sup&gt;14,15&lt;/sup&gt;","plainTextFormattedCitation":"14,15","previouslyFormattedCitation":"&lt;sup&gt;14,15&lt;/sup&gt;"},"properties":{"noteIndex":0},"schema":"https://github.com/citation-style-language/schema/raw/master/csl-citation.json"}</w:instrText>
      </w:r>
      <w:r w:rsidR="00D00DBF" w:rsidRPr="00231B15">
        <w:rPr>
          <w:rFonts w:cs="Times New Roman"/>
        </w:rPr>
        <w:fldChar w:fldCharType="separate"/>
      </w:r>
      <w:r w:rsidR="00D00DBF" w:rsidRPr="00231B15">
        <w:rPr>
          <w:rFonts w:cs="Times New Roman"/>
          <w:noProof/>
          <w:vertAlign w:val="superscript"/>
        </w:rPr>
        <w:t>14,15</w:t>
      </w:r>
      <w:r w:rsidR="00D00DBF" w:rsidRPr="00231B15">
        <w:rPr>
          <w:rFonts w:cs="Times New Roman"/>
        </w:rPr>
        <w:fldChar w:fldCharType="end"/>
      </w:r>
      <w:r w:rsidRPr="00231B15">
        <w:rPr>
          <w:rFonts w:cs="Times New Roman"/>
        </w:rPr>
        <w:t xml:space="preserve"> Amide</w:t>
      </w:r>
      <w:r w:rsidR="000D252A" w:rsidRPr="00231B15">
        <w:rPr>
          <w:rFonts w:cs="Times New Roman"/>
        </w:rPr>
        <w:t xml:space="preserve"> (</w:t>
      </w:r>
      <w:r w:rsidR="000D252A" w:rsidRPr="00231B15">
        <w:rPr>
          <w:rFonts w:cs="Times New Roman"/>
          <w:b/>
        </w:rPr>
        <w:t>1</w:t>
      </w:r>
      <w:r w:rsidR="000D252A" w:rsidRPr="00231B15">
        <w:rPr>
          <w:rFonts w:cs="Times New Roman"/>
        </w:rPr>
        <w:t>)</w:t>
      </w:r>
      <w:r w:rsidRPr="00231B15">
        <w:rPr>
          <w:rFonts w:cs="Times New Roman"/>
        </w:rPr>
        <w:t xml:space="preserve"> and carbamate</w:t>
      </w:r>
      <w:r w:rsidR="000D252A" w:rsidRPr="00231B15">
        <w:rPr>
          <w:rFonts w:cs="Times New Roman"/>
        </w:rPr>
        <w:t xml:space="preserve"> (</w:t>
      </w:r>
      <w:r w:rsidR="000D252A" w:rsidRPr="00231B15">
        <w:rPr>
          <w:rFonts w:cs="Times New Roman"/>
          <w:b/>
        </w:rPr>
        <w:t>2</w:t>
      </w:r>
      <w:r w:rsidR="000D252A" w:rsidRPr="00231B15">
        <w:rPr>
          <w:rFonts w:cs="Times New Roman"/>
        </w:rPr>
        <w:t>)</w:t>
      </w:r>
      <w:r w:rsidRPr="00231B15">
        <w:rPr>
          <w:rFonts w:cs="Times New Roman"/>
        </w:rPr>
        <w:t xml:space="preserve"> series of compounds have been described with compounds possessing potent antimalarial activity </w:t>
      </w:r>
      <w:r w:rsidRPr="00231B15">
        <w:rPr>
          <w:rFonts w:cs="Times New Roman"/>
          <w:i/>
          <w:iCs/>
        </w:rPr>
        <w:t xml:space="preserve">in </w:t>
      </w:r>
      <w:r w:rsidR="00CC5A66" w:rsidRPr="00231B15">
        <w:rPr>
          <w:rFonts w:cs="Times New Roman"/>
          <w:i/>
          <w:iCs/>
        </w:rPr>
        <w:t xml:space="preserve">vitro </w:t>
      </w:r>
      <w:r w:rsidRPr="00231B15">
        <w:rPr>
          <w:rFonts w:cs="Times New Roman"/>
        </w:rPr>
        <w:t xml:space="preserve">and up to </w:t>
      </w:r>
      <w:r w:rsidR="00CC5A66" w:rsidRPr="00231B15">
        <w:rPr>
          <w:rFonts w:cs="Times New Roman"/>
        </w:rPr>
        <w:t>5 fold more potent</w:t>
      </w:r>
      <w:r w:rsidRPr="00231B15">
        <w:rPr>
          <w:rFonts w:cs="Times New Roman"/>
        </w:rPr>
        <w:t xml:space="preserve"> </w:t>
      </w:r>
      <w:r w:rsidR="00CC5A66" w:rsidRPr="00231B15">
        <w:rPr>
          <w:rFonts w:cs="Times New Roman"/>
        </w:rPr>
        <w:t>PD</w:t>
      </w:r>
      <w:r w:rsidR="00CC5A66" w:rsidRPr="00231B15">
        <w:rPr>
          <w:rFonts w:cs="Times New Roman"/>
          <w:vertAlign w:val="subscript"/>
        </w:rPr>
        <w:t>100</w:t>
      </w:r>
      <w:r w:rsidR="00CC5A66" w:rsidRPr="00231B15">
        <w:rPr>
          <w:rFonts w:cs="Times New Roman"/>
        </w:rPr>
        <w:t xml:space="preserve"> values </w:t>
      </w:r>
      <w:r w:rsidRPr="00231B15">
        <w:rPr>
          <w:rFonts w:cs="Times New Roman"/>
        </w:rPr>
        <w:t xml:space="preserve">in the </w:t>
      </w:r>
      <w:r w:rsidRPr="00231B15">
        <w:rPr>
          <w:rFonts w:cs="Times New Roman"/>
          <w:i/>
          <w:iCs/>
        </w:rPr>
        <w:t xml:space="preserve">P. </w:t>
      </w:r>
      <w:r w:rsidR="0038654F" w:rsidRPr="00231B15">
        <w:rPr>
          <w:rFonts w:cs="Times New Roman"/>
          <w:i/>
          <w:iCs/>
        </w:rPr>
        <w:t xml:space="preserve">berghei </w:t>
      </w:r>
      <w:r w:rsidRPr="00231B15">
        <w:rPr>
          <w:rFonts w:cs="Times New Roman"/>
        </w:rPr>
        <w:t>mouse model of malaria.</w:t>
      </w:r>
      <w:r w:rsidR="006E39FA" w:rsidRPr="00231B15">
        <w:rPr>
          <w:rFonts w:cs="Times New Roman"/>
        </w:rPr>
        <w:fldChar w:fldCharType="begin" w:fldLock="1"/>
      </w:r>
      <w:r w:rsidR="006E39FA" w:rsidRPr="00231B15">
        <w:rPr>
          <w:rFonts w:cs="Times New Roman"/>
        </w:rPr>
        <w:instrText>ADDIN CSL_CITATION {"citationItems":[{"id":"ITEM-1","itemData":{"DOI":"10.1021/acs.jmedchem.7b00699","ISSN":"15204804","PMID":"28692297","abstract":"We describe the first systematic study of antimalarial 1,2,4-trioxolanes bearing a substitution pattern regioisomeric to that of arterolane. Conformational analysis suggested that trans-3″-substituted trioxolanes would exhibit Fe(II) reactivity and antiparasitic activity similar to that achieved with canonical cis-4″ substitution. The chiral 3″ analogues were prepared as single stereoisomers and evaluated alongside their 4″ congeners against cultured malaria parasites and in a murine malaria model. As predicted, the trans-3″ analogues exhibited in vitro antiplasmodial activity remarkably similar to that of their cis-4″ comparators. In contrast, efficacy in the Plasmodium berghei mouse model differed dramatically for some of the congeneric pairs. The best of the novel 3″ analogues (e.g., 12i) outperformed arterolane itself, producing cures in mice after a single oral exposure. Overall, this study suggests new avenues for modulating Fe(II) reactivity and the pharmacokinetic and pharmacodynamic properties of 1,2,4-trioxolane antimalarials.","author":[{"dropping-particle":"","family":"Blank","given":"Brian R.","non-dropping-particle":"","parse-names":false,"suffix":""},{"dropping-particle":"","family":"Gut","given":"Jiri","non-dropping-particle":"","parse-names":false,"suffix":""},{"dropping-particle":"","family":"Rosenthal","given":"Philip J.","non-dropping-particle":"","parse-names":false,"suffix":""},{"dropping-particle":"","family":"Renslo","given":"Adam R.","non-dropping-particle":"","parse-names":false,"suffix":""}],"container-title":"Journal of Medicinal Chemistry","id":"ITEM-1","issue":"14","issued":{"date-parts":[["2017"]]},"page":"6400-6407","title":"Enantioselective Synthesis and in Vivo Evaluation of Regioisomeric Analogues of the Antimalarial Arterolane","type":"article-journal","volume":"60"},"uris":["http://www.mendeley.com/documents/?uuid=72a71c79-86c9-4fc5-983e-ce4a9f6fa8c9"]},{"id":"ITEM-2","itemData":{"DOI":"10.1021/acsinfecdis.0c00064","ISSN":"2373-8227","abstract":"The emergence of artemisinin resistance, combined with certain sub-optimal properties of ozonide agents arterolane and artefenomel has necessitated the search for new drug candidates in the endoper-oxide class. Our group has focused on trioxolanes analogs bearing substitution patterns not previously explored. Here we describe the enantioselective synthesis of analogs bearing a trans-3'' carbamate side chain and find these to be superior, both in vitro and in vivo, to previously reported amide analogs. We identified multiple analogs that surpass the oral efficacy of arterolane in the P. berghei model while exhibiting drug-like properties (logD, solubility, metabolic stability) superior to next-generation clinical candidates like E209 and OZ609. While full preclinical assessment of these analogs is still underway, current data suggest the potential of this new scaffold as a likely source of future drug candidates from this class.","author":[{"dropping-particle":"","family":"Blank","given":"Brian","non-dropping-particle":"","parse-names":false,"suffix":""},{"dropping-particle":"","family":"Gonciarz","given":"Ryan","non-dropping-particle":"","parse-names":false,"suffix":""},{"dropping-particle":"","family":"Talukder","given":"Poulami","non-dropping-particle":"","parse-names":false,"suffix":""},{"dropping-particle":"","family":"Gut","given":"Jiri","non-dropping-particle":"","parse-names":false,"suffix":""},{"dropping-particle":"","family":"Legac","given":"Jennifer","non-dropping-particle":"","parse-names":false,"suffix":""},{"dropping-particle":"","family":"Rosenthal","given":"Philip J.","non-dropping-particle":"","parse-names":false,"suffix":""},{"dropping-particle":"","family":"Renslo","given":"Adam R.","non-dropping-particle":"","parse-names":false,"suffix":""}],"container-title":"ACS Infectious Diseases","id":"ITEM-2","issued":{"date-parts":[["2020"]]},"title":"Antimalarial Trioxolanes with Superior Drug-Like Properties and In Vivo Efficacy","type":"article-journal"},"uris":["http://www.mendeley.com/documents/?uuid=83d281ef-214c-46b4-8a5b-26b70d419701"]}],"mendeley":{"formattedCitation":"&lt;sup&gt;14,15&lt;/sup&gt;","plainTextFormattedCitation":"14,15","previouslyFormattedCitation":"&lt;sup&gt;14,15&lt;/sup&gt;"},"properties":{"noteIndex":0},"schema":"https://github.com/citation-style-language/schema/raw/master/csl-citation.json"}</w:instrText>
      </w:r>
      <w:r w:rsidR="006E39FA" w:rsidRPr="00231B15">
        <w:rPr>
          <w:rFonts w:cs="Times New Roman"/>
        </w:rPr>
        <w:fldChar w:fldCharType="separate"/>
      </w:r>
      <w:r w:rsidR="006E39FA" w:rsidRPr="00231B15">
        <w:rPr>
          <w:rFonts w:cs="Times New Roman"/>
          <w:noProof/>
          <w:vertAlign w:val="superscript"/>
        </w:rPr>
        <w:t>14,15</w:t>
      </w:r>
      <w:r w:rsidR="006E39FA" w:rsidRPr="00231B15">
        <w:rPr>
          <w:rFonts w:cs="Times New Roman"/>
        </w:rPr>
        <w:fldChar w:fldCharType="end"/>
      </w:r>
      <w:r w:rsidRPr="00231B15">
        <w:rPr>
          <w:rFonts w:cs="Times New Roman"/>
        </w:rPr>
        <w:t xml:space="preserve"> </w:t>
      </w:r>
      <w:r w:rsidR="00206CE0" w:rsidRPr="00231B15">
        <w:rPr>
          <w:rFonts w:cs="Times New Roman"/>
        </w:rPr>
        <w:t xml:space="preserve">Though the </w:t>
      </w:r>
      <w:r w:rsidR="00206CE0" w:rsidRPr="00231B15">
        <w:rPr>
          <w:rFonts w:cs="Times New Roman"/>
          <w:i/>
        </w:rPr>
        <w:t>in vivo</w:t>
      </w:r>
      <w:r w:rsidR="00206CE0" w:rsidRPr="00231B15">
        <w:rPr>
          <w:rFonts w:cs="Times New Roman"/>
        </w:rPr>
        <w:t xml:space="preserve"> activity of these 3” analogues appear promising, the </w:t>
      </w:r>
      <w:r w:rsidR="00ED437B" w:rsidRPr="00231B15">
        <w:rPr>
          <w:rFonts w:cs="Times New Roman"/>
        </w:rPr>
        <w:t xml:space="preserve">sidechains explored in </w:t>
      </w:r>
      <w:r w:rsidR="000D252A" w:rsidRPr="00231B15">
        <w:rPr>
          <w:rFonts w:cs="Times New Roman"/>
        </w:rPr>
        <w:t>both</w:t>
      </w:r>
      <w:r w:rsidR="00ED437B" w:rsidRPr="00231B15">
        <w:rPr>
          <w:rFonts w:cs="Times New Roman"/>
        </w:rPr>
        <w:t xml:space="preserve"> series are similar to OZ277 </w:t>
      </w:r>
      <w:r w:rsidR="00EF1122">
        <w:rPr>
          <w:rFonts w:cs="Times New Roman"/>
        </w:rPr>
        <w:t>and</w:t>
      </w:r>
      <w:r w:rsidR="00587D62">
        <w:rPr>
          <w:rFonts w:cs="Times New Roman"/>
        </w:rPr>
        <w:t xml:space="preserve"> likewise</w:t>
      </w:r>
      <w:r w:rsidR="00EF1122">
        <w:rPr>
          <w:rFonts w:cs="Times New Roman"/>
        </w:rPr>
        <w:t xml:space="preserve"> display short half-lives with the carbamate compound </w:t>
      </w:r>
      <w:r w:rsidR="00EF1122">
        <w:rPr>
          <w:rFonts w:cs="Times New Roman"/>
          <w:b/>
        </w:rPr>
        <w:t>2</w:t>
      </w:r>
      <w:r w:rsidR="00EF1122">
        <w:rPr>
          <w:rFonts w:cs="Times New Roman"/>
        </w:rPr>
        <w:t xml:space="preserve"> being extensively cleared by mouse liver microsomes contributing to its shorter half-life of just 9 minutes.</w:t>
      </w:r>
      <w:r w:rsidR="00EF1122" w:rsidRPr="00231B15" w:rsidDel="00EF1122">
        <w:rPr>
          <w:rFonts w:cs="Times New Roman"/>
        </w:rPr>
        <w:t xml:space="preserve"> </w:t>
      </w:r>
      <w:r w:rsidR="006E39FA" w:rsidRPr="00231B15">
        <w:rPr>
          <w:rFonts w:cs="Times New Roman"/>
        </w:rPr>
        <w:fldChar w:fldCharType="begin" w:fldLock="1"/>
      </w:r>
      <w:r w:rsidR="006E39FA" w:rsidRPr="00231B15">
        <w:rPr>
          <w:rFonts w:cs="Times New Roman"/>
        </w:rPr>
        <w:instrText>ADDIN CSL_CITATION {"citationItems":[{"id":"ITEM-1","itemData":{"DOI":"10.1021/acs.jmedchem.7b00699","ISSN":"15204804","PMID":"28692297","abstract":"We describe the first systematic study of antimalarial 1,2,4-trioxolanes bearing a substitution pattern regioisomeric to that of arterolane. Conformational analysis suggested that trans-3″-substituted trioxolanes would exhibit Fe(II) reactivity and antiparasitic activity similar to that achieved with canonical cis-4″ substitution. The chiral 3″ analogues were prepared as single stereoisomers and evaluated alongside their 4″ congeners against cultured malaria parasites and in a murine malaria model. As predicted, the trans-3″ analogues exhibited in vitro antiplasmodial activity remarkably similar to that of their cis-4″ comparators. In contrast, efficacy in the Plasmodium berghei mouse model differed dramatically for some of the congeneric pairs. The best of the novel 3″ analogues (e.g., 12i) outperformed arterolane itself, producing cures in mice after a single oral exposure. Overall, this study suggests new avenues for modulating Fe(II) reactivity and the pharmacokinetic and pharmacodynamic properties of 1,2,4-trioxolane antimalarials.","author":[{"dropping-particle":"","family":"Blank","given":"Brian R.","non-dropping-particle":"","parse-names":false,"suffix":""},{"dropping-particle":"","family":"Gut","given":"Jiri","non-dropping-particle":"","parse-names":false,"suffix":""},{"dropping-particle":"","family":"Rosenthal","given":"Philip J.","non-dropping-particle":"","parse-names":false,"suffix":""},{"dropping-particle":"","family":"Renslo","given":"Adam R.","non-dropping-particle":"","parse-names":false,"suffix":""}],"container-title":"Journal of Medicinal Chemistry","id":"ITEM-1","issue":"14","issued":{"date-parts":[["2017"]]},"page":"6400-6407","title":"Enantioselective Synthesis and in Vivo Evaluation of Regioisomeric Analogues of the Antimalarial Arterolane","type":"article-journal","volume":"60"},"uris":["http://www.mendeley.com/documents/?uuid=72a71c79-86c9-4fc5-983e-ce4a9f6fa8c9"]},{"id":"ITEM-2","itemData":{"DOI":"10.1021/acsinfecdis.0c00064","ISSN":"2373-8227","abstract":"The emergence of artemisinin resistance, combined with certain sub-optimal properties of ozonide agents arterolane and artefenomel has necessitated the search for new drug candidates in the endoper-oxide class. Our group has focused on trioxolanes analogs bearing substitution patterns not previously explored. Here we describe the enantioselective synthesis of analogs bearing a trans-3'' carbamate side chain and find these to be superior, both in vitro and in vivo, to previously reported amide analogs. We identified multiple analogs that surpass the oral efficacy of arterolane in the P. berghei model while exhibiting drug-like properties (logD, solubility, metabolic stability) superior to next-generation clinical candidates like E209 and OZ609. While full preclinical assessment of these analogs is still underway, current data suggest the potential of this new scaffold as a likely source of future drug candidates from this class.","author":[{"dropping-particle":"","family":"Blank","given":"Brian","non-dropping-particle":"","parse-names":false,"suffix":""},{"dropping-particle":"","family":"Gonciarz","given":"Ryan","non-dropping-particle":"","parse-names":false,"suffix":""},{"dropping-particle":"","family":"Talukder","given":"Poulami","non-dropping-particle":"","parse-names":false,"suffix":""},{"dropping-particle":"","family":"Gut","given":"Jiri","non-dropping-particle":"","parse-names":false,"suffix":""},{"dropping-particle":"","family":"Legac","given":"Jennifer","non-dropping-particle":"","parse-names":false,"suffix":""},{"dropping-particle":"","family":"Rosenthal","given":"Philip J.","non-dropping-particle":"","parse-names":false,"suffix":""},{"dropping-particle":"","family":"Renslo","given":"Adam R.","non-dropping-particle":"","parse-names":false,"suffix":""}],"container-title":"ACS Infectious Diseases","id":"ITEM-2","issued":{"date-parts":[["2020"]]},"title":"Antimalarial Trioxolanes with Superior Drug-Like Properties and In Vivo Efficacy","type":"article-journal"},"uris":["http://www.mendeley.com/documents/?uuid=83d281ef-214c-46b4-8a5b-26b70d419701"]}],"mendeley":{"formattedCitation":"&lt;sup&gt;14,15&lt;/sup&gt;","plainTextFormattedCitation":"14,15","previouslyFormattedCitation":"&lt;sup&gt;14,15&lt;/sup&gt;"},"properties":{"noteIndex":0},"schema":"https://github.com/citation-style-language/schema/raw/master/csl-citation.json"}</w:instrText>
      </w:r>
      <w:r w:rsidR="006E39FA" w:rsidRPr="00231B15">
        <w:rPr>
          <w:rFonts w:cs="Times New Roman"/>
        </w:rPr>
        <w:fldChar w:fldCharType="separate"/>
      </w:r>
      <w:r w:rsidR="006E39FA" w:rsidRPr="00231B15">
        <w:rPr>
          <w:rFonts w:cs="Times New Roman"/>
          <w:noProof/>
          <w:vertAlign w:val="superscript"/>
        </w:rPr>
        <w:t>14,15</w:t>
      </w:r>
      <w:r w:rsidR="006E39FA" w:rsidRPr="00231B15">
        <w:rPr>
          <w:rFonts w:cs="Times New Roman"/>
        </w:rPr>
        <w:fldChar w:fldCharType="end"/>
      </w:r>
    </w:p>
    <w:p w14:paraId="789BF4A8" w14:textId="2345C8D6" w:rsidR="006E3B16" w:rsidRPr="00231B15" w:rsidRDefault="00221F24" w:rsidP="00FA53BB">
      <w:pPr>
        <w:rPr>
          <w:rFonts w:cs="Times New Roman"/>
        </w:rPr>
      </w:pPr>
      <w:r w:rsidRPr="00231B15">
        <w:rPr>
          <w:rFonts w:cs="Times New Roman"/>
        </w:rPr>
        <w:t>Previously, we have reported</w:t>
      </w:r>
      <w:r w:rsidR="00BF4419" w:rsidRPr="00231B15">
        <w:rPr>
          <w:rFonts w:cs="Times New Roman"/>
        </w:rPr>
        <w:t xml:space="preserve"> s</w:t>
      </w:r>
      <w:r w:rsidR="00F84FBB" w:rsidRPr="00231B15">
        <w:rPr>
          <w:rFonts w:cs="Times New Roman"/>
          <w:szCs w:val="28"/>
        </w:rPr>
        <w:t xml:space="preserve">econd generation </w:t>
      </w:r>
      <w:r w:rsidR="00BF4419" w:rsidRPr="00231B15">
        <w:rPr>
          <w:rFonts w:cs="Times New Roman"/>
          <w:szCs w:val="28"/>
        </w:rPr>
        <w:t>1,2,4,5-tetraoxane containing</w:t>
      </w:r>
      <w:r w:rsidR="00F84FBB" w:rsidRPr="00231B15">
        <w:rPr>
          <w:rFonts w:cs="Times New Roman"/>
          <w:szCs w:val="28"/>
        </w:rPr>
        <w:t xml:space="preserve"> antimalarials E209 and</w:t>
      </w:r>
      <w:r w:rsidR="00BF4419" w:rsidRPr="00231B15">
        <w:rPr>
          <w:rFonts w:cs="Times New Roman"/>
          <w:szCs w:val="28"/>
        </w:rPr>
        <w:t xml:space="preserve"> N205</w:t>
      </w:r>
      <w:r w:rsidR="007F5C3C" w:rsidRPr="00231B15">
        <w:rPr>
          <w:rFonts w:cs="Times New Roman"/>
          <w:szCs w:val="28"/>
        </w:rPr>
        <w:t xml:space="preserve"> </w:t>
      </w:r>
      <w:r w:rsidR="007F5C3C" w:rsidRPr="00231B15">
        <w:rPr>
          <w:rFonts w:cs="Times New Roman"/>
        </w:rPr>
        <w:t>(</w:t>
      </w:r>
      <w:r w:rsidR="004F49C2" w:rsidRPr="00231B15">
        <w:rPr>
          <w:rFonts w:cs="Times New Roman"/>
        </w:rPr>
        <w:t>F</w:t>
      </w:r>
      <w:r w:rsidR="007F5C3C" w:rsidRPr="00231B15">
        <w:rPr>
          <w:rFonts w:cs="Times New Roman"/>
        </w:rPr>
        <w:t xml:space="preserve">igure 1) </w:t>
      </w:r>
      <w:r w:rsidR="00F84FBB" w:rsidRPr="00231B15">
        <w:rPr>
          <w:rFonts w:cs="Times New Roman"/>
          <w:szCs w:val="28"/>
        </w:rPr>
        <w:t xml:space="preserve"> with both compounds </w:t>
      </w:r>
      <w:r w:rsidR="00BF4419" w:rsidRPr="00231B15">
        <w:rPr>
          <w:rFonts w:cs="Times New Roman"/>
          <w:szCs w:val="28"/>
        </w:rPr>
        <w:t xml:space="preserve">possessing potent fast killing of </w:t>
      </w:r>
      <w:r w:rsidR="00BF4419" w:rsidRPr="00231B15">
        <w:rPr>
          <w:rFonts w:cs="Times New Roman"/>
          <w:i/>
          <w:iCs/>
          <w:szCs w:val="28"/>
        </w:rPr>
        <w:t>P. falciparum</w:t>
      </w:r>
      <w:r w:rsidR="00BF4419" w:rsidRPr="00231B15">
        <w:rPr>
          <w:rFonts w:cs="Times New Roman"/>
          <w:szCs w:val="28"/>
        </w:rPr>
        <w:t xml:space="preserve"> as well as</w:t>
      </w:r>
      <w:r w:rsidR="00F84FBB" w:rsidRPr="00231B15">
        <w:rPr>
          <w:rFonts w:cs="Times New Roman"/>
          <w:szCs w:val="28"/>
        </w:rPr>
        <w:t xml:space="preserve"> a 66% cure in the </w:t>
      </w:r>
      <w:r w:rsidR="00F84FBB" w:rsidRPr="00231B15">
        <w:rPr>
          <w:rFonts w:cs="Times New Roman"/>
          <w:i/>
          <w:szCs w:val="28"/>
        </w:rPr>
        <w:t xml:space="preserve">P. berghei </w:t>
      </w:r>
      <w:r w:rsidR="00F84FBB" w:rsidRPr="00231B15">
        <w:rPr>
          <w:rFonts w:cs="Times New Roman"/>
          <w:szCs w:val="28"/>
        </w:rPr>
        <w:t>mouse model after a single dose</w:t>
      </w:r>
      <w:r w:rsidR="00E32325">
        <w:rPr>
          <w:rFonts w:cs="Times New Roman"/>
          <w:szCs w:val="28"/>
        </w:rPr>
        <w:t xml:space="preserve"> </w:t>
      </w:r>
      <w:r w:rsidR="00E32325" w:rsidRPr="00E1336C">
        <w:rPr>
          <w:rFonts w:cs="Times New Roman"/>
          <w:szCs w:val="28"/>
        </w:rPr>
        <w:t>of 30 mg/kg</w:t>
      </w:r>
      <w:r w:rsidR="002026E5" w:rsidRPr="00E1336C">
        <w:rPr>
          <w:rFonts w:cs="Times New Roman"/>
          <w:szCs w:val="28"/>
        </w:rPr>
        <w:t xml:space="preserve"> (2/3 mice cured)</w:t>
      </w:r>
      <w:r w:rsidR="00F84FBB" w:rsidRPr="00E1336C">
        <w:rPr>
          <w:rFonts w:cs="Times New Roman"/>
          <w:szCs w:val="28"/>
        </w:rPr>
        <w:t>.</w:t>
      </w:r>
      <w:r w:rsidR="005D17DA" w:rsidRPr="00231B15">
        <w:rPr>
          <w:rFonts w:cs="Times New Roman"/>
          <w:szCs w:val="28"/>
        </w:rPr>
        <w:fldChar w:fldCharType="begin" w:fldLock="1"/>
      </w:r>
      <w:r w:rsidR="00A26B94">
        <w:rPr>
          <w:rFonts w:cs="Times New Roman"/>
          <w:szCs w:val="28"/>
        </w:rPr>
        <w:instrText>ADDIN CSL_CITATION {"citationItems":[{"id":"ITEM-1","itemData":{"DOI":"10.1038/ncomms15159","ISSN":"20411723","PMID":"28537265","abstract":"K13 gene mutations are a primary marker of artemisinin resistance in Plasmodium falciparum malaria that threatens the long-term clinical utility of artemisinin-based combination therapies, the cornerstone of modern day malaria treatment. Here we describe a multinational drug discovery programme that has delivered a synthetic tetraoxane-based molecule, E209, which meets key requirements of the Medicines for Malaria Venture drug candidate profiles. E209 has potent nanomolar inhibitory activity against multiple strains of P. falciparum and P. vivax in vitro, is efficacious against P. falciparum in in vivo rodent models, produces parasite reduction ratios equivalent to dihydroartemisinin and has pharmacokinetic and pharmacodynamic characteristics compatible with a single-dose cure. In vitro studies with transgenic parasites expressing variant forms of K13 show no cross-resistance with the C580Y mutation, the primary variant observed in Southeast Asia. E209 is a superior next generation endoperoxide with combined pharmacokinetic and pharmacodynamic features that overcome the liabilities of artemisinin derivatives.","author":[{"dropping-particle":"","family":"O'Neill","given":"Paul M.","non-dropping-particle":"","parse-names":false,"suffix":""},{"dropping-particle":"","family":"Amewu","given":"Richard K.","non-dropping-particle":"","parse-names":false,"suffix":""},{"dropping-particle":"","family":"Charman","given":"Susan A.","non-dropping-particle":"","parse-names":false,"suffix":""},{"dropping-particle":"","family":"Sabbani","given":"Sunil","non-dropping-particle":"","parse-names":false,"suffix":""},{"dropping-particle":"","family":"Gnädig","given":"Nina F.","non-dropping-particle":"","parse-names":false,"suffix":""},{"dropping-particle":"","family":"Straimer","given":"Judith","non-dropping-particle":"","parse-names":false,"suffix":""},{"dropping-particle":"","family":"Fidock","given":"David A.","non-dropping-particle":"","parse-names":false,"suffix":""},{"dropping-particle":"","family":"Shore","given":"Emma R.","non-dropping-particle":"","parse-names":false,"suffix":""},{"dropping-particle":"","family":"Roberts","given":"Natalie L.","non-dropping-particle":"","parse-names":false,"suffix":""},{"dropping-particle":"","family":"Wong","given":"Michael H.L.","non-dropping-particle":"","parse-names":false,"suffix":""},{"dropping-particle":"","family":"Hong","given":"W. David","non-dropping-particle":"","parse-names":false,"suffix":""},{"dropping-particle":"","family":"Pidathala","given":"Chandrakala","non-dropping-particle":"","parse-names":false,"suffix":""},{"dropping-particle":"","family":"Riley","given":"Chris","non-dropping-particle":"","parse-names":false,"suffix":""},{"dropping-particle":"","family":"Murphy","given":"Ben","non-dropping-particle":"","parse-names":false,"suffix":""},{"dropping-particle":"","family":"Aljayyoussi","given":"Ghaith","non-dropping-particle":"","parse-names":false,"suffix":""},{"dropping-particle":"","family":"Gamo","given":"Francisco Javier","non-dropping-particle":"","parse-names":false,"suffix":""},{"dropping-particle":"","family":"Sanz","given":"Laura","non-dropping-particle":"","parse-names":false,"suffix":""},{"dropping-particle":"","family":"Rodrigues","given":"Janneth","non-dropping-particle":"","parse-names":false,"suffix":""},{"dropping-particle":"","family":"Cortes","given":"Carolina Gonzalez","non-dropping-particle":"","parse-names":false,"suffix":""},{"dropping-particle":"","family":"Herreros","given":"Esperanza","non-dropping-particle":"","parse-names":false,"suffix":""},{"dropping-particle":"","family":"Angulo-Barturén","given":"Iñigo","non-dropping-particle":"","parse-names":false,"suffix":""},{"dropping-particle":"","family":"Jiménez-Díaz","given":"María Belén","non-dropping-particle":"","parse-names":false,"suffix":""},{"dropping-particle":"","family":"Bazaga","given":"Santiago Ferrer","non-dropping-particle":"","parse-names":false,"suffix":""},{"dropping-particle":"","family":"Martínez-Martínez","given":"María Santos","non-dropping-particle":"","parse-names":false,"suffix":""},{"dropping-particle":"","family":"Campo","given":"Brice","non-dropping-particle":"","parse-names":false,"suffix":""},{"dropping-particle":"","family":"Sharma","given":"Raman","non-dropping-particle":"","parse-names":false,"suffix":""},{"dropping-particle":"","family":"Ryan","given":"Eileen","non-dropping-particle":"","parse-names":false,"suffix":""},{"dropping-particle":"","family":"Shackleford","given":"David M.","non-dropping-particle":"","parse-names":false,"suffix":""},{"dropping-particle":"","family":"Campbell","given":"Simon","non-dropping-particle":"","parse-names":false,"suffix":""},{"dropping-particle":"","family":"Smith","given":"Dennis A.","non-dropping-particle":"","parse-names":false,"suffix":""},{"dropping-particle":"","family":"Wirjanata","given":"Grennady","non-dropping-particle":"","parse-names":false,"suffix":""},{"dropping-particle":"","family":"Noviyanti","given":"Rintis","non-dropping-particle":"","parse-names":false,"suffix":""},{"dropping-particle":"","family":"Price","given":"Ric N.","non-dropping-particle":"","parse-names":false,"suffix":""},{"dropping-particle":"","family":"Marfurt","given":"Jutta","non-dropping-particle":"","parse-names":false,"suffix":""},{"dropping-particle":"","family":"Palmer","given":"Michael J.","non-dropping-particle":"","parse-names":false,"suffix":""},{"dropping-particle":"","family":"Copple","given":"Ian M.","non-dropping-particle":"","parse-names":false,"suffix":""},{"dropping-particle":"","family":"Mercer","given":"Amy E.","non-dropping-particle":"","parse-names":false,"suffix":""},{"dropping-particle":"","family":"Ruecker","given":"Andrea","non-dropping-particle":"","parse-names":false,"suffix":""},{"dropping-particle":"","family":"Delves","given":"Michael J.","non-dropping-particle":"","parse-names":false,"suffix":""},{"dropping-particle":"","family":"Sinden","given":"Robert E.","non-dropping-particle":"","parse-names":false,"suffix":""},{"dropping-particle":"","family":"Siegl","given":"Peter","non-dropping-particle":"","parse-names":false,"suffix":""},{"dropping-particle":"","family":"Davies","given":"Jill","non-dropping-particle":"","parse-names":false,"suffix":""},{"dropping-particle":"","family":"Rochford","given":"Rosemary","non-dropping-particle":"","parse-names":false,"suffix":""},{"dropping-particle":"","family":"Kocken","given":"Clemens H.M.","non-dropping-particle":"","parse-names":false,"suffix":""},{"dropping-particle":"","family":"Zeeman","given":"Anne Marie","non-dropping-particle":"","parse-names":false,"suffix":""},{"dropping-particle":"","family":"Nixon","given":"Gemma L.","non-dropping-particle":"","parse-names":false,"suffix":""},{"dropping-particle":"","family":"Biagini","given":"Giancarlo A.","non-dropping-particle":"","parse-names":false,"suffix":""},{"dropping-particle":"","family":"Ward","given":"Stephen A.","non-dropping-particle":"","parse-names":false,"suffix":""}],"container-title":"Nature Communications","id":"ITEM-1","issued":{"date-parts":[["2017"]]},"page":"15159","title":"A tetraoxane-based antimalarial drug candidate that overcomes PfK13-C580Y dependent artemisinin resistance","type":"article-journal","volume":"8"},"uris":["http://www.mendeley.com/documents/?uuid=a8359039-f330-4b02-89f8-01ba6ccd592d"]},{"id":"ITEM-2","itemData":{"DOI":"10.1016/j.bmc.2018.05.006","ISSN":"14643391","PMID":"29779669","abstract":"A series of aryl carboxamide and benzylamino dispiro 1,2,4,5-tetraoxane analogues have been designed and synthesized in a short synthetic sequence from readily available starting materials. From this series of endoperoxides, molecules with in vitro IC50s versus Plasmodium falciparum (3D7) as low as 0.84 nM were identified. Based on an assessment of blood stability and in vitro microsomal stability, N205 (10a) was selected for rodent pharmacokinetic and in vivo antimalarial efficacy studies in the mouse Plasmodium berghei and Plasmodium falciparum Pf3D70087/N9 severe combined immunodeficiency (SCID) mouse models. The results indicate that the 4-benzylamino derivatives have excellent profiles with a representative of this series, N205, an excellent starting point for further lead optimization studies.","author":[{"dropping-particle":"","family":"O’ Neill","given":"Paul M.","non-dropping-particle":"","parse-names":false,"suffix":""},{"dropping-particle":"","family":"Stocks","given":"Paul A.","non-dropping-particle":"","parse-names":false,"suffix":""},{"dropping-particle":"","family":"Sabbani","given":"Sunil","non-dropping-particle":"","parse-names":false,"suffix":""},{"dropping-particle":"","family":"Roberts","given":"Natalie L.","non-dropping-particle":"","parse-names":false,"suffix":""},{"dropping-particle":"","family":"Amewu","given":"Richard K.","non-dropping-particle":"","parse-names":false,"suffix":""},{"dropping-particle":"","family":"Shore","given":"Emma R.","non-dropping-particle":"","parse-names":false,"suffix":""},{"dropping-particle":"","family":"Aljayyoussi","given":"Ghaith","non-dropping-particle":"","parse-names":false,"suffix":""},{"dropping-particle":"","family":"Angulo-Barturén","given":"Iñigo","non-dropping-particle":"","parse-names":false,"suffix":""},{"dropping-particle":"","family":"Belén","given":"María","non-dropping-particle":"","parse-names":false,"suffix":""},{"dropping-particle":"","family":"Jiménez-Díaz","given":"","non-dropping-particle":"","parse-names":false,"suffix":""},{"dropping-particle":"","family":"Bazaga","given":"Santiago Ferrer","non-dropping-particle":"","parse-names":false,"suffix":""},{"dropping-particle":"","family":"Martínez","given":"María Santos","non-dropping-particle":"","parse-names":false,"suffix":""},{"dropping-particle":"","family":"Campo","given":"Brice","non-dropping-particle":"","parse-names":false,"suffix":""},{"dropping-particle":"","family":"Sharma","given":"Raman","non-dropping-particle":"","parse-names":false,"suffix":""},{"dropping-particle":"","family":"Charman","given":"Susan A.","non-dropping-particle":"","parse-names":false,"suffix":""},{"dropping-particle":"","family":"Ryan","given":"Eileen","non-dropping-particle":"","parse-names":false,"suffix":""},{"dropping-particle":"","family":"Chen","given":"Gong","non-dropping-particle":"","parse-names":false,"suffix":""},{"dropping-particle":"","family":"Shackleford","given":"David M.","non-dropping-particle":"","parse-names":false,"suffix":""},{"dropping-particle":"","family":"Davies","given":"Jill","non-dropping-particle":"","parse-names":false,"suffix":""},{"dropping-particle":"","family":"Nixon","given":"Gemma L.","non-dropping-particle":"","parse-names":false,"suffix":""},{"dropping-particle":"","family":"Biagini","given":"Giancarlo A.","non-dropping-particle":"","parse-names":false,"suffix":""},{"dropping-particle":"","family":"Ward","given":"Stephen A.","non-dropping-particle":"","parse-names":false,"suffix":""}],"container-title":"Bioorganic and Medicinal Chemistry","id":"ITEM-2","issue":"11","issued":{"date-parts":[["2018"]]},"page":"2996-3005","title":"Synthesis and profiling of benzylmorpholine 1,2,4,5-tetraoxane analogue N205: Towards tetraoxane scaffolds with potential for single dose cure of malaria","type":"article-journal","volume":"26"},"uris":["http://www.mendeley.com/documents/?uuid=b01a6628-e486-4bc8-9c65-23f027e524bc"]}],"mendeley":{"formattedCitation":"&lt;sup&gt;17,18&lt;/sup&gt;","plainTextFormattedCitation":"17,18","previouslyFormattedCitation":"&lt;sup&gt;17,18&lt;/sup&gt;"},"properties":{"noteIndex":0},"schema":"https://github.com/citation-style-language/schema/raw/master/csl-citation.json"}</w:instrText>
      </w:r>
      <w:r w:rsidR="005D17DA" w:rsidRPr="00231B15">
        <w:rPr>
          <w:rFonts w:cs="Times New Roman"/>
          <w:szCs w:val="28"/>
        </w:rPr>
        <w:fldChar w:fldCharType="separate"/>
      </w:r>
      <w:r w:rsidR="00B60F81" w:rsidRPr="00B60F81">
        <w:rPr>
          <w:rFonts w:cs="Times New Roman"/>
          <w:noProof/>
          <w:szCs w:val="28"/>
          <w:vertAlign w:val="superscript"/>
        </w:rPr>
        <w:t>17,18</w:t>
      </w:r>
      <w:r w:rsidR="005D17DA" w:rsidRPr="00231B15">
        <w:rPr>
          <w:rFonts w:cs="Times New Roman"/>
          <w:szCs w:val="28"/>
        </w:rPr>
        <w:fldChar w:fldCharType="end"/>
      </w:r>
      <w:r w:rsidR="009866EC" w:rsidRPr="00231B15">
        <w:rPr>
          <w:rFonts w:cs="Times New Roman"/>
        </w:rPr>
        <w:t xml:space="preserve"> </w:t>
      </w:r>
      <w:r w:rsidR="006876DB" w:rsidRPr="00231B15">
        <w:rPr>
          <w:rFonts w:cs="Times New Roman"/>
          <w:szCs w:val="28"/>
        </w:rPr>
        <w:t xml:space="preserve">Tetraoxane antimalarials work by a similar mechanism of </w:t>
      </w:r>
      <w:r w:rsidR="0005518C" w:rsidRPr="00231B15">
        <w:rPr>
          <w:rFonts w:cs="Times New Roman"/>
          <w:szCs w:val="28"/>
        </w:rPr>
        <w:t xml:space="preserve">the </w:t>
      </w:r>
      <w:r w:rsidR="006876DB" w:rsidRPr="00231B15">
        <w:rPr>
          <w:rFonts w:cs="Times New Roman"/>
          <w:szCs w:val="28"/>
        </w:rPr>
        <w:t xml:space="preserve">bioactivation of the </w:t>
      </w:r>
      <w:r w:rsidR="00F54710" w:rsidRPr="00231B15">
        <w:rPr>
          <w:rFonts w:cs="Times New Roman"/>
          <w:szCs w:val="28"/>
        </w:rPr>
        <w:t>1,2,4-trioxolane</w:t>
      </w:r>
      <w:r w:rsidR="00AE48E1" w:rsidRPr="00231B15">
        <w:rPr>
          <w:rFonts w:cs="Times New Roman"/>
          <w:szCs w:val="28"/>
        </w:rPr>
        <w:t xml:space="preserve"> </w:t>
      </w:r>
      <w:r w:rsidR="006876DB" w:rsidRPr="00231B15">
        <w:rPr>
          <w:rFonts w:cs="Times New Roman"/>
          <w:szCs w:val="28"/>
        </w:rPr>
        <w:t>peroxide</w:t>
      </w:r>
      <w:r w:rsidR="0005518C" w:rsidRPr="00231B15">
        <w:rPr>
          <w:rFonts w:cs="Times New Roman"/>
          <w:szCs w:val="28"/>
        </w:rPr>
        <w:t>s</w:t>
      </w:r>
      <w:r w:rsidR="006876DB" w:rsidRPr="00231B15">
        <w:rPr>
          <w:rFonts w:cs="Times New Roman"/>
          <w:szCs w:val="28"/>
        </w:rPr>
        <w:t xml:space="preserve"> by interaction with Fe(II).</w:t>
      </w:r>
      <w:r w:rsidR="0084643D" w:rsidRPr="00231B15">
        <w:rPr>
          <w:rFonts w:cs="Times New Roman"/>
          <w:szCs w:val="28"/>
        </w:rPr>
        <w:fldChar w:fldCharType="begin" w:fldLock="1"/>
      </w:r>
      <w:r w:rsidR="00A26B94">
        <w:rPr>
          <w:rFonts w:cs="Times New Roman"/>
          <w:szCs w:val="28"/>
        </w:rPr>
        <w:instrText>ADDIN CSL_CITATION {"citationItems":[{"id":"ITEM-1","itemData":{"DOI":"10.3390/molecules15031705","ISSN":"14203049","abstract":"Despite international efforts to 'roll back malaria' the 2008 World Malaria Report revealed the disease still affects approximately 3 billion people in 109 countries; 45 within the WHO African region. The latest report however does provide some 'cautious optimism'; more than one third of malarious countries have documented greater than 50% reductions in malaria cases in 2008 compared to 2000. The goal of the Member States at the World Health Assembly and 'Roll Back Malaria' (RBM) partnership is to reduce the numbers of malaria cases and deaths recorded in 2000 by 50% or more by the end of 2010. Although malaria is preventable it is most prevalent in poorer countries where prevention is difficult and prophylaxis is generally not an option. The burden of disease has increased by the emergence of multi drug resistant (MDR) parasites which threatens the use of established and cost effective antimalarial agents. After a major change in treatment policies, artemisinins are now the frontline treatment to aid rapid clearance of parasitaemia and quick resolution of symptoms. Since artemisinin and its derivatives are eliminated rapidly, artemisinin combination therapies (ACT's) are now recommended to delay resistance mechanisms. In spite of these precautionary measures reduced susceptibility of parasites to the artemisinin-based component of ACT's has developed at the Thai-Cambodian border, a historical 'hot spot' for MDR parasite evolution and emergence. This development raises serious concerns for the future of the artemsinins and this is not helped by controversy related to the mode of action. Although a number of potential targets have been proposed the actual mechanism of action remains ambiguous. Interestingly, artemisinins have also shown potent and broad anticancer properties in cell lines and animal models and are becoming established as anti-schistosomal agents. In this review we will discuss the recent evidence explaining bioactivation and potential molecular targets in the chemotherapy of malaria and cancer. © 2010 by the authors.","author":[{"dropping-particle":"","family":"O'Neill","given":"Paul M.","non-dropping-particle":"","parse-names":false,"suffix":""},{"dropping-particle":"","family":"Barton","given":"Victoria E.","non-dropping-particle":"","parse-names":false,"suffix":""},{"dropping-particle":"","family":"Ward","given":"Stephen A.","non-dropping-particle":"","parse-names":false,"suffix":""}],"container-title":"Molecules","id":"ITEM-1","issued":{"date-parts":[["2010"]]},"title":"The molecular mechanism of action of artemisinin - The debate continues","type":"article-journal"},"uris":["http://www.mendeley.com/documents/?uuid=4347249c-aa3a-4a6a-a282-2eddfc37f82e"]}],"mendeley":{"formattedCitation":"&lt;sup&gt;19&lt;/sup&gt;","plainTextFormattedCitation":"19","previouslyFormattedCitation":"&lt;sup&gt;19&lt;/sup&gt;"},"properties":{"noteIndex":0},"schema":"https://github.com/citation-style-language/schema/raw/master/csl-citation.json"}</w:instrText>
      </w:r>
      <w:r w:rsidR="0084643D" w:rsidRPr="00231B15">
        <w:rPr>
          <w:rFonts w:cs="Times New Roman"/>
          <w:szCs w:val="28"/>
        </w:rPr>
        <w:fldChar w:fldCharType="separate"/>
      </w:r>
      <w:r w:rsidR="00B60F81" w:rsidRPr="00B60F81">
        <w:rPr>
          <w:rFonts w:cs="Times New Roman"/>
          <w:noProof/>
          <w:szCs w:val="28"/>
          <w:vertAlign w:val="superscript"/>
        </w:rPr>
        <w:t>19</w:t>
      </w:r>
      <w:r w:rsidR="0084643D" w:rsidRPr="00231B15">
        <w:rPr>
          <w:rFonts w:cs="Times New Roman"/>
          <w:szCs w:val="28"/>
        </w:rPr>
        <w:fldChar w:fldCharType="end"/>
      </w:r>
      <w:r w:rsidR="0084643D" w:rsidRPr="00231B15">
        <w:rPr>
          <w:rFonts w:cs="Times New Roman"/>
          <w:szCs w:val="28"/>
        </w:rPr>
        <w:t xml:space="preserve"> </w:t>
      </w:r>
      <w:r w:rsidR="00BF4419" w:rsidRPr="00231B15">
        <w:rPr>
          <w:rFonts w:cs="Times New Roman"/>
          <w:szCs w:val="28"/>
        </w:rPr>
        <w:t>Like OZ439 these compounds are</w:t>
      </w:r>
      <w:r w:rsidR="00E846E9" w:rsidRPr="00231B15">
        <w:rPr>
          <w:rFonts w:cs="Times New Roman"/>
          <w:szCs w:val="28"/>
        </w:rPr>
        <w:t xml:space="preserve"> amphiphilic and</w:t>
      </w:r>
      <w:r w:rsidR="00BF4419" w:rsidRPr="00231B15">
        <w:rPr>
          <w:rFonts w:cs="Times New Roman"/>
          <w:szCs w:val="28"/>
        </w:rPr>
        <w:t xml:space="preserve"> poorly water soluble, </w:t>
      </w:r>
      <w:r w:rsidR="00BF4419" w:rsidRPr="00231B15">
        <w:rPr>
          <w:rFonts w:cs="Times New Roman"/>
          <w:szCs w:val="28"/>
        </w:rPr>
        <w:lastRenderedPageBreak/>
        <w:t>particularly in fasted state simulated intestinal fluid (FaSSIF)</w:t>
      </w:r>
      <w:r w:rsidR="0005518C" w:rsidRPr="00231B15">
        <w:rPr>
          <w:rFonts w:cs="Times New Roman"/>
          <w:szCs w:val="28"/>
        </w:rPr>
        <w:t>,</w:t>
      </w:r>
      <w:r w:rsidR="00BF4419" w:rsidRPr="00231B15">
        <w:rPr>
          <w:rFonts w:cs="Times New Roman"/>
          <w:szCs w:val="28"/>
        </w:rPr>
        <w:t xml:space="preserve"> </w:t>
      </w:r>
      <w:r w:rsidR="009866EC" w:rsidRPr="00231B15">
        <w:rPr>
          <w:rFonts w:cs="Times New Roman"/>
          <w:szCs w:val="28"/>
        </w:rPr>
        <w:t>suggesting room for improved intestinal absorption</w:t>
      </w:r>
      <w:r w:rsidR="00BF4419" w:rsidRPr="00231B15">
        <w:rPr>
          <w:rFonts w:cs="Times New Roman"/>
          <w:szCs w:val="28"/>
        </w:rPr>
        <w:t>.</w:t>
      </w:r>
      <w:r w:rsidR="0084643D" w:rsidRPr="00231B15">
        <w:rPr>
          <w:rFonts w:cs="Times New Roman"/>
          <w:szCs w:val="28"/>
        </w:rPr>
        <w:fldChar w:fldCharType="begin" w:fldLock="1"/>
      </w:r>
      <w:r w:rsidR="00A26B94">
        <w:rPr>
          <w:rFonts w:cs="Times New Roman"/>
          <w:szCs w:val="28"/>
        </w:rPr>
        <w:instrText>ADDIN CSL_CITATION {"citationItems":[{"id":"ITEM-1","itemData":{"DOI":"10.1038/ncomms15159","ISSN":"20411723","PMID":"28537265","abstract":"K13 gene mutations are a primary marker of artemisinin resistance in Plasmodium falciparum malaria that threatens the long-term clinical utility of artemisinin-based combination therapies, the cornerstone of modern day malaria treatment. Here we describe a multinational drug discovery programme that has delivered a synthetic tetraoxane-based molecule, E209, which meets key requirements of the Medicines for Malaria Venture drug candidate profiles. E209 has potent nanomolar inhibitory activity against multiple strains of P. falciparum and P. vivax in vitro, is efficacious against P. falciparum in in vivo rodent models, produces parasite reduction ratios equivalent to dihydroartemisinin and has pharmacokinetic and pharmacodynamic characteristics compatible with a single-dose cure. In vitro studies with transgenic parasites expressing variant forms of K13 show no cross-resistance with the C580Y mutation, the primary variant observed in Southeast Asia. E209 is a superior next generation endoperoxide with combined pharmacokinetic and pharmacodynamic features that overcome the liabilities of artemisinin derivatives.","author":[{"dropping-particle":"","family":"O'Neill","given":"Paul M.","non-dropping-particle":"","parse-names":false,"suffix":""},{"dropping-particle":"","family":"Amewu","given":"Richard K.","non-dropping-particle":"","parse-names":false,"suffix":""},{"dropping-particle":"","family":"Charman","given":"Susan A.","non-dropping-particle":"","parse-names":false,"suffix":""},{"dropping-particle":"","family":"Sabbani","given":"Sunil","non-dropping-particle":"","parse-names":false,"suffix":""},{"dropping-particle":"","family":"Gnädig","given":"Nina F.","non-dropping-particle":"","parse-names":false,"suffix":""},{"dropping-particle":"","family":"Straimer","given":"Judith","non-dropping-particle":"","parse-names":false,"suffix":""},{"dropping-particle":"","family":"Fidock","given":"David A.","non-dropping-particle":"","parse-names":false,"suffix":""},{"dropping-particle":"","family":"Shore","given":"Emma R.","non-dropping-particle":"","parse-names":false,"suffix":""},{"dropping-particle":"","family":"Roberts","given":"Natalie L.","non-dropping-particle":"","parse-names":false,"suffix":""},{"dropping-particle":"","family":"Wong","given":"Michael H.L.","non-dropping-particle":"","parse-names":false,"suffix":""},{"dropping-particle":"","family":"Hong","given":"W. David","non-dropping-particle":"","parse-names":false,"suffix":""},{"dropping-particle":"","family":"Pidathala","given":"Chandrakala","non-dropping-particle":"","parse-names":false,"suffix":""},{"dropping-particle":"","family":"Riley","given":"Chris","non-dropping-particle":"","parse-names":false,"suffix":""},{"dropping-particle":"","family":"Murphy","given":"Ben","non-dropping-particle":"","parse-names":false,"suffix":""},{"dropping-particle":"","family":"Aljayyoussi","given":"Ghaith","non-dropping-particle":"","parse-names":false,"suffix":""},{"dropping-particle":"","family":"Gamo","given":"Francisco Javier","non-dropping-particle":"","parse-names":false,"suffix":""},{"dropping-particle":"","family":"Sanz","given":"Laura","non-dropping-particle":"","parse-names":false,"suffix":""},{"dropping-particle":"","family":"Rodrigues","given":"Janneth","non-dropping-particle":"","parse-names":false,"suffix":""},{"dropping-particle":"","family":"Cortes","given":"Carolina Gonzalez","non-dropping-particle":"","parse-names":false,"suffix":""},{"dropping-particle":"","family":"Herreros","given":"Esperanza","non-dropping-particle":"","parse-names":false,"suffix":""},{"dropping-particle":"","family":"Angulo-Barturén","given":"Iñigo","non-dropping-particle":"","parse-names":false,"suffix":""},{"dropping-particle":"","family":"Jiménez-Díaz","given":"María Belén","non-dropping-particle":"","parse-names":false,"suffix":""},{"dropping-particle":"","family":"Bazaga","given":"Santiago Ferrer","non-dropping-particle":"","parse-names":false,"suffix":""},{"dropping-particle":"","family":"Martínez-Martínez","given":"María Santos","non-dropping-particle":"","parse-names":false,"suffix":""},{"dropping-particle":"","family":"Campo","given":"Brice","non-dropping-particle":"","parse-names":false,"suffix":""},{"dropping-particle":"","family":"Sharma","given":"Raman","non-dropping-particle":"","parse-names":false,"suffix":""},{"dropping-particle":"","family":"Ryan","given":"Eileen","non-dropping-particle":"","parse-names":false,"suffix":""},{"dropping-particle":"","family":"Shackleford","given":"David M.","non-dropping-particle":"","parse-names":false,"suffix":""},{"dropping-particle":"","family":"Campbell","given":"Simon","non-dropping-particle":"","parse-names":false,"suffix":""},{"dropping-particle":"","family":"Smith","given":"Dennis A.","non-dropping-particle":"","parse-names":false,"suffix":""},{"dropping-particle":"","family":"Wirjanata","given":"Grennady","non-dropping-particle":"","parse-names":false,"suffix":""},{"dropping-particle":"","family":"Noviyanti","given":"Rintis","non-dropping-particle":"","parse-names":false,"suffix":""},{"dropping-particle":"","family":"Price","given":"Ric N.","non-dropping-particle":"","parse-names":false,"suffix":""},{"dropping-particle":"","family":"Marfurt","given":"Jutta","non-dropping-particle":"","parse-names":false,"suffix":""},{"dropping-particle":"","family":"Palmer","given":"Michael J.","non-dropping-particle":"","parse-names":false,"suffix":""},{"dropping-particle":"","family":"Copple","given":"Ian M.","non-dropping-particle":"","parse-names":false,"suffix":""},{"dropping-particle":"","family":"Mercer","given":"Amy E.","non-dropping-particle":"","parse-names":false,"suffix":""},{"dropping-particle":"","family":"Ruecker","given":"Andrea","non-dropping-particle":"","parse-names":false,"suffix":""},{"dropping-particle":"","family":"Delves","given":"Michael J.","non-dropping-particle":"","parse-names":false,"suffix":""},{"dropping-particle":"","family":"Sinden","given":"Robert E.","non-dropping-particle":"","parse-names":false,"suffix":""},{"dropping-particle":"","family":"Siegl","given":"Peter","non-dropping-particle":"","parse-names":false,"suffix":""},{"dropping-particle":"","family":"Davies","given":"Jill","non-dropping-particle":"","parse-names":false,"suffix":""},{"dropping-particle":"","family":"Rochford","given":"Rosemary","non-dropping-particle":"","parse-names":false,"suffix":""},{"dropping-particle":"","family":"Kocken","given":"Clemens H.M.","non-dropping-particle":"","parse-names":false,"suffix":""},{"dropping-particle":"","family":"Zeeman","given":"Anne Marie","non-dropping-particle":"","parse-names":false,"suffix":""},{"dropping-particle":"","family":"Nixon","given":"Gemma L.","non-dropping-particle":"","parse-names":false,"suffix":""},{"dropping-particle":"","family":"Biagini","given":"Giancarlo A.","non-dropping-particle":"","parse-names":false,"suffix":""},{"dropping-particle":"","family":"Ward","given":"Stephen A.","non-dropping-particle":"","parse-names":false,"suffix":""}],"container-title":"Nature Communications","id":"ITEM-1","issued":{"date-parts":[["2017"]]},"page":"15159","title":"A tetraoxane-based antimalarial drug candidate that overcomes PfK13-C580Y dependent artemisinin resistance","type":"article-journal","volume":"8"},"uris":["http://www.mendeley.com/documents/?uuid=a8359039-f330-4b02-89f8-01ba6ccd592d"]}],"mendeley":{"formattedCitation":"&lt;sup&gt;17&lt;/sup&gt;","plainTextFormattedCitation":"17","previouslyFormattedCitation":"&lt;sup&gt;17&lt;/sup&gt;"},"properties":{"noteIndex":0},"schema":"https://github.com/citation-style-language/schema/raw/master/csl-citation.json"}</w:instrText>
      </w:r>
      <w:r w:rsidR="0084643D" w:rsidRPr="00231B15">
        <w:rPr>
          <w:rFonts w:cs="Times New Roman"/>
          <w:szCs w:val="28"/>
        </w:rPr>
        <w:fldChar w:fldCharType="separate"/>
      </w:r>
      <w:r w:rsidR="00B60F81" w:rsidRPr="00B60F81">
        <w:rPr>
          <w:rFonts w:cs="Times New Roman"/>
          <w:noProof/>
          <w:szCs w:val="28"/>
          <w:vertAlign w:val="superscript"/>
        </w:rPr>
        <w:t>17</w:t>
      </w:r>
      <w:r w:rsidR="0084643D" w:rsidRPr="00231B15">
        <w:rPr>
          <w:rFonts w:cs="Times New Roman"/>
          <w:szCs w:val="28"/>
        </w:rPr>
        <w:fldChar w:fldCharType="end"/>
      </w:r>
      <w:r w:rsidR="009866EC" w:rsidRPr="00231B15">
        <w:rPr>
          <w:rFonts w:cs="Times New Roman"/>
          <w:szCs w:val="28"/>
        </w:rPr>
        <w:t xml:space="preserve"> </w:t>
      </w:r>
      <w:r w:rsidR="00ED5C67" w:rsidRPr="00231B15">
        <w:rPr>
          <w:rFonts w:cs="Times New Roman"/>
        </w:rPr>
        <w:t xml:space="preserve">It is well established that </w:t>
      </w:r>
      <w:r w:rsidR="0005518C" w:rsidRPr="00231B15">
        <w:rPr>
          <w:rFonts w:cs="Times New Roman"/>
        </w:rPr>
        <w:t xml:space="preserve">the </w:t>
      </w:r>
      <w:r w:rsidR="00ED5C67" w:rsidRPr="00231B15">
        <w:rPr>
          <w:rFonts w:cs="Times New Roman"/>
        </w:rPr>
        <w:t>melting point is related to molecular symmetry in that high molecular symmetry is often accompanied by a high melting point. By the same logic, reducing molecular symmetry is likely to reduce melting point; this is rationalised by a larger entropy change being observed in the fusion of high symmetry systems.</w:t>
      </w:r>
      <w:r w:rsidR="0084643D" w:rsidRPr="00231B15">
        <w:rPr>
          <w:rFonts w:cs="Times New Roman"/>
        </w:rPr>
        <w:fldChar w:fldCharType="begin" w:fldLock="1"/>
      </w:r>
      <w:r w:rsidR="00A26B94">
        <w:rPr>
          <w:rFonts w:cs="Times New Roman"/>
        </w:rPr>
        <w:instrText>ADDIN CSL_CITATION {"citationItems":[{"id":"ITEM-1","itemData":{"DOI":"10.1021/ed077p724","ISSN":"00219584","author":[{"dropping-particle":"","family":"Brown","given":"R. J.C.","non-dropping-particle":"","parse-names":false,"suffix":""},{"dropping-particle":"","family":"Brown","given":"R. F.C.","non-dropping-particle":"","parse-names":false,"suffix":""}],"container-title":"Journal of Chemical Education","id":"ITEM-1","issued":{"date-parts":[["2000"]]},"title":"Melting Point and Molecular Symmetry","type":"article-journal"},"uris":["http://www.mendeley.com/documents/?uuid=390d6d24-a87f-4f43-9e7a-9d414e03955f","http://www.mendeley.com/documents/?uuid=5ea97a5e-acda-4176-9482-a6c0c969bb93"]}],"mendeley":{"formattedCitation":"&lt;sup&gt;20&lt;/sup&gt;","plainTextFormattedCitation":"20","previouslyFormattedCitation":"&lt;sup&gt;20&lt;/sup&gt;"},"properties":{"noteIndex":0},"schema":"https://github.com/citation-style-language/schema/raw/master/csl-citation.json"}</w:instrText>
      </w:r>
      <w:r w:rsidR="0084643D" w:rsidRPr="00231B15">
        <w:rPr>
          <w:rFonts w:cs="Times New Roman"/>
        </w:rPr>
        <w:fldChar w:fldCharType="separate"/>
      </w:r>
      <w:r w:rsidR="00B60F81" w:rsidRPr="00B60F81">
        <w:rPr>
          <w:rFonts w:cs="Times New Roman"/>
          <w:noProof/>
          <w:vertAlign w:val="superscript"/>
        </w:rPr>
        <w:t>20</w:t>
      </w:r>
      <w:r w:rsidR="0084643D" w:rsidRPr="00231B15">
        <w:rPr>
          <w:rFonts w:cs="Times New Roman"/>
        </w:rPr>
        <w:fldChar w:fldCharType="end"/>
      </w:r>
      <w:r w:rsidR="00443BAE" w:rsidRPr="00231B15">
        <w:rPr>
          <w:rFonts w:cs="Times New Roman"/>
        </w:rPr>
        <w:t xml:space="preserve"> </w:t>
      </w:r>
      <w:r w:rsidR="00BE55D3" w:rsidRPr="00231B15">
        <w:rPr>
          <w:rFonts w:cs="Times New Roman"/>
        </w:rPr>
        <w:t>Furthermore, melting point has been shown to be useful in the prediction of solubility curves for a range of small molecules with a lower melting point being correlated with improved solubility</w:t>
      </w:r>
      <w:r w:rsidR="00266167" w:rsidRPr="00231B15">
        <w:rPr>
          <w:rFonts w:cs="Times New Roman"/>
        </w:rPr>
        <w:t>.</w:t>
      </w:r>
      <w:r w:rsidR="00266167" w:rsidRPr="00231B15">
        <w:rPr>
          <w:rFonts w:cs="Times New Roman"/>
        </w:rPr>
        <w:fldChar w:fldCharType="begin" w:fldLock="1"/>
      </w:r>
      <w:r w:rsidR="00A26B94">
        <w:rPr>
          <w:rFonts w:cs="Times New Roman"/>
        </w:rPr>
        <w:instrText>ADDIN CSL_CITATION {"citationItems":[{"id":"ITEM-1","itemData":{"DOI":"10.1016/j.ejps.2008.10.009","ISSN":"09280987","abstract":"The relationships between solubility, temperature dependence of solubility, melting temperature and melting enthalpy are investigated for the purpose of finding relations that can significantly reduce the need for experimental work in the selection of the solvent for processing of organic fine chemicals and pharmaceuticals. The relationships are investigated theoretically and by evaluation of experimental data for 41 organic and pharmaceutical compounds comprising a total of 115 solubility curves in organic and aqueous solvents. The work considers (i) selection of the equation for correlation of solubility data based on thermodynamic considerations and ability to predict melting properties of the solute from solubility data, (ii) prediction of the temperature dependence of solubility, and (iii) prediction of solubility curves in new solvents. While it is a simple task to find an equation to obtain a decent fit of experimental solubility data, it is more challenging to find relations that are sufficiently sound thermodynamically to allow for extrapolation to the melting temperature. However, with a proper choice of equation it is shown that the melting temperature of the solute can readily be predicted from solubility data in organic solvents (average accuracy of -5 K, standard deviation of 26 K). Relationships are identified by which the entire solubility curve can be predicted of the compound in a new solvent using only the melting properties and a single solubility data point in that solvent. © 2008 Elsevier B.V. All rights reserved.","author":[{"dropping-particle":"","family":"Nordström","given":"Fredrik L.","non-dropping-particle":"","parse-names":false,"suffix":""},{"dropping-particle":"","family":"Rasmuson","given":"Åke C.","non-dropping-particle":"","parse-names":false,"suffix":""}],"container-title":"European Journal of Pharmaceutical Sciences","id":"ITEM-1","issued":{"date-parts":[["2009"]]},"title":"Prediction of solubility curves and melting properties of organic and pharmaceutical compounds","type":"article-journal"},"uris":["http://www.mendeley.com/documents/?uuid=59f5aba9-acc0-45c4-b23d-d27188d07be2","http://www.mendeley.com/documents/?uuid=66ed37b3-2e79-42a6-bcf6-062112c472b9"]}],"mendeley":{"formattedCitation":"&lt;sup&gt;21&lt;/sup&gt;","plainTextFormattedCitation":"21","previouslyFormattedCitation":"&lt;sup&gt;21&lt;/sup&gt;"},"properties":{"noteIndex":0},"schema":"https://github.com/citation-style-language/schema/raw/master/csl-citation.json"}</w:instrText>
      </w:r>
      <w:r w:rsidR="00266167" w:rsidRPr="00231B15">
        <w:rPr>
          <w:rFonts w:cs="Times New Roman"/>
        </w:rPr>
        <w:fldChar w:fldCharType="separate"/>
      </w:r>
      <w:r w:rsidR="00B60F81" w:rsidRPr="00B60F81">
        <w:rPr>
          <w:rFonts w:cs="Times New Roman"/>
          <w:noProof/>
          <w:vertAlign w:val="superscript"/>
        </w:rPr>
        <w:t>21</w:t>
      </w:r>
      <w:r w:rsidR="00266167" w:rsidRPr="00231B15">
        <w:rPr>
          <w:rFonts w:cs="Times New Roman"/>
        </w:rPr>
        <w:fldChar w:fldCharType="end"/>
      </w:r>
      <w:r w:rsidR="00BE55D3" w:rsidRPr="00231B15">
        <w:rPr>
          <w:rFonts w:cs="Times New Roman"/>
        </w:rPr>
        <w:t xml:space="preserve"> For medicinal chemistry, </w:t>
      </w:r>
      <w:r w:rsidR="00932A55" w:rsidRPr="00231B15">
        <w:rPr>
          <w:rFonts w:cs="Times New Roman"/>
        </w:rPr>
        <w:t>a decrease in molecular symmetry may translate into improved drug-like properties including solubility and absorption leading to a greater systemic exposure to a drug.</w:t>
      </w:r>
      <w:r w:rsidR="00266167" w:rsidRPr="00231B15">
        <w:rPr>
          <w:rFonts w:cs="Times New Roman"/>
        </w:rPr>
        <w:fldChar w:fldCharType="begin" w:fldLock="1"/>
      </w:r>
      <w:r w:rsidR="00A26B94">
        <w:rPr>
          <w:rFonts w:cs="Times New Roman"/>
        </w:rPr>
        <w:instrText>ADDIN CSL_CITATION {"citationItems":[{"id":"ITEM-1","itemData":{"DOI":"10.1016/j.ijpharm.2009.01.026","ISSN":"03785173","abstract":"The ability to predict the extent of passive intestinal drug absorption is very important for efficient lead candidate selection and development. Physicochemical-based absorption predictive models previously developed use solubility, partition coefficient and pKa as drug input parameters for intestinal absorption. Alternatively, this study looks at the relationship between melting point and passive transport for poorly soluble drugs. It is based entirely on the expression derived from the General Solubility Equation (GSE) that relates melting point to the product of intrinsic solubility and partition coefficient. Given that the melting point of a compound is one of the first and more reliable physical properties measured, it can be advantageously used as a guide in early drug discovery and development. This paper elucidates the interesting relationship between the melting point and dose to the fraction absorbed of poorly soluble drugs, i.e., class II and IV compounds in the Biopharmaceutics Classification System. The newly defined melting point based absorption potential (MPbAP) parameter is successful at distinguishing 90% of the 91 drugs considered being well absorbed (FA &gt; 0.5) or poorly absorbed. In general, lower melting compounds are more likely to be well absorbed than higher melting compounds for any given dose. The fraction absorbed for drugs with high melting temperatures is limited by the dose to a greater degree than it is for low melting compounds. © 2009 Elsevier B.V. All rights reserved.","author":[{"dropping-particle":"","family":"Chu","given":"Katherine A.","non-dropping-particle":"","parse-names":false,"suffix":""},{"dropping-particle":"","family":"Yalkowsky","given":"Samuel H.","non-dropping-particle":"","parse-names":false,"suffix":""}],"container-title":"International Journal of Pharmaceutics","id":"ITEM-1","issued":{"date-parts":[["2009"]]},"title":"An interesting relationship between drug absorption and melting point","type":"article-journal"},"uris":["http://www.mendeley.com/documents/?uuid=bc581062-b5eb-4dad-b140-3a4eaa336a4f","http://www.mendeley.com/documents/?uuid=2c8fe522-c81c-4515-83c4-918ac5200781"]}],"mendeley":{"formattedCitation":"&lt;sup&gt;22&lt;/sup&gt;","plainTextFormattedCitation":"22","previouslyFormattedCitation":"&lt;sup&gt;22&lt;/sup&gt;"},"properties":{"noteIndex":0},"schema":"https://github.com/citation-style-language/schema/raw/master/csl-citation.json"}</w:instrText>
      </w:r>
      <w:r w:rsidR="00266167" w:rsidRPr="00231B15">
        <w:rPr>
          <w:rFonts w:cs="Times New Roman"/>
        </w:rPr>
        <w:fldChar w:fldCharType="separate"/>
      </w:r>
      <w:r w:rsidR="00B60F81" w:rsidRPr="00B60F81">
        <w:rPr>
          <w:rFonts w:cs="Times New Roman"/>
          <w:noProof/>
          <w:vertAlign w:val="superscript"/>
        </w:rPr>
        <w:t>22</w:t>
      </w:r>
      <w:r w:rsidR="00266167" w:rsidRPr="00231B15">
        <w:rPr>
          <w:rFonts w:cs="Times New Roman"/>
        </w:rPr>
        <w:fldChar w:fldCharType="end"/>
      </w:r>
      <w:r w:rsidR="00932A55" w:rsidRPr="00231B15">
        <w:rPr>
          <w:rFonts w:cs="Times New Roman"/>
        </w:rPr>
        <w:t xml:space="preserve"> </w:t>
      </w:r>
      <w:r w:rsidR="00C62841" w:rsidRPr="00231B15">
        <w:rPr>
          <w:rFonts w:cs="Times New Roman"/>
        </w:rPr>
        <w:t xml:space="preserve">We present a methodology for the synthesis of chiral </w:t>
      </w:r>
      <w:r w:rsidR="004D70C7" w:rsidRPr="00231B15">
        <w:rPr>
          <w:rFonts w:cs="Times New Roman"/>
        </w:rPr>
        <w:t xml:space="preserve">tetraoxane containing antimalarials and have assessed structure activity relationships and structure </w:t>
      </w:r>
      <w:r w:rsidR="00C610A6" w:rsidRPr="00231B15">
        <w:rPr>
          <w:rFonts w:cs="Times New Roman"/>
        </w:rPr>
        <w:t xml:space="preserve">property </w:t>
      </w:r>
      <w:r w:rsidR="004D70C7" w:rsidRPr="00231B15">
        <w:rPr>
          <w:rFonts w:cs="Times New Roman"/>
        </w:rPr>
        <w:t>relationships of the synthesised analogues</w:t>
      </w:r>
      <w:r w:rsidR="007D7727" w:rsidRPr="00231B15">
        <w:rPr>
          <w:rFonts w:cs="Times New Roman"/>
        </w:rPr>
        <w:t xml:space="preserve"> </w:t>
      </w:r>
      <w:r w:rsidR="00811EFA" w:rsidRPr="00231B15">
        <w:rPr>
          <w:rFonts w:cs="Times New Roman"/>
        </w:rPr>
        <w:t xml:space="preserve">in comparison to the established endoperoxides </w:t>
      </w:r>
      <w:r w:rsidR="007D7727" w:rsidRPr="00231B15">
        <w:rPr>
          <w:rFonts w:cs="Times New Roman"/>
        </w:rPr>
        <w:t>OZ439, E209 and N205</w:t>
      </w:r>
      <w:r w:rsidR="004D70C7" w:rsidRPr="00231B15">
        <w:rPr>
          <w:rFonts w:cs="Times New Roman"/>
        </w:rPr>
        <w:t>.</w:t>
      </w:r>
    </w:p>
    <w:p w14:paraId="633AB7BE" w14:textId="77777777" w:rsidR="006E3B16" w:rsidRPr="00231B15" w:rsidRDefault="006E3B16">
      <w:pPr>
        <w:spacing w:line="259" w:lineRule="auto"/>
        <w:jc w:val="left"/>
        <w:rPr>
          <w:rFonts w:cs="Times New Roman"/>
        </w:rPr>
      </w:pPr>
      <w:r w:rsidRPr="00231B15">
        <w:rPr>
          <w:rFonts w:cs="Times New Roman"/>
        </w:rPr>
        <w:br w:type="page"/>
      </w:r>
    </w:p>
    <w:p w14:paraId="37355554" w14:textId="4861045A" w:rsidR="007F5C3C" w:rsidRPr="00231B15" w:rsidRDefault="00FD628A" w:rsidP="006E3B16">
      <w:pPr>
        <w:keepNext/>
        <w:jc w:val="center"/>
        <w:rPr>
          <w:rFonts w:cs="Times New Roman"/>
        </w:rPr>
      </w:pPr>
      <w:r w:rsidRPr="0073657C">
        <w:rPr>
          <w:rFonts w:cs="Times New Roman"/>
          <w:noProof/>
        </w:rPr>
        <w:object w:dxaOrig="10350" w:dyaOrig="4320" w14:anchorId="4B498A4B">
          <v:shape id="_x0000_i1028" type="#_x0000_t75" alt="" style="width:450.4pt;height:187.55pt;mso-width-percent:0;mso-height-percent:0;mso-width-percent:0;mso-height-percent:0" o:ole="">
            <v:imagedata r:id="rId16" o:title=""/>
          </v:shape>
          <o:OLEObject Type="Embed" ProgID="ChemDraw.Document.6.0" ShapeID="_x0000_i1028" DrawAspect="Content" ObjectID="_1684854711" r:id="rId17"/>
        </w:object>
      </w:r>
    </w:p>
    <w:p w14:paraId="6006DEB7" w14:textId="10B3DB0D" w:rsidR="00991808" w:rsidRPr="00231B15" w:rsidRDefault="007F5C3C" w:rsidP="006E3B16">
      <w:pPr>
        <w:pStyle w:val="Caption"/>
        <w:jc w:val="center"/>
        <w:rPr>
          <w:rFonts w:cs="Times New Roman"/>
        </w:rPr>
      </w:pPr>
      <w:r w:rsidRPr="00231B15">
        <w:rPr>
          <w:rFonts w:cs="Times New Roman"/>
        </w:rPr>
        <w:t xml:space="preserve">Scheme </w:t>
      </w:r>
      <w:r w:rsidR="00336CF2" w:rsidRPr="00231B15">
        <w:rPr>
          <w:rFonts w:cs="Times New Roman"/>
        </w:rPr>
        <w:fldChar w:fldCharType="begin"/>
      </w:r>
      <w:r w:rsidR="00336CF2" w:rsidRPr="00231B15">
        <w:rPr>
          <w:rFonts w:cs="Times New Roman"/>
        </w:rPr>
        <w:instrText xml:space="preserve"> SEQ Scheme \* ARABIC </w:instrText>
      </w:r>
      <w:r w:rsidR="00336CF2" w:rsidRPr="00231B15">
        <w:rPr>
          <w:rFonts w:cs="Times New Roman"/>
        </w:rPr>
        <w:fldChar w:fldCharType="separate"/>
      </w:r>
      <w:r w:rsidR="00944FAE">
        <w:rPr>
          <w:rFonts w:cs="Times New Roman"/>
          <w:noProof/>
        </w:rPr>
        <w:t>1</w:t>
      </w:r>
      <w:r w:rsidR="00336CF2" w:rsidRPr="00231B15">
        <w:rPr>
          <w:rFonts w:cs="Times New Roman"/>
          <w:noProof/>
        </w:rPr>
        <w:fldChar w:fldCharType="end"/>
      </w:r>
      <w:r w:rsidRPr="00231B15">
        <w:rPr>
          <w:rFonts w:cs="Times New Roman"/>
        </w:rPr>
        <w:t xml:space="preserve">: </w:t>
      </w:r>
      <w:r w:rsidR="004F49C2" w:rsidRPr="00231B15">
        <w:rPr>
          <w:rFonts w:cs="Times New Roman"/>
        </w:rPr>
        <w:t>Retrosynthetic analysis of 2</w:t>
      </w:r>
      <w:r w:rsidR="004F49C2" w:rsidRPr="00231B15">
        <w:rPr>
          <w:rFonts w:cs="Times New Roman"/>
          <w:vertAlign w:val="superscript"/>
        </w:rPr>
        <w:t>nd</w:t>
      </w:r>
      <w:r w:rsidR="004F49C2" w:rsidRPr="00231B15">
        <w:rPr>
          <w:rFonts w:cs="Times New Roman"/>
        </w:rPr>
        <w:t xml:space="preserve"> generation tetraoxane 3”</w:t>
      </w:r>
      <w:r w:rsidR="00C610A6" w:rsidRPr="00231B15">
        <w:rPr>
          <w:rFonts w:cs="Times New Roman"/>
        </w:rPr>
        <w:t>-substituted</w:t>
      </w:r>
      <w:r w:rsidR="004F49C2" w:rsidRPr="00231B15">
        <w:rPr>
          <w:rFonts w:cs="Times New Roman"/>
        </w:rPr>
        <w:t xml:space="preserve"> analogues</w:t>
      </w:r>
    </w:p>
    <w:p w14:paraId="01310C30" w14:textId="5142FAC2" w:rsidR="00464BB6" w:rsidRPr="00231B15" w:rsidRDefault="008B7B26" w:rsidP="00E846E9">
      <w:pPr>
        <w:ind w:firstLine="360"/>
        <w:rPr>
          <w:rFonts w:cs="Times New Roman"/>
        </w:rPr>
      </w:pPr>
      <w:r w:rsidRPr="00231B15">
        <w:rPr>
          <w:rFonts w:cs="Times New Roman"/>
        </w:rPr>
        <w:t>As mentioned above</w:t>
      </w:r>
      <w:r w:rsidR="00313F75" w:rsidRPr="00231B15">
        <w:rPr>
          <w:rFonts w:cs="Times New Roman"/>
        </w:rPr>
        <w:t>, non-linear analogues of the trioxolane antimalarial OZ277 have been reported opting to introduce non-linearity at the 3” position on the cyclohexyl ring.</w:t>
      </w:r>
      <w:r w:rsidR="00266167" w:rsidRPr="00231B15">
        <w:rPr>
          <w:rFonts w:cs="Times New Roman"/>
        </w:rPr>
        <w:fldChar w:fldCharType="begin" w:fldLock="1"/>
      </w:r>
      <w:r w:rsidR="00B60F81">
        <w:rPr>
          <w:rFonts w:cs="Times New Roman"/>
        </w:rPr>
        <w:instrText>ADDIN CSL_CITATION {"citationItems":[{"id":"ITEM-1","itemData":{"DOI":"10.1021/acs.jmedchem.7b00699","ISSN":"15204804","PMID":"28692297","abstract":"We describe the first systematic study of antimalarial 1,2,4-trioxolanes bearing a substitution pattern re</w:instrText>
      </w:r>
      <w:r w:rsidR="00B60F81">
        <w:rPr>
          <w:rFonts w:cs="Times New Roman" w:hint="eastAsia"/>
        </w:rPr>
        <w:instrText>gioisomeric to that of arterolane. Conformational analysis suggested that trans-3</w:instrText>
      </w:r>
      <w:r w:rsidR="00B60F81">
        <w:rPr>
          <w:rFonts w:cs="Times New Roman" w:hint="eastAsia"/>
        </w:rPr>
        <w:instrText>″</w:instrText>
      </w:r>
      <w:r w:rsidR="00B60F81">
        <w:rPr>
          <w:rFonts w:cs="Times New Roman" w:hint="eastAsia"/>
        </w:rPr>
        <w:instrText>-substituted trioxolanes would exhibit Fe(II) reactivity and antiparasitic activity similar to that achieved with canonical cis-4</w:instrText>
      </w:r>
      <w:r w:rsidR="00B60F81">
        <w:rPr>
          <w:rFonts w:cs="Times New Roman" w:hint="eastAsia"/>
        </w:rPr>
        <w:instrText>″</w:instrText>
      </w:r>
      <w:r w:rsidR="00B60F81">
        <w:rPr>
          <w:rFonts w:cs="Times New Roman" w:hint="eastAsia"/>
        </w:rPr>
        <w:instrText xml:space="preserve"> substitution. The chiral 3</w:instrText>
      </w:r>
      <w:r w:rsidR="00B60F81">
        <w:rPr>
          <w:rFonts w:cs="Times New Roman" w:hint="eastAsia"/>
        </w:rPr>
        <w:instrText>″</w:instrText>
      </w:r>
      <w:r w:rsidR="00B60F81">
        <w:rPr>
          <w:rFonts w:cs="Times New Roman" w:hint="eastAsia"/>
        </w:rPr>
        <w:instrText xml:space="preserve"> analogues were prepared as single stereoisomers and evaluated alongside their 4</w:instrText>
      </w:r>
      <w:r w:rsidR="00B60F81">
        <w:rPr>
          <w:rFonts w:cs="Times New Roman" w:hint="eastAsia"/>
        </w:rPr>
        <w:instrText>″</w:instrText>
      </w:r>
      <w:r w:rsidR="00B60F81">
        <w:rPr>
          <w:rFonts w:cs="Times New Roman" w:hint="eastAsia"/>
        </w:rPr>
        <w:instrText xml:space="preserve"> congeners against cultured malaria parasites and in a murine malaria model. As predicted, the trans-3</w:instrText>
      </w:r>
      <w:r w:rsidR="00B60F81">
        <w:rPr>
          <w:rFonts w:cs="Times New Roman" w:hint="eastAsia"/>
        </w:rPr>
        <w:instrText>″</w:instrText>
      </w:r>
      <w:r w:rsidR="00B60F81">
        <w:rPr>
          <w:rFonts w:cs="Times New Roman" w:hint="eastAsia"/>
        </w:rPr>
        <w:instrText xml:space="preserve"> analogues exhibited in vitro antiplasmodial activity remarkably similar to that of their cis-4</w:instrText>
      </w:r>
      <w:r w:rsidR="00B60F81">
        <w:rPr>
          <w:rFonts w:cs="Times New Roman" w:hint="eastAsia"/>
        </w:rPr>
        <w:instrText>″</w:instrText>
      </w:r>
      <w:r w:rsidR="00B60F81">
        <w:rPr>
          <w:rFonts w:cs="Times New Roman" w:hint="eastAsia"/>
        </w:rPr>
        <w:instrText xml:space="preserve"> comparators. In contrast, efficacy in the Plasmodium berghei mouse model differed dramatically for some of the congeneric pairs. The best of the novel 3</w:instrText>
      </w:r>
      <w:r w:rsidR="00B60F81">
        <w:rPr>
          <w:rFonts w:cs="Times New Roman" w:hint="eastAsia"/>
        </w:rPr>
        <w:instrText>″</w:instrText>
      </w:r>
      <w:r w:rsidR="00B60F81">
        <w:rPr>
          <w:rFonts w:cs="Times New Roman" w:hint="eastAsia"/>
        </w:rPr>
        <w:instrText xml:space="preserve"> analogues (e.g., 12i) outperformed arterolane itself, producing cures in mice after a sing</w:instrText>
      </w:r>
      <w:r w:rsidR="00B60F81">
        <w:rPr>
          <w:rFonts w:cs="Times New Roman"/>
        </w:rPr>
        <w:instrText>le oral exposure. Overall, this study suggests new avenues for modulating Fe(II) reactivity and the pharmacokinetic and pharmacodynamic properties of 1,2,4-trioxolane antimalarials.","author":[{"dropping-particle":"","family":"Blank","given":"Brian R.","non-dropping-particle":"","parse-names":false,"suffix":""},{"dropping-particle":"","family":"Gut","given":"Jiri","non-dropping-particle":"","parse-names":false,"suffix":""},{"dropping-particle":"","family":"Rosenthal","given":"Philip J.","non-dropping-particle":"","parse-names":false,"suffix":""},{"dropping-particle":"","family":"Renslo","given":"Adam R.","non-dropping-particle":"","parse-names":false,"suffix":""}],"container-title":"Journal of Medicinal Chemistry","id":"ITEM-1","issue":"14","issued":{"date-parts":[["2017"]]},"page":"6400-6407","title":"Enantioselective Synthesis and in Vivo Evaluation of Regioisomeric Analogues of the Antimalarial Arterolane","type":"article-journal","volume":"60"},"uris":["http://www.mendeley.com/documents/?uuid=72a71c79-86c9-4fc5-983e-ce4a9f6fa8c9"]}],"mendeley":{"formattedCitation":"&lt;sup&gt;14&lt;/sup&gt;","plainTextFormattedCitation":"14","previouslyFormattedCitation":"&lt;sup&gt;14&lt;/sup&gt;"},"properties":{"noteIndex":0},"schema":"https://github.com/citation-style-language/schema/raw/master/csl-citation.json"}</w:instrText>
      </w:r>
      <w:r w:rsidR="00266167" w:rsidRPr="00231B15">
        <w:rPr>
          <w:rFonts w:cs="Times New Roman"/>
        </w:rPr>
        <w:fldChar w:fldCharType="separate"/>
      </w:r>
      <w:r w:rsidR="000D252A" w:rsidRPr="00231B15">
        <w:rPr>
          <w:rFonts w:cs="Times New Roman"/>
          <w:noProof/>
          <w:vertAlign w:val="superscript"/>
        </w:rPr>
        <w:t>14</w:t>
      </w:r>
      <w:r w:rsidR="00266167" w:rsidRPr="00231B15">
        <w:rPr>
          <w:rFonts w:cs="Times New Roman"/>
        </w:rPr>
        <w:fldChar w:fldCharType="end"/>
      </w:r>
      <w:r w:rsidR="00313F75" w:rsidRPr="00231B15">
        <w:rPr>
          <w:rFonts w:cs="Times New Roman"/>
        </w:rPr>
        <w:t xml:space="preserve"> Similarly, for our tetraoxane scaffold the 3”</w:t>
      </w:r>
      <w:r w:rsidR="00C610A6" w:rsidRPr="00231B15">
        <w:rPr>
          <w:rFonts w:cs="Times New Roman"/>
        </w:rPr>
        <w:t>-</w:t>
      </w:r>
      <w:r w:rsidR="00313F75" w:rsidRPr="00231B15">
        <w:rPr>
          <w:rFonts w:cs="Times New Roman"/>
        </w:rPr>
        <w:t xml:space="preserve">position offers synthetic access to non-linear analogues. </w:t>
      </w:r>
      <w:bookmarkStart w:id="1" w:name="_Hlk39486812"/>
      <w:r w:rsidR="00626096" w:rsidRPr="00231B15">
        <w:rPr>
          <w:rFonts w:cs="Times New Roman"/>
        </w:rPr>
        <w:t xml:space="preserve">Retrosynthetic analysis of </w:t>
      </w:r>
      <w:r w:rsidR="00EF1122">
        <w:rPr>
          <w:rFonts w:cs="Times New Roman"/>
        </w:rPr>
        <w:t>second</w:t>
      </w:r>
      <w:r w:rsidR="00EF1122" w:rsidRPr="00231B15">
        <w:rPr>
          <w:rFonts w:cs="Times New Roman"/>
        </w:rPr>
        <w:t xml:space="preserve"> </w:t>
      </w:r>
      <w:r w:rsidR="00626096" w:rsidRPr="00231B15">
        <w:rPr>
          <w:rFonts w:cs="Times New Roman"/>
        </w:rPr>
        <w:t>generation tetraoxane 3”</w:t>
      </w:r>
      <w:r w:rsidR="00C610A6" w:rsidRPr="00231B15">
        <w:rPr>
          <w:rFonts w:cs="Times New Roman"/>
        </w:rPr>
        <w:t>-substituted</w:t>
      </w:r>
      <w:r w:rsidR="00626096" w:rsidRPr="00231B15">
        <w:rPr>
          <w:rFonts w:cs="Times New Roman"/>
        </w:rPr>
        <w:t xml:space="preserve"> analogues</w:t>
      </w:r>
      <w:bookmarkEnd w:id="1"/>
      <w:r w:rsidR="004F49C2" w:rsidRPr="00231B15">
        <w:rPr>
          <w:rFonts w:cs="Times New Roman"/>
        </w:rPr>
        <w:t xml:space="preserve"> (Scheme 1)</w:t>
      </w:r>
      <w:r w:rsidR="00626096" w:rsidRPr="00231B15">
        <w:rPr>
          <w:rFonts w:cs="Times New Roman"/>
        </w:rPr>
        <w:t xml:space="preserve"> identified two </w:t>
      </w:r>
      <w:r w:rsidR="00C610A6" w:rsidRPr="00231B15">
        <w:rPr>
          <w:rFonts w:cs="Times New Roman"/>
        </w:rPr>
        <w:t xml:space="preserve">chiral </w:t>
      </w:r>
      <w:r w:rsidR="00626096" w:rsidRPr="00231B15">
        <w:rPr>
          <w:rFonts w:cs="Times New Roman"/>
        </w:rPr>
        <w:t xml:space="preserve">conjugate addition products as key intermediates analogous to those in previously reported syntheses. </w:t>
      </w:r>
      <w:r w:rsidR="00464BB6" w:rsidRPr="00231B15">
        <w:rPr>
          <w:rFonts w:cs="Times New Roman"/>
        </w:rPr>
        <w:t>Movement to a non-linear scaffold introduces a chiral centre into the previously achiral scaffold, hence it was determined that the analogues should be synthesised</w:t>
      </w:r>
      <w:r w:rsidRPr="00231B15">
        <w:rPr>
          <w:rFonts w:cs="Times New Roman"/>
        </w:rPr>
        <w:t xml:space="preserve"> and evaluated</w:t>
      </w:r>
      <w:r w:rsidR="00464BB6" w:rsidRPr="00231B15">
        <w:rPr>
          <w:rFonts w:cs="Times New Roman"/>
        </w:rPr>
        <w:t xml:space="preserve"> as both individual enantiomers and racem</w:t>
      </w:r>
      <w:r w:rsidRPr="00231B15">
        <w:rPr>
          <w:rFonts w:cs="Times New Roman"/>
        </w:rPr>
        <w:t>ic mixtures</w:t>
      </w:r>
      <w:r w:rsidR="00464BB6" w:rsidRPr="00231B15">
        <w:rPr>
          <w:rFonts w:cs="Times New Roman"/>
        </w:rPr>
        <w:t>.</w:t>
      </w:r>
    </w:p>
    <w:p w14:paraId="60AD3F04" w14:textId="62D88029" w:rsidR="00077C42" w:rsidRPr="00231B15" w:rsidRDefault="00626096" w:rsidP="00E846E9">
      <w:pPr>
        <w:ind w:firstLine="360"/>
        <w:rPr>
          <w:rFonts w:cs="Times New Roman"/>
        </w:rPr>
      </w:pPr>
      <w:r w:rsidRPr="00231B15">
        <w:rPr>
          <w:rFonts w:cs="Times New Roman"/>
        </w:rPr>
        <w:t xml:space="preserve">Several conditions exist for enantioselective </w:t>
      </w:r>
      <w:r w:rsidR="008B7B26" w:rsidRPr="00231B15">
        <w:rPr>
          <w:rFonts w:cs="Times New Roman"/>
        </w:rPr>
        <w:t xml:space="preserve">aryl </w:t>
      </w:r>
      <w:r w:rsidRPr="00231B15">
        <w:rPr>
          <w:rFonts w:cs="Times New Roman"/>
        </w:rPr>
        <w:t xml:space="preserve">conjugate addition, for our purposes we chose to use Rh(I) catalysis for the conjugate addition of </w:t>
      </w:r>
      <w:r w:rsidR="008B7B26" w:rsidRPr="00231B15">
        <w:rPr>
          <w:rFonts w:cs="Times New Roman"/>
        </w:rPr>
        <w:t xml:space="preserve">aromatic </w:t>
      </w:r>
      <w:r w:rsidRPr="00231B15">
        <w:rPr>
          <w:rFonts w:cs="Times New Roman"/>
        </w:rPr>
        <w:t xml:space="preserve">boronic acids. This was chosen due to the high reported yields and enantiomeric excesses in previous literature as well as the synthetic flexibility </w:t>
      </w:r>
      <w:r w:rsidR="008B7B26" w:rsidRPr="00231B15">
        <w:rPr>
          <w:rFonts w:cs="Times New Roman"/>
        </w:rPr>
        <w:t>for the preparation of substituted cyclohexanones</w:t>
      </w:r>
      <w:r w:rsidRPr="00231B15">
        <w:rPr>
          <w:rFonts w:cs="Times New Roman"/>
        </w:rPr>
        <w:t>. Furthermore, the use of chiral ligands allows control over the geometry of the generated chiral centre</w:t>
      </w:r>
      <w:r w:rsidR="00464BB6" w:rsidRPr="00231B15">
        <w:rPr>
          <w:rFonts w:cs="Times New Roman"/>
        </w:rPr>
        <w:t xml:space="preserve"> as well as allowing racemic syntheses through use of a racemic ligand.</w:t>
      </w:r>
      <w:r w:rsidR="00266167" w:rsidRPr="00231B15">
        <w:rPr>
          <w:rFonts w:cs="Times New Roman"/>
        </w:rPr>
        <w:fldChar w:fldCharType="begin" w:fldLock="1"/>
      </w:r>
      <w:r w:rsidR="00A26B94">
        <w:rPr>
          <w:rFonts w:cs="Times New Roman"/>
        </w:rPr>
        <w:instrText>ADDIN CSL_CITATION {"citationItems":[{"id":"ITEM-1","itemData":{"DOI":"10.1021/cr020022z","ISSN":"00092665","author":[{"dropping-particle":"","family":"Hayashi","given":"Tamio","non-dropping-particle":"","parse-names":false,"suffix":""},{"dropping-particle":"","family":"Yamasaki","given":"Kaori","non-dropping-particle":"","parse-names":false,"suffix":""}],"container-title":"Chemical Reviews","id":"ITEM-1","issued":{"date-parts":[["2003"]]},"title":"Rhodium-catalyzed asymmetric 1,4-addition and its related asymmetric reactions","type":"article-journal"},"uris":["http://www.mendeley.com/documents/?uuid=cd2112d1-eddb-4956-8c28-eba1c8956094"]},{"id":"ITEM-2","itemData":{"DOI":"10.1021/om9705113","ISSN":"02767333","abstract":"The rhodium(I)-catalyzed conjugate addition of aryl- or 1-alkenylboronic acids to enones was carried out in high yields at 50 °C in an aqueous solvent. A combination of (acac)Rh(CO)2 and dppb was recognized to be highly effective for the addition to acyclic and cyclic enones.","author":[{"dropping-particle":"","family":"Sakai","given":"Masaaki","non-dropping-particle":"","parse-names":false,"suffix":""},{"dropping-particle":"","family":"Hayashi","given":"Hiroyuki","non-dropping-particle":"","parse-names":false,"suffix":""},{"dropping-particle":"","family":"Miyaura","given":"Norio","non-dropping-particle":"","parse-names":false,"suffix":""}],"container-title":"Organometallics","id":"ITEM-2","issued":{"date-parts":[["1997"]]},"title":"Rhodium-catalyzed conjugate addition of aryl- or 1-alkenylboronic acids to enones","type":"article-journal"},"uris":["http://www.mendeley.com/documents/?uuid=7980d523-e2a9-46c9-9c4c-de7c1f67d0ed"]}],"mendeley":{"formattedCitation":"&lt;sup&gt;23,24&lt;/sup&gt;","plainTextFormattedCitation":"23,24","previouslyFormattedCitation":"&lt;sup&gt;23,24&lt;/sup&gt;"},"properties":{"noteIndex":0},"schema":"https://github.com/citation-style-language/schema/raw/master/csl-citation.json"}</w:instrText>
      </w:r>
      <w:r w:rsidR="00266167" w:rsidRPr="00231B15">
        <w:rPr>
          <w:rFonts w:cs="Times New Roman"/>
        </w:rPr>
        <w:fldChar w:fldCharType="separate"/>
      </w:r>
      <w:r w:rsidR="00B60F81" w:rsidRPr="00B60F81">
        <w:rPr>
          <w:rFonts w:cs="Times New Roman"/>
          <w:noProof/>
          <w:vertAlign w:val="superscript"/>
        </w:rPr>
        <w:t>23,24</w:t>
      </w:r>
      <w:r w:rsidR="00266167" w:rsidRPr="00231B15">
        <w:rPr>
          <w:rFonts w:cs="Times New Roman"/>
        </w:rPr>
        <w:fldChar w:fldCharType="end"/>
      </w:r>
      <w:r w:rsidR="009866EC" w:rsidRPr="00231B15">
        <w:rPr>
          <w:rFonts w:cs="Times New Roman"/>
        </w:rPr>
        <w:t xml:space="preserve"> </w:t>
      </w:r>
    </w:p>
    <w:p w14:paraId="24BCA4C7" w14:textId="48E15780" w:rsidR="00464BB6" w:rsidRPr="00231B15" w:rsidRDefault="00E94802" w:rsidP="00464BB6">
      <w:pPr>
        <w:jc w:val="center"/>
        <w:rPr>
          <w:rFonts w:cs="Times New Roman"/>
        </w:rPr>
      </w:pPr>
      <w:r w:rsidRPr="0073657C">
        <w:rPr>
          <w:rFonts w:cs="Times New Roman"/>
          <w:noProof/>
        </w:rPr>
        <w:object w:dxaOrig="7701" w:dyaOrig="4972" w14:anchorId="210F7FB6">
          <v:shape id="_x0000_i1038" type="#_x0000_t75" alt="" style="width:324pt;height:208.45pt" o:ole="">
            <v:imagedata r:id="rId18" o:title=""/>
          </v:shape>
          <o:OLEObject Type="Embed" ProgID="ChemDraw.Document.6.0" ShapeID="_x0000_i1038" DrawAspect="Content" ObjectID="_1684854712" r:id="rId19"/>
        </w:object>
      </w:r>
    </w:p>
    <w:tbl>
      <w:tblPr>
        <w:tblW w:w="0" w:type="auto"/>
        <w:jc w:val="center"/>
        <w:tblCellMar>
          <w:left w:w="0" w:type="dxa"/>
          <w:right w:w="0" w:type="dxa"/>
        </w:tblCellMar>
        <w:tblLook w:val="0420" w:firstRow="1" w:lastRow="0" w:firstColumn="0" w:lastColumn="0" w:noHBand="0" w:noVBand="1"/>
      </w:tblPr>
      <w:tblGrid>
        <w:gridCol w:w="1214"/>
        <w:gridCol w:w="905"/>
        <w:gridCol w:w="1238"/>
        <w:gridCol w:w="1025"/>
        <w:gridCol w:w="636"/>
        <w:gridCol w:w="1104"/>
      </w:tblGrid>
      <w:tr w:rsidR="00991808" w:rsidRPr="00231B15" w14:paraId="67128AF0" w14:textId="77777777" w:rsidTr="00991808">
        <w:trPr>
          <w:trHeight w:val="304"/>
          <w:jc w:val="center"/>
        </w:trPr>
        <w:tc>
          <w:tcPr>
            <w:tcW w:w="0" w:type="auto"/>
            <w:tcBorders>
              <w:top w:val="single" w:sz="8" w:space="0" w:color="000000"/>
              <w:left w:val="nil"/>
              <w:bottom w:val="single" w:sz="8" w:space="0" w:color="000000"/>
              <w:right w:val="nil"/>
            </w:tcBorders>
            <w:shd w:val="clear" w:color="auto" w:fill="auto"/>
            <w:tcMar>
              <w:top w:w="59" w:type="dxa"/>
              <w:left w:w="118" w:type="dxa"/>
              <w:bottom w:w="59" w:type="dxa"/>
              <w:right w:w="118" w:type="dxa"/>
            </w:tcMar>
            <w:vAlign w:val="center"/>
            <w:hideMark/>
          </w:tcPr>
          <w:p w14:paraId="59CD6EB2" w14:textId="6BA2BF89" w:rsidR="00991808" w:rsidRPr="00231B15" w:rsidRDefault="004F49C2" w:rsidP="00991808">
            <w:pPr>
              <w:jc w:val="center"/>
              <w:rPr>
                <w:rFonts w:cs="Times New Roman"/>
              </w:rPr>
            </w:pPr>
            <w:r w:rsidRPr="00231B15">
              <w:rPr>
                <w:rFonts w:cs="Times New Roman"/>
              </w:rPr>
              <w:t>Compound</w:t>
            </w:r>
          </w:p>
        </w:tc>
        <w:tc>
          <w:tcPr>
            <w:tcW w:w="0" w:type="auto"/>
            <w:tcBorders>
              <w:top w:val="single" w:sz="8" w:space="0" w:color="000000"/>
              <w:left w:val="nil"/>
              <w:bottom w:val="single" w:sz="8" w:space="0" w:color="000000"/>
              <w:right w:val="nil"/>
            </w:tcBorders>
            <w:shd w:val="clear" w:color="auto" w:fill="auto"/>
            <w:tcMar>
              <w:top w:w="59" w:type="dxa"/>
              <w:left w:w="118" w:type="dxa"/>
              <w:bottom w:w="59" w:type="dxa"/>
              <w:right w:w="118" w:type="dxa"/>
            </w:tcMar>
            <w:vAlign w:val="center"/>
            <w:hideMark/>
          </w:tcPr>
          <w:p w14:paraId="391C942E" w14:textId="77777777" w:rsidR="00991808" w:rsidRPr="00231B15" w:rsidRDefault="00991808" w:rsidP="00991808">
            <w:pPr>
              <w:jc w:val="center"/>
              <w:rPr>
                <w:rFonts w:cs="Times New Roman"/>
              </w:rPr>
            </w:pPr>
            <w:r w:rsidRPr="00231B15">
              <w:rPr>
                <w:rFonts w:cs="Times New Roman"/>
              </w:rPr>
              <w:t>R</w:t>
            </w:r>
          </w:p>
        </w:tc>
        <w:tc>
          <w:tcPr>
            <w:tcW w:w="0" w:type="auto"/>
            <w:tcBorders>
              <w:top w:val="single" w:sz="8" w:space="0" w:color="000000"/>
              <w:left w:val="nil"/>
              <w:bottom w:val="single" w:sz="8" w:space="0" w:color="000000"/>
              <w:right w:val="nil"/>
            </w:tcBorders>
            <w:shd w:val="clear" w:color="auto" w:fill="auto"/>
            <w:tcMar>
              <w:top w:w="59" w:type="dxa"/>
              <w:left w:w="118" w:type="dxa"/>
              <w:bottom w:w="59" w:type="dxa"/>
              <w:right w:w="118" w:type="dxa"/>
            </w:tcMar>
            <w:vAlign w:val="center"/>
            <w:hideMark/>
          </w:tcPr>
          <w:p w14:paraId="186D89AC" w14:textId="77777777" w:rsidR="00991808" w:rsidRPr="00231B15" w:rsidRDefault="00991808" w:rsidP="00991808">
            <w:pPr>
              <w:jc w:val="center"/>
              <w:rPr>
                <w:rFonts w:cs="Times New Roman"/>
              </w:rPr>
            </w:pPr>
            <w:r w:rsidRPr="00231B15">
              <w:rPr>
                <w:rFonts w:cs="Times New Roman"/>
              </w:rPr>
              <w:t>Ligand</w:t>
            </w:r>
          </w:p>
        </w:tc>
        <w:tc>
          <w:tcPr>
            <w:tcW w:w="0" w:type="auto"/>
            <w:tcBorders>
              <w:top w:val="single" w:sz="8" w:space="0" w:color="000000"/>
              <w:left w:val="nil"/>
              <w:bottom w:val="single" w:sz="8" w:space="0" w:color="000000"/>
              <w:right w:val="nil"/>
            </w:tcBorders>
            <w:shd w:val="clear" w:color="auto" w:fill="auto"/>
            <w:tcMar>
              <w:top w:w="59" w:type="dxa"/>
              <w:left w:w="118" w:type="dxa"/>
              <w:bottom w:w="59" w:type="dxa"/>
              <w:right w:w="118" w:type="dxa"/>
            </w:tcMar>
            <w:vAlign w:val="center"/>
            <w:hideMark/>
          </w:tcPr>
          <w:p w14:paraId="3D47409C" w14:textId="77777777" w:rsidR="00991808" w:rsidRPr="00231B15" w:rsidRDefault="00991808" w:rsidP="00991808">
            <w:pPr>
              <w:jc w:val="center"/>
              <w:rPr>
                <w:rFonts w:cs="Times New Roman"/>
              </w:rPr>
            </w:pPr>
            <w:r w:rsidRPr="00231B15">
              <w:rPr>
                <w:rFonts w:cs="Times New Roman"/>
              </w:rPr>
              <w:t>Yield/ %</w:t>
            </w:r>
          </w:p>
        </w:tc>
        <w:tc>
          <w:tcPr>
            <w:tcW w:w="0" w:type="auto"/>
            <w:tcBorders>
              <w:top w:val="single" w:sz="8" w:space="0" w:color="000000"/>
              <w:left w:val="nil"/>
              <w:bottom w:val="single" w:sz="8" w:space="0" w:color="000000"/>
              <w:right w:val="nil"/>
            </w:tcBorders>
            <w:shd w:val="clear" w:color="auto" w:fill="auto"/>
            <w:tcMar>
              <w:top w:w="59" w:type="dxa"/>
              <w:left w:w="118" w:type="dxa"/>
              <w:bottom w:w="59" w:type="dxa"/>
              <w:right w:w="118" w:type="dxa"/>
            </w:tcMar>
            <w:vAlign w:val="center"/>
            <w:hideMark/>
          </w:tcPr>
          <w:p w14:paraId="71867231" w14:textId="77777777" w:rsidR="00991808" w:rsidRPr="00231B15" w:rsidRDefault="00991808" w:rsidP="00991808">
            <w:pPr>
              <w:jc w:val="center"/>
              <w:rPr>
                <w:rFonts w:cs="Times New Roman"/>
              </w:rPr>
            </w:pPr>
            <w:r w:rsidRPr="00231B15">
              <w:rPr>
                <w:rFonts w:cs="Times New Roman"/>
              </w:rPr>
              <w:t>%ee</w:t>
            </w:r>
          </w:p>
        </w:tc>
        <w:tc>
          <w:tcPr>
            <w:tcW w:w="0" w:type="auto"/>
            <w:tcBorders>
              <w:top w:val="single" w:sz="8" w:space="0" w:color="000000"/>
              <w:left w:val="nil"/>
              <w:bottom w:val="single" w:sz="8" w:space="0" w:color="000000"/>
              <w:right w:val="nil"/>
            </w:tcBorders>
            <w:shd w:val="clear" w:color="auto" w:fill="auto"/>
            <w:tcMar>
              <w:top w:w="59" w:type="dxa"/>
              <w:left w:w="118" w:type="dxa"/>
              <w:bottom w:w="59" w:type="dxa"/>
              <w:right w:w="118" w:type="dxa"/>
            </w:tcMar>
            <w:vAlign w:val="center"/>
            <w:hideMark/>
          </w:tcPr>
          <w:p w14:paraId="4DD7B39E" w14:textId="77777777" w:rsidR="00991808" w:rsidRPr="00231B15" w:rsidRDefault="00991808" w:rsidP="00991808">
            <w:pPr>
              <w:jc w:val="center"/>
              <w:rPr>
                <w:rFonts w:cs="Times New Roman"/>
              </w:rPr>
            </w:pPr>
            <w:r w:rsidRPr="00231B15">
              <w:rPr>
                <w:rFonts w:cs="Times New Roman"/>
              </w:rPr>
              <w:t>Product</w:t>
            </w:r>
          </w:p>
        </w:tc>
      </w:tr>
      <w:tr w:rsidR="004F49C2" w:rsidRPr="00231B15" w14:paraId="7A15EC91" w14:textId="77777777" w:rsidTr="00991808">
        <w:trPr>
          <w:trHeight w:val="516"/>
          <w:jc w:val="center"/>
        </w:trPr>
        <w:tc>
          <w:tcPr>
            <w:tcW w:w="0" w:type="auto"/>
            <w:tcBorders>
              <w:top w:val="nil"/>
              <w:left w:val="nil"/>
              <w:bottom w:val="nil"/>
              <w:right w:val="nil"/>
            </w:tcBorders>
            <w:shd w:val="clear" w:color="auto" w:fill="auto"/>
            <w:tcMar>
              <w:top w:w="59" w:type="dxa"/>
              <w:left w:w="118" w:type="dxa"/>
              <w:bottom w:w="59" w:type="dxa"/>
              <w:right w:w="118" w:type="dxa"/>
            </w:tcMar>
            <w:vAlign w:val="center"/>
          </w:tcPr>
          <w:p w14:paraId="31B0391F" w14:textId="2542BF04" w:rsidR="004F49C2" w:rsidRPr="00231B15" w:rsidRDefault="000D252A" w:rsidP="004F49C2">
            <w:pPr>
              <w:jc w:val="center"/>
              <w:rPr>
                <w:rFonts w:cs="Times New Roman"/>
                <w:b/>
                <w:bCs/>
              </w:rPr>
            </w:pPr>
            <w:r w:rsidRPr="00231B15">
              <w:rPr>
                <w:rFonts w:cs="Times New Roman"/>
                <w:b/>
                <w:bCs/>
              </w:rPr>
              <w:t>3a</w:t>
            </w:r>
          </w:p>
        </w:tc>
        <w:tc>
          <w:tcPr>
            <w:tcW w:w="0" w:type="auto"/>
            <w:tcBorders>
              <w:top w:val="nil"/>
              <w:left w:val="nil"/>
              <w:bottom w:val="nil"/>
              <w:right w:val="nil"/>
            </w:tcBorders>
            <w:shd w:val="clear" w:color="auto" w:fill="auto"/>
            <w:tcMar>
              <w:top w:w="59" w:type="dxa"/>
              <w:left w:w="118" w:type="dxa"/>
              <w:bottom w:w="59" w:type="dxa"/>
              <w:right w:w="118" w:type="dxa"/>
            </w:tcMar>
            <w:vAlign w:val="center"/>
          </w:tcPr>
          <w:p w14:paraId="508C1C46" w14:textId="0A06AF43" w:rsidR="004F49C2" w:rsidRPr="00231B15" w:rsidRDefault="004F49C2" w:rsidP="004F49C2">
            <w:pPr>
              <w:jc w:val="center"/>
              <w:rPr>
                <w:rFonts w:cs="Times New Roman"/>
              </w:rPr>
            </w:pPr>
            <w:r w:rsidRPr="00231B15">
              <w:rPr>
                <w:rFonts w:cs="Times New Roman"/>
              </w:rPr>
              <w:t>OBn</w:t>
            </w:r>
          </w:p>
        </w:tc>
        <w:tc>
          <w:tcPr>
            <w:tcW w:w="0" w:type="auto"/>
            <w:tcBorders>
              <w:top w:val="nil"/>
              <w:left w:val="nil"/>
              <w:bottom w:val="nil"/>
              <w:right w:val="nil"/>
            </w:tcBorders>
            <w:shd w:val="clear" w:color="auto" w:fill="auto"/>
            <w:tcMar>
              <w:top w:w="59" w:type="dxa"/>
              <w:left w:w="118" w:type="dxa"/>
              <w:bottom w:w="59" w:type="dxa"/>
              <w:right w:w="118" w:type="dxa"/>
            </w:tcMar>
            <w:vAlign w:val="center"/>
          </w:tcPr>
          <w:p w14:paraId="2A25843F" w14:textId="3D7E62F3" w:rsidR="004F49C2" w:rsidRPr="00231B15" w:rsidRDefault="004F49C2" w:rsidP="004F49C2">
            <w:pPr>
              <w:jc w:val="center"/>
              <w:rPr>
                <w:rFonts w:cs="Times New Roman"/>
              </w:rPr>
            </w:pPr>
            <w:r w:rsidRPr="00E26468">
              <w:rPr>
                <w:rFonts w:cs="Times New Roman"/>
                <w:i/>
              </w:rPr>
              <w:t>R</w:t>
            </w:r>
            <w:r w:rsidRPr="00231B15">
              <w:rPr>
                <w:rFonts w:cs="Times New Roman"/>
              </w:rPr>
              <w:t>-BINAP</w:t>
            </w:r>
          </w:p>
        </w:tc>
        <w:tc>
          <w:tcPr>
            <w:tcW w:w="0" w:type="auto"/>
            <w:tcBorders>
              <w:top w:val="nil"/>
              <w:left w:val="nil"/>
              <w:bottom w:val="nil"/>
              <w:right w:val="nil"/>
            </w:tcBorders>
            <w:shd w:val="clear" w:color="auto" w:fill="auto"/>
            <w:tcMar>
              <w:top w:w="59" w:type="dxa"/>
              <w:left w:w="118" w:type="dxa"/>
              <w:bottom w:w="59" w:type="dxa"/>
              <w:right w:w="118" w:type="dxa"/>
            </w:tcMar>
            <w:vAlign w:val="center"/>
          </w:tcPr>
          <w:p w14:paraId="7C4F1E0E" w14:textId="34A6D44D" w:rsidR="004F49C2" w:rsidRPr="00231B15" w:rsidRDefault="004F49C2" w:rsidP="004F49C2">
            <w:pPr>
              <w:jc w:val="center"/>
              <w:rPr>
                <w:rFonts w:cs="Times New Roman"/>
              </w:rPr>
            </w:pPr>
            <w:r w:rsidRPr="00231B15">
              <w:rPr>
                <w:rFonts w:cs="Times New Roman"/>
              </w:rPr>
              <w:t>57</w:t>
            </w:r>
          </w:p>
        </w:tc>
        <w:tc>
          <w:tcPr>
            <w:tcW w:w="0" w:type="auto"/>
            <w:tcBorders>
              <w:top w:val="nil"/>
              <w:left w:val="nil"/>
              <w:bottom w:val="nil"/>
              <w:right w:val="nil"/>
            </w:tcBorders>
            <w:shd w:val="clear" w:color="auto" w:fill="auto"/>
            <w:tcMar>
              <w:top w:w="59" w:type="dxa"/>
              <w:left w:w="118" w:type="dxa"/>
              <w:bottom w:w="59" w:type="dxa"/>
              <w:right w:w="118" w:type="dxa"/>
            </w:tcMar>
            <w:vAlign w:val="center"/>
          </w:tcPr>
          <w:p w14:paraId="0240EFA2" w14:textId="7F2B6782" w:rsidR="004F49C2" w:rsidRPr="00231B15" w:rsidRDefault="004F49C2" w:rsidP="004F49C2">
            <w:pPr>
              <w:jc w:val="center"/>
              <w:rPr>
                <w:rFonts w:cs="Times New Roman"/>
              </w:rPr>
            </w:pPr>
            <w:r w:rsidRPr="00231B15">
              <w:rPr>
                <w:rFonts w:cs="Times New Roman"/>
              </w:rPr>
              <w:t>&gt; 99</w:t>
            </w:r>
          </w:p>
        </w:tc>
        <w:tc>
          <w:tcPr>
            <w:tcW w:w="0" w:type="auto"/>
            <w:tcBorders>
              <w:top w:val="nil"/>
              <w:left w:val="nil"/>
              <w:bottom w:val="nil"/>
              <w:right w:val="nil"/>
            </w:tcBorders>
            <w:shd w:val="clear" w:color="auto" w:fill="auto"/>
            <w:tcMar>
              <w:top w:w="59" w:type="dxa"/>
              <w:left w:w="118" w:type="dxa"/>
              <w:bottom w:w="59" w:type="dxa"/>
              <w:right w:w="118" w:type="dxa"/>
            </w:tcMar>
            <w:vAlign w:val="center"/>
          </w:tcPr>
          <w:p w14:paraId="1035C6BD" w14:textId="3F2EE8C1" w:rsidR="004F49C2" w:rsidRPr="00E26468" w:rsidRDefault="004F49C2" w:rsidP="004F49C2">
            <w:pPr>
              <w:jc w:val="center"/>
              <w:rPr>
                <w:rFonts w:cs="Times New Roman"/>
                <w:i/>
              </w:rPr>
            </w:pPr>
            <w:r w:rsidRPr="00E26468">
              <w:rPr>
                <w:rFonts w:cs="Times New Roman"/>
                <w:i/>
              </w:rPr>
              <w:t>R</w:t>
            </w:r>
          </w:p>
        </w:tc>
      </w:tr>
      <w:tr w:rsidR="004F49C2" w:rsidRPr="00231B15" w14:paraId="2FD39238" w14:textId="77777777" w:rsidTr="004F49C2">
        <w:trPr>
          <w:trHeight w:val="516"/>
          <w:jc w:val="center"/>
        </w:trPr>
        <w:tc>
          <w:tcPr>
            <w:tcW w:w="0" w:type="auto"/>
            <w:tcBorders>
              <w:top w:val="nil"/>
              <w:left w:val="nil"/>
              <w:bottom w:val="nil"/>
              <w:right w:val="nil"/>
            </w:tcBorders>
            <w:shd w:val="clear" w:color="auto" w:fill="auto"/>
            <w:tcMar>
              <w:top w:w="59" w:type="dxa"/>
              <w:left w:w="118" w:type="dxa"/>
              <w:bottom w:w="59" w:type="dxa"/>
              <w:right w:w="118" w:type="dxa"/>
            </w:tcMar>
            <w:vAlign w:val="center"/>
          </w:tcPr>
          <w:p w14:paraId="0EF731B0" w14:textId="0CA6B720" w:rsidR="004F49C2" w:rsidRPr="00231B15" w:rsidRDefault="000D252A" w:rsidP="004F49C2">
            <w:pPr>
              <w:jc w:val="center"/>
              <w:rPr>
                <w:rFonts w:cs="Times New Roman"/>
                <w:b/>
                <w:bCs/>
              </w:rPr>
            </w:pPr>
            <w:r w:rsidRPr="00231B15">
              <w:rPr>
                <w:rFonts w:cs="Times New Roman"/>
                <w:b/>
                <w:bCs/>
              </w:rPr>
              <w:t>3b</w:t>
            </w:r>
          </w:p>
        </w:tc>
        <w:tc>
          <w:tcPr>
            <w:tcW w:w="0" w:type="auto"/>
            <w:tcBorders>
              <w:top w:val="nil"/>
              <w:left w:val="nil"/>
              <w:bottom w:val="nil"/>
              <w:right w:val="nil"/>
            </w:tcBorders>
            <w:shd w:val="clear" w:color="auto" w:fill="auto"/>
            <w:tcMar>
              <w:top w:w="59" w:type="dxa"/>
              <w:left w:w="118" w:type="dxa"/>
              <w:bottom w:w="59" w:type="dxa"/>
              <w:right w:w="118" w:type="dxa"/>
            </w:tcMar>
            <w:vAlign w:val="center"/>
          </w:tcPr>
          <w:p w14:paraId="3C39DB8B" w14:textId="7E654197" w:rsidR="004F49C2" w:rsidRPr="00231B15" w:rsidRDefault="004F49C2" w:rsidP="004F49C2">
            <w:pPr>
              <w:jc w:val="center"/>
              <w:rPr>
                <w:rFonts w:cs="Times New Roman"/>
              </w:rPr>
            </w:pPr>
            <w:r w:rsidRPr="00231B15">
              <w:rPr>
                <w:rFonts w:cs="Times New Roman"/>
              </w:rPr>
              <w:t>OBn</w:t>
            </w:r>
          </w:p>
        </w:tc>
        <w:tc>
          <w:tcPr>
            <w:tcW w:w="0" w:type="auto"/>
            <w:tcBorders>
              <w:top w:val="nil"/>
              <w:left w:val="nil"/>
              <w:bottom w:val="nil"/>
              <w:right w:val="nil"/>
            </w:tcBorders>
            <w:shd w:val="clear" w:color="auto" w:fill="auto"/>
            <w:tcMar>
              <w:top w:w="59" w:type="dxa"/>
              <w:left w:w="118" w:type="dxa"/>
              <w:bottom w:w="59" w:type="dxa"/>
              <w:right w:w="118" w:type="dxa"/>
            </w:tcMar>
            <w:vAlign w:val="center"/>
          </w:tcPr>
          <w:p w14:paraId="12A83C97" w14:textId="0D9235D2" w:rsidR="004F49C2" w:rsidRPr="00231B15" w:rsidRDefault="004F49C2" w:rsidP="004F49C2">
            <w:pPr>
              <w:jc w:val="center"/>
              <w:rPr>
                <w:rFonts w:cs="Times New Roman"/>
              </w:rPr>
            </w:pPr>
            <w:r w:rsidRPr="00E26468">
              <w:rPr>
                <w:rFonts w:cs="Times New Roman"/>
                <w:i/>
              </w:rPr>
              <w:t>S</w:t>
            </w:r>
            <w:r w:rsidRPr="00231B15">
              <w:rPr>
                <w:rFonts w:cs="Times New Roman"/>
              </w:rPr>
              <w:t>-BINAP</w:t>
            </w:r>
          </w:p>
        </w:tc>
        <w:tc>
          <w:tcPr>
            <w:tcW w:w="0" w:type="auto"/>
            <w:tcBorders>
              <w:top w:val="nil"/>
              <w:left w:val="nil"/>
              <w:bottom w:val="nil"/>
              <w:right w:val="nil"/>
            </w:tcBorders>
            <w:shd w:val="clear" w:color="auto" w:fill="auto"/>
            <w:tcMar>
              <w:top w:w="59" w:type="dxa"/>
              <w:left w:w="118" w:type="dxa"/>
              <w:bottom w:w="59" w:type="dxa"/>
              <w:right w:w="118" w:type="dxa"/>
            </w:tcMar>
            <w:vAlign w:val="center"/>
          </w:tcPr>
          <w:p w14:paraId="5B291F35" w14:textId="3D27656C" w:rsidR="004F49C2" w:rsidRPr="00231B15" w:rsidRDefault="004F49C2" w:rsidP="004F49C2">
            <w:pPr>
              <w:jc w:val="center"/>
              <w:rPr>
                <w:rFonts w:cs="Times New Roman"/>
              </w:rPr>
            </w:pPr>
            <w:r w:rsidRPr="00231B15">
              <w:rPr>
                <w:rFonts w:cs="Times New Roman"/>
              </w:rPr>
              <w:t>59</w:t>
            </w:r>
          </w:p>
        </w:tc>
        <w:tc>
          <w:tcPr>
            <w:tcW w:w="0" w:type="auto"/>
            <w:tcBorders>
              <w:top w:val="nil"/>
              <w:left w:val="nil"/>
              <w:bottom w:val="nil"/>
              <w:right w:val="nil"/>
            </w:tcBorders>
            <w:shd w:val="clear" w:color="auto" w:fill="auto"/>
            <w:tcMar>
              <w:top w:w="59" w:type="dxa"/>
              <w:left w:w="118" w:type="dxa"/>
              <w:bottom w:w="59" w:type="dxa"/>
              <w:right w:w="118" w:type="dxa"/>
            </w:tcMar>
            <w:vAlign w:val="center"/>
          </w:tcPr>
          <w:p w14:paraId="539F107D" w14:textId="2B6AB98D" w:rsidR="004F49C2" w:rsidRPr="00231B15" w:rsidRDefault="004F49C2" w:rsidP="004F49C2">
            <w:pPr>
              <w:jc w:val="center"/>
              <w:rPr>
                <w:rFonts w:cs="Times New Roman"/>
              </w:rPr>
            </w:pPr>
            <w:r w:rsidRPr="00231B15">
              <w:rPr>
                <w:rFonts w:cs="Times New Roman"/>
              </w:rPr>
              <w:t>&gt; 99</w:t>
            </w:r>
          </w:p>
        </w:tc>
        <w:tc>
          <w:tcPr>
            <w:tcW w:w="0" w:type="auto"/>
            <w:tcBorders>
              <w:top w:val="nil"/>
              <w:left w:val="nil"/>
              <w:bottom w:val="nil"/>
              <w:right w:val="nil"/>
            </w:tcBorders>
            <w:shd w:val="clear" w:color="auto" w:fill="auto"/>
            <w:tcMar>
              <w:top w:w="59" w:type="dxa"/>
              <w:left w:w="118" w:type="dxa"/>
              <w:bottom w:w="59" w:type="dxa"/>
              <w:right w:w="118" w:type="dxa"/>
            </w:tcMar>
            <w:vAlign w:val="center"/>
          </w:tcPr>
          <w:p w14:paraId="18487C41" w14:textId="385D1D7B" w:rsidR="004F49C2" w:rsidRPr="00E26468" w:rsidRDefault="004F49C2" w:rsidP="004F49C2">
            <w:pPr>
              <w:jc w:val="center"/>
              <w:rPr>
                <w:rFonts w:cs="Times New Roman"/>
                <w:i/>
              </w:rPr>
            </w:pPr>
            <w:r w:rsidRPr="00E26468">
              <w:rPr>
                <w:rFonts w:cs="Times New Roman"/>
                <w:i/>
              </w:rPr>
              <w:t>S</w:t>
            </w:r>
          </w:p>
        </w:tc>
      </w:tr>
      <w:tr w:rsidR="004F49C2" w:rsidRPr="00231B15" w14:paraId="73A8059B" w14:textId="77777777" w:rsidTr="004F49C2">
        <w:trPr>
          <w:trHeight w:val="516"/>
          <w:jc w:val="center"/>
        </w:trPr>
        <w:tc>
          <w:tcPr>
            <w:tcW w:w="0" w:type="auto"/>
            <w:tcBorders>
              <w:top w:val="nil"/>
              <w:left w:val="nil"/>
              <w:bottom w:val="nil"/>
              <w:right w:val="nil"/>
            </w:tcBorders>
            <w:shd w:val="clear" w:color="auto" w:fill="auto"/>
            <w:tcMar>
              <w:top w:w="59" w:type="dxa"/>
              <w:left w:w="118" w:type="dxa"/>
              <w:bottom w:w="59" w:type="dxa"/>
              <w:right w:w="118" w:type="dxa"/>
            </w:tcMar>
            <w:vAlign w:val="center"/>
          </w:tcPr>
          <w:p w14:paraId="629D488E" w14:textId="72CC02B7" w:rsidR="004F49C2" w:rsidRPr="00231B15" w:rsidRDefault="000D252A" w:rsidP="004F49C2">
            <w:pPr>
              <w:jc w:val="center"/>
              <w:rPr>
                <w:rFonts w:cs="Times New Roman"/>
                <w:b/>
                <w:bCs/>
              </w:rPr>
            </w:pPr>
            <w:r w:rsidRPr="00231B15">
              <w:rPr>
                <w:rFonts w:cs="Times New Roman"/>
                <w:b/>
                <w:bCs/>
              </w:rPr>
              <w:t>3c</w:t>
            </w:r>
          </w:p>
        </w:tc>
        <w:tc>
          <w:tcPr>
            <w:tcW w:w="0" w:type="auto"/>
            <w:tcBorders>
              <w:top w:val="nil"/>
              <w:left w:val="nil"/>
              <w:bottom w:val="nil"/>
              <w:right w:val="nil"/>
            </w:tcBorders>
            <w:shd w:val="clear" w:color="auto" w:fill="auto"/>
            <w:tcMar>
              <w:top w:w="59" w:type="dxa"/>
              <w:left w:w="118" w:type="dxa"/>
              <w:bottom w:w="59" w:type="dxa"/>
              <w:right w:w="118" w:type="dxa"/>
            </w:tcMar>
            <w:vAlign w:val="center"/>
          </w:tcPr>
          <w:p w14:paraId="46F56419" w14:textId="685355DE" w:rsidR="004F49C2" w:rsidRPr="00231B15" w:rsidRDefault="004F49C2" w:rsidP="004F49C2">
            <w:pPr>
              <w:jc w:val="center"/>
              <w:rPr>
                <w:rFonts w:cs="Times New Roman"/>
              </w:rPr>
            </w:pPr>
            <w:r w:rsidRPr="00231B15">
              <w:rPr>
                <w:rFonts w:cs="Times New Roman"/>
              </w:rPr>
              <w:t>OBn</w:t>
            </w:r>
          </w:p>
        </w:tc>
        <w:tc>
          <w:tcPr>
            <w:tcW w:w="0" w:type="auto"/>
            <w:tcBorders>
              <w:top w:val="nil"/>
              <w:left w:val="nil"/>
              <w:bottom w:val="nil"/>
              <w:right w:val="nil"/>
            </w:tcBorders>
            <w:shd w:val="clear" w:color="auto" w:fill="auto"/>
            <w:tcMar>
              <w:top w:w="59" w:type="dxa"/>
              <w:left w:w="118" w:type="dxa"/>
              <w:bottom w:w="59" w:type="dxa"/>
              <w:right w:w="118" w:type="dxa"/>
            </w:tcMar>
            <w:vAlign w:val="center"/>
          </w:tcPr>
          <w:p w14:paraId="4F0DFE3B" w14:textId="2217B1E3" w:rsidR="004F49C2" w:rsidRPr="00231B15" w:rsidRDefault="00FC2972" w:rsidP="004F49C2">
            <w:pPr>
              <w:jc w:val="center"/>
              <w:rPr>
                <w:rFonts w:cs="Times New Roman"/>
              </w:rPr>
            </w:pPr>
            <w:r>
              <w:rPr>
                <w:rFonts w:cs="Times New Roman"/>
              </w:rPr>
              <w:t>r</w:t>
            </w:r>
            <w:r w:rsidR="004F49C2" w:rsidRPr="00FC2972">
              <w:rPr>
                <w:rFonts w:cs="Times New Roman"/>
              </w:rPr>
              <w:t>ac</w:t>
            </w:r>
            <w:r w:rsidR="004F49C2" w:rsidRPr="00231B15">
              <w:rPr>
                <w:rFonts w:cs="Times New Roman"/>
              </w:rPr>
              <w:t>-BINAP</w:t>
            </w:r>
          </w:p>
        </w:tc>
        <w:tc>
          <w:tcPr>
            <w:tcW w:w="0" w:type="auto"/>
            <w:tcBorders>
              <w:top w:val="nil"/>
              <w:left w:val="nil"/>
              <w:bottom w:val="nil"/>
              <w:right w:val="nil"/>
            </w:tcBorders>
            <w:shd w:val="clear" w:color="auto" w:fill="auto"/>
            <w:tcMar>
              <w:top w:w="59" w:type="dxa"/>
              <w:left w:w="118" w:type="dxa"/>
              <w:bottom w:w="59" w:type="dxa"/>
              <w:right w:w="118" w:type="dxa"/>
            </w:tcMar>
            <w:vAlign w:val="center"/>
          </w:tcPr>
          <w:p w14:paraId="66DEED88" w14:textId="2E3847F0" w:rsidR="004F49C2" w:rsidRPr="00231B15" w:rsidRDefault="004F49C2" w:rsidP="004F49C2">
            <w:pPr>
              <w:jc w:val="center"/>
              <w:rPr>
                <w:rFonts w:cs="Times New Roman"/>
              </w:rPr>
            </w:pPr>
            <w:r w:rsidRPr="00231B15">
              <w:rPr>
                <w:rFonts w:cs="Times New Roman"/>
              </w:rPr>
              <w:t>46-59</w:t>
            </w:r>
          </w:p>
        </w:tc>
        <w:tc>
          <w:tcPr>
            <w:tcW w:w="0" w:type="auto"/>
            <w:tcBorders>
              <w:top w:val="nil"/>
              <w:left w:val="nil"/>
              <w:bottom w:val="nil"/>
              <w:right w:val="nil"/>
            </w:tcBorders>
            <w:shd w:val="clear" w:color="auto" w:fill="auto"/>
            <w:tcMar>
              <w:top w:w="59" w:type="dxa"/>
              <w:left w:w="118" w:type="dxa"/>
              <w:bottom w:w="59" w:type="dxa"/>
              <w:right w:w="118" w:type="dxa"/>
            </w:tcMar>
            <w:vAlign w:val="center"/>
          </w:tcPr>
          <w:p w14:paraId="114B5AEB" w14:textId="402C7E21" w:rsidR="004F49C2" w:rsidRPr="00231B15" w:rsidRDefault="004F49C2" w:rsidP="004F49C2">
            <w:pPr>
              <w:jc w:val="center"/>
              <w:rPr>
                <w:rFonts w:cs="Times New Roman"/>
              </w:rPr>
            </w:pPr>
            <w:r w:rsidRPr="00231B15">
              <w:rPr>
                <w:rFonts w:cs="Times New Roman"/>
              </w:rPr>
              <w:t>-</w:t>
            </w:r>
          </w:p>
        </w:tc>
        <w:tc>
          <w:tcPr>
            <w:tcW w:w="0" w:type="auto"/>
            <w:tcBorders>
              <w:top w:val="nil"/>
              <w:left w:val="nil"/>
              <w:bottom w:val="nil"/>
              <w:right w:val="nil"/>
            </w:tcBorders>
            <w:shd w:val="clear" w:color="auto" w:fill="auto"/>
            <w:tcMar>
              <w:top w:w="59" w:type="dxa"/>
              <w:left w:w="118" w:type="dxa"/>
              <w:bottom w:w="59" w:type="dxa"/>
              <w:right w:w="118" w:type="dxa"/>
            </w:tcMar>
            <w:vAlign w:val="center"/>
          </w:tcPr>
          <w:p w14:paraId="12EB9B0D" w14:textId="05EF9DD2" w:rsidR="004F49C2" w:rsidRPr="00231B15" w:rsidRDefault="004F49C2" w:rsidP="004F49C2">
            <w:pPr>
              <w:jc w:val="center"/>
              <w:rPr>
                <w:rFonts w:cs="Times New Roman"/>
              </w:rPr>
            </w:pPr>
            <w:r w:rsidRPr="00231B15">
              <w:rPr>
                <w:rFonts w:cs="Times New Roman"/>
              </w:rPr>
              <w:t>Racemate</w:t>
            </w:r>
          </w:p>
        </w:tc>
      </w:tr>
      <w:tr w:rsidR="004F49C2" w:rsidRPr="00231B15" w14:paraId="3A17D807" w14:textId="77777777" w:rsidTr="00991808">
        <w:trPr>
          <w:trHeight w:val="516"/>
          <w:jc w:val="center"/>
        </w:trPr>
        <w:tc>
          <w:tcPr>
            <w:tcW w:w="0" w:type="auto"/>
            <w:tcBorders>
              <w:top w:val="nil"/>
              <w:left w:val="nil"/>
              <w:bottom w:val="nil"/>
              <w:right w:val="nil"/>
            </w:tcBorders>
            <w:shd w:val="clear" w:color="auto" w:fill="auto"/>
            <w:tcMar>
              <w:top w:w="59" w:type="dxa"/>
              <w:left w:w="118" w:type="dxa"/>
              <w:bottom w:w="59" w:type="dxa"/>
              <w:right w:w="118" w:type="dxa"/>
            </w:tcMar>
            <w:vAlign w:val="center"/>
          </w:tcPr>
          <w:p w14:paraId="1C3A89CB" w14:textId="17911A3F" w:rsidR="004F49C2" w:rsidRPr="00231B15" w:rsidRDefault="000D252A" w:rsidP="004F49C2">
            <w:pPr>
              <w:jc w:val="center"/>
              <w:rPr>
                <w:rFonts w:cs="Times New Roman"/>
                <w:b/>
                <w:bCs/>
              </w:rPr>
            </w:pPr>
            <w:r w:rsidRPr="00231B15">
              <w:rPr>
                <w:rFonts w:cs="Times New Roman"/>
                <w:b/>
                <w:bCs/>
              </w:rPr>
              <w:t>4a</w:t>
            </w:r>
          </w:p>
        </w:tc>
        <w:tc>
          <w:tcPr>
            <w:tcW w:w="0" w:type="auto"/>
            <w:tcBorders>
              <w:top w:val="nil"/>
              <w:left w:val="nil"/>
              <w:bottom w:val="nil"/>
              <w:right w:val="nil"/>
            </w:tcBorders>
            <w:shd w:val="clear" w:color="auto" w:fill="auto"/>
            <w:tcMar>
              <w:top w:w="59" w:type="dxa"/>
              <w:left w:w="118" w:type="dxa"/>
              <w:bottom w:w="59" w:type="dxa"/>
              <w:right w:w="118" w:type="dxa"/>
            </w:tcMar>
            <w:vAlign w:val="center"/>
          </w:tcPr>
          <w:p w14:paraId="0CC4E0A1" w14:textId="33D4A086" w:rsidR="004F49C2" w:rsidRPr="00231B15" w:rsidRDefault="004F49C2" w:rsidP="004F49C2">
            <w:pPr>
              <w:jc w:val="center"/>
              <w:rPr>
                <w:rFonts w:cs="Times New Roman"/>
              </w:rPr>
            </w:pPr>
            <w:r w:rsidRPr="00231B15">
              <w:rPr>
                <w:rFonts w:cs="Times New Roman"/>
              </w:rPr>
              <w:t>CO</w:t>
            </w:r>
            <w:r w:rsidRPr="00231B15">
              <w:rPr>
                <w:rFonts w:cs="Times New Roman"/>
                <w:vertAlign w:val="subscript"/>
              </w:rPr>
              <w:t>2</w:t>
            </w:r>
            <w:r w:rsidRPr="00231B15">
              <w:rPr>
                <w:rFonts w:cs="Times New Roman"/>
              </w:rPr>
              <w:t>Me</w:t>
            </w:r>
          </w:p>
        </w:tc>
        <w:tc>
          <w:tcPr>
            <w:tcW w:w="0" w:type="auto"/>
            <w:tcBorders>
              <w:top w:val="nil"/>
              <w:left w:val="nil"/>
              <w:bottom w:val="nil"/>
              <w:right w:val="nil"/>
            </w:tcBorders>
            <w:shd w:val="clear" w:color="auto" w:fill="auto"/>
            <w:tcMar>
              <w:top w:w="59" w:type="dxa"/>
              <w:left w:w="118" w:type="dxa"/>
              <w:bottom w:w="59" w:type="dxa"/>
              <w:right w:w="118" w:type="dxa"/>
            </w:tcMar>
            <w:vAlign w:val="center"/>
          </w:tcPr>
          <w:p w14:paraId="77EA3695" w14:textId="7F1EFAA9" w:rsidR="004F49C2" w:rsidRPr="00231B15" w:rsidRDefault="004F49C2" w:rsidP="004F49C2">
            <w:pPr>
              <w:jc w:val="center"/>
              <w:rPr>
                <w:rFonts w:cs="Times New Roman"/>
              </w:rPr>
            </w:pPr>
            <w:r w:rsidRPr="00E26468">
              <w:rPr>
                <w:rFonts w:cs="Times New Roman"/>
                <w:i/>
              </w:rPr>
              <w:t>R</w:t>
            </w:r>
            <w:r w:rsidRPr="00231B15">
              <w:rPr>
                <w:rFonts w:cs="Times New Roman"/>
              </w:rPr>
              <w:t>-BINAP</w:t>
            </w:r>
          </w:p>
        </w:tc>
        <w:tc>
          <w:tcPr>
            <w:tcW w:w="0" w:type="auto"/>
            <w:tcBorders>
              <w:top w:val="nil"/>
              <w:left w:val="nil"/>
              <w:bottom w:val="nil"/>
              <w:right w:val="nil"/>
            </w:tcBorders>
            <w:shd w:val="clear" w:color="auto" w:fill="auto"/>
            <w:tcMar>
              <w:top w:w="59" w:type="dxa"/>
              <w:left w:w="118" w:type="dxa"/>
              <w:bottom w:w="59" w:type="dxa"/>
              <w:right w:w="118" w:type="dxa"/>
            </w:tcMar>
            <w:vAlign w:val="center"/>
          </w:tcPr>
          <w:p w14:paraId="6F3CF7E0" w14:textId="62831842" w:rsidR="004F49C2" w:rsidRPr="00231B15" w:rsidRDefault="004F49C2" w:rsidP="004F49C2">
            <w:pPr>
              <w:jc w:val="center"/>
              <w:rPr>
                <w:rFonts w:cs="Times New Roman"/>
              </w:rPr>
            </w:pPr>
            <w:r w:rsidRPr="00231B15">
              <w:rPr>
                <w:rFonts w:cs="Times New Roman"/>
              </w:rPr>
              <w:t>91</w:t>
            </w:r>
          </w:p>
        </w:tc>
        <w:tc>
          <w:tcPr>
            <w:tcW w:w="0" w:type="auto"/>
            <w:tcBorders>
              <w:top w:val="nil"/>
              <w:left w:val="nil"/>
              <w:bottom w:val="nil"/>
              <w:right w:val="nil"/>
            </w:tcBorders>
            <w:shd w:val="clear" w:color="auto" w:fill="auto"/>
            <w:tcMar>
              <w:top w:w="59" w:type="dxa"/>
              <w:left w:w="118" w:type="dxa"/>
              <w:bottom w:w="59" w:type="dxa"/>
              <w:right w:w="118" w:type="dxa"/>
            </w:tcMar>
            <w:vAlign w:val="center"/>
          </w:tcPr>
          <w:p w14:paraId="10FE2F0F" w14:textId="5A468759" w:rsidR="004F49C2" w:rsidRPr="00231B15" w:rsidRDefault="004F49C2" w:rsidP="004F49C2">
            <w:pPr>
              <w:jc w:val="center"/>
              <w:rPr>
                <w:rFonts w:cs="Times New Roman"/>
              </w:rPr>
            </w:pPr>
            <w:r w:rsidRPr="00231B15">
              <w:rPr>
                <w:rFonts w:cs="Times New Roman"/>
              </w:rPr>
              <w:t>&gt; 99</w:t>
            </w:r>
          </w:p>
        </w:tc>
        <w:tc>
          <w:tcPr>
            <w:tcW w:w="0" w:type="auto"/>
            <w:tcBorders>
              <w:top w:val="nil"/>
              <w:left w:val="nil"/>
              <w:bottom w:val="nil"/>
              <w:right w:val="nil"/>
            </w:tcBorders>
            <w:shd w:val="clear" w:color="auto" w:fill="auto"/>
            <w:tcMar>
              <w:top w:w="59" w:type="dxa"/>
              <w:left w:w="118" w:type="dxa"/>
              <w:bottom w:w="59" w:type="dxa"/>
              <w:right w:w="118" w:type="dxa"/>
            </w:tcMar>
            <w:vAlign w:val="center"/>
          </w:tcPr>
          <w:p w14:paraId="02600E79" w14:textId="5EC34655" w:rsidR="004F49C2" w:rsidRPr="00E26468" w:rsidRDefault="004F49C2" w:rsidP="004F49C2">
            <w:pPr>
              <w:jc w:val="center"/>
              <w:rPr>
                <w:rFonts w:cs="Times New Roman"/>
                <w:i/>
              </w:rPr>
            </w:pPr>
            <w:r w:rsidRPr="00E26468">
              <w:rPr>
                <w:rFonts w:cs="Times New Roman"/>
                <w:i/>
              </w:rPr>
              <w:t>R</w:t>
            </w:r>
          </w:p>
        </w:tc>
      </w:tr>
      <w:tr w:rsidR="004F49C2" w:rsidRPr="00231B15" w14:paraId="6EB138A7" w14:textId="77777777" w:rsidTr="004F49C2">
        <w:trPr>
          <w:trHeight w:val="516"/>
          <w:jc w:val="center"/>
        </w:trPr>
        <w:tc>
          <w:tcPr>
            <w:tcW w:w="0" w:type="auto"/>
            <w:tcBorders>
              <w:top w:val="nil"/>
              <w:left w:val="nil"/>
              <w:right w:val="nil"/>
            </w:tcBorders>
            <w:shd w:val="clear" w:color="auto" w:fill="auto"/>
            <w:tcMar>
              <w:top w:w="59" w:type="dxa"/>
              <w:left w:w="118" w:type="dxa"/>
              <w:bottom w:w="59" w:type="dxa"/>
              <w:right w:w="118" w:type="dxa"/>
            </w:tcMar>
            <w:vAlign w:val="center"/>
          </w:tcPr>
          <w:p w14:paraId="0FEBFAE1" w14:textId="34A8AECA" w:rsidR="004F49C2" w:rsidRPr="00231B15" w:rsidRDefault="000D252A" w:rsidP="004F49C2">
            <w:pPr>
              <w:jc w:val="center"/>
              <w:rPr>
                <w:rFonts w:cs="Times New Roman"/>
                <w:b/>
                <w:bCs/>
              </w:rPr>
            </w:pPr>
            <w:r w:rsidRPr="00231B15">
              <w:rPr>
                <w:rFonts w:cs="Times New Roman"/>
                <w:b/>
                <w:bCs/>
              </w:rPr>
              <w:t>4b</w:t>
            </w:r>
          </w:p>
        </w:tc>
        <w:tc>
          <w:tcPr>
            <w:tcW w:w="0" w:type="auto"/>
            <w:tcBorders>
              <w:top w:val="nil"/>
              <w:left w:val="nil"/>
              <w:right w:val="nil"/>
            </w:tcBorders>
            <w:shd w:val="clear" w:color="auto" w:fill="auto"/>
            <w:tcMar>
              <w:top w:w="59" w:type="dxa"/>
              <w:left w:w="118" w:type="dxa"/>
              <w:bottom w:w="59" w:type="dxa"/>
              <w:right w:w="118" w:type="dxa"/>
            </w:tcMar>
            <w:vAlign w:val="center"/>
          </w:tcPr>
          <w:p w14:paraId="6B044F0B" w14:textId="109D2022" w:rsidR="004F49C2" w:rsidRPr="00231B15" w:rsidRDefault="004F49C2" w:rsidP="004F49C2">
            <w:pPr>
              <w:jc w:val="center"/>
              <w:rPr>
                <w:rFonts w:cs="Times New Roman"/>
              </w:rPr>
            </w:pPr>
            <w:r w:rsidRPr="00231B15">
              <w:rPr>
                <w:rFonts w:cs="Times New Roman"/>
              </w:rPr>
              <w:t>CO</w:t>
            </w:r>
            <w:r w:rsidRPr="00231B15">
              <w:rPr>
                <w:rFonts w:cs="Times New Roman"/>
                <w:vertAlign w:val="subscript"/>
              </w:rPr>
              <w:t>2</w:t>
            </w:r>
            <w:r w:rsidRPr="00231B15">
              <w:rPr>
                <w:rFonts w:cs="Times New Roman"/>
              </w:rPr>
              <w:t>Me</w:t>
            </w:r>
          </w:p>
        </w:tc>
        <w:tc>
          <w:tcPr>
            <w:tcW w:w="0" w:type="auto"/>
            <w:tcBorders>
              <w:top w:val="nil"/>
              <w:left w:val="nil"/>
              <w:right w:val="nil"/>
            </w:tcBorders>
            <w:shd w:val="clear" w:color="auto" w:fill="auto"/>
            <w:tcMar>
              <w:top w:w="59" w:type="dxa"/>
              <w:left w:w="118" w:type="dxa"/>
              <w:bottom w:w="59" w:type="dxa"/>
              <w:right w:w="118" w:type="dxa"/>
            </w:tcMar>
            <w:vAlign w:val="center"/>
          </w:tcPr>
          <w:p w14:paraId="1F5959E0" w14:textId="76E671AB" w:rsidR="004F49C2" w:rsidRPr="00231B15" w:rsidRDefault="004F49C2" w:rsidP="004F49C2">
            <w:pPr>
              <w:jc w:val="center"/>
              <w:rPr>
                <w:rFonts w:cs="Times New Roman"/>
              </w:rPr>
            </w:pPr>
            <w:r w:rsidRPr="00E26468">
              <w:rPr>
                <w:rFonts w:cs="Times New Roman"/>
                <w:i/>
              </w:rPr>
              <w:t>S</w:t>
            </w:r>
            <w:r w:rsidRPr="00231B15">
              <w:rPr>
                <w:rFonts w:cs="Times New Roman"/>
              </w:rPr>
              <w:t>-BINAP</w:t>
            </w:r>
          </w:p>
        </w:tc>
        <w:tc>
          <w:tcPr>
            <w:tcW w:w="0" w:type="auto"/>
            <w:tcBorders>
              <w:top w:val="nil"/>
              <w:left w:val="nil"/>
              <w:right w:val="nil"/>
            </w:tcBorders>
            <w:shd w:val="clear" w:color="auto" w:fill="auto"/>
            <w:tcMar>
              <w:top w:w="59" w:type="dxa"/>
              <w:left w:w="118" w:type="dxa"/>
              <w:bottom w:w="59" w:type="dxa"/>
              <w:right w:w="118" w:type="dxa"/>
            </w:tcMar>
            <w:vAlign w:val="center"/>
          </w:tcPr>
          <w:p w14:paraId="41D9AA09" w14:textId="01A3AB9B" w:rsidR="004F49C2" w:rsidRPr="00231B15" w:rsidRDefault="004F49C2" w:rsidP="004F49C2">
            <w:pPr>
              <w:jc w:val="center"/>
              <w:rPr>
                <w:rFonts w:cs="Times New Roman"/>
              </w:rPr>
            </w:pPr>
            <w:r w:rsidRPr="00231B15">
              <w:rPr>
                <w:rFonts w:cs="Times New Roman"/>
              </w:rPr>
              <w:t>91</w:t>
            </w:r>
          </w:p>
        </w:tc>
        <w:tc>
          <w:tcPr>
            <w:tcW w:w="0" w:type="auto"/>
            <w:tcBorders>
              <w:top w:val="nil"/>
              <w:left w:val="nil"/>
              <w:right w:val="nil"/>
            </w:tcBorders>
            <w:shd w:val="clear" w:color="auto" w:fill="auto"/>
            <w:tcMar>
              <w:top w:w="59" w:type="dxa"/>
              <w:left w:w="118" w:type="dxa"/>
              <w:bottom w:w="59" w:type="dxa"/>
              <w:right w:w="118" w:type="dxa"/>
            </w:tcMar>
            <w:vAlign w:val="center"/>
          </w:tcPr>
          <w:p w14:paraId="565CF5EF" w14:textId="7EFAFDCC" w:rsidR="004F49C2" w:rsidRPr="00231B15" w:rsidRDefault="004F49C2" w:rsidP="004F49C2">
            <w:pPr>
              <w:jc w:val="center"/>
              <w:rPr>
                <w:rFonts w:cs="Times New Roman"/>
              </w:rPr>
            </w:pPr>
            <w:r w:rsidRPr="00231B15">
              <w:rPr>
                <w:rFonts w:cs="Times New Roman"/>
              </w:rPr>
              <w:t>&gt; 99</w:t>
            </w:r>
          </w:p>
        </w:tc>
        <w:tc>
          <w:tcPr>
            <w:tcW w:w="0" w:type="auto"/>
            <w:tcBorders>
              <w:top w:val="nil"/>
              <w:left w:val="nil"/>
              <w:right w:val="nil"/>
            </w:tcBorders>
            <w:shd w:val="clear" w:color="auto" w:fill="auto"/>
            <w:tcMar>
              <w:top w:w="59" w:type="dxa"/>
              <w:left w:w="118" w:type="dxa"/>
              <w:bottom w:w="59" w:type="dxa"/>
              <w:right w:w="118" w:type="dxa"/>
            </w:tcMar>
            <w:vAlign w:val="center"/>
          </w:tcPr>
          <w:p w14:paraId="4753A36C" w14:textId="7DE7668E" w:rsidR="004F49C2" w:rsidRPr="00E26468" w:rsidRDefault="004F49C2" w:rsidP="004F49C2">
            <w:pPr>
              <w:jc w:val="center"/>
              <w:rPr>
                <w:rFonts w:cs="Times New Roman"/>
                <w:i/>
              </w:rPr>
            </w:pPr>
            <w:r w:rsidRPr="00E26468">
              <w:rPr>
                <w:rFonts w:cs="Times New Roman"/>
                <w:i/>
              </w:rPr>
              <w:t>S</w:t>
            </w:r>
          </w:p>
        </w:tc>
      </w:tr>
      <w:tr w:rsidR="004F49C2" w:rsidRPr="00231B15" w14:paraId="7716C67C" w14:textId="77777777" w:rsidTr="004F49C2">
        <w:trPr>
          <w:trHeight w:val="516"/>
          <w:jc w:val="center"/>
        </w:trPr>
        <w:tc>
          <w:tcPr>
            <w:tcW w:w="0" w:type="auto"/>
            <w:tcBorders>
              <w:top w:val="nil"/>
              <w:left w:val="nil"/>
              <w:bottom w:val="single" w:sz="4" w:space="0" w:color="auto"/>
              <w:right w:val="nil"/>
            </w:tcBorders>
            <w:shd w:val="clear" w:color="auto" w:fill="auto"/>
            <w:tcMar>
              <w:top w:w="59" w:type="dxa"/>
              <w:left w:w="118" w:type="dxa"/>
              <w:bottom w:w="59" w:type="dxa"/>
              <w:right w:w="118" w:type="dxa"/>
            </w:tcMar>
            <w:vAlign w:val="center"/>
          </w:tcPr>
          <w:p w14:paraId="1FD75761" w14:textId="4646554C" w:rsidR="004F49C2" w:rsidRPr="00231B15" w:rsidRDefault="000D252A" w:rsidP="004F49C2">
            <w:pPr>
              <w:jc w:val="center"/>
              <w:rPr>
                <w:rFonts w:cs="Times New Roman"/>
                <w:b/>
                <w:bCs/>
              </w:rPr>
            </w:pPr>
            <w:r w:rsidRPr="00231B15">
              <w:rPr>
                <w:rFonts w:cs="Times New Roman"/>
                <w:b/>
                <w:bCs/>
              </w:rPr>
              <w:t>4c</w:t>
            </w:r>
          </w:p>
        </w:tc>
        <w:tc>
          <w:tcPr>
            <w:tcW w:w="0" w:type="auto"/>
            <w:tcBorders>
              <w:top w:val="nil"/>
              <w:left w:val="nil"/>
              <w:bottom w:val="single" w:sz="4" w:space="0" w:color="auto"/>
              <w:right w:val="nil"/>
            </w:tcBorders>
            <w:shd w:val="clear" w:color="auto" w:fill="auto"/>
            <w:tcMar>
              <w:top w:w="59" w:type="dxa"/>
              <w:left w:w="118" w:type="dxa"/>
              <w:bottom w:w="59" w:type="dxa"/>
              <w:right w:w="118" w:type="dxa"/>
            </w:tcMar>
            <w:vAlign w:val="center"/>
          </w:tcPr>
          <w:p w14:paraId="233FEFB1" w14:textId="56D88721" w:rsidR="004F49C2" w:rsidRPr="00231B15" w:rsidRDefault="004F49C2" w:rsidP="004F49C2">
            <w:pPr>
              <w:jc w:val="center"/>
              <w:rPr>
                <w:rFonts w:cs="Times New Roman"/>
              </w:rPr>
            </w:pPr>
            <w:r w:rsidRPr="00231B15">
              <w:rPr>
                <w:rFonts w:cs="Times New Roman"/>
              </w:rPr>
              <w:t>CO</w:t>
            </w:r>
            <w:r w:rsidRPr="00231B15">
              <w:rPr>
                <w:rFonts w:cs="Times New Roman"/>
                <w:vertAlign w:val="subscript"/>
              </w:rPr>
              <w:t>2</w:t>
            </w:r>
            <w:r w:rsidRPr="00231B15">
              <w:rPr>
                <w:rFonts w:cs="Times New Roman"/>
              </w:rPr>
              <w:t>Me</w:t>
            </w:r>
          </w:p>
        </w:tc>
        <w:tc>
          <w:tcPr>
            <w:tcW w:w="0" w:type="auto"/>
            <w:tcBorders>
              <w:top w:val="nil"/>
              <w:left w:val="nil"/>
              <w:bottom w:val="single" w:sz="4" w:space="0" w:color="auto"/>
              <w:right w:val="nil"/>
            </w:tcBorders>
            <w:shd w:val="clear" w:color="auto" w:fill="auto"/>
            <w:tcMar>
              <w:top w:w="59" w:type="dxa"/>
              <w:left w:w="118" w:type="dxa"/>
              <w:bottom w:w="59" w:type="dxa"/>
              <w:right w:w="118" w:type="dxa"/>
            </w:tcMar>
            <w:vAlign w:val="center"/>
          </w:tcPr>
          <w:p w14:paraId="66DB2FC4" w14:textId="02102637" w:rsidR="004F49C2" w:rsidRPr="00231B15" w:rsidRDefault="00FC2972" w:rsidP="004F49C2">
            <w:pPr>
              <w:jc w:val="center"/>
              <w:rPr>
                <w:rFonts w:cs="Times New Roman"/>
              </w:rPr>
            </w:pPr>
            <w:r>
              <w:rPr>
                <w:rFonts w:cs="Times New Roman"/>
              </w:rPr>
              <w:t>r</w:t>
            </w:r>
            <w:r w:rsidR="004F49C2" w:rsidRPr="00FC2972">
              <w:rPr>
                <w:rFonts w:cs="Times New Roman"/>
              </w:rPr>
              <w:t>ac</w:t>
            </w:r>
            <w:r w:rsidR="004F49C2" w:rsidRPr="00231B15">
              <w:rPr>
                <w:rFonts w:cs="Times New Roman"/>
              </w:rPr>
              <w:t>-BINAP</w:t>
            </w:r>
          </w:p>
        </w:tc>
        <w:tc>
          <w:tcPr>
            <w:tcW w:w="0" w:type="auto"/>
            <w:tcBorders>
              <w:top w:val="nil"/>
              <w:left w:val="nil"/>
              <w:bottom w:val="single" w:sz="4" w:space="0" w:color="auto"/>
              <w:right w:val="nil"/>
            </w:tcBorders>
            <w:shd w:val="clear" w:color="auto" w:fill="auto"/>
            <w:tcMar>
              <w:top w:w="59" w:type="dxa"/>
              <w:left w:w="118" w:type="dxa"/>
              <w:bottom w:w="59" w:type="dxa"/>
              <w:right w:w="118" w:type="dxa"/>
            </w:tcMar>
            <w:vAlign w:val="center"/>
          </w:tcPr>
          <w:p w14:paraId="01C46393" w14:textId="5D12CAEA" w:rsidR="004F49C2" w:rsidRPr="00231B15" w:rsidRDefault="004F49C2" w:rsidP="004F49C2">
            <w:pPr>
              <w:jc w:val="center"/>
              <w:rPr>
                <w:rFonts w:cs="Times New Roman"/>
              </w:rPr>
            </w:pPr>
            <w:r w:rsidRPr="00231B15">
              <w:rPr>
                <w:rFonts w:cs="Times New Roman"/>
              </w:rPr>
              <w:t>88-93</w:t>
            </w:r>
          </w:p>
        </w:tc>
        <w:tc>
          <w:tcPr>
            <w:tcW w:w="0" w:type="auto"/>
            <w:tcBorders>
              <w:top w:val="nil"/>
              <w:left w:val="nil"/>
              <w:bottom w:val="single" w:sz="4" w:space="0" w:color="auto"/>
              <w:right w:val="nil"/>
            </w:tcBorders>
            <w:shd w:val="clear" w:color="auto" w:fill="auto"/>
            <w:tcMar>
              <w:top w:w="59" w:type="dxa"/>
              <w:left w:w="118" w:type="dxa"/>
              <w:bottom w:w="59" w:type="dxa"/>
              <w:right w:w="118" w:type="dxa"/>
            </w:tcMar>
            <w:vAlign w:val="center"/>
          </w:tcPr>
          <w:p w14:paraId="662CAB0F" w14:textId="34FF5803" w:rsidR="004F49C2" w:rsidRPr="00231B15" w:rsidRDefault="004F49C2" w:rsidP="004F49C2">
            <w:pPr>
              <w:jc w:val="center"/>
              <w:rPr>
                <w:rFonts w:cs="Times New Roman"/>
              </w:rPr>
            </w:pPr>
            <w:r w:rsidRPr="00231B15">
              <w:rPr>
                <w:rFonts w:cs="Times New Roman"/>
              </w:rPr>
              <w:t>-</w:t>
            </w:r>
          </w:p>
        </w:tc>
        <w:tc>
          <w:tcPr>
            <w:tcW w:w="0" w:type="auto"/>
            <w:tcBorders>
              <w:top w:val="nil"/>
              <w:left w:val="nil"/>
              <w:bottom w:val="single" w:sz="4" w:space="0" w:color="auto"/>
              <w:right w:val="nil"/>
            </w:tcBorders>
            <w:shd w:val="clear" w:color="auto" w:fill="auto"/>
            <w:tcMar>
              <w:top w:w="59" w:type="dxa"/>
              <w:left w:w="118" w:type="dxa"/>
              <w:bottom w:w="59" w:type="dxa"/>
              <w:right w:w="118" w:type="dxa"/>
            </w:tcMar>
            <w:vAlign w:val="center"/>
          </w:tcPr>
          <w:p w14:paraId="5AAB422E" w14:textId="42E03F3C" w:rsidR="004F49C2" w:rsidRPr="00231B15" w:rsidRDefault="004F49C2" w:rsidP="001E5E20">
            <w:pPr>
              <w:keepNext/>
              <w:jc w:val="center"/>
              <w:rPr>
                <w:rFonts w:cs="Times New Roman"/>
              </w:rPr>
            </w:pPr>
            <w:r w:rsidRPr="00231B15">
              <w:rPr>
                <w:rFonts w:cs="Times New Roman"/>
              </w:rPr>
              <w:t>Racemate</w:t>
            </w:r>
          </w:p>
        </w:tc>
      </w:tr>
    </w:tbl>
    <w:p w14:paraId="2D400210" w14:textId="13431D41" w:rsidR="001E5E20" w:rsidRPr="00231B15" w:rsidRDefault="001E5E20" w:rsidP="001E5E20">
      <w:pPr>
        <w:pStyle w:val="Caption"/>
        <w:jc w:val="center"/>
        <w:rPr>
          <w:rFonts w:cs="Times New Roman"/>
        </w:rPr>
      </w:pPr>
      <w:r w:rsidRPr="00231B15">
        <w:rPr>
          <w:rFonts w:cs="Times New Roman"/>
        </w:rPr>
        <w:t xml:space="preserve">Table </w:t>
      </w:r>
      <w:r w:rsidR="00336CF2" w:rsidRPr="00231B15">
        <w:rPr>
          <w:rFonts w:cs="Times New Roman"/>
        </w:rPr>
        <w:fldChar w:fldCharType="begin"/>
      </w:r>
      <w:r w:rsidR="00336CF2" w:rsidRPr="00231B15">
        <w:rPr>
          <w:rFonts w:cs="Times New Roman"/>
        </w:rPr>
        <w:instrText xml:space="preserve"> SEQ Table \* ARABIC </w:instrText>
      </w:r>
      <w:r w:rsidR="00336CF2" w:rsidRPr="00231B15">
        <w:rPr>
          <w:rFonts w:cs="Times New Roman"/>
        </w:rPr>
        <w:fldChar w:fldCharType="separate"/>
      </w:r>
      <w:r w:rsidR="00944FAE">
        <w:rPr>
          <w:rFonts w:cs="Times New Roman"/>
          <w:noProof/>
        </w:rPr>
        <w:t>1</w:t>
      </w:r>
      <w:r w:rsidR="00336CF2" w:rsidRPr="00231B15">
        <w:rPr>
          <w:rFonts w:cs="Times New Roman"/>
          <w:noProof/>
        </w:rPr>
        <w:fldChar w:fldCharType="end"/>
      </w:r>
      <w:r w:rsidRPr="00231B15">
        <w:rPr>
          <w:rFonts w:cs="Times New Roman"/>
        </w:rPr>
        <w:t xml:space="preserve">: </w:t>
      </w:r>
      <w:r w:rsidR="00CB0860" w:rsidRPr="00231B15">
        <w:rPr>
          <w:rFonts w:cs="Times New Roman"/>
        </w:rPr>
        <w:t>Summary</w:t>
      </w:r>
      <w:r w:rsidRPr="00231B15">
        <w:rPr>
          <w:rFonts w:cs="Times New Roman"/>
        </w:rPr>
        <w:t xml:space="preserve"> of yields and enantiomeric excesses obtained in the synthesis of conjugate addition intermediates. a) Rh(I)(acac)(C</w:t>
      </w:r>
      <w:r w:rsidRPr="00231B15">
        <w:rPr>
          <w:rFonts w:cs="Times New Roman"/>
          <w:vertAlign w:val="subscript"/>
        </w:rPr>
        <w:t>2</w:t>
      </w:r>
      <w:r w:rsidRPr="00231B15">
        <w:rPr>
          <w:rFonts w:cs="Times New Roman"/>
        </w:rPr>
        <w:t>H</w:t>
      </w:r>
      <w:r w:rsidRPr="00231B15">
        <w:rPr>
          <w:rFonts w:cs="Times New Roman"/>
          <w:vertAlign w:val="subscript"/>
        </w:rPr>
        <w:t>4</w:t>
      </w:r>
      <w:r w:rsidRPr="00231B15">
        <w:rPr>
          <w:rFonts w:cs="Times New Roman"/>
        </w:rPr>
        <w:t>)</w:t>
      </w:r>
      <w:r w:rsidRPr="00231B15">
        <w:rPr>
          <w:rFonts w:cs="Times New Roman"/>
          <w:vertAlign w:val="subscript"/>
        </w:rPr>
        <w:t>2</w:t>
      </w:r>
      <w:r w:rsidRPr="00231B15">
        <w:rPr>
          <w:rFonts w:cs="Times New Roman"/>
        </w:rPr>
        <w:t>, KOH, Dioxane:H</w:t>
      </w:r>
      <w:r w:rsidRPr="00231B15">
        <w:rPr>
          <w:rFonts w:cs="Times New Roman"/>
        </w:rPr>
        <w:softHyphen/>
      </w:r>
      <w:r w:rsidRPr="00231B15">
        <w:rPr>
          <w:rFonts w:cs="Times New Roman"/>
          <w:vertAlign w:val="subscript"/>
        </w:rPr>
        <w:t>2</w:t>
      </w:r>
      <w:r w:rsidRPr="00231B15">
        <w:rPr>
          <w:rFonts w:cs="Times New Roman"/>
        </w:rPr>
        <w:t>O, 100°C 5h</w:t>
      </w:r>
    </w:p>
    <w:p w14:paraId="17F47779" w14:textId="6C45DFE6" w:rsidR="00626096" w:rsidRPr="00231B15" w:rsidRDefault="00991808" w:rsidP="00E846E9">
      <w:pPr>
        <w:rPr>
          <w:rFonts w:cs="Times New Roman"/>
        </w:rPr>
      </w:pPr>
      <w:r w:rsidRPr="00231B15">
        <w:rPr>
          <w:rFonts w:cs="Times New Roman"/>
        </w:rPr>
        <w:t>Conjugate addition was carried out using Rh(acac)(C</w:t>
      </w:r>
      <w:r w:rsidRPr="00231B15">
        <w:rPr>
          <w:rFonts w:cs="Times New Roman"/>
          <w:vertAlign w:val="subscript"/>
        </w:rPr>
        <w:t>2</w:t>
      </w:r>
      <w:r w:rsidRPr="00231B15">
        <w:rPr>
          <w:rFonts w:cs="Times New Roman"/>
        </w:rPr>
        <w:t>H</w:t>
      </w:r>
      <w:r w:rsidRPr="00231B15">
        <w:rPr>
          <w:rFonts w:cs="Times New Roman"/>
          <w:vertAlign w:val="subscript"/>
        </w:rPr>
        <w:t>4</w:t>
      </w:r>
      <w:r w:rsidRPr="00231B15">
        <w:rPr>
          <w:rFonts w:cs="Times New Roman"/>
        </w:rPr>
        <w:t>)</w:t>
      </w:r>
      <w:r w:rsidRPr="00231B15">
        <w:rPr>
          <w:rFonts w:cs="Times New Roman"/>
          <w:vertAlign w:val="subscript"/>
        </w:rPr>
        <w:t xml:space="preserve">2 </w:t>
      </w:r>
      <w:r w:rsidRPr="00231B15">
        <w:rPr>
          <w:rFonts w:cs="Times New Roman"/>
        </w:rPr>
        <w:t>as the Rh(I) source and BINAP as the chiral ligand</w:t>
      </w:r>
      <w:r w:rsidR="001E5E20" w:rsidRPr="00231B15">
        <w:rPr>
          <w:rFonts w:cs="Times New Roman"/>
        </w:rPr>
        <w:t xml:space="preserve"> with yields summarised in Table 1</w:t>
      </w:r>
      <w:r w:rsidRPr="002026E5">
        <w:rPr>
          <w:rFonts w:cs="Times New Roman"/>
        </w:rPr>
        <w:t xml:space="preserve">. </w:t>
      </w:r>
      <w:r w:rsidR="008B7B26" w:rsidRPr="00E26468">
        <w:rPr>
          <w:rFonts w:cs="Times New Roman"/>
        </w:rPr>
        <w:t>B</w:t>
      </w:r>
      <w:r w:rsidRPr="00E26468">
        <w:rPr>
          <w:rFonts w:cs="Times New Roman"/>
        </w:rPr>
        <w:t>enzyloxyphenylboronic acid was used as a route to the 4-acetoxyphenyl intermediate in the synthesis of E209 analogues</w:t>
      </w:r>
      <w:r w:rsidRPr="00231B15">
        <w:rPr>
          <w:rFonts w:cs="Times New Roman"/>
        </w:rPr>
        <w:t xml:space="preserve">. All conjugate addition products were obtained in </w:t>
      </w:r>
      <w:r w:rsidR="00BE7936" w:rsidRPr="00231B15">
        <w:rPr>
          <w:rFonts w:cs="Times New Roman"/>
        </w:rPr>
        <w:t xml:space="preserve">modest to high </w:t>
      </w:r>
      <w:r w:rsidRPr="00231B15">
        <w:rPr>
          <w:rFonts w:cs="Times New Roman"/>
        </w:rPr>
        <w:t>yields</w:t>
      </w:r>
      <w:r w:rsidR="00E06A32" w:rsidRPr="00231B15">
        <w:rPr>
          <w:rFonts w:cs="Times New Roman"/>
        </w:rPr>
        <w:t xml:space="preserve"> </w:t>
      </w:r>
      <w:r w:rsidR="00BE7936" w:rsidRPr="00231B15">
        <w:rPr>
          <w:rFonts w:cs="Times New Roman"/>
        </w:rPr>
        <w:t>that are sufficient</w:t>
      </w:r>
      <w:r w:rsidRPr="00231B15">
        <w:rPr>
          <w:rFonts w:cs="Times New Roman"/>
        </w:rPr>
        <w:t xml:space="preserve"> to continue synthesis</w:t>
      </w:r>
      <w:r w:rsidR="00486065" w:rsidRPr="00231B15">
        <w:rPr>
          <w:rFonts w:cs="Times New Roman"/>
        </w:rPr>
        <w:t xml:space="preserve"> with </w:t>
      </w:r>
      <w:r w:rsidR="00716272" w:rsidRPr="00231B15">
        <w:rPr>
          <w:rFonts w:cs="Times New Roman"/>
        </w:rPr>
        <w:t xml:space="preserve">conversion evidenced by disappearance of alkene protons on </w:t>
      </w:r>
      <w:r w:rsidR="00716272" w:rsidRPr="00231B15">
        <w:rPr>
          <w:rFonts w:cs="Times New Roman"/>
          <w:vertAlign w:val="superscript"/>
        </w:rPr>
        <w:t>1</w:t>
      </w:r>
      <w:r w:rsidR="00716272" w:rsidRPr="00231B15">
        <w:rPr>
          <w:rFonts w:cs="Times New Roman"/>
        </w:rPr>
        <w:t>H NMR.</w:t>
      </w:r>
      <w:r w:rsidRPr="00231B15">
        <w:rPr>
          <w:rFonts w:cs="Times New Roman"/>
        </w:rPr>
        <w:t xml:space="preserve"> </w:t>
      </w:r>
      <w:r w:rsidR="00486065" w:rsidRPr="00231B15">
        <w:rPr>
          <w:rFonts w:cs="Times New Roman"/>
        </w:rPr>
        <w:t>E</w:t>
      </w:r>
      <w:r w:rsidR="00A31F5C" w:rsidRPr="00231B15">
        <w:rPr>
          <w:rFonts w:cs="Times New Roman"/>
        </w:rPr>
        <w:t>nantiomeric excess</w:t>
      </w:r>
      <w:r w:rsidR="00C95D1A" w:rsidRPr="00231B15">
        <w:rPr>
          <w:rFonts w:cs="Times New Roman"/>
        </w:rPr>
        <w:t>es</w:t>
      </w:r>
      <w:r w:rsidR="00A31F5C" w:rsidRPr="00231B15">
        <w:rPr>
          <w:rFonts w:cs="Times New Roman"/>
        </w:rPr>
        <w:t xml:space="preserve"> of the chiral products were</w:t>
      </w:r>
      <w:r w:rsidR="00C95D1A" w:rsidRPr="00231B15">
        <w:rPr>
          <w:rFonts w:cs="Times New Roman"/>
        </w:rPr>
        <w:t xml:space="preserve"> all</w:t>
      </w:r>
      <w:r w:rsidR="00A31F5C" w:rsidRPr="00231B15">
        <w:rPr>
          <w:rFonts w:cs="Times New Roman"/>
        </w:rPr>
        <w:t xml:space="preserve"> determined to be &gt; 99% by chiral normal phase HPLC. The absolute stereochemistry of these products has not been determined however </w:t>
      </w:r>
      <w:r w:rsidR="006D5CAD" w:rsidRPr="00231B15">
        <w:rPr>
          <w:rFonts w:cs="Times New Roman"/>
        </w:rPr>
        <w:t>DFT calculations using phenylboronic acid as a model substrate</w:t>
      </w:r>
      <w:r w:rsidR="00E70DA2" w:rsidRPr="00231B15">
        <w:rPr>
          <w:rFonts w:cs="Times New Roman"/>
        </w:rPr>
        <w:t xml:space="preserve"> (Table S1)</w:t>
      </w:r>
      <w:r w:rsidR="006D5CAD" w:rsidRPr="00231B15">
        <w:rPr>
          <w:rFonts w:cs="Times New Roman"/>
        </w:rPr>
        <w:t xml:space="preserve"> showed a clear energetic preference of </w:t>
      </w:r>
      <w:r w:rsidR="00E70DA2" w:rsidRPr="00231B15">
        <w:rPr>
          <w:rFonts w:cs="Times New Roman"/>
        </w:rPr>
        <w:t>4.48</w:t>
      </w:r>
      <w:r w:rsidR="006D5CAD" w:rsidRPr="00231B15">
        <w:rPr>
          <w:rFonts w:cs="Times New Roman"/>
        </w:rPr>
        <w:t xml:space="preserve"> kcal/mol for the favoured transition state which would yield the assigned stereochemistry.</w:t>
      </w:r>
      <w:r w:rsidR="00A31F5C" w:rsidRPr="00231B15">
        <w:rPr>
          <w:rFonts w:cs="Times New Roman"/>
        </w:rPr>
        <w:t xml:space="preserve"> </w:t>
      </w:r>
      <w:r w:rsidR="00B720DD" w:rsidRPr="00231B15">
        <w:rPr>
          <w:rFonts w:cs="Times New Roman"/>
        </w:rPr>
        <w:t xml:space="preserve">The origin of stereoselectivity comes from steric interaction of the cyclohexenone with the bulky phenyl substituents on the phosphine. This produces a preference for the cyclohexenone to interact with the rhodium (I) centre in a position </w:t>
      </w:r>
      <w:r w:rsidR="005A3F52" w:rsidRPr="00231B15">
        <w:rPr>
          <w:rFonts w:cs="Times New Roman"/>
        </w:rPr>
        <w:t xml:space="preserve">which </w:t>
      </w:r>
      <w:r w:rsidR="00B720DD" w:rsidRPr="00231B15">
        <w:rPr>
          <w:rFonts w:cs="Times New Roman"/>
        </w:rPr>
        <w:t>minimis</w:t>
      </w:r>
      <w:r w:rsidR="005A3F52" w:rsidRPr="00231B15">
        <w:rPr>
          <w:rFonts w:cs="Times New Roman"/>
        </w:rPr>
        <w:t>es</w:t>
      </w:r>
      <w:r w:rsidR="00B720DD" w:rsidRPr="00231B15">
        <w:rPr>
          <w:rFonts w:cs="Times New Roman"/>
        </w:rPr>
        <w:t xml:space="preserve"> steric </w:t>
      </w:r>
      <w:r w:rsidR="00B720DD" w:rsidRPr="00231B15">
        <w:rPr>
          <w:rFonts w:cs="Times New Roman"/>
        </w:rPr>
        <w:lastRenderedPageBreak/>
        <w:t>interactions enabling formation of a transition state with a bond to the aryl group forming on a specific face.</w:t>
      </w:r>
    </w:p>
    <w:p w14:paraId="44AB58EC" w14:textId="0EB0EAA6" w:rsidR="001E5E20" w:rsidRPr="00231B15" w:rsidRDefault="00FD628A" w:rsidP="001E5E20">
      <w:pPr>
        <w:keepNext/>
        <w:ind w:left="360"/>
        <w:rPr>
          <w:rFonts w:cs="Times New Roman"/>
        </w:rPr>
      </w:pPr>
      <w:r w:rsidRPr="0073657C">
        <w:rPr>
          <w:rFonts w:cs="Times New Roman"/>
          <w:noProof/>
        </w:rPr>
        <w:object w:dxaOrig="10399" w:dyaOrig="6069" w14:anchorId="7B834C73">
          <v:shape id="_x0000_i1030" type="#_x0000_t75" alt="" style="width:452.95pt;height:265.4pt;mso-width-percent:0;mso-height-percent:0;mso-width-percent:0;mso-height-percent:0" o:ole="">
            <v:imagedata r:id="rId20" o:title=""/>
          </v:shape>
          <o:OLEObject Type="Embed" ProgID="ChemDraw.Document.6.0" ShapeID="_x0000_i1030" DrawAspect="Content" ObjectID="_1684854713" r:id="rId21"/>
        </w:object>
      </w:r>
    </w:p>
    <w:p w14:paraId="17BF5D6A" w14:textId="59549108" w:rsidR="006E35C0" w:rsidRPr="00231B15" w:rsidRDefault="001E5E20" w:rsidP="001E5E20">
      <w:pPr>
        <w:pStyle w:val="Caption"/>
        <w:jc w:val="center"/>
        <w:rPr>
          <w:rFonts w:cs="Times New Roman"/>
        </w:rPr>
      </w:pPr>
      <w:r w:rsidRPr="00231B15">
        <w:rPr>
          <w:rFonts w:cs="Times New Roman"/>
        </w:rPr>
        <w:t xml:space="preserve">Scheme </w:t>
      </w:r>
      <w:r w:rsidR="00336CF2" w:rsidRPr="00231B15">
        <w:rPr>
          <w:rFonts w:cs="Times New Roman"/>
        </w:rPr>
        <w:fldChar w:fldCharType="begin"/>
      </w:r>
      <w:r w:rsidR="00336CF2" w:rsidRPr="00231B15">
        <w:rPr>
          <w:rFonts w:cs="Times New Roman"/>
        </w:rPr>
        <w:instrText xml:space="preserve"> SEQ Scheme \* ARABIC </w:instrText>
      </w:r>
      <w:r w:rsidR="00336CF2" w:rsidRPr="00231B15">
        <w:rPr>
          <w:rFonts w:cs="Times New Roman"/>
        </w:rPr>
        <w:fldChar w:fldCharType="separate"/>
      </w:r>
      <w:r w:rsidR="00944FAE">
        <w:rPr>
          <w:rFonts w:cs="Times New Roman"/>
          <w:noProof/>
        </w:rPr>
        <w:t>2</w:t>
      </w:r>
      <w:r w:rsidR="00336CF2" w:rsidRPr="00231B15">
        <w:rPr>
          <w:rFonts w:cs="Times New Roman"/>
          <w:noProof/>
        </w:rPr>
        <w:fldChar w:fldCharType="end"/>
      </w:r>
      <w:r w:rsidRPr="00231B15">
        <w:rPr>
          <w:rFonts w:cs="Times New Roman"/>
        </w:rPr>
        <w:t>: b)</w:t>
      </w:r>
      <w:r w:rsidR="00E02AD7" w:rsidRPr="00231B15">
        <w:rPr>
          <w:rFonts w:cs="Times New Roman"/>
        </w:rPr>
        <w:t xml:space="preserve"> </w:t>
      </w:r>
      <w:r w:rsidRPr="00231B15">
        <w:rPr>
          <w:rFonts w:cs="Times New Roman"/>
        </w:rPr>
        <w:t>H</w:t>
      </w:r>
      <w:r w:rsidRPr="00231B15">
        <w:rPr>
          <w:rFonts w:cs="Times New Roman"/>
          <w:vertAlign w:val="subscript"/>
        </w:rPr>
        <w:t>2</w:t>
      </w:r>
      <w:r w:rsidRPr="00231B15">
        <w:rPr>
          <w:rFonts w:cs="Times New Roman"/>
        </w:rPr>
        <w:t xml:space="preserve">, </w:t>
      </w:r>
      <w:r w:rsidR="00E02AD7" w:rsidRPr="00231B15">
        <w:rPr>
          <w:rFonts w:cs="Times New Roman"/>
        </w:rPr>
        <w:t xml:space="preserve">10 % </w:t>
      </w:r>
      <w:r w:rsidRPr="00231B15">
        <w:rPr>
          <w:rFonts w:cs="Times New Roman"/>
        </w:rPr>
        <w:t>Pd/C</w:t>
      </w:r>
      <w:r w:rsidR="00E02AD7" w:rsidRPr="00231B15">
        <w:rPr>
          <w:rFonts w:cs="Times New Roman"/>
        </w:rPr>
        <w:t>, EtOAc, rt 3h.  c) Ac</w:t>
      </w:r>
      <w:r w:rsidR="00E02AD7" w:rsidRPr="00231B15">
        <w:rPr>
          <w:rFonts w:cs="Times New Roman"/>
          <w:vertAlign w:val="subscript"/>
        </w:rPr>
        <w:t>2</w:t>
      </w:r>
      <w:r w:rsidR="00E02AD7" w:rsidRPr="00231B15">
        <w:rPr>
          <w:rFonts w:cs="Times New Roman"/>
        </w:rPr>
        <w:t>O, NEt</w:t>
      </w:r>
      <w:r w:rsidR="00E02AD7" w:rsidRPr="00231B15">
        <w:rPr>
          <w:rFonts w:cs="Times New Roman"/>
          <w:vertAlign w:val="subscript"/>
        </w:rPr>
        <w:t>3</w:t>
      </w:r>
      <w:r w:rsidR="00E02AD7" w:rsidRPr="00231B15">
        <w:rPr>
          <w:rFonts w:cs="Times New Roman"/>
        </w:rPr>
        <w:t xml:space="preserve"> DCM, rt, o/n.  d) 50 % H</w:t>
      </w:r>
      <w:r w:rsidR="00E02AD7" w:rsidRPr="00231B15">
        <w:rPr>
          <w:rFonts w:cs="Times New Roman"/>
          <w:vertAlign w:val="subscript"/>
        </w:rPr>
        <w:t>2</w:t>
      </w:r>
      <w:r w:rsidR="00E02AD7" w:rsidRPr="00231B15">
        <w:rPr>
          <w:rFonts w:cs="Times New Roman"/>
        </w:rPr>
        <w:t>O</w:t>
      </w:r>
      <w:r w:rsidR="00E02AD7" w:rsidRPr="00231B15">
        <w:rPr>
          <w:rFonts w:cs="Times New Roman"/>
          <w:vertAlign w:val="subscript"/>
        </w:rPr>
        <w:t>2</w:t>
      </w:r>
      <w:r w:rsidR="00E02AD7" w:rsidRPr="00231B15">
        <w:rPr>
          <w:rFonts w:cs="Times New Roman"/>
        </w:rPr>
        <w:t>, HCO</w:t>
      </w:r>
      <w:r w:rsidR="00E02AD7" w:rsidRPr="00231B15">
        <w:rPr>
          <w:rFonts w:cs="Times New Roman"/>
          <w:vertAlign w:val="subscript"/>
        </w:rPr>
        <w:t>2</w:t>
      </w:r>
      <w:r w:rsidR="00E02AD7" w:rsidRPr="00231B15">
        <w:rPr>
          <w:rFonts w:cs="Times New Roman"/>
        </w:rPr>
        <w:t>H, MeCN, 0°C to rt 30 min. e) 2-adamantanone, Re</w:t>
      </w:r>
      <w:r w:rsidR="00E02AD7" w:rsidRPr="00231B15">
        <w:rPr>
          <w:rFonts w:cs="Times New Roman"/>
          <w:vertAlign w:val="subscript"/>
        </w:rPr>
        <w:t>2</w:t>
      </w:r>
      <w:r w:rsidR="00E02AD7" w:rsidRPr="00231B15">
        <w:rPr>
          <w:rFonts w:cs="Times New Roman"/>
        </w:rPr>
        <w:t>O</w:t>
      </w:r>
      <w:r w:rsidR="00E02AD7" w:rsidRPr="00231B15">
        <w:rPr>
          <w:rFonts w:cs="Times New Roman"/>
          <w:vertAlign w:val="subscript"/>
        </w:rPr>
        <w:t>7</w:t>
      </w:r>
      <w:r w:rsidR="00E02AD7" w:rsidRPr="00231B15">
        <w:rPr>
          <w:rFonts w:cs="Times New Roman"/>
        </w:rPr>
        <w:t>, DCM, 0°C to rt o/n. f) LiOH, THF:H</w:t>
      </w:r>
      <w:r w:rsidR="00E02AD7" w:rsidRPr="00231B15">
        <w:rPr>
          <w:rFonts w:cs="Times New Roman"/>
          <w:vertAlign w:val="subscript"/>
        </w:rPr>
        <w:t>2</w:t>
      </w:r>
      <w:r w:rsidR="00E02AD7" w:rsidRPr="00231B15">
        <w:rPr>
          <w:rFonts w:cs="Times New Roman"/>
        </w:rPr>
        <w:t>O, rt 2h. g) Alkyl chloride, K</w:t>
      </w:r>
      <w:r w:rsidR="00E02AD7" w:rsidRPr="00231B15">
        <w:rPr>
          <w:rFonts w:cs="Times New Roman"/>
          <w:vertAlign w:val="subscript"/>
        </w:rPr>
        <w:t>2</w:t>
      </w:r>
      <w:r w:rsidR="00E02AD7" w:rsidRPr="00231B15">
        <w:rPr>
          <w:rFonts w:cs="Times New Roman"/>
        </w:rPr>
        <w:t>CO</w:t>
      </w:r>
      <w:r w:rsidR="00E02AD7" w:rsidRPr="00231B15">
        <w:rPr>
          <w:rFonts w:cs="Times New Roman"/>
          <w:vertAlign w:val="subscript"/>
        </w:rPr>
        <w:t>3</w:t>
      </w:r>
      <w:r w:rsidR="004C2CDC" w:rsidRPr="00231B15">
        <w:rPr>
          <w:rFonts w:cs="Times New Roman"/>
          <w:vertAlign w:val="subscript"/>
        </w:rPr>
        <w:t xml:space="preserve">, </w:t>
      </w:r>
      <w:r w:rsidR="004C2CDC" w:rsidRPr="00231B15">
        <w:rPr>
          <w:rFonts w:cs="Times New Roman"/>
        </w:rPr>
        <w:t>MeCN, reflux o/n</w:t>
      </w:r>
    </w:p>
    <w:p w14:paraId="67C143E0" w14:textId="7CC2320D" w:rsidR="00C1780B" w:rsidRPr="00231B15" w:rsidRDefault="00992220" w:rsidP="00260ACF">
      <w:pPr>
        <w:rPr>
          <w:rFonts w:cs="Times New Roman"/>
        </w:rPr>
      </w:pPr>
      <w:r w:rsidRPr="00231B15">
        <w:rPr>
          <w:rFonts w:cs="Times New Roman"/>
        </w:rPr>
        <w:t xml:space="preserve">As </w:t>
      </w:r>
      <w:r w:rsidR="00602BCA" w:rsidRPr="00231B15">
        <w:rPr>
          <w:rFonts w:cs="Times New Roman"/>
        </w:rPr>
        <w:t>carbonyl containing substrates have been seen to afford higher yields in tetraoxane formation, the benzyl</w:t>
      </w:r>
      <w:r w:rsidR="009E5115" w:rsidRPr="00231B15">
        <w:rPr>
          <w:rFonts w:cs="Times New Roman"/>
        </w:rPr>
        <w:t xml:space="preserve"> protected</w:t>
      </w:r>
      <w:r w:rsidR="00602BCA" w:rsidRPr="00231B15">
        <w:rPr>
          <w:rFonts w:cs="Times New Roman"/>
        </w:rPr>
        <w:t xml:space="preserve"> intermediate </w:t>
      </w:r>
      <w:r w:rsidR="009E5115" w:rsidRPr="00231B15">
        <w:rPr>
          <w:rFonts w:cs="Times New Roman"/>
        </w:rPr>
        <w:t>required conversion to an ace</w:t>
      </w:r>
      <w:r w:rsidR="00102BAB" w:rsidRPr="00231B15">
        <w:rPr>
          <w:rFonts w:cs="Times New Roman"/>
        </w:rPr>
        <w:t xml:space="preserve">tyl protected phenol for the synthesis of E209 analogues. </w:t>
      </w:r>
      <w:r w:rsidR="003926DB" w:rsidRPr="00231B15">
        <w:rPr>
          <w:rFonts w:cs="Times New Roman"/>
        </w:rPr>
        <w:t xml:space="preserve">Synthesis was carried out </w:t>
      </w:r>
      <w:r w:rsidR="00F965D1" w:rsidRPr="00231B15">
        <w:rPr>
          <w:rFonts w:cs="Times New Roman"/>
        </w:rPr>
        <w:t xml:space="preserve">identically for both the pure enantiomers and racemate. </w:t>
      </w:r>
      <w:r w:rsidR="00102BAB" w:rsidRPr="00231B15">
        <w:rPr>
          <w:rFonts w:cs="Times New Roman"/>
        </w:rPr>
        <w:t>This was achieved by catalytic hydrogenation</w:t>
      </w:r>
      <w:r w:rsidR="001E5E20" w:rsidRPr="00231B15">
        <w:rPr>
          <w:rFonts w:cs="Times New Roman"/>
        </w:rPr>
        <w:t xml:space="preserve"> of </w:t>
      </w:r>
      <w:r w:rsidR="000D252A" w:rsidRPr="00231B15">
        <w:rPr>
          <w:rFonts w:cs="Times New Roman"/>
          <w:b/>
          <w:bCs/>
        </w:rPr>
        <w:t>3a</w:t>
      </w:r>
      <w:r w:rsidR="001E5E20" w:rsidRPr="00231B15">
        <w:rPr>
          <w:rFonts w:cs="Times New Roman"/>
          <w:b/>
          <w:bCs/>
        </w:rPr>
        <w:t>-c</w:t>
      </w:r>
      <w:r w:rsidR="001E5E20" w:rsidRPr="00231B15">
        <w:rPr>
          <w:rFonts w:cs="Times New Roman"/>
        </w:rPr>
        <w:t xml:space="preserve"> (Scheme 2)</w:t>
      </w:r>
      <w:r w:rsidR="00102BAB" w:rsidRPr="00231B15">
        <w:rPr>
          <w:rFonts w:cs="Times New Roman"/>
        </w:rPr>
        <w:t xml:space="preserve"> over 10 % palladium on carbon </w:t>
      </w:r>
      <w:r w:rsidR="009124C1" w:rsidRPr="00231B15">
        <w:rPr>
          <w:rFonts w:cs="Times New Roman"/>
        </w:rPr>
        <w:t>to afford the free phenol</w:t>
      </w:r>
      <w:r w:rsidR="00D92151" w:rsidRPr="00231B15">
        <w:rPr>
          <w:rFonts w:cs="Times New Roman"/>
        </w:rPr>
        <w:t xml:space="preserve"> </w:t>
      </w:r>
      <w:r w:rsidR="000D252A" w:rsidRPr="00231B15">
        <w:rPr>
          <w:rFonts w:cs="Times New Roman"/>
          <w:b/>
        </w:rPr>
        <w:t>5a</w:t>
      </w:r>
      <w:r w:rsidR="00D92151" w:rsidRPr="00231B15">
        <w:rPr>
          <w:rFonts w:cs="Times New Roman"/>
          <w:b/>
        </w:rPr>
        <w:t>-c</w:t>
      </w:r>
      <w:r w:rsidR="00D92151" w:rsidRPr="00231B15">
        <w:rPr>
          <w:rFonts w:cs="Times New Roman"/>
        </w:rPr>
        <w:t>,</w:t>
      </w:r>
      <w:r w:rsidR="009124C1" w:rsidRPr="00231B15">
        <w:rPr>
          <w:rFonts w:cs="Times New Roman"/>
        </w:rPr>
        <w:t xml:space="preserve"> which following workup was subsequently acetylated by treatment with acetic anhydride and </w:t>
      </w:r>
      <w:r w:rsidR="00497349" w:rsidRPr="00231B15">
        <w:rPr>
          <w:rFonts w:cs="Times New Roman"/>
        </w:rPr>
        <w:t>triethylamine.</w:t>
      </w:r>
      <w:r w:rsidR="002F51A9" w:rsidRPr="00231B15">
        <w:rPr>
          <w:rFonts w:cs="Times New Roman"/>
        </w:rPr>
        <w:t xml:space="preserve"> Workup afforded </w:t>
      </w:r>
      <w:r w:rsidR="000D252A" w:rsidRPr="00231B15">
        <w:rPr>
          <w:rFonts w:cs="Times New Roman"/>
          <w:b/>
          <w:bCs/>
        </w:rPr>
        <w:t>6a</w:t>
      </w:r>
      <w:r w:rsidR="007E3143" w:rsidRPr="00231B15">
        <w:rPr>
          <w:rFonts w:cs="Times New Roman"/>
          <w:b/>
          <w:bCs/>
        </w:rPr>
        <w:t>-c</w:t>
      </w:r>
      <w:r w:rsidR="002F51A9" w:rsidRPr="00231B15">
        <w:rPr>
          <w:rFonts w:cs="Times New Roman"/>
        </w:rPr>
        <w:t xml:space="preserve"> in quantitative yield over two steps. </w:t>
      </w:r>
      <w:r w:rsidR="007E3143" w:rsidRPr="00231B15">
        <w:rPr>
          <w:rFonts w:cs="Times New Roman"/>
        </w:rPr>
        <w:t xml:space="preserve">The tetraoxanes </w:t>
      </w:r>
      <w:r w:rsidR="000D252A" w:rsidRPr="00231B15">
        <w:rPr>
          <w:rFonts w:cs="Times New Roman"/>
          <w:b/>
          <w:bCs/>
        </w:rPr>
        <w:t>7a</w:t>
      </w:r>
      <w:r w:rsidR="007E3143" w:rsidRPr="00231B15">
        <w:rPr>
          <w:rFonts w:cs="Times New Roman"/>
          <w:b/>
          <w:bCs/>
        </w:rPr>
        <w:t>-c</w:t>
      </w:r>
      <w:r w:rsidR="001B2BDA" w:rsidRPr="00231B15">
        <w:rPr>
          <w:rFonts w:cs="Times New Roman"/>
        </w:rPr>
        <w:t xml:space="preserve"> w</w:t>
      </w:r>
      <w:r w:rsidR="007E3143" w:rsidRPr="00231B15">
        <w:rPr>
          <w:rFonts w:cs="Times New Roman"/>
        </w:rPr>
        <w:t>ere</w:t>
      </w:r>
      <w:r w:rsidR="001B2BDA" w:rsidRPr="00231B15">
        <w:rPr>
          <w:rFonts w:cs="Times New Roman"/>
        </w:rPr>
        <w:t xml:space="preserve"> synthesised </w:t>
      </w:r>
      <w:r w:rsidR="005C26F1" w:rsidRPr="00231B15">
        <w:rPr>
          <w:rFonts w:cs="Times New Roman"/>
        </w:rPr>
        <w:t xml:space="preserve">from </w:t>
      </w:r>
      <w:r w:rsidR="000D252A" w:rsidRPr="00231B15">
        <w:rPr>
          <w:rFonts w:cs="Times New Roman"/>
          <w:b/>
          <w:bCs/>
        </w:rPr>
        <w:t>6a</w:t>
      </w:r>
      <w:r w:rsidR="005C26F1" w:rsidRPr="00231B15">
        <w:rPr>
          <w:rFonts w:cs="Times New Roman"/>
          <w:b/>
          <w:bCs/>
        </w:rPr>
        <w:t>-c</w:t>
      </w:r>
      <w:r w:rsidR="00E04094" w:rsidRPr="00231B15">
        <w:rPr>
          <w:rFonts w:cs="Times New Roman"/>
        </w:rPr>
        <w:t xml:space="preserve"> </w:t>
      </w:r>
      <w:r w:rsidR="001B2BDA" w:rsidRPr="00231B15">
        <w:rPr>
          <w:rFonts w:cs="Times New Roman"/>
        </w:rPr>
        <w:t xml:space="preserve">by dihydroperoxide formation </w:t>
      </w:r>
      <w:r w:rsidR="0088349A" w:rsidRPr="00231B15">
        <w:rPr>
          <w:rFonts w:cs="Times New Roman"/>
        </w:rPr>
        <w:t>promoted</w:t>
      </w:r>
      <w:r w:rsidR="001B2BDA" w:rsidRPr="00231B15">
        <w:rPr>
          <w:rFonts w:cs="Times New Roman"/>
        </w:rPr>
        <w:t xml:space="preserve"> by formic acid followed by </w:t>
      </w:r>
      <w:r w:rsidR="0088349A" w:rsidRPr="00231B15">
        <w:rPr>
          <w:rFonts w:cs="Times New Roman"/>
        </w:rPr>
        <w:t>Re</w:t>
      </w:r>
      <w:r w:rsidR="0088349A" w:rsidRPr="00231B15">
        <w:rPr>
          <w:rFonts w:cs="Times New Roman"/>
          <w:vertAlign w:val="subscript"/>
        </w:rPr>
        <w:t>2</w:t>
      </w:r>
      <w:r w:rsidR="0088349A" w:rsidRPr="00231B15">
        <w:rPr>
          <w:rFonts w:cs="Times New Roman"/>
        </w:rPr>
        <w:t>O</w:t>
      </w:r>
      <w:r w:rsidR="0088349A" w:rsidRPr="00231B15">
        <w:rPr>
          <w:rFonts w:cs="Times New Roman"/>
          <w:vertAlign w:val="subscript"/>
        </w:rPr>
        <w:t>7</w:t>
      </w:r>
      <w:r w:rsidR="001B2BDA" w:rsidRPr="00231B15">
        <w:rPr>
          <w:rFonts w:cs="Times New Roman"/>
        </w:rPr>
        <w:t xml:space="preserve"> catalysed condensation with the </w:t>
      </w:r>
      <w:r w:rsidR="00B31FB3" w:rsidRPr="00231B15">
        <w:rPr>
          <w:rFonts w:cs="Times New Roman"/>
        </w:rPr>
        <w:t>2-adamantanone.</w:t>
      </w:r>
      <w:r w:rsidR="00266167" w:rsidRPr="00231B15">
        <w:rPr>
          <w:rFonts w:cs="Times New Roman"/>
        </w:rPr>
        <w:fldChar w:fldCharType="begin" w:fldLock="1"/>
      </w:r>
      <w:r w:rsidR="00A26B94">
        <w:rPr>
          <w:rFonts w:cs="Times New Roman"/>
        </w:rPr>
        <w:instrText>ADDIN CSL_CITATION {"citationItems":[{"id":"ITEM-1","itemData":{"DOI":"10.1021/ol8023874","ISSN":"15237060","abstract":"Re 2O 7 is a mild and efficient catalyst for the high-yielding condensation of 1,1-dihydroperoxides with ketones or aldehydes to form 1,2,4,5-tetraoxanes, including targets not easily prepared via existing methodology. When applied in tandem with a recently reported Re(VII)-catalyzed synthesis of 1,1-dihydroperoxides, the reaction provides a high-yielding one-pot conversion of ketones or aldehydes to tetraoxanes. © 2009 American Chemical Society.","author":[{"dropping-particle":"","family":"Ghorai","given":"Prasanta","non-dropping-particle":"","parse-names":false,"suffix":""},{"dropping-particle":"","family":"Dussault","given":"Patrick H.","non-dropping-particle":"","parse-names":false,"suffix":""}],"container-title":"Organic Letters","id":"ITEM-1","issued":{"date-parts":[["2009"]]},"title":"Broadly applicable synthesis of 1,2,4,5-tetraoxanes","type":"article-journal"},"uris":["http://www.mendeley.com/documents/?uuid=a590d86f-fb48-474d-aca6-8c649446ad2d"]}],"mendeley":{"formattedCitation":"&lt;sup&gt;25&lt;/sup&gt;","plainTextFormattedCitation":"25","previouslyFormattedCitation":"&lt;sup&gt;25&lt;/sup&gt;"},"properties":{"noteIndex":0},"schema":"https://github.com/citation-style-language/schema/raw/master/csl-citation.json"}</w:instrText>
      </w:r>
      <w:r w:rsidR="00266167" w:rsidRPr="00231B15">
        <w:rPr>
          <w:rFonts w:cs="Times New Roman"/>
        </w:rPr>
        <w:fldChar w:fldCharType="separate"/>
      </w:r>
      <w:r w:rsidR="00B60F81" w:rsidRPr="00B60F81">
        <w:rPr>
          <w:rFonts w:cs="Times New Roman"/>
          <w:noProof/>
          <w:vertAlign w:val="superscript"/>
        </w:rPr>
        <w:t>25</w:t>
      </w:r>
      <w:r w:rsidR="00266167" w:rsidRPr="00231B15">
        <w:rPr>
          <w:rFonts w:cs="Times New Roman"/>
        </w:rPr>
        <w:fldChar w:fldCharType="end"/>
      </w:r>
      <w:r w:rsidR="009866EC" w:rsidRPr="00231B15">
        <w:rPr>
          <w:rFonts w:cs="Times New Roman"/>
        </w:rPr>
        <w:t xml:space="preserve"> </w:t>
      </w:r>
      <w:r w:rsidR="00080D2E" w:rsidRPr="00231B15">
        <w:rPr>
          <w:rFonts w:cs="Times New Roman"/>
        </w:rPr>
        <w:t>The yield of this step was relatively low but consistent with yields obtained in other literature.</w:t>
      </w:r>
      <w:r w:rsidR="00266167" w:rsidRPr="00231B15">
        <w:rPr>
          <w:rFonts w:cs="Times New Roman"/>
        </w:rPr>
        <w:fldChar w:fldCharType="begin" w:fldLock="1"/>
      </w:r>
      <w:r w:rsidR="00A26B94">
        <w:rPr>
          <w:rFonts w:cs="Times New Roman"/>
        </w:rPr>
        <w:instrText>ADDIN CSL_CITATION {"citationItems":[{"id":"ITEM-1","itemData":{"DOI":"10.1016/j.tet.2016.08.043","ISSN":"14645416","abstract":"An efficient route to the synthesis of potent antimalarial aryloxy 1,2,4,5-tetraoxanes is described that permits parallel synthesis for Structure–Activity Relationship (SAR) investigations. Brief details of the in vitro and in vivo antimalarial evaluation are included which enables identification of antimalarial leads for further development. Also described is an improved approach to the synthesis of a selected late-lead compound in just four or five synthetic steps from commercially available starting materials.","author":[{"dropping-particle":"","family":"O' Neill","given":"Paul M.","non-dropping-particle":"","parse-names":false,"suffix":""},{"dropping-particle":"","family":"Sabbani","given":"Sunil","non-dropping-particle":"","parse-names":false,"suffix":""},{"dropping-particle":"","family":"Nixon","given":"Gemma L.","non-dropping-particle":"","parse-names":false,"suffix":""},{"dropping-particle":"","family":"Schnaderbeck","given":"Matthew","non-dropping-particle":"","parse-names":false,"suffix":""},{"dropping-particle":"","family":"Roberts","given":"Natalie L.","non-dropping-particle":"","parse-names":false,"suffix":""},{"dropping-particle":"","family":"Shore","given":"Emma R.","non-dropping-particle":"","parse-names":false,"suffix":""},{"dropping-particle":"","family":"Riley","given":"Christopher","non-dropping-particle":"","parse-names":false,"suffix":""},{"dropping-particle":"","family":"Murphy","given":"Ben","non-dropping-particle":"","parse-names":false,"suffix":""},{"dropping-particle":"","family":"McGillan","given":"Paul","non-dropping-particle":"","parse-names":false,"suffix":""},{"dropping-particle":"","family":"Ward","given":"Stephen A.","non-dropping-particle":"","parse-names":false,"suffix":""},{"dropping-particle":"","family":"Davies","given":"Jill","non-dropping-particle":"","parse-names":false,"suffix":""},{"dropping-particle":"","family":"Amewu","given":"Richard K.","non-dropping-particle":"","parse-names":false,"suffix":""}],"container-title":"Tetrahedron","id":"ITEM-1","issue":"40","issued":{"date-parts":[["2016","10","6"]]},"page":"6118-6126","publisher":"Pergamon","title":"Optimisation of the synthesis of second generation 1,2,4,5 tetraoxane antimalarials","type":"article-journal","volume":"72"},"uris":["http://www.mendeley.com/documents/?uuid=213fdcb8-56bb-4ffa-a2b3-43fe20b77377"]}],"mendeley":{"formattedCitation":"&lt;sup&gt;26&lt;/sup&gt;","plainTextFormattedCitation":"26","previouslyFormattedCitation":"&lt;sup&gt;26&lt;/sup&gt;"},"properties":{"noteIndex":0},"schema":"https://github.com/citation-style-language/schema/raw/master/csl-citation.json"}</w:instrText>
      </w:r>
      <w:r w:rsidR="00266167" w:rsidRPr="00231B15">
        <w:rPr>
          <w:rFonts w:cs="Times New Roman"/>
        </w:rPr>
        <w:fldChar w:fldCharType="separate"/>
      </w:r>
      <w:r w:rsidR="00B60F81" w:rsidRPr="00B60F81">
        <w:rPr>
          <w:rFonts w:cs="Times New Roman"/>
          <w:noProof/>
          <w:vertAlign w:val="superscript"/>
        </w:rPr>
        <w:t>26</w:t>
      </w:r>
      <w:r w:rsidR="00266167" w:rsidRPr="00231B15">
        <w:rPr>
          <w:rFonts w:cs="Times New Roman"/>
        </w:rPr>
        <w:fldChar w:fldCharType="end"/>
      </w:r>
      <w:r w:rsidR="00B31FB3" w:rsidRPr="00231B15">
        <w:rPr>
          <w:rFonts w:cs="Times New Roman"/>
        </w:rPr>
        <w:t xml:space="preserve"> Formation was evidenced by appearance of characteristic peaks on </w:t>
      </w:r>
      <w:r w:rsidR="00B31FB3" w:rsidRPr="00231B15">
        <w:rPr>
          <w:rFonts w:cs="Times New Roman"/>
          <w:vertAlign w:val="superscript"/>
        </w:rPr>
        <w:t>13</w:t>
      </w:r>
      <w:r w:rsidR="00B31FB3" w:rsidRPr="00231B15">
        <w:rPr>
          <w:rFonts w:cs="Times New Roman"/>
        </w:rPr>
        <w:t>C NMR corresponding to the two tetraoxane carbons at 100-110 ppm.</w:t>
      </w:r>
      <w:r w:rsidR="00CD33DB" w:rsidRPr="00231B15">
        <w:rPr>
          <w:rFonts w:cs="Times New Roman"/>
        </w:rPr>
        <w:t xml:space="preserve"> Quantitative </w:t>
      </w:r>
      <w:r w:rsidR="003926DB" w:rsidRPr="00231B15">
        <w:rPr>
          <w:rFonts w:cs="Times New Roman"/>
        </w:rPr>
        <w:t xml:space="preserve">acetyl deprotection by treatment with LiOH </w:t>
      </w:r>
      <w:r w:rsidR="00EC3083" w:rsidRPr="00231B15">
        <w:rPr>
          <w:rFonts w:cs="Times New Roman"/>
        </w:rPr>
        <w:t>in THF and water afforded free phenols</w:t>
      </w:r>
      <w:r w:rsidR="005C26F1" w:rsidRPr="00231B15">
        <w:rPr>
          <w:rFonts w:cs="Times New Roman"/>
        </w:rPr>
        <w:t xml:space="preserve"> </w:t>
      </w:r>
      <w:r w:rsidR="00E359E3">
        <w:rPr>
          <w:rFonts w:cs="Times New Roman"/>
          <w:b/>
          <w:bCs/>
        </w:rPr>
        <w:t>8</w:t>
      </w:r>
      <w:r w:rsidR="000D252A" w:rsidRPr="00231B15">
        <w:rPr>
          <w:rFonts w:cs="Times New Roman"/>
          <w:b/>
          <w:bCs/>
        </w:rPr>
        <w:t>a</w:t>
      </w:r>
      <w:r w:rsidR="005C26F1" w:rsidRPr="00231B15">
        <w:rPr>
          <w:rFonts w:cs="Times New Roman"/>
          <w:b/>
          <w:bCs/>
        </w:rPr>
        <w:t>-c</w:t>
      </w:r>
      <w:r w:rsidR="001C050D" w:rsidRPr="00231B15">
        <w:rPr>
          <w:rFonts w:cs="Times New Roman"/>
        </w:rPr>
        <w:t xml:space="preserve">. </w:t>
      </w:r>
      <w:r w:rsidR="00B45288" w:rsidRPr="00231B15">
        <w:rPr>
          <w:rFonts w:cs="Times New Roman"/>
        </w:rPr>
        <w:t>T</w:t>
      </w:r>
      <w:r w:rsidR="001C050D" w:rsidRPr="00231B15">
        <w:rPr>
          <w:rFonts w:cs="Times New Roman"/>
        </w:rPr>
        <w:t xml:space="preserve">reatment with </w:t>
      </w:r>
      <w:r w:rsidR="00357A81" w:rsidRPr="00231B15">
        <w:rPr>
          <w:rFonts w:cs="Times New Roman"/>
        </w:rPr>
        <w:t xml:space="preserve">the required alkyl halide and potassium carbonate </w:t>
      </w:r>
      <w:r w:rsidR="00B45288" w:rsidRPr="00231B15">
        <w:rPr>
          <w:rFonts w:cs="Times New Roman"/>
        </w:rPr>
        <w:t>in acetonitrile afforded the E209 analogues</w:t>
      </w:r>
      <w:r w:rsidR="005C26F1" w:rsidRPr="00231B15">
        <w:rPr>
          <w:rFonts w:cs="Times New Roman"/>
        </w:rPr>
        <w:t xml:space="preserve"> </w:t>
      </w:r>
      <w:r w:rsidR="000D252A" w:rsidRPr="00231B15">
        <w:rPr>
          <w:rFonts w:cs="Times New Roman"/>
          <w:b/>
          <w:bCs/>
        </w:rPr>
        <w:t>9a</w:t>
      </w:r>
      <w:r w:rsidR="005C26F1" w:rsidRPr="00231B15">
        <w:rPr>
          <w:rFonts w:cs="Times New Roman"/>
          <w:b/>
          <w:bCs/>
        </w:rPr>
        <w:t xml:space="preserve">-c </w:t>
      </w:r>
      <w:r w:rsidR="005C26F1" w:rsidRPr="00231B15">
        <w:rPr>
          <w:rFonts w:cs="Times New Roman"/>
        </w:rPr>
        <w:t xml:space="preserve">and </w:t>
      </w:r>
      <w:r w:rsidR="000D252A" w:rsidRPr="00231B15">
        <w:rPr>
          <w:rFonts w:cs="Times New Roman"/>
          <w:b/>
          <w:bCs/>
        </w:rPr>
        <w:t>10a</w:t>
      </w:r>
      <w:r w:rsidR="005C26F1" w:rsidRPr="00231B15">
        <w:rPr>
          <w:rFonts w:cs="Times New Roman"/>
          <w:b/>
          <w:bCs/>
        </w:rPr>
        <w:t>-c</w:t>
      </w:r>
      <w:r w:rsidR="00175589" w:rsidRPr="00231B15">
        <w:rPr>
          <w:rFonts w:cs="Times New Roman"/>
        </w:rPr>
        <w:t xml:space="preserve">. Enantiomeric excess, summarised in Table 2, was found to be at least </w:t>
      </w:r>
      <w:r w:rsidR="000D252A" w:rsidRPr="00231B15">
        <w:rPr>
          <w:rFonts w:cs="Times New Roman"/>
        </w:rPr>
        <w:t xml:space="preserve">98 </w:t>
      </w:r>
      <w:r w:rsidR="00175589" w:rsidRPr="00231B15">
        <w:rPr>
          <w:rFonts w:cs="Times New Roman"/>
        </w:rPr>
        <w:t xml:space="preserve">% for all chiral analogues suggesting that no racemisation had occurred during synthesis.  </w:t>
      </w:r>
      <w:r w:rsidR="00091C3F">
        <w:rPr>
          <w:rFonts w:cs="Times New Roman"/>
        </w:rPr>
        <w:t>All compounds were obtained as amorphous solids</w:t>
      </w:r>
      <w:r w:rsidR="003F5C7B">
        <w:rPr>
          <w:rFonts w:cs="Times New Roman"/>
        </w:rPr>
        <w:t>.</w:t>
      </w:r>
    </w:p>
    <w:p w14:paraId="6C8D8E5F" w14:textId="291B51B3" w:rsidR="004C2CDC" w:rsidRPr="00231B15" w:rsidRDefault="00FD628A" w:rsidP="004C2CDC">
      <w:pPr>
        <w:keepNext/>
        <w:rPr>
          <w:rFonts w:cs="Times New Roman"/>
        </w:rPr>
      </w:pPr>
      <w:r w:rsidRPr="007836CF">
        <w:rPr>
          <w:rFonts w:cs="Times New Roman"/>
          <w:noProof/>
        </w:rPr>
        <w:object w:dxaOrig="10804" w:dyaOrig="6405" w14:anchorId="11151DBD">
          <v:shape id="_x0000_i1031" type="#_x0000_t75" alt="" style="width:466.35pt;height:275.45pt;mso-width-percent:0;mso-height-percent:0;mso-width-percent:0;mso-height-percent:0" o:ole="">
            <v:imagedata r:id="rId22" o:title=""/>
          </v:shape>
          <o:OLEObject Type="Embed" ProgID="ChemDraw.Document.6.0" ShapeID="_x0000_i1031" DrawAspect="Content" ObjectID="_1684854714" r:id="rId23"/>
        </w:object>
      </w:r>
    </w:p>
    <w:p w14:paraId="66FF6460" w14:textId="3898EAB1" w:rsidR="00555F3C" w:rsidRPr="00231B15" w:rsidRDefault="004C2CDC" w:rsidP="004C2CDC">
      <w:pPr>
        <w:pStyle w:val="Caption"/>
        <w:rPr>
          <w:rFonts w:cs="Times New Roman"/>
        </w:rPr>
      </w:pPr>
      <w:r w:rsidRPr="00231B15">
        <w:rPr>
          <w:rFonts w:cs="Times New Roman"/>
        </w:rPr>
        <w:t xml:space="preserve">Scheme </w:t>
      </w:r>
      <w:r w:rsidR="00336CF2" w:rsidRPr="00231B15">
        <w:rPr>
          <w:rFonts w:cs="Times New Roman"/>
        </w:rPr>
        <w:fldChar w:fldCharType="begin"/>
      </w:r>
      <w:r w:rsidR="00336CF2" w:rsidRPr="00231B15">
        <w:rPr>
          <w:rFonts w:cs="Times New Roman"/>
        </w:rPr>
        <w:instrText xml:space="preserve"> SEQ Scheme \* ARABIC </w:instrText>
      </w:r>
      <w:r w:rsidR="00336CF2" w:rsidRPr="00231B15">
        <w:rPr>
          <w:rFonts w:cs="Times New Roman"/>
        </w:rPr>
        <w:fldChar w:fldCharType="separate"/>
      </w:r>
      <w:r w:rsidR="00944FAE">
        <w:rPr>
          <w:rFonts w:cs="Times New Roman"/>
          <w:noProof/>
        </w:rPr>
        <w:t>3</w:t>
      </w:r>
      <w:r w:rsidR="00336CF2" w:rsidRPr="00231B15">
        <w:rPr>
          <w:rFonts w:cs="Times New Roman"/>
          <w:noProof/>
        </w:rPr>
        <w:fldChar w:fldCharType="end"/>
      </w:r>
      <w:r w:rsidRPr="00231B15">
        <w:rPr>
          <w:rFonts w:cs="Times New Roman"/>
        </w:rPr>
        <w:t>: h) 50 % H</w:t>
      </w:r>
      <w:r w:rsidRPr="00231B15">
        <w:rPr>
          <w:rFonts w:cs="Times New Roman"/>
          <w:vertAlign w:val="subscript"/>
        </w:rPr>
        <w:t>2</w:t>
      </w:r>
      <w:r w:rsidRPr="00231B15">
        <w:rPr>
          <w:rFonts w:cs="Times New Roman"/>
        </w:rPr>
        <w:t>O</w:t>
      </w:r>
      <w:r w:rsidRPr="00231B15">
        <w:rPr>
          <w:rFonts w:cs="Times New Roman"/>
          <w:vertAlign w:val="subscript"/>
        </w:rPr>
        <w:t>2</w:t>
      </w:r>
      <w:r w:rsidRPr="00231B15">
        <w:rPr>
          <w:rFonts w:cs="Times New Roman"/>
        </w:rPr>
        <w:t>, HCO</w:t>
      </w:r>
      <w:r w:rsidRPr="00231B15">
        <w:rPr>
          <w:rFonts w:cs="Times New Roman"/>
          <w:vertAlign w:val="subscript"/>
        </w:rPr>
        <w:t>2</w:t>
      </w:r>
      <w:r w:rsidRPr="00231B15">
        <w:rPr>
          <w:rFonts w:cs="Times New Roman"/>
        </w:rPr>
        <w:t>H, MeCN, 0°C to rt 30 min. i) 2-adamantanone, Re</w:t>
      </w:r>
      <w:r w:rsidRPr="00231B15">
        <w:rPr>
          <w:rFonts w:cs="Times New Roman"/>
        </w:rPr>
        <w:softHyphen/>
      </w:r>
      <w:r w:rsidRPr="00231B15">
        <w:rPr>
          <w:rFonts w:cs="Times New Roman"/>
          <w:vertAlign w:val="subscript"/>
        </w:rPr>
        <w:t>2</w:t>
      </w:r>
      <w:r w:rsidRPr="00231B15">
        <w:rPr>
          <w:rFonts w:cs="Times New Roman"/>
        </w:rPr>
        <w:t>O</w:t>
      </w:r>
      <w:r w:rsidRPr="00231B15">
        <w:rPr>
          <w:rFonts w:cs="Times New Roman"/>
          <w:vertAlign w:val="subscript"/>
        </w:rPr>
        <w:t>7</w:t>
      </w:r>
      <w:r w:rsidRPr="00231B15">
        <w:rPr>
          <w:rFonts w:cs="Times New Roman"/>
        </w:rPr>
        <w:t>, DCM,  0°C to rt o/n j) LiAlH</w:t>
      </w:r>
      <w:r w:rsidRPr="00231B15">
        <w:rPr>
          <w:rFonts w:cs="Times New Roman"/>
          <w:vertAlign w:val="subscript"/>
        </w:rPr>
        <w:t>4</w:t>
      </w:r>
      <w:r w:rsidRPr="00231B15">
        <w:rPr>
          <w:rFonts w:cs="Times New Roman"/>
        </w:rPr>
        <w:t xml:space="preserve">, THF, 0°C 30 min. </w:t>
      </w:r>
      <w:r w:rsidR="008E4125">
        <w:rPr>
          <w:rFonts w:cs="Times New Roman"/>
        </w:rPr>
        <w:t xml:space="preserve">k) Methane sulfonyl chloride, </w:t>
      </w:r>
      <w:r w:rsidR="008E4125" w:rsidRPr="008E4125">
        <w:rPr>
          <w:rFonts w:cs="Times New Roman"/>
        </w:rPr>
        <w:t>NEt</w:t>
      </w:r>
      <w:r w:rsidR="008E4125" w:rsidRPr="008E4125">
        <w:rPr>
          <w:rFonts w:cs="Times New Roman"/>
          <w:vertAlign w:val="subscript"/>
        </w:rPr>
        <w:t>3</w:t>
      </w:r>
      <w:r w:rsidR="008E4125">
        <w:rPr>
          <w:rFonts w:cs="Times New Roman"/>
        </w:rPr>
        <w:t xml:space="preserve">, DCM, </w:t>
      </w:r>
      <w:r w:rsidR="008E4125" w:rsidRPr="008E4125">
        <w:rPr>
          <w:rFonts w:cs="Times New Roman"/>
        </w:rPr>
        <w:t>0</w:t>
      </w:r>
      <w:r w:rsidR="008E4125" w:rsidRPr="00231B15">
        <w:rPr>
          <w:rFonts w:cs="Times New Roman"/>
        </w:rPr>
        <w:t>°</w:t>
      </w:r>
      <w:r w:rsidR="008E4125">
        <w:rPr>
          <w:rFonts w:cs="Times New Roman"/>
        </w:rPr>
        <w:t>C</w:t>
      </w:r>
      <w:r w:rsidR="00A4720D">
        <w:rPr>
          <w:rFonts w:cs="Times New Roman"/>
        </w:rPr>
        <w:t xml:space="preserve"> 1 hour</w:t>
      </w:r>
      <w:r w:rsidR="008E4125">
        <w:rPr>
          <w:rFonts w:cs="Times New Roman"/>
        </w:rPr>
        <w:t xml:space="preserve"> </w:t>
      </w:r>
      <w:r w:rsidR="008E4125" w:rsidRPr="008E4125">
        <w:rPr>
          <w:rFonts w:cs="Times New Roman"/>
        </w:rPr>
        <w:t>l</w:t>
      </w:r>
      <w:r w:rsidR="00FC31D6" w:rsidRPr="00231B15">
        <w:rPr>
          <w:rFonts w:cs="Times New Roman"/>
        </w:rPr>
        <w:t>) Amine or amine hydrochloride, NEt</w:t>
      </w:r>
      <w:r w:rsidR="00FC31D6" w:rsidRPr="00231B15">
        <w:rPr>
          <w:rFonts w:cs="Times New Roman"/>
          <w:vertAlign w:val="subscript"/>
        </w:rPr>
        <w:t>3</w:t>
      </w:r>
      <w:r w:rsidR="00FC31D6" w:rsidRPr="00231B15">
        <w:rPr>
          <w:rFonts w:cs="Times New Roman"/>
        </w:rPr>
        <w:t>, DCM, rt o/n.</w:t>
      </w:r>
    </w:p>
    <w:p w14:paraId="4A63F6E2" w14:textId="3895A2F7" w:rsidR="001E5096" w:rsidRPr="00231B15" w:rsidRDefault="007F611A" w:rsidP="00BF0D75">
      <w:pPr>
        <w:rPr>
          <w:rFonts w:cs="Times New Roman"/>
        </w:rPr>
      </w:pPr>
      <w:r w:rsidRPr="00231B15">
        <w:rPr>
          <w:rFonts w:cs="Times New Roman"/>
        </w:rPr>
        <w:t>In the synthesis of N205 analogues, the obtained methoxycarbonyl</w:t>
      </w:r>
      <w:r w:rsidR="00141150" w:rsidRPr="00231B15">
        <w:rPr>
          <w:rFonts w:cs="Times New Roman"/>
        </w:rPr>
        <w:t xml:space="preserve"> conjugate addition product</w:t>
      </w:r>
      <w:r w:rsidR="005C26F1" w:rsidRPr="00231B15">
        <w:rPr>
          <w:rFonts w:cs="Times New Roman"/>
        </w:rPr>
        <w:t xml:space="preserve">s </w:t>
      </w:r>
      <w:r w:rsidR="000D252A" w:rsidRPr="00231B15">
        <w:rPr>
          <w:rFonts w:cs="Times New Roman"/>
          <w:b/>
          <w:bCs/>
        </w:rPr>
        <w:t>4a</w:t>
      </w:r>
      <w:r w:rsidR="005C26F1" w:rsidRPr="00231B15">
        <w:rPr>
          <w:rFonts w:cs="Times New Roman"/>
          <w:b/>
          <w:bCs/>
        </w:rPr>
        <w:t>-c</w:t>
      </w:r>
      <w:r w:rsidR="00141150" w:rsidRPr="00231B15">
        <w:rPr>
          <w:rFonts w:cs="Times New Roman"/>
        </w:rPr>
        <w:t xml:space="preserve"> </w:t>
      </w:r>
      <w:r w:rsidR="00166EBD" w:rsidRPr="00231B15">
        <w:rPr>
          <w:rFonts w:cs="Times New Roman"/>
        </w:rPr>
        <w:t xml:space="preserve">(Scheme 3) </w:t>
      </w:r>
      <w:r w:rsidR="005C26F1" w:rsidRPr="00231B15">
        <w:rPr>
          <w:rFonts w:cs="Times New Roman"/>
        </w:rPr>
        <w:t>were</w:t>
      </w:r>
      <w:r w:rsidR="00141150" w:rsidRPr="00231B15">
        <w:rPr>
          <w:rFonts w:cs="Times New Roman"/>
        </w:rPr>
        <w:t xml:space="preserve"> used directly to synthesise </w:t>
      </w:r>
      <w:r w:rsidR="00080D2E" w:rsidRPr="00231B15">
        <w:rPr>
          <w:rFonts w:cs="Times New Roman"/>
        </w:rPr>
        <w:t>the required tetraoxane</w:t>
      </w:r>
      <w:r w:rsidR="005C26F1" w:rsidRPr="00231B15">
        <w:rPr>
          <w:rFonts w:cs="Times New Roman"/>
        </w:rPr>
        <w:t xml:space="preserve">s </w:t>
      </w:r>
      <w:r w:rsidR="000D252A" w:rsidRPr="00231B15">
        <w:rPr>
          <w:rFonts w:cs="Times New Roman"/>
          <w:b/>
          <w:bCs/>
        </w:rPr>
        <w:t>11a</w:t>
      </w:r>
      <w:r w:rsidR="005C26F1" w:rsidRPr="00231B15">
        <w:rPr>
          <w:rFonts w:cs="Times New Roman"/>
          <w:b/>
          <w:bCs/>
        </w:rPr>
        <w:t>-c</w:t>
      </w:r>
      <w:r w:rsidR="00080D2E" w:rsidRPr="00231B15">
        <w:rPr>
          <w:rFonts w:cs="Times New Roman"/>
        </w:rPr>
        <w:t xml:space="preserve"> through formic acid </w:t>
      </w:r>
      <w:r w:rsidR="00524D10" w:rsidRPr="00231B15">
        <w:rPr>
          <w:rFonts w:cs="Times New Roman"/>
        </w:rPr>
        <w:t xml:space="preserve">dihydroperoxide formation and subsequent condensation with 2-adamantanone. </w:t>
      </w:r>
      <w:r w:rsidR="00BE17B9" w:rsidRPr="00231B15">
        <w:rPr>
          <w:rFonts w:cs="Times New Roman"/>
        </w:rPr>
        <w:t xml:space="preserve">Similar to </w:t>
      </w:r>
      <w:r w:rsidR="00524D10" w:rsidRPr="00231B15">
        <w:rPr>
          <w:rFonts w:cs="Times New Roman"/>
        </w:rPr>
        <w:t>the analogous reaction for E209 analogues</w:t>
      </w:r>
      <w:r w:rsidR="00BE17B9" w:rsidRPr="00231B15">
        <w:rPr>
          <w:rFonts w:cs="Times New Roman"/>
        </w:rPr>
        <w:t>,</w:t>
      </w:r>
      <w:r w:rsidR="00524D10" w:rsidRPr="00231B15">
        <w:rPr>
          <w:rFonts w:cs="Times New Roman"/>
        </w:rPr>
        <w:t xml:space="preserve"> the yields were relatively low</w:t>
      </w:r>
      <w:r w:rsidR="00575738" w:rsidRPr="00231B15">
        <w:rPr>
          <w:rFonts w:cs="Times New Roman"/>
        </w:rPr>
        <w:t xml:space="preserve"> but afforded enough product</w:t>
      </w:r>
      <w:r w:rsidR="00BE17B9" w:rsidRPr="00231B15">
        <w:rPr>
          <w:rFonts w:cs="Times New Roman"/>
        </w:rPr>
        <w:t>s</w:t>
      </w:r>
      <w:r w:rsidR="00575738" w:rsidRPr="00231B15">
        <w:rPr>
          <w:rFonts w:cs="Times New Roman"/>
        </w:rPr>
        <w:t xml:space="preserve"> to continue synthesis.</w:t>
      </w:r>
      <w:r w:rsidR="00BA7950" w:rsidRPr="00231B15">
        <w:rPr>
          <w:rFonts w:cs="Times New Roman"/>
        </w:rPr>
        <w:t xml:space="preserve"> </w:t>
      </w:r>
      <w:r w:rsidR="007A775A" w:rsidRPr="00231B15">
        <w:rPr>
          <w:rFonts w:cs="Times New Roman"/>
        </w:rPr>
        <w:t xml:space="preserve">Subsequent reduction of </w:t>
      </w:r>
      <w:r w:rsidR="000D252A" w:rsidRPr="00231B15">
        <w:rPr>
          <w:rFonts w:cs="Times New Roman"/>
          <w:b/>
          <w:bCs/>
        </w:rPr>
        <w:t>11a</w:t>
      </w:r>
      <w:r w:rsidR="005C26F1" w:rsidRPr="00231B15">
        <w:rPr>
          <w:rFonts w:cs="Times New Roman"/>
          <w:b/>
          <w:bCs/>
        </w:rPr>
        <w:t>-c</w:t>
      </w:r>
      <w:r w:rsidR="007A775A" w:rsidRPr="00231B15">
        <w:rPr>
          <w:rFonts w:cs="Times New Roman"/>
        </w:rPr>
        <w:t xml:space="preserve"> by </w:t>
      </w:r>
      <w:r w:rsidR="005C26F1" w:rsidRPr="00231B15">
        <w:rPr>
          <w:rFonts w:cs="Times New Roman"/>
        </w:rPr>
        <w:t>l</w:t>
      </w:r>
      <w:r w:rsidR="007A775A" w:rsidRPr="00231B15">
        <w:rPr>
          <w:rFonts w:cs="Times New Roman"/>
        </w:rPr>
        <w:t>ithium aluminium hydride afforded benzyl alcohols</w:t>
      </w:r>
      <w:r w:rsidR="005C26F1" w:rsidRPr="00231B15">
        <w:rPr>
          <w:rFonts w:cs="Times New Roman"/>
        </w:rPr>
        <w:t xml:space="preserve"> </w:t>
      </w:r>
      <w:r w:rsidR="000D252A" w:rsidRPr="00231B15">
        <w:rPr>
          <w:rFonts w:cs="Times New Roman"/>
          <w:b/>
          <w:bCs/>
        </w:rPr>
        <w:t>12a</w:t>
      </w:r>
      <w:r w:rsidR="005C26F1" w:rsidRPr="00231B15">
        <w:rPr>
          <w:rFonts w:cs="Times New Roman"/>
          <w:b/>
          <w:bCs/>
        </w:rPr>
        <w:t>-c</w:t>
      </w:r>
      <w:r w:rsidR="007A775A" w:rsidRPr="00231B15">
        <w:rPr>
          <w:rFonts w:cs="Times New Roman"/>
        </w:rPr>
        <w:t xml:space="preserve"> in quantitative yield</w:t>
      </w:r>
      <w:r w:rsidR="00BA3593" w:rsidRPr="00231B15">
        <w:rPr>
          <w:rFonts w:cs="Times New Roman"/>
        </w:rPr>
        <w:t>,</w:t>
      </w:r>
      <w:r w:rsidR="00AC796A" w:rsidRPr="00231B15">
        <w:rPr>
          <w:rFonts w:cs="Times New Roman"/>
        </w:rPr>
        <w:t xml:space="preserve"> which were</w:t>
      </w:r>
      <w:r w:rsidR="00BA3593" w:rsidRPr="00231B15">
        <w:rPr>
          <w:rFonts w:cs="Times New Roman"/>
        </w:rPr>
        <w:t xml:space="preserve"> subsequently</w:t>
      </w:r>
      <w:r w:rsidR="00AC796A" w:rsidRPr="00231B15">
        <w:rPr>
          <w:rFonts w:cs="Times New Roman"/>
        </w:rPr>
        <w:t xml:space="preserve"> converted to benzyl mesylates</w:t>
      </w:r>
      <w:r w:rsidR="005C26F1" w:rsidRPr="00231B15">
        <w:rPr>
          <w:rFonts w:cs="Times New Roman"/>
        </w:rPr>
        <w:t xml:space="preserve"> </w:t>
      </w:r>
      <w:r w:rsidR="00EF0F03" w:rsidRPr="00231B15">
        <w:rPr>
          <w:rFonts w:cs="Times New Roman"/>
          <w:b/>
          <w:bCs/>
        </w:rPr>
        <w:t>13a</w:t>
      </w:r>
      <w:r w:rsidR="005C26F1" w:rsidRPr="00231B15">
        <w:rPr>
          <w:rFonts w:cs="Times New Roman"/>
          <w:b/>
          <w:bCs/>
        </w:rPr>
        <w:t>-c</w:t>
      </w:r>
      <w:r w:rsidR="00AC796A" w:rsidRPr="00231B15">
        <w:rPr>
          <w:rFonts w:cs="Times New Roman"/>
        </w:rPr>
        <w:t xml:space="preserve"> by treatment with methane sulfonyl chloride and triethylamine in DCM. </w:t>
      </w:r>
      <w:r w:rsidR="005C26F1" w:rsidRPr="00231B15">
        <w:rPr>
          <w:rFonts w:cs="Times New Roman"/>
        </w:rPr>
        <w:t>Coupling</w:t>
      </w:r>
      <w:r w:rsidR="007D426A" w:rsidRPr="00231B15">
        <w:rPr>
          <w:rFonts w:cs="Times New Roman"/>
        </w:rPr>
        <w:t xml:space="preserve"> of </w:t>
      </w:r>
      <w:r w:rsidR="00EF0F03" w:rsidRPr="00231B15">
        <w:rPr>
          <w:rFonts w:cs="Times New Roman"/>
          <w:b/>
          <w:bCs/>
        </w:rPr>
        <w:t>13a</w:t>
      </w:r>
      <w:r w:rsidR="005C26F1" w:rsidRPr="00231B15">
        <w:rPr>
          <w:rFonts w:cs="Times New Roman"/>
          <w:b/>
          <w:bCs/>
        </w:rPr>
        <w:t>-c</w:t>
      </w:r>
      <w:r w:rsidR="007D426A" w:rsidRPr="00231B15">
        <w:rPr>
          <w:rFonts w:cs="Times New Roman"/>
        </w:rPr>
        <w:t xml:space="preserve"> with </w:t>
      </w:r>
      <w:r w:rsidR="00BA3593" w:rsidRPr="00231B15">
        <w:rPr>
          <w:rFonts w:cs="Times New Roman"/>
        </w:rPr>
        <w:t xml:space="preserve">the desired </w:t>
      </w:r>
      <w:r w:rsidR="00672EA2" w:rsidRPr="00231B15">
        <w:rPr>
          <w:rFonts w:cs="Times New Roman"/>
        </w:rPr>
        <w:t>cyclic amine</w:t>
      </w:r>
      <w:r w:rsidR="00BA3593" w:rsidRPr="00231B15">
        <w:rPr>
          <w:rFonts w:cs="Times New Roman"/>
        </w:rPr>
        <w:t xml:space="preserve"> was achieved</w:t>
      </w:r>
      <w:r w:rsidR="00672EA2" w:rsidRPr="00231B15">
        <w:rPr>
          <w:rFonts w:cs="Times New Roman"/>
        </w:rPr>
        <w:t xml:space="preserve"> </w:t>
      </w:r>
      <w:r w:rsidR="005C26F1" w:rsidRPr="00231B15">
        <w:rPr>
          <w:rFonts w:cs="Times New Roman"/>
        </w:rPr>
        <w:t>by treatment with</w:t>
      </w:r>
      <w:r w:rsidR="00672EA2" w:rsidRPr="00231B15">
        <w:rPr>
          <w:rFonts w:cs="Times New Roman"/>
        </w:rPr>
        <w:t xml:space="preserve"> triethylamine in DCM </w:t>
      </w:r>
      <w:r w:rsidR="00BE17B9" w:rsidRPr="00231B15">
        <w:rPr>
          <w:rFonts w:cs="Times New Roman"/>
        </w:rPr>
        <w:t xml:space="preserve">to </w:t>
      </w:r>
      <w:r w:rsidR="00672EA2" w:rsidRPr="00231B15">
        <w:rPr>
          <w:rFonts w:cs="Times New Roman"/>
        </w:rPr>
        <w:t xml:space="preserve">afford the </w:t>
      </w:r>
      <w:r w:rsidR="00AB62E0" w:rsidRPr="00231B15">
        <w:rPr>
          <w:rFonts w:cs="Times New Roman"/>
        </w:rPr>
        <w:t>N205 analogues</w:t>
      </w:r>
      <w:r w:rsidR="005C26F1" w:rsidRPr="00231B15">
        <w:rPr>
          <w:rFonts w:cs="Times New Roman"/>
        </w:rPr>
        <w:t xml:space="preserve"> </w:t>
      </w:r>
      <w:r w:rsidR="00EF0F03" w:rsidRPr="00231B15">
        <w:rPr>
          <w:rFonts w:cs="Times New Roman"/>
          <w:b/>
          <w:bCs/>
        </w:rPr>
        <w:t>14a</w:t>
      </w:r>
      <w:r w:rsidR="005C26F1" w:rsidRPr="00231B15">
        <w:rPr>
          <w:rFonts w:cs="Times New Roman"/>
          <w:b/>
          <w:bCs/>
        </w:rPr>
        <w:t xml:space="preserve">-c </w:t>
      </w:r>
      <w:r w:rsidR="005C26F1" w:rsidRPr="00231B15">
        <w:rPr>
          <w:rFonts w:cs="Times New Roman"/>
        </w:rPr>
        <w:t xml:space="preserve">and </w:t>
      </w:r>
      <w:r w:rsidR="00EF0F03" w:rsidRPr="00231B15">
        <w:rPr>
          <w:rFonts w:cs="Times New Roman"/>
          <w:b/>
          <w:bCs/>
        </w:rPr>
        <w:t>15a</w:t>
      </w:r>
      <w:r w:rsidR="005C26F1" w:rsidRPr="00231B15">
        <w:rPr>
          <w:rFonts w:cs="Times New Roman"/>
          <w:b/>
          <w:bCs/>
        </w:rPr>
        <w:t>-c</w:t>
      </w:r>
      <w:r w:rsidR="00AB62E0" w:rsidRPr="00231B15">
        <w:rPr>
          <w:rFonts w:cs="Times New Roman"/>
        </w:rPr>
        <w:t>.</w:t>
      </w:r>
      <w:r w:rsidR="00BF0D75" w:rsidRPr="00231B15">
        <w:rPr>
          <w:rFonts w:cs="Times New Roman"/>
        </w:rPr>
        <w:t xml:space="preserve"> The synthesised </w:t>
      </w:r>
      <w:r w:rsidR="007916A4" w:rsidRPr="00231B15">
        <w:rPr>
          <w:rFonts w:cs="Times New Roman"/>
        </w:rPr>
        <w:t>analogues</w:t>
      </w:r>
      <w:r w:rsidR="00BF0D75" w:rsidRPr="00231B15">
        <w:rPr>
          <w:rFonts w:cs="Times New Roman"/>
        </w:rPr>
        <w:t xml:space="preserve"> </w:t>
      </w:r>
      <w:r w:rsidR="00BA3593" w:rsidRPr="00231B15">
        <w:rPr>
          <w:rFonts w:cs="Times New Roman"/>
        </w:rPr>
        <w:t xml:space="preserve">were </w:t>
      </w:r>
      <w:r w:rsidR="00BF0D75" w:rsidRPr="00231B15">
        <w:rPr>
          <w:rFonts w:cs="Times New Roman"/>
        </w:rPr>
        <w:t>analysed by chiral HPLC to determine enantiomeric excess. Enantiomeric excess</w:t>
      </w:r>
      <w:r w:rsidR="00175589" w:rsidRPr="00231B15">
        <w:rPr>
          <w:rFonts w:cs="Times New Roman"/>
        </w:rPr>
        <w:t>, summarised in Table 2,</w:t>
      </w:r>
      <w:r w:rsidR="00BF0D75" w:rsidRPr="00231B15">
        <w:rPr>
          <w:rFonts w:cs="Times New Roman"/>
        </w:rPr>
        <w:t xml:space="preserve"> was found to be </w:t>
      </w:r>
      <w:r w:rsidR="006A0CB4" w:rsidRPr="00231B15">
        <w:rPr>
          <w:rFonts w:cs="Times New Roman"/>
        </w:rPr>
        <w:t xml:space="preserve">at least </w:t>
      </w:r>
      <w:r w:rsidR="004A2129" w:rsidRPr="00231B15">
        <w:rPr>
          <w:rFonts w:cs="Times New Roman"/>
        </w:rPr>
        <w:t xml:space="preserve">98 </w:t>
      </w:r>
      <w:r w:rsidR="006A0CB4" w:rsidRPr="00231B15">
        <w:rPr>
          <w:rFonts w:cs="Times New Roman"/>
        </w:rPr>
        <w:t>%</w:t>
      </w:r>
      <w:r w:rsidR="00BF0D75" w:rsidRPr="00231B15">
        <w:rPr>
          <w:rFonts w:cs="Times New Roman"/>
        </w:rPr>
        <w:t xml:space="preserve"> for all </w:t>
      </w:r>
      <w:r w:rsidR="00BE17B9" w:rsidRPr="00231B15">
        <w:rPr>
          <w:rFonts w:cs="Times New Roman"/>
        </w:rPr>
        <w:t xml:space="preserve">enantiomerically pure </w:t>
      </w:r>
      <w:r w:rsidR="00BF0D75" w:rsidRPr="00231B15">
        <w:rPr>
          <w:rFonts w:cs="Times New Roman"/>
        </w:rPr>
        <w:t xml:space="preserve">analogues suggesting that no racemisation had occurred during synthesis. </w:t>
      </w:r>
      <w:r w:rsidR="00091C3F">
        <w:rPr>
          <w:rFonts w:cs="Times New Roman"/>
        </w:rPr>
        <w:t>A</w:t>
      </w:r>
      <w:r w:rsidR="003F5C7B">
        <w:rPr>
          <w:rFonts w:cs="Times New Roman"/>
        </w:rPr>
        <w:t>ll compounds were obtained as amorphous solids.</w:t>
      </w:r>
    </w:p>
    <w:p w14:paraId="6857FD56" w14:textId="77777777" w:rsidR="001E5096" w:rsidRPr="00231B15" w:rsidRDefault="001E5096">
      <w:pPr>
        <w:spacing w:line="259" w:lineRule="auto"/>
        <w:rPr>
          <w:rFonts w:cs="Times New Roman"/>
        </w:rPr>
      </w:pPr>
      <w:r w:rsidRPr="00231B15">
        <w:rPr>
          <w:rFonts w:cs="Times New Roman"/>
        </w:rPr>
        <w:br w:type="page"/>
      </w:r>
    </w:p>
    <w:p w14:paraId="2E006351" w14:textId="77777777" w:rsidR="00D9564D" w:rsidRPr="00231B15" w:rsidRDefault="00D9564D" w:rsidP="00BF0D75">
      <w:pPr>
        <w:rPr>
          <w:rFonts w:cs="Times New Roman"/>
        </w:rPr>
      </w:pPr>
    </w:p>
    <w:p w14:paraId="49BB1156" w14:textId="3F099C19" w:rsidR="00C1780B" w:rsidRPr="00231B15" w:rsidRDefault="00FD628A" w:rsidP="00140AD0">
      <w:pPr>
        <w:ind w:left="360"/>
        <w:jc w:val="center"/>
        <w:rPr>
          <w:rFonts w:cs="Times New Roman"/>
        </w:rPr>
      </w:pPr>
      <w:r w:rsidRPr="0073657C">
        <w:rPr>
          <w:rFonts w:cs="Times New Roman"/>
          <w:noProof/>
        </w:rPr>
        <w:object w:dxaOrig="8649" w:dyaOrig="4128" w14:anchorId="4E4656F1">
          <v:shape id="_x0000_i1032" type="#_x0000_t75" alt="" style="width:370.9pt;height:177.5pt;mso-width-percent:0;mso-height-percent:0;mso-width-percent:0;mso-height-percent:0" o:ole="">
            <v:imagedata r:id="rId24" o:title=""/>
          </v:shape>
          <o:OLEObject Type="Embed" ProgID="ChemDraw.Document.6.0" ShapeID="_x0000_i1032" DrawAspect="Content" ObjectID="_1684854715" r:id="rId25"/>
        </w:objec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9"/>
        <w:gridCol w:w="697"/>
        <w:gridCol w:w="1664"/>
        <w:gridCol w:w="783"/>
        <w:gridCol w:w="993"/>
        <w:gridCol w:w="1228"/>
        <w:gridCol w:w="1184"/>
        <w:gridCol w:w="1228"/>
      </w:tblGrid>
      <w:tr w:rsidR="004A2129" w:rsidRPr="00E1336C" w14:paraId="57A08DB2" w14:textId="01B6AB60" w:rsidTr="0049645C">
        <w:trPr>
          <w:jc w:val="center"/>
        </w:trPr>
        <w:tc>
          <w:tcPr>
            <w:tcW w:w="692" w:type="pct"/>
            <w:tcBorders>
              <w:top w:val="single" w:sz="4" w:space="0" w:color="auto"/>
              <w:bottom w:val="single" w:sz="4" w:space="0" w:color="auto"/>
            </w:tcBorders>
            <w:vAlign w:val="center"/>
          </w:tcPr>
          <w:p w14:paraId="373051CF" w14:textId="1E1ADCEE" w:rsidR="002E13E0" w:rsidRPr="00E1336C" w:rsidRDefault="002E13E0" w:rsidP="00E2393D">
            <w:pPr>
              <w:jc w:val="center"/>
              <w:rPr>
                <w:rFonts w:cs="Times New Roman"/>
              </w:rPr>
            </w:pPr>
            <w:r w:rsidRPr="00E1336C">
              <w:rPr>
                <w:rFonts w:cs="Times New Roman"/>
              </w:rPr>
              <w:t>Compound</w:t>
            </w:r>
          </w:p>
        </w:tc>
        <w:tc>
          <w:tcPr>
            <w:tcW w:w="386" w:type="pct"/>
            <w:tcBorders>
              <w:top w:val="single" w:sz="4" w:space="0" w:color="auto"/>
              <w:bottom w:val="single" w:sz="4" w:space="0" w:color="auto"/>
            </w:tcBorders>
            <w:vAlign w:val="center"/>
          </w:tcPr>
          <w:p w14:paraId="53BF45E5" w14:textId="079A6BBC" w:rsidR="002E13E0" w:rsidRPr="00E1336C" w:rsidRDefault="002E13E0" w:rsidP="00E2393D">
            <w:pPr>
              <w:jc w:val="center"/>
              <w:rPr>
                <w:rFonts w:cs="Times New Roman"/>
              </w:rPr>
            </w:pPr>
            <w:r w:rsidRPr="00E1336C">
              <w:rPr>
                <w:rFonts w:cs="Times New Roman"/>
              </w:rPr>
              <w:t>X</w:t>
            </w:r>
          </w:p>
        </w:tc>
        <w:tc>
          <w:tcPr>
            <w:tcW w:w="922" w:type="pct"/>
            <w:tcBorders>
              <w:top w:val="single" w:sz="4" w:space="0" w:color="auto"/>
              <w:bottom w:val="single" w:sz="4" w:space="0" w:color="auto"/>
            </w:tcBorders>
            <w:vAlign w:val="center"/>
          </w:tcPr>
          <w:p w14:paraId="6BE937E8" w14:textId="087E2304" w:rsidR="002E13E0" w:rsidRPr="00E1336C" w:rsidRDefault="00A04B1A" w:rsidP="00E2393D">
            <w:pPr>
              <w:jc w:val="center"/>
              <w:rPr>
                <w:rFonts w:cs="Times New Roman"/>
              </w:rPr>
            </w:pPr>
            <w:r w:rsidRPr="00E1336C">
              <w:rPr>
                <w:rFonts w:cs="Times New Roman"/>
              </w:rPr>
              <w:t xml:space="preserve">C-3 </w:t>
            </w:r>
            <w:r w:rsidR="002E13E0" w:rsidRPr="00E1336C">
              <w:rPr>
                <w:rFonts w:cs="Times New Roman"/>
              </w:rPr>
              <w:t>Stereochemistry</w:t>
            </w:r>
          </w:p>
        </w:tc>
        <w:tc>
          <w:tcPr>
            <w:tcW w:w="434" w:type="pct"/>
            <w:tcBorders>
              <w:top w:val="single" w:sz="4" w:space="0" w:color="auto"/>
              <w:bottom w:val="single" w:sz="4" w:space="0" w:color="auto"/>
            </w:tcBorders>
            <w:vAlign w:val="center"/>
          </w:tcPr>
          <w:p w14:paraId="6D12B7B0" w14:textId="110EE5AD" w:rsidR="002E13E0" w:rsidRPr="00E1336C" w:rsidRDefault="002E13E0" w:rsidP="00E2393D">
            <w:pPr>
              <w:jc w:val="center"/>
              <w:rPr>
                <w:rFonts w:cs="Times New Roman"/>
              </w:rPr>
            </w:pPr>
            <w:r w:rsidRPr="00E1336C">
              <w:rPr>
                <w:rFonts w:cs="Times New Roman"/>
              </w:rPr>
              <w:t>%</w:t>
            </w:r>
            <w:r w:rsidR="00A04B1A" w:rsidRPr="00E1336C">
              <w:rPr>
                <w:rFonts w:cs="Times New Roman"/>
              </w:rPr>
              <w:t>ee</w:t>
            </w:r>
          </w:p>
        </w:tc>
        <w:tc>
          <w:tcPr>
            <w:tcW w:w="550" w:type="pct"/>
            <w:tcBorders>
              <w:top w:val="single" w:sz="4" w:space="0" w:color="auto"/>
              <w:bottom w:val="single" w:sz="4" w:space="0" w:color="auto"/>
            </w:tcBorders>
            <w:vAlign w:val="center"/>
          </w:tcPr>
          <w:p w14:paraId="1FDE4F49" w14:textId="4DA2FFCF" w:rsidR="002E13E0" w:rsidRPr="00E1336C" w:rsidRDefault="002E13E0" w:rsidP="00E2393D">
            <w:pPr>
              <w:jc w:val="center"/>
              <w:rPr>
                <w:rFonts w:cs="Times New Roman"/>
              </w:rPr>
            </w:pPr>
            <w:r w:rsidRPr="00E1336C">
              <w:rPr>
                <w:rFonts w:cs="Times New Roman"/>
              </w:rPr>
              <w:t>m.p.</w:t>
            </w:r>
          </w:p>
          <w:p w14:paraId="021DD73F" w14:textId="0CE87A28" w:rsidR="002E13E0" w:rsidRPr="00E1336C" w:rsidRDefault="002E13E0" w:rsidP="00E2393D">
            <w:pPr>
              <w:jc w:val="center"/>
              <w:rPr>
                <w:rFonts w:cs="Times New Roman"/>
              </w:rPr>
            </w:pPr>
            <w:r w:rsidRPr="00E1336C">
              <w:rPr>
                <w:rFonts w:cs="Times New Roman"/>
              </w:rPr>
              <w:t>(°C)</w:t>
            </w:r>
          </w:p>
        </w:tc>
        <w:tc>
          <w:tcPr>
            <w:tcW w:w="680" w:type="pct"/>
            <w:tcBorders>
              <w:top w:val="single" w:sz="4" w:space="0" w:color="auto"/>
              <w:bottom w:val="single" w:sz="4" w:space="0" w:color="auto"/>
            </w:tcBorders>
            <w:vAlign w:val="center"/>
          </w:tcPr>
          <w:p w14:paraId="71B35346" w14:textId="5833D30C" w:rsidR="002E13E0" w:rsidRPr="00E1336C" w:rsidRDefault="002E13E0" w:rsidP="004A2129">
            <w:pPr>
              <w:jc w:val="center"/>
              <w:rPr>
                <w:rFonts w:cs="Times New Roman"/>
                <w:vertAlign w:val="subscript"/>
              </w:rPr>
            </w:pPr>
            <w:r w:rsidRPr="00E1336C">
              <w:rPr>
                <w:rFonts w:cs="Times New Roman"/>
              </w:rPr>
              <w:t>IC</w:t>
            </w:r>
            <w:r w:rsidRPr="00E1336C">
              <w:rPr>
                <w:rFonts w:cs="Times New Roman"/>
                <w:vertAlign w:val="subscript"/>
              </w:rPr>
              <w:t>50</w:t>
            </w:r>
            <w:r w:rsidR="004A2129" w:rsidRPr="00E1336C">
              <w:rPr>
                <w:rFonts w:cs="Times New Roman"/>
                <w:vertAlign w:val="subscript"/>
              </w:rPr>
              <w:t xml:space="preserve"> </w:t>
            </w:r>
            <w:r w:rsidRPr="00E1336C">
              <w:rPr>
                <w:rFonts w:cs="Times New Roman"/>
              </w:rPr>
              <w:t>D10</w:t>
            </w:r>
          </w:p>
          <w:p w14:paraId="39CD1FE8" w14:textId="038DCF28" w:rsidR="002E13E0" w:rsidRPr="00E1336C" w:rsidRDefault="002E13E0" w:rsidP="000A7F75">
            <w:pPr>
              <w:jc w:val="center"/>
              <w:rPr>
                <w:rFonts w:cs="Times New Roman"/>
              </w:rPr>
            </w:pPr>
            <w:r w:rsidRPr="00E1336C">
              <w:rPr>
                <w:rFonts w:cs="Times New Roman"/>
              </w:rPr>
              <w:t>(nM)</w:t>
            </w:r>
            <w:r w:rsidR="000A7F75" w:rsidRPr="00E1336C" w:rsidDel="000A7F75">
              <w:rPr>
                <w:rStyle w:val="CommentReference"/>
                <w:rFonts w:cs="Times New Roman"/>
              </w:rPr>
              <w:t xml:space="preserve"> </w:t>
            </w:r>
            <w:r w:rsidR="000A7F75" w:rsidRPr="00E1336C">
              <w:rPr>
                <w:rFonts w:cs="Times New Roman"/>
                <w:vertAlign w:val="superscript"/>
              </w:rPr>
              <w:t xml:space="preserve"> a</w:t>
            </w:r>
          </w:p>
        </w:tc>
        <w:tc>
          <w:tcPr>
            <w:tcW w:w="656" w:type="pct"/>
            <w:tcBorders>
              <w:top w:val="single" w:sz="4" w:space="0" w:color="auto"/>
              <w:bottom w:val="single" w:sz="4" w:space="0" w:color="auto"/>
            </w:tcBorders>
            <w:vAlign w:val="center"/>
          </w:tcPr>
          <w:p w14:paraId="3615647E" w14:textId="2FFC084A" w:rsidR="002E13E0" w:rsidRPr="00E1336C" w:rsidRDefault="002E13E0" w:rsidP="004A2129">
            <w:pPr>
              <w:jc w:val="center"/>
              <w:rPr>
                <w:rFonts w:cs="Times New Roman"/>
                <w:vertAlign w:val="subscript"/>
              </w:rPr>
            </w:pPr>
            <w:r w:rsidRPr="00E1336C">
              <w:rPr>
                <w:rFonts w:cs="Times New Roman"/>
              </w:rPr>
              <w:t>IC</w:t>
            </w:r>
            <w:r w:rsidRPr="00E1336C">
              <w:rPr>
                <w:rFonts w:cs="Times New Roman"/>
                <w:vertAlign w:val="subscript"/>
              </w:rPr>
              <w:t>50</w:t>
            </w:r>
            <w:r w:rsidR="004A2129" w:rsidRPr="00E1336C">
              <w:rPr>
                <w:rFonts w:cs="Times New Roman"/>
                <w:vertAlign w:val="subscript"/>
              </w:rPr>
              <w:t xml:space="preserve"> </w:t>
            </w:r>
            <w:r w:rsidRPr="00E1336C">
              <w:rPr>
                <w:rFonts w:cs="Times New Roman"/>
              </w:rPr>
              <w:t>W2</w:t>
            </w:r>
          </w:p>
          <w:p w14:paraId="4DD74C8D" w14:textId="7250D292" w:rsidR="002E13E0" w:rsidRPr="00E1336C" w:rsidRDefault="002E13E0" w:rsidP="000A7F75">
            <w:pPr>
              <w:jc w:val="center"/>
              <w:rPr>
                <w:rFonts w:cs="Times New Roman"/>
                <w:vertAlign w:val="superscript"/>
              </w:rPr>
            </w:pPr>
            <w:r w:rsidRPr="00E1336C">
              <w:rPr>
                <w:rFonts w:cs="Times New Roman"/>
              </w:rPr>
              <w:t>(nM)</w:t>
            </w:r>
          </w:p>
        </w:tc>
        <w:tc>
          <w:tcPr>
            <w:tcW w:w="680" w:type="pct"/>
            <w:tcBorders>
              <w:top w:val="single" w:sz="4" w:space="0" w:color="auto"/>
              <w:bottom w:val="single" w:sz="4" w:space="0" w:color="auto"/>
            </w:tcBorders>
            <w:vAlign w:val="center"/>
          </w:tcPr>
          <w:p w14:paraId="57D93BA5" w14:textId="58B05BB7" w:rsidR="002E13E0" w:rsidRPr="00E1336C" w:rsidRDefault="002E13E0" w:rsidP="004A2129">
            <w:pPr>
              <w:jc w:val="center"/>
              <w:rPr>
                <w:rFonts w:cs="Times New Roman"/>
              </w:rPr>
            </w:pPr>
            <w:r w:rsidRPr="00E1336C">
              <w:rPr>
                <w:rFonts w:cs="Times New Roman"/>
              </w:rPr>
              <w:t>Reference</w:t>
            </w:r>
          </w:p>
        </w:tc>
      </w:tr>
      <w:tr w:rsidR="004A2129" w:rsidRPr="00E1336C" w14:paraId="23F581C0" w14:textId="08C45FB1" w:rsidTr="0049645C">
        <w:trPr>
          <w:jc w:val="center"/>
        </w:trPr>
        <w:tc>
          <w:tcPr>
            <w:tcW w:w="692" w:type="pct"/>
            <w:tcBorders>
              <w:top w:val="single" w:sz="4" w:space="0" w:color="auto"/>
            </w:tcBorders>
            <w:vAlign w:val="center"/>
          </w:tcPr>
          <w:p w14:paraId="4568D9A7" w14:textId="67446DEC" w:rsidR="002E13E0" w:rsidRPr="00E1336C" w:rsidRDefault="00EF0F03" w:rsidP="00E2393D">
            <w:pPr>
              <w:jc w:val="center"/>
              <w:rPr>
                <w:rFonts w:cs="Times New Roman"/>
                <w:b/>
                <w:bCs/>
              </w:rPr>
            </w:pPr>
            <w:r w:rsidRPr="00E1336C">
              <w:rPr>
                <w:rFonts w:cs="Times New Roman"/>
                <w:b/>
                <w:bCs/>
              </w:rPr>
              <w:t>9a</w:t>
            </w:r>
          </w:p>
        </w:tc>
        <w:tc>
          <w:tcPr>
            <w:tcW w:w="386" w:type="pct"/>
            <w:tcBorders>
              <w:top w:val="single" w:sz="4" w:space="0" w:color="auto"/>
            </w:tcBorders>
            <w:vAlign w:val="center"/>
          </w:tcPr>
          <w:p w14:paraId="6272BC66" w14:textId="6F61C0C4" w:rsidR="002E13E0" w:rsidRPr="00E1336C" w:rsidRDefault="002E13E0" w:rsidP="00E2393D">
            <w:pPr>
              <w:jc w:val="center"/>
              <w:rPr>
                <w:rFonts w:cs="Times New Roman"/>
              </w:rPr>
            </w:pPr>
            <w:r w:rsidRPr="00E1336C">
              <w:rPr>
                <w:rFonts w:cs="Times New Roman"/>
              </w:rPr>
              <w:t>CHF</w:t>
            </w:r>
          </w:p>
        </w:tc>
        <w:tc>
          <w:tcPr>
            <w:tcW w:w="922" w:type="pct"/>
            <w:tcBorders>
              <w:top w:val="single" w:sz="4" w:space="0" w:color="auto"/>
            </w:tcBorders>
            <w:vAlign w:val="center"/>
          </w:tcPr>
          <w:p w14:paraId="66B28200" w14:textId="2C9394BE" w:rsidR="002E13E0" w:rsidRPr="00E1336C" w:rsidRDefault="002E13E0" w:rsidP="00E2393D">
            <w:pPr>
              <w:jc w:val="center"/>
              <w:rPr>
                <w:rFonts w:cs="Times New Roman"/>
                <w:i/>
              </w:rPr>
            </w:pPr>
            <w:r w:rsidRPr="00E1336C">
              <w:rPr>
                <w:rFonts w:cs="Times New Roman"/>
                <w:i/>
              </w:rPr>
              <w:t>R</w:t>
            </w:r>
          </w:p>
        </w:tc>
        <w:tc>
          <w:tcPr>
            <w:tcW w:w="434" w:type="pct"/>
            <w:tcBorders>
              <w:top w:val="single" w:sz="4" w:space="0" w:color="auto"/>
            </w:tcBorders>
            <w:vAlign w:val="center"/>
          </w:tcPr>
          <w:p w14:paraId="693217E2" w14:textId="34BE12F8" w:rsidR="002E13E0" w:rsidRPr="00E1336C" w:rsidRDefault="002E13E0" w:rsidP="00E2393D">
            <w:pPr>
              <w:jc w:val="center"/>
              <w:rPr>
                <w:rFonts w:cs="Times New Roman"/>
              </w:rPr>
            </w:pPr>
            <w:r w:rsidRPr="00E1336C">
              <w:rPr>
                <w:rFonts w:cs="Times New Roman"/>
              </w:rPr>
              <w:t>&gt; 99</w:t>
            </w:r>
          </w:p>
        </w:tc>
        <w:tc>
          <w:tcPr>
            <w:tcW w:w="550" w:type="pct"/>
            <w:tcBorders>
              <w:top w:val="single" w:sz="4" w:space="0" w:color="auto"/>
            </w:tcBorders>
            <w:vAlign w:val="center"/>
          </w:tcPr>
          <w:p w14:paraId="41CB29CB" w14:textId="7AEA74AE" w:rsidR="002E13E0" w:rsidRPr="00E1336C" w:rsidRDefault="002E13E0" w:rsidP="00E2393D">
            <w:pPr>
              <w:jc w:val="center"/>
              <w:rPr>
                <w:rFonts w:cs="Times New Roman"/>
              </w:rPr>
            </w:pPr>
            <w:r w:rsidRPr="00E1336C">
              <w:rPr>
                <w:rFonts w:cs="Times New Roman"/>
              </w:rPr>
              <w:t>68-71</w:t>
            </w:r>
          </w:p>
        </w:tc>
        <w:tc>
          <w:tcPr>
            <w:tcW w:w="680" w:type="pct"/>
            <w:tcBorders>
              <w:top w:val="single" w:sz="4" w:space="0" w:color="auto"/>
            </w:tcBorders>
            <w:vAlign w:val="center"/>
          </w:tcPr>
          <w:p w14:paraId="01602151" w14:textId="7A357722" w:rsidR="002E13E0" w:rsidRPr="00E1336C" w:rsidRDefault="002E13E0" w:rsidP="00BA3593">
            <w:pPr>
              <w:jc w:val="center"/>
              <w:rPr>
                <w:rFonts w:cs="Times New Roman"/>
                <w:color w:val="000000"/>
              </w:rPr>
            </w:pPr>
            <w:r w:rsidRPr="00E1336C">
              <w:rPr>
                <w:rFonts w:cs="Times New Roman"/>
                <w:color w:val="000000"/>
              </w:rPr>
              <w:t>17.46</w:t>
            </w:r>
          </w:p>
        </w:tc>
        <w:tc>
          <w:tcPr>
            <w:tcW w:w="656" w:type="pct"/>
            <w:tcBorders>
              <w:top w:val="single" w:sz="4" w:space="0" w:color="auto"/>
            </w:tcBorders>
            <w:vAlign w:val="center"/>
          </w:tcPr>
          <w:p w14:paraId="2A0F31C8" w14:textId="21AB2F37" w:rsidR="002E13E0" w:rsidRPr="00E1336C" w:rsidRDefault="002E13E0">
            <w:pPr>
              <w:jc w:val="center"/>
              <w:rPr>
                <w:rFonts w:cs="Times New Roman"/>
              </w:rPr>
            </w:pPr>
            <w:r w:rsidRPr="00E1336C">
              <w:rPr>
                <w:rFonts w:cs="Times New Roman"/>
                <w:color w:val="000000"/>
              </w:rPr>
              <w:t>19</w:t>
            </w:r>
            <w:r w:rsidR="00EF0F03" w:rsidRPr="00E1336C">
              <w:rPr>
                <w:rFonts w:cs="Times New Roman"/>
                <w:color w:val="000000"/>
              </w:rPr>
              <w:t>.</w:t>
            </w:r>
            <w:r w:rsidRPr="00E1336C">
              <w:rPr>
                <w:rFonts w:cs="Times New Roman"/>
                <w:color w:val="000000"/>
              </w:rPr>
              <w:t xml:space="preserve">20 </w:t>
            </w:r>
          </w:p>
        </w:tc>
        <w:tc>
          <w:tcPr>
            <w:tcW w:w="680" w:type="pct"/>
            <w:tcBorders>
              <w:top w:val="single" w:sz="4" w:space="0" w:color="auto"/>
            </w:tcBorders>
            <w:vAlign w:val="center"/>
          </w:tcPr>
          <w:p w14:paraId="7097BAAD" w14:textId="31C44E6C" w:rsidR="002E13E0" w:rsidRPr="00E1336C" w:rsidRDefault="002E13E0" w:rsidP="00E2393D">
            <w:pPr>
              <w:jc w:val="center"/>
              <w:rPr>
                <w:rFonts w:cs="Times New Roman"/>
              </w:rPr>
            </w:pPr>
            <w:r w:rsidRPr="00E1336C">
              <w:rPr>
                <w:rFonts w:cs="Times New Roman"/>
              </w:rPr>
              <w:t>-</w:t>
            </w:r>
          </w:p>
        </w:tc>
      </w:tr>
      <w:tr w:rsidR="004A2129" w:rsidRPr="00E1336C" w14:paraId="487F495A" w14:textId="24515D8E" w:rsidTr="0049645C">
        <w:trPr>
          <w:trHeight w:val="447"/>
          <w:jc w:val="center"/>
        </w:trPr>
        <w:tc>
          <w:tcPr>
            <w:tcW w:w="692" w:type="pct"/>
            <w:vAlign w:val="center"/>
          </w:tcPr>
          <w:p w14:paraId="1C7F7027" w14:textId="3F3F1457" w:rsidR="002E13E0" w:rsidRPr="00E1336C" w:rsidRDefault="00EF0F03" w:rsidP="00E2393D">
            <w:pPr>
              <w:jc w:val="center"/>
              <w:rPr>
                <w:rFonts w:cs="Times New Roman"/>
              </w:rPr>
            </w:pPr>
            <w:r w:rsidRPr="00E1336C">
              <w:rPr>
                <w:rFonts w:cs="Times New Roman"/>
                <w:b/>
                <w:bCs/>
              </w:rPr>
              <w:t>9b</w:t>
            </w:r>
          </w:p>
        </w:tc>
        <w:tc>
          <w:tcPr>
            <w:tcW w:w="386" w:type="pct"/>
            <w:vAlign w:val="center"/>
          </w:tcPr>
          <w:p w14:paraId="5FFE53FE" w14:textId="49F03B9C" w:rsidR="002E13E0" w:rsidRPr="00E1336C" w:rsidRDefault="002E13E0" w:rsidP="00E2393D">
            <w:pPr>
              <w:jc w:val="center"/>
              <w:rPr>
                <w:rFonts w:cs="Times New Roman"/>
              </w:rPr>
            </w:pPr>
            <w:r w:rsidRPr="00E1336C">
              <w:rPr>
                <w:rFonts w:cs="Times New Roman"/>
              </w:rPr>
              <w:t>CHF</w:t>
            </w:r>
          </w:p>
        </w:tc>
        <w:tc>
          <w:tcPr>
            <w:tcW w:w="922" w:type="pct"/>
            <w:vAlign w:val="center"/>
          </w:tcPr>
          <w:p w14:paraId="3AE93095" w14:textId="68670B72" w:rsidR="002E13E0" w:rsidRPr="00E1336C" w:rsidRDefault="002E13E0" w:rsidP="00E2393D">
            <w:pPr>
              <w:jc w:val="center"/>
              <w:rPr>
                <w:rFonts w:cs="Times New Roman"/>
                <w:i/>
              </w:rPr>
            </w:pPr>
            <w:r w:rsidRPr="00E1336C">
              <w:rPr>
                <w:rFonts w:cs="Times New Roman"/>
                <w:i/>
              </w:rPr>
              <w:t>S</w:t>
            </w:r>
          </w:p>
        </w:tc>
        <w:tc>
          <w:tcPr>
            <w:tcW w:w="434" w:type="pct"/>
            <w:vAlign w:val="center"/>
          </w:tcPr>
          <w:p w14:paraId="1EF9A0E4" w14:textId="542F04CE" w:rsidR="002E13E0" w:rsidRPr="00E1336C" w:rsidRDefault="002E13E0" w:rsidP="00E2393D">
            <w:pPr>
              <w:jc w:val="center"/>
              <w:rPr>
                <w:rFonts w:cs="Times New Roman"/>
              </w:rPr>
            </w:pPr>
            <w:r w:rsidRPr="00E1336C">
              <w:rPr>
                <w:rFonts w:cs="Times New Roman"/>
              </w:rPr>
              <w:t>&gt; 99</w:t>
            </w:r>
          </w:p>
        </w:tc>
        <w:tc>
          <w:tcPr>
            <w:tcW w:w="550" w:type="pct"/>
            <w:vAlign w:val="center"/>
          </w:tcPr>
          <w:p w14:paraId="699E1FB8" w14:textId="2AD83E5C" w:rsidR="002E13E0" w:rsidRPr="00E1336C" w:rsidRDefault="002E13E0" w:rsidP="00E2393D">
            <w:pPr>
              <w:jc w:val="center"/>
              <w:rPr>
                <w:rFonts w:cs="Times New Roman"/>
              </w:rPr>
            </w:pPr>
            <w:r w:rsidRPr="00E1336C">
              <w:rPr>
                <w:rFonts w:cs="Times New Roman"/>
              </w:rPr>
              <w:t>65-69</w:t>
            </w:r>
          </w:p>
        </w:tc>
        <w:tc>
          <w:tcPr>
            <w:tcW w:w="680" w:type="pct"/>
            <w:vAlign w:val="center"/>
          </w:tcPr>
          <w:p w14:paraId="4C0CF668" w14:textId="6BF64B6E" w:rsidR="002E13E0" w:rsidRPr="00E1336C" w:rsidRDefault="002E13E0" w:rsidP="00BA3593">
            <w:pPr>
              <w:jc w:val="center"/>
              <w:rPr>
                <w:rFonts w:cs="Times New Roman"/>
                <w:color w:val="000000"/>
              </w:rPr>
            </w:pPr>
            <w:r w:rsidRPr="00E1336C">
              <w:rPr>
                <w:rFonts w:cs="Times New Roman"/>
                <w:color w:val="000000"/>
              </w:rPr>
              <w:t>20</w:t>
            </w:r>
            <w:r w:rsidR="00BE17B9" w:rsidRPr="00E1336C">
              <w:rPr>
                <w:rFonts w:cs="Times New Roman"/>
                <w:color w:val="000000"/>
              </w:rPr>
              <w:t>.</w:t>
            </w:r>
            <w:r w:rsidRPr="00E1336C">
              <w:rPr>
                <w:rFonts w:cs="Times New Roman"/>
                <w:color w:val="000000"/>
              </w:rPr>
              <w:t>77</w:t>
            </w:r>
          </w:p>
        </w:tc>
        <w:tc>
          <w:tcPr>
            <w:tcW w:w="656" w:type="pct"/>
            <w:vAlign w:val="center"/>
          </w:tcPr>
          <w:p w14:paraId="7233CE53" w14:textId="71FC32C2" w:rsidR="002E13E0" w:rsidRPr="00E1336C" w:rsidRDefault="002E13E0">
            <w:pPr>
              <w:jc w:val="center"/>
              <w:rPr>
                <w:rFonts w:cs="Times New Roman"/>
              </w:rPr>
            </w:pPr>
            <w:r w:rsidRPr="00E1336C">
              <w:rPr>
                <w:rFonts w:cs="Times New Roman"/>
                <w:color w:val="000000"/>
              </w:rPr>
              <w:t>22</w:t>
            </w:r>
            <w:r w:rsidR="00EF0F03" w:rsidRPr="00E1336C">
              <w:rPr>
                <w:rFonts w:cs="Times New Roman"/>
                <w:color w:val="000000"/>
              </w:rPr>
              <w:t>.</w:t>
            </w:r>
            <w:r w:rsidRPr="00E1336C">
              <w:rPr>
                <w:rFonts w:cs="Times New Roman"/>
                <w:color w:val="000000"/>
              </w:rPr>
              <w:t>46</w:t>
            </w:r>
          </w:p>
        </w:tc>
        <w:tc>
          <w:tcPr>
            <w:tcW w:w="680" w:type="pct"/>
            <w:vAlign w:val="center"/>
          </w:tcPr>
          <w:p w14:paraId="607EC3C3" w14:textId="753389E3" w:rsidR="002E13E0" w:rsidRPr="00E1336C" w:rsidRDefault="002E13E0" w:rsidP="00E2393D">
            <w:pPr>
              <w:jc w:val="center"/>
              <w:rPr>
                <w:rFonts w:cs="Times New Roman"/>
              </w:rPr>
            </w:pPr>
            <w:r w:rsidRPr="00E1336C">
              <w:rPr>
                <w:rFonts w:cs="Times New Roman"/>
              </w:rPr>
              <w:t>-</w:t>
            </w:r>
          </w:p>
        </w:tc>
      </w:tr>
      <w:tr w:rsidR="004A2129" w:rsidRPr="00E1336C" w14:paraId="091ECCF4" w14:textId="0DD24F2E" w:rsidTr="0049645C">
        <w:trPr>
          <w:jc w:val="center"/>
        </w:trPr>
        <w:tc>
          <w:tcPr>
            <w:tcW w:w="692" w:type="pct"/>
            <w:vAlign w:val="center"/>
          </w:tcPr>
          <w:p w14:paraId="562DDDA2" w14:textId="02E07C1F" w:rsidR="002E13E0" w:rsidRPr="00E1336C" w:rsidRDefault="00EF0F03" w:rsidP="00E2393D">
            <w:pPr>
              <w:jc w:val="center"/>
              <w:rPr>
                <w:rFonts w:cs="Times New Roman"/>
              </w:rPr>
            </w:pPr>
            <w:r w:rsidRPr="00E1336C">
              <w:rPr>
                <w:rFonts w:cs="Times New Roman"/>
                <w:b/>
                <w:bCs/>
              </w:rPr>
              <w:t>9c</w:t>
            </w:r>
          </w:p>
        </w:tc>
        <w:tc>
          <w:tcPr>
            <w:tcW w:w="386" w:type="pct"/>
            <w:vAlign w:val="center"/>
          </w:tcPr>
          <w:p w14:paraId="389C64D2" w14:textId="40A43432" w:rsidR="002E13E0" w:rsidRPr="00E1336C" w:rsidRDefault="002E13E0" w:rsidP="00E2393D">
            <w:pPr>
              <w:jc w:val="center"/>
              <w:rPr>
                <w:rFonts w:cs="Times New Roman"/>
              </w:rPr>
            </w:pPr>
            <w:r w:rsidRPr="00E1336C">
              <w:rPr>
                <w:rFonts w:cs="Times New Roman"/>
              </w:rPr>
              <w:t>CHF</w:t>
            </w:r>
          </w:p>
        </w:tc>
        <w:tc>
          <w:tcPr>
            <w:tcW w:w="922" w:type="pct"/>
            <w:vAlign w:val="center"/>
          </w:tcPr>
          <w:p w14:paraId="62D4A561" w14:textId="337F888E" w:rsidR="002E13E0" w:rsidRPr="00E1336C" w:rsidRDefault="002E13E0" w:rsidP="00E2393D">
            <w:pPr>
              <w:jc w:val="center"/>
              <w:rPr>
                <w:rFonts w:cs="Times New Roman"/>
              </w:rPr>
            </w:pPr>
            <w:r w:rsidRPr="00E1336C">
              <w:rPr>
                <w:rFonts w:cs="Times New Roman"/>
              </w:rPr>
              <w:t>Racemate</w:t>
            </w:r>
          </w:p>
        </w:tc>
        <w:tc>
          <w:tcPr>
            <w:tcW w:w="434" w:type="pct"/>
            <w:vAlign w:val="center"/>
          </w:tcPr>
          <w:p w14:paraId="12D952F5" w14:textId="3EA6829B" w:rsidR="002E13E0" w:rsidRPr="00E1336C" w:rsidRDefault="002E13E0" w:rsidP="00E2393D">
            <w:pPr>
              <w:jc w:val="center"/>
              <w:rPr>
                <w:rFonts w:cs="Times New Roman"/>
              </w:rPr>
            </w:pPr>
            <w:r w:rsidRPr="00E1336C">
              <w:rPr>
                <w:rFonts w:cs="Times New Roman"/>
              </w:rPr>
              <w:t>-</w:t>
            </w:r>
          </w:p>
        </w:tc>
        <w:tc>
          <w:tcPr>
            <w:tcW w:w="550" w:type="pct"/>
            <w:vAlign w:val="center"/>
          </w:tcPr>
          <w:p w14:paraId="365036E1" w14:textId="14ED580B" w:rsidR="002E13E0" w:rsidRPr="00E1336C" w:rsidRDefault="002E13E0" w:rsidP="00E2393D">
            <w:pPr>
              <w:jc w:val="center"/>
              <w:rPr>
                <w:rFonts w:cs="Times New Roman"/>
              </w:rPr>
            </w:pPr>
            <w:r w:rsidRPr="00E1336C">
              <w:rPr>
                <w:rFonts w:cs="Times New Roman"/>
              </w:rPr>
              <w:t>58-61</w:t>
            </w:r>
          </w:p>
        </w:tc>
        <w:tc>
          <w:tcPr>
            <w:tcW w:w="680" w:type="pct"/>
            <w:vAlign w:val="center"/>
          </w:tcPr>
          <w:p w14:paraId="7D179171" w14:textId="524EAC0B" w:rsidR="002E13E0" w:rsidRPr="00E1336C" w:rsidRDefault="002E13E0" w:rsidP="00BA3593">
            <w:pPr>
              <w:jc w:val="center"/>
              <w:rPr>
                <w:rFonts w:cs="Times New Roman"/>
                <w:color w:val="000000"/>
              </w:rPr>
            </w:pPr>
            <w:r w:rsidRPr="00E1336C">
              <w:rPr>
                <w:rFonts w:cs="Times New Roman"/>
                <w:color w:val="000000"/>
              </w:rPr>
              <w:t>12.92</w:t>
            </w:r>
          </w:p>
        </w:tc>
        <w:tc>
          <w:tcPr>
            <w:tcW w:w="656" w:type="pct"/>
            <w:vAlign w:val="center"/>
          </w:tcPr>
          <w:p w14:paraId="3E562038" w14:textId="73341E8E" w:rsidR="002E13E0" w:rsidRPr="00E1336C" w:rsidRDefault="002E13E0">
            <w:pPr>
              <w:jc w:val="center"/>
              <w:rPr>
                <w:rFonts w:cs="Times New Roman"/>
              </w:rPr>
            </w:pPr>
            <w:r w:rsidRPr="00E1336C">
              <w:rPr>
                <w:rFonts w:cs="Times New Roman"/>
                <w:color w:val="000000"/>
              </w:rPr>
              <w:t>12</w:t>
            </w:r>
            <w:r w:rsidR="00EF0F03" w:rsidRPr="00E1336C">
              <w:rPr>
                <w:rFonts w:cs="Times New Roman"/>
                <w:color w:val="000000"/>
              </w:rPr>
              <w:t>.</w:t>
            </w:r>
            <w:r w:rsidRPr="00E1336C">
              <w:rPr>
                <w:rFonts w:cs="Times New Roman"/>
                <w:color w:val="000000"/>
              </w:rPr>
              <w:t>80</w:t>
            </w:r>
          </w:p>
        </w:tc>
        <w:tc>
          <w:tcPr>
            <w:tcW w:w="680" w:type="pct"/>
            <w:vAlign w:val="center"/>
          </w:tcPr>
          <w:p w14:paraId="58345227" w14:textId="3A9A430B" w:rsidR="002E13E0" w:rsidRPr="00E1336C" w:rsidRDefault="002E13E0" w:rsidP="00E2393D">
            <w:pPr>
              <w:jc w:val="center"/>
              <w:rPr>
                <w:rFonts w:cs="Times New Roman"/>
              </w:rPr>
            </w:pPr>
            <w:r w:rsidRPr="00E1336C">
              <w:rPr>
                <w:rFonts w:cs="Times New Roman"/>
              </w:rPr>
              <w:t>-</w:t>
            </w:r>
          </w:p>
        </w:tc>
      </w:tr>
      <w:tr w:rsidR="002F7623" w:rsidRPr="00E1336C" w14:paraId="516A790E" w14:textId="55395665" w:rsidTr="00CF2C1C">
        <w:trPr>
          <w:jc w:val="center"/>
        </w:trPr>
        <w:tc>
          <w:tcPr>
            <w:tcW w:w="692" w:type="pct"/>
            <w:vAlign w:val="center"/>
          </w:tcPr>
          <w:p w14:paraId="2F066EC7" w14:textId="26D70979" w:rsidR="002F7623" w:rsidRPr="00E1336C" w:rsidRDefault="002F7623" w:rsidP="002F7623">
            <w:pPr>
              <w:jc w:val="center"/>
              <w:rPr>
                <w:rFonts w:cs="Times New Roman"/>
                <w:b/>
                <w:bCs/>
              </w:rPr>
            </w:pPr>
            <w:r w:rsidRPr="00E1336C">
              <w:rPr>
                <w:rFonts w:cs="Times New Roman"/>
                <w:b/>
                <w:bCs/>
              </w:rPr>
              <w:t>E209</w:t>
            </w:r>
            <w:r w:rsidRPr="00E1336C">
              <w:rPr>
                <w:rFonts w:cs="Times New Roman"/>
                <w:b/>
                <w:bCs/>
                <w:vertAlign w:val="superscript"/>
              </w:rPr>
              <w:t xml:space="preserve"> b</w:t>
            </w:r>
          </w:p>
        </w:tc>
        <w:tc>
          <w:tcPr>
            <w:tcW w:w="386" w:type="pct"/>
            <w:vAlign w:val="center"/>
          </w:tcPr>
          <w:p w14:paraId="24D48270" w14:textId="295AECF8" w:rsidR="002F7623" w:rsidRPr="00E1336C" w:rsidRDefault="002F7623" w:rsidP="002F7623">
            <w:pPr>
              <w:jc w:val="center"/>
              <w:rPr>
                <w:rFonts w:cs="Times New Roman"/>
              </w:rPr>
            </w:pPr>
            <w:r w:rsidRPr="00E1336C">
              <w:rPr>
                <w:rFonts w:cs="Times New Roman"/>
              </w:rPr>
              <w:t>CHF</w:t>
            </w:r>
          </w:p>
        </w:tc>
        <w:tc>
          <w:tcPr>
            <w:tcW w:w="922" w:type="pct"/>
            <w:vAlign w:val="center"/>
          </w:tcPr>
          <w:p w14:paraId="079CDABB" w14:textId="20419C92" w:rsidR="002F7623" w:rsidRPr="00E1336C" w:rsidRDefault="002F7623" w:rsidP="002F7623">
            <w:pPr>
              <w:jc w:val="center"/>
              <w:rPr>
                <w:rFonts w:cs="Times New Roman"/>
              </w:rPr>
            </w:pPr>
            <w:r w:rsidRPr="00E1336C">
              <w:rPr>
                <w:rFonts w:cs="Times New Roman"/>
              </w:rPr>
              <w:t>-</w:t>
            </w:r>
          </w:p>
        </w:tc>
        <w:tc>
          <w:tcPr>
            <w:tcW w:w="434" w:type="pct"/>
            <w:vAlign w:val="center"/>
          </w:tcPr>
          <w:p w14:paraId="277FFBD2" w14:textId="1020428B" w:rsidR="002F7623" w:rsidRPr="00E1336C" w:rsidRDefault="002F7623" w:rsidP="002F7623">
            <w:pPr>
              <w:jc w:val="center"/>
              <w:rPr>
                <w:rFonts w:cs="Times New Roman"/>
              </w:rPr>
            </w:pPr>
            <w:r w:rsidRPr="00E1336C">
              <w:rPr>
                <w:rFonts w:cs="Times New Roman"/>
              </w:rPr>
              <w:t>-</w:t>
            </w:r>
          </w:p>
        </w:tc>
        <w:tc>
          <w:tcPr>
            <w:tcW w:w="550" w:type="pct"/>
            <w:vAlign w:val="center"/>
          </w:tcPr>
          <w:p w14:paraId="73EC707E" w14:textId="21B085F7" w:rsidR="002F7623" w:rsidRPr="00E1336C" w:rsidRDefault="002F7623" w:rsidP="002F7623">
            <w:pPr>
              <w:jc w:val="center"/>
              <w:rPr>
                <w:rFonts w:cs="Times New Roman"/>
              </w:rPr>
            </w:pPr>
            <w:r w:rsidRPr="00E1336C">
              <w:rPr>
                <w:rFonts w:cs="Times New Roman"/>
              </w:rPr>
              <w:t>182-183</w:t>
            </w:r>
          </w:p>
        </w:tc>
        <w:tc>
          <w:tcPr>
            <w:tcW w:w="680" w:type="pct"/>
          </w:tcPr>
          <w:p w14:paraId="31B96A0D" w14:textId="744CAC6F" w:rsidR="002F7623" w:rsidRPr="00E1336C" w:rsidRDefault="002F7623" w:rsidP="002F7623">
            <w:pPr>
              <w:jc w:val="center"/>
              <w:rPr>
                <w:rFonts w:cs="Times New Roman"/>
              </w:rPr>
            </w:pPr>
            <w:r w:rsidRPr="00E1336C">
              <w:t>8.96</w:t>
            </w:r>
          </w:p>
        </w:tc>
        <w:tc>
          <w:tcPr>
            <w:tcW w:w="656" w:type="pct"/>
          </w:tcPr>
          <w:p w14:paraId="50A47D5F" w14:textId="15CA64B6" w:rsidR="002F7623" w:rsidRPr="00E1336C" w:rsidRDefault="002F7623" w:rsidP="002F7623">
            <w:pPr>
              <w:jc w:val="center"/>
              <w:rPr>
                <w:rFonts w:cs="Times New Roman"/>
              </w:rPr>
            </w:pPr>
            <w:r w:rsidRPr="00E1336C">
              <w:t>8.49</w:t>
            </w:r>
          </w:p>
        </w:tc>
        <w:tc>
          <w:tcPr>
            <w:tcW w:w="680" w:type="pct"/>
            <w:vAlign w:val="center"/>
          </w:tcPr>
          <w:p w14:paraId="13B43E34" w14:textId="1E00CEFB" w:rsidR="002F7623" w:rsidRPr="00E1336C" w:rsidRDefault="002F7623" w:rsidP="002F7623">
            <w:pPr>
              <w:jc w:val="center"/>
              <w:rPr>
                <w:rFonts w:cs="Times New Roman"/>
              </w:rPr>
            </w:pPr>
            <w:r w:rsidRPr="00E1336C">
              <w:rPr>
                <w:rFonts w:cs="Times New Roman"/>
              </w:rPr>
              <w:fldChar w:fldCharType="begin" w:fldLock="1"/>
            </w:r>
            <w:r w:rsidRPr="00E1336C">
              <w:rPr>
                <w:rFonts w:cs="Times New Roman"/>
              </w:rPr>
              <w:instrText>ADDIN CSL_CITATION {"citationItems":[{"id":"ITEM-1","itemData":{"DOI":"10.1038/ncomms15159","ISSN":"20411723","PMID":"28537265","abstract":"K13 gene mutations are a primary marker of artemisinin resistance in Plasmodium falciparum malaria that threatens the long-term clinical utility of artemisinin-based combination therapies, the cornerstone of modern day malaria treatment. Here we describe a multinational drug discovery programme that has delivered a synthetic tetraoxane-based molecule, E209, which meets key requirements of the Medicines for Malaria Venture drug candidate profiles. E209 has potent nanomolar inhibitory activity against multiple strains of P. falciparum and P. vivax in vitro, is efficacious against P. falciparum in in vivo rodent models, produces parasite reduction ratios equivalent to dihydroartemisinin and has pharmacokinetic and pharmacodynamic characteristics compatible with a single-dose cure. In vitro studies with transgenic parasites expressing variant forms of K13 show no cross-resistance with the C580Y mutation, the primary variant observed in Southeast Asia. E209 is a superior next generation endoperoxide with combined pharmacokinetic and pharmacodynamic features that overcome the liabilities of artemisinin derivatives.","author":[{"dropping-particle":"","family":"O'Neill","given":"Paul M.","non-dropping-particle":"","parse-names":false,"suffix":""},{"dropping-particle":"","family":"Amewu","given":"Richard K.","non-dropping-particle":"","parse-names":false,"suffix":""},{"dropping-particle":"","family":"Charman","given":"Susan A.","non-dropping-particle":"","parse-names":false,"suffix":""},{"dropping-particle":"","family":"Sabbani","given":"Sunil","non-dropping-particle":"","parse-names":false,"suffix":""},{"dropping-particle":"","family":"Gnädig","given":"Nina F.","non-dropping-particle":"","parse-names":false,"suffix":""},{"dropping-particle":"","family":"Straimer","given":"Judith","non-dropping-particle":"","parse-names":false,"suffix":""},{"dropping-particle":"","family":"Fidock","given":"David A.","non-dropping-particle":"","parse-names":false,"suffix":""},{"dropping-particle":"","family":"Shore","given":"Emma R.","non-dropping-particle":"","parse-names":false,"suffix":""},{"dropping-particle":"","family":"Roberts","given":"Natalie L.","non-dropping-particle":"","parse-names":false,"suffix":""},{"dropping-particle":"","family":"Wong","given":"Michael H.L.","non-dropping-particle":"","parse-names":false,"suffix":""},{"dropping-particle":"","family":"Hong","given":"W. David","non-dropping-particle":"","parse-names":false,"suffix":""},{"dropping-particle":"","family":"Pidathala","given":"Chandrakala","non-dropping-particle":"","parse-names":false,"suffix":""},{"dropping-particle":"","family":"Riley","given":"Chris","non-dropping-particle":"","parse-names":false,"suffix":""},{"dropping-particle":"","family":"Murphy","given":"Ben","non-dropping-particle":"","parse-names":false,"suffix":""},{"dropping-particle":"","family":"Aljayyoussi","given":"Ghaith","non-dropping-particle":"","parse-names":false,"suffix":""},{"dropping-particle":"","family":"Gamo","given":"Francisco Javier","non-dropping-particle":"","parse-names":false,"suffix":""},{"dropping-particle":"","family":"Sanz","given":"Laura","non-dropping-particle":"","parse-names":false,"suffix":""},{"dropping-particle":"","family":"Rodrigues","given":"Janneth","non-dropping-particle":"","parse-names":false,"suffix":""},{"dropping-particle":"","family":"Cortes","given":"Carolina Gonzalez","non-dropping-particle":"","parse-names":false,"suffix":""},{"dropping-particle":"","family":"Herreros","given":"Esperanza","non-dropping-particle":"","parse-names":false,"suffix":""},{"dropping-particle":"","family":"Angulo-Barturén","given":"Iñigo","non-dropping-particle":"","parse-names":false,"suffix":""},{"dropping-particle":"","family":"Jiménez-Díaz","given":"María Belén","non-dropping-particle":"","parse-names":false,"suffix":""},{"dropping-particle":"","family":"Bazaga","given":"Santiago Ferrer","non-dropping-particle":"","parse-names":false,"suffix":""},{"dropping-particle":"","family":"Martínez-Martínez","given":"María Santos","non-dropping-particle":"","parse-names":false,"suffix":""},{"dropping-particle":"","family":"Campo","given":"Brice","non-dropping-particle":"","parse-names":false,"suffix":""},{"dropping-particle":"","family":"Sharma","given":"Raman","non-dropping-particle":"","parse-names":false,"suffix":""},{"dropping-particle":"","family":"Ryan","given":"Eileen","non-dropping-particle":"","parse-names":false,"suffix":""},{"dropping-particle":"","family":"Shackleford","given":"David M.","non-dropping-particle":"","parse-names":false,"suffix":""},{"dropping-particle":"","family":"Campbell","given":"Simon","non-dropping-particle":"","parse-names":false,"suffix":""},{"dropping-particle":"","family":"Smith","given":"Dennis A.","non-dropping-particle":"","parse-names":false,"suffix":""},{"dropping-particle":"","family":"Wirjanata","given":"Grennady","non-dropping-particle":"","parse-names":false,"suffix":""},{"dropping-particle":"","family":"Noviyanti","given":"Rintis","non-dropping-particle":"","parse-names":false,"suffix":""},{"dropping-particle":"","family":"Price","given":"Ric N.","non-dropping-particle":"","parse-names":false,"suffix":""},{"dropping-particle":"","family":"Marfurt","given":"Jutta","non-dropping-particle":"","parse-names":false,"suffix":""},{"dropping-particle":"","family":"Palmer","given":"Michael J.","non-dropping-particle":"","parse-names":false,"suffix":""},{"dropping-particle":"","family":"Copple","given":"Ian M.","non-dropping-particle":"","parse-names":false,"suffix":""},{"dropping-particle":"","family":"Mercer","given":"Amy E.","non-dropping-particle":"","parse-names":false,"suffix":""},{"dropping-particle":"","family":"Ruecker","given":"Andrea","non-dropping-particle":"","parse-names":false,"suffix":""},{"dropping-particle":"","family":"Delves","given":"Michael J.","non-dropping-particle":"","parse-names":false,"suffix":""},{"dropping-particle":"","family":"Sinden","given":"Robert E.","non-dropping-particle":"","parse-names":false,"suffix":""},{"dropping-particle":"","family":"Siegl","given":"Peter","non-dropping-particle":"","parse-names":false,"suffix":""},{"dropping-particle":"","family":"Davies","given":"Jill","non-dropping-particle":"","parse-names":false,"suffix":""},{"dropping-particle":"","family":"Rochford","given":"Rosemary","non-dropping-particle":"","parse-names":false,"suffix":""},{"dropping-particle":"","family":"Kocken","given":"Clemens H.M.","non-dropping-particle":"","parse-names":false,"suffix":""},{"dropping-particle":"","family":"Zeeman","given":"Anne Marie","non-dropping-particle":"","parse-names":false,"suffix":""},{"dropping-particle":"","family":"Nixon","given":"Gemma L.","non-dropping-particle":"","parse-names":false,"suffix":""},{"dropping-particle":"","family":"Biagini","given":"Giancarlo A.","non-dropping-particle":"","parse-names":false,"suffix":""},{"dropping-particle":"","family":"Ward","given":"Stephen A.","non-dropping-particle":"","parse-names":false,"suffix":""}],"container-title":"Nature Communications","id":"ITEM-1","issued":{"date-parts":[["2017"]]},"page":"15159","title":"A tetraoxane-based antimalarial drug candidate that overcomes PfK13-C580Y dependent artemisinin resistance","type":"article-journal","volume":"8"},"uris":["http://www.mendeley.com/documents/?uuid=a8359039-f330-4b02-89f8-01ba6ccd592d"]}],"mendeley":{"formattedCitation":"&lt;sup&gt;17&lt;/sup&gt;","plainTextFormattedCitation":"17","previouslyFormattedCitation":"&lt;sup&gt;17&lt;/sup&gt;"},"properties":{"noteIndex":0},"schema":"https://github.com/citation-style-language/schema/raw/master/csl-citation.json"}</w:instrText>
            </w:r>
            <w:r w:rsidRPr="00E1336C">
              <w:rPr>
                <w:rFonts w:cs="Times New Roman"/>
              </w:rPr>
              <w:fldChar w:fldCharType="separate"/>
            </w:r>
            <w:r w:rsidRPr="00E1336C">
              <w:rPr>
                <w:rFonts w:cs="Times New Roman"/>
                <w:noProof/>
                <w:vertAlign w:val="superscript"/>
              </w:rPr>
              <w:t>17</w:t>
            </w:r>
            <w:r w:rsidRPr="00E1336C">
              <w:rPr>
                <w:rFonts w:cs="Times New Roman"/>
              </w:rPr>
              <w:fldChar w:fldCharType="end"/>
            </w:r>
          </w:p>
        </w:tc>
      </w:tr>
      <w:tr w:rsidR="004A2129" w:rsidRPr="00E1336C" w14:paraId="31A13719" w14:textId="461FFA31" w:rsidTr="0049645C">
        <w:trPr>
          <w:jc w:val="center"/>
        </w:trPr>
        <w:tc>
          <w:tcPr>
            <w:tcW w:w="692" w:type="pct"/>
            <w:vAlign w:val="center"/>
          </w:tcPr>
          <w:p w14:paraId="7DA9607D" w14:textId="5BE73F63" w:rsidR="002E13E0" w:rsidRPr="00E1336C" w:rsidRDefault="00EF0F03" w:rsidP="00E2393D">
            <w:pPr>
              <w:jc w:val="center"/>
              <w:rPr>
                <w:rFonts w:cs="Times New Roman"/>
              </w:rPr>
            </w:pPr>
            <w:r w:rsidRPr="00E1336C">
              <w:rPr>
                <w:rFonts w:cs="Times New Roman"/>
                <w:b/>
                <w:bCs/>
              </w:rPr>
              <w:t>10a</w:t>
            </w:r>
          </w:p>
        </w:tc>
        <w:tc>
          <w:tcPr>
            <w:tcW w:w="386" w:type="pct"/>
            <w:vAlign w:val="center"/>
          </w:tcPr>
          <w:p w14:paraId="65E78FEC" w14:textId="74B98AAE" w:rsidR="002E13E0" w:rsidRPr="00E1336C" w:rsidRDefault="002E13E0" w:rsidP="00E2393D">
            <w:pPr>
              <w:jc w:val="center"/>
              <w:rPr>
                <w:rFonts w:cs="Times New Roman"/>
              </w:rPr>
            </w:pPr>
            <w:r w:rsidRPr="00E1336C">
              <w:rPr>
                <w:rFonts w:cs="Times New Roman"/>
              </w:rPr>
              <w:t>O</w:t>
            </w:r>
          </w:p>
        </w:tc>
        <w:tc>
          <w:tcPr>
            <w:tcW w:w="922" w:type="pct"/>
            <w:vAlign w:val="center"/>
          </w:tcPr>
          <w:p w14:paraId="7F893BF4" w14:textId="7E98E494" w:rsidR="002E13E0" w:rsidRPr="00E1336C" w:rsidRDefault="002E13E0" w:rsidP="00E2393D">
            <w:pPr>
              <w:jc w:val="center"/>
              <w:rPr>
                <w:rFonts w:cs="Times New Roman"/>
                <w:i/>
              </w:rPr>
            </w:pPr>
            <w:r w:rsidRPr="00E1336C">
              <w:rPr>
                <w:rFonts w:cs="Times New Roman"/>
                <w:i/>
              </w:rPr>
              <w:t>R</w:t>
            </w:r>
          </w:p>
        </w:tc>
        <w:tc>
          <w:tcPr>
            <w:tcW w:w="434" w:type="pct"/>
            <w:vAlign w:val="center"/>
          </w:tcPr>
          <w:p w14:paraId="4ECDFD12" w14:textId="5177B33F" w:rsidR="002E13E0" w:rsidRPr="00E1336C" w:rsidRDefault="002E13E0" w:rsidP="00E2393D">
            <w:pPr>
              <w:jc w:val="center"/>
              <w:rPr>
                <w:rFonts w:cs="Times New Roman"/>
              </w:rPr>
            </w:pPr>
            <w:r w:rsidRPr="00E1336C">
              <w:rPr>
                <w:rFonts w:cs="Times New Roman"/>
              </w:rPr>
              <w:t>99</w:t>
            </w:r>
          </w:p>
        </w:tc>
        <w:tc>
          <w:tcPr>
            <w:tcW w:w="550" w:type="pct"/>
            <w:vAlign w:val="center"/>
          </w:tcPr>
          <w:p w14:paraId="4F727813" w14:textId="0FF570A4" w:rsidR="002E13E0" w:rsidRPr="00E1336C" w:rsidRDefault="002E13E0" w:rsidP="00E2393D">
            <w:pPr>
              <w:jc w:val="center"/>
              <w:rPr>
                <w:rFonts w:cs="Times New Roman"/>
              </w:rPr>
            </w:pPr>
            <w:r w:rsidRPr="00E1336C">
              <w:rPr>
                <w:rFonts w:cs="Times New Roman"/>
              </w:rPr>
              <w:t>61-65</w:t>
            </w:r>
          </w:p>
        </w:tc>
        <w:tc>
          <w:tcPr>
            <w:tcW w:w="680" w:type="pct"/>
            <w:vAlign w:val="center"/>
          </w:tcPr>
          <w:p w14:paraId="22B27DBE" w14:textId="2F2B0E45" w:rsidR="002E13E0" w:rsidRPr="00E1336C" w:rsidRDefault="002E13E0" w:rsidP="00BA3593">
            <w:pPr>
              <w:jc w:val="center"/>
              <w:rPr>
                <w:rFonts w:cs="Times New Roman"/>
                <w:color w:val="000000"/>
              </w:rPr>
            </w:pPr>
            <w:r w:rsidRPr="00E1336C">
              <w:rPr>
                <w:rFonts w:cs="Times New Roman"/>
                <w:color w:val="000000"/>
              </w:rPr>
              <w:t>17.38</w:t>
            </w:r>
          </w:p>
        </w:tc>
        <w:tc>
          <w:tcPr>
            <w:tcW w:w="656" w:type="pct"/>
            <w:vAlign w:val="center"/>
          </w:tcPr>
          <w:p w14:paraId="75755740" w14:textId="78246282" w:rsidR="002E13E0" w:rsidRPr="00E1336C" w:rsidRDefault="002E13E0">
            <w:pPr>
              <w:jc w:val="center"/>
              <w:rPr>
                <w:rFonts w:cs="Times New Roman"/>
              </w:rPr>
            </w:pPr>
            <w:r w:rsidRPr="00E1336C">
              <w:rPr>
                <w:rFonts w:cs="Times New Roman"/>
                <w:color w:val="000000"/>
              </w:rPr>
              <w:t>15</w:t>
            </w:r>
            <w:r w:rsidR="00EF0F03" w:rsidRPr="00E1336C">
              <w:rPr>
                <w:rFonts w:cs="Times New Roman"/>
                <w:color w:val="000000"/>
              </w:rPr>
              <w:t>.</w:t>
            </w:r>
            <w:r w:rsidRPr="00E1336C">
              <w:rPr>
                <w:rFonts w:cs="Times New Roman"/>
                <w:color w:val="000000"/>
              </w:rPr>
              <w:t xml:space="preserve">98 </w:t>
            </w:r>
          </w:p>
        </w:tc>
        <w:tc>
          <w:tcPr>
            <w:tcW w:w="680" w:type="pct"/>
            <w:vAlign w:val="center"/>
          </w:tcPr>
          <w:p w14:paraId="53CE08CF" w14:textId="41EDCBF5" w:rsidR="002E13E0" w:rsidRPr="00E1336C" w:rsidRDefault="002E13E0" w:rsidP="00E2393D">
            <w:pPr>
              <w:jc w:val="center"/>
              <w:rPr>
                <w:rFonts w:cs="Times New Roman"/>
              </w:rPr>
            </w:pPr>
            <w:r w:rsidRPr="00E1336C">
              <w:rPr>
                <w:rFonts w:cs="Times New Roman"/>
              </w:rPr>
              <w:t>-</w:t>
            </w:r>
          </w:p>
        </w:tc>
      </w:tr>
      <w:tr w:rsidR="004A2129" w:rsidRPr="00E1336C" w14:paraId="132E788E" w14:textId="7FC90BCA" w:rsidTr="0049645C">
        <w:trPr>
          <w:jc w:val="center"/>
        </w:trPr>
        <w:tc>
          <w:tcPr>
            <w:tcW w:w="692" w:type="pct"/>
            <w:vAlign w:val="center"/>
          </w:tcPr>
          <w:p w14:paraId="10CB95DF" w14:textId="26E40146" w:rsidR="002E13E0" w:rsidRPr="00E1336C" w:rsidRDefault="00EF0F03" w:rsidP="00E2393D">
            <w:pPr>
              <w:jc w:val="center"/>
              <w:rPr>
                <w:rFonts w:cs="Times New Roman"/>
              </w:rPr>
            </w:pPr>
            <w:r w:rsidRPr="00E1336C">
              <w:rPr>
                <w:rFonts w:cs="Times New Roman"/>
                <w:b/>
                <w:bCs/>
              </w:rPr>
              <w:t>10b</w:t>
            </w:r>
          </w:p>
        </w:tc>
        <w:tc>
          <w:tcPr>
            <w:tcW w:w="386" w:type="pct"/>
            <w:vAlign w:val="center"/>
          </w:tcPr>
          <w:p w14:paraId="6D41530B" w14:textId="0D0A34D1" w:rsidR="002E13E0" w:rsidRPr="00E1336C" w:rsidRDefault="002E13E0" w:rsidP="00E2393D">
            <w:pPr>
              <w:jc w:val="center"/>
              <w:rPr>
                <w:rFonts w:cs="Times New Roman"/>
              </w:rPr>
            </w:pPr>
            <w:r w:rsidRPr="00E1336C">
              <w:rPr>
                <w:rFonts w:cs="Times New Roman"/>
              </w:rPr>
              <w:t>O</w:t>
            </w:r>
          </w:p>
        </w:tc>
        <w:tc>
          <w:tcPr>
            <w:tcW w:w="922" w:type="pct"/>
            <w:vAlign w:val="center"/>
          </w:tcPr>
          <w:p w14:paraId="7E1BAE53" w14:textId="4B29CA06" w:rsidR="002E13E0" w:rsidRPr="00E1336C" w:rsidRDefault="002E13E0" w:rsidP="00E2393D">
            <w:pPr>
              <w:jc w:val="center"/>
              <w:rPr>
                <w:rFonts w:cs="Times New Roman"/>
                <w:i/>
              </w:rPr>
            </w:pPr>
            <w:r w:rsidRPr="00E1336C">
              <w:rPr>
                <w:rFonts w:cs="Times New Roman"/>
                <w:i/>
              </w:rPr>
              <w:t>S</w:t>
            </w:r>
          </w:p>
        </w:tc>
        <w:tc>
          <w:tcPr>
            <w:tcW w:w="434" w:type="pct"/>
            <w:vAlign w:val="center"/>
          </w:tcPr>
          <w:p w14:paraId="06FBA48F" w14:textId="05D61166" w:rsidR="002E13E0" w:rsidRPr="00E1336C" w:rsidRDefault="002E13E0" w:rsidP="004A2129">
            <w:pPr>
              <w:jc w:val="center"/>
              <w:rPr>
                <w:rFonts w:cs="Times New Roman"/>
              </w:rPr>
            </w:pPr>
            <w:r w:rsidRPr="00E1336C">
              <w:rPr>
                <w:rFonts w:cs="Times New Roman"/>
              </w:rPr>
              <w:t>9</w:t>
            </w:r>
            <w:r w:rsidR="004A2129" w:rsidRPr="00E1336C">
              <w:rPr>
                <w:rFonts w:cs="Times New Roman"/>
              </w:rPr>
              <w:t>8</w:t>
            </w:r>
          </w:p>
        </w:tc>
        <w:tc>
          <w:tcPr>
            <w:tcW w:w="550" w:type="pct"/>
            <w:vAlign w:val="center"/>
          </w:tcPr>
          <w:p w14:paraId="7EE4C5E8" w14:textId="49E110A2" w:rsidR="002E13E0" w:rsidRPr="00E1336C" w:rsidRDefault="002E13E0" w:rsidP="00A4720D">
            <w:pPr>
              <w:jc w:val="center"/>
              <w:rPr>
                <w:rFonts w:cs="Times New Roman"/>
              </w:rPr>
            </w:pPr>
            <w:r w:rsidRPr="00E1336C">
              <w:rPr>
                <w:rFonts w:cs="Times New Roman"/>
              </w:rPr>
              <w:t>56-</w:t>
            </w:r>
            <w:r w:rsidR="00A4720D" w:rsidRPr="00E1336C">
              <w:rPr>
                <w:rFonts w:cs="Times New Roman"/>
              </w:rPr>
              <w:t>62</w:t>
            </w:r>
          </w:p>
        </w:tc>
        <w:tc>
          <w:tcPr>
            <w:tcW w:w="680" w:type="pct"/>
            <w:vAlign w:val="center"/>
          </w:tcPr>
          <w:p w14:paraId="5D2F7F7D" w14:textId="21CF329A" w:rsidR="002E13E0" w:rsidRPr="00E1336C" w:rsidRDefault="002E13E0" w:rsidP="00BA3593">
            <w:pPr>
              <w:jc w:val="center"/>
              <w:rPr>
                <w:rFonts w:cs="Times New Roman"/>
                <w:color w:val="000000"/>
              </w:rPr>
            </w:pPr>
            <w:r w:rsidRPr="00E1336C">
              <w:rPr>
                <w:rFonts w:cs="Times New Roman"/>
                <w:color w:val="000000"/>
              </w:rPr>
              <w:t>15.96</w:t>
            </w:r>
          </w:p>
        </w:tc>
        <w:tc>
          <w:tcPr>
            <w:tcW w:w="656" w:type="pct"/>
            <w:vAlign w:val="center"/>
          </w:tcPr>
          <w:p w14:paraId="29894BD2" w14:textId="006623FD" w:rsidR="002E13E0" w:rsidRPr="00E1336C" w:rsidRDefault="002E13E0">
            <w:pPr>
              <w:jc w:val="center"/>
              <w:rPr>
                <w:rFonts w:cs="Times New Roman"/>
              </w:rPr>
            </w:pPr>
            <w:r w:rsidRPr="00E1336C">
              <w:rPr>
                <w:rFonts w:cs="Times New Roman"/>
                <w:color w:val="000000"/>
              </w:rPr>
              <w:t>15</w:t>
            </w:r>
            <w:r w:rsidR="00EF0F03" w:rsidRPr="00E1336C">
              <w:rPr>
                <w:rFonts w:cs="Times New Roman"/>
                <w:color w:val="000000"/>
              </w:rPr>
              <w:t>.</w:t>
            </w:r>
            <w:r w:rsidRPr="00E1336C">
              <w:rPr>
                <w:rFonts w:cs="Times New Roman"/>
                <w:color w:val="000000"/>
              </w:rPr>
              <w:t xml:space="preserve">82 </w:t>
            </w:r>
          </w:p>
        </w:tc>
        <w:tc>
          <w:tcPr>
            <w:tcW w:w="680" w:type="pct"/>
            <w:vAlign w:val="center"/>
          </w:tcPr>
          <w:p w14:paraId="5ED6500C" w14:textId="1C05A6F7" w:rsidR="002E13E0" w:rsidRPr="00E1336C" w:rsidRDefault="002E13E0" w:rsidP="00E2393D">
            <w:pPr>
              <w:jc w:val="center"/>
              <w:rPr>
                <w:rFonts w:cs="Times New Roman"/>
              </w:rPr>
            </w:pPr>
            <w:r w:rsidRPr="00E1336C">
              <w:rPr>
                <w:rFonts w:cs="Times New Roman"/>
              </w:rPr>
              <w:t>-</w:t>
            </w:r>
          </w:p>
        </w:tc>
      </w:tr>
      <w:tr w:rsidR="004A2129" w:rsidRPr="00E1336C" w14:paraId="7F968CB4" w14:textId="1E2FB18E" w:rsidTr="0049645C">
        <w:trPr>
          <w:jc w:val="center"/>
        </w:trPr>
        <w:tc>
          <w:tcPr>
            <w:tcW w:w="692" w:type="pct"/>
            <w:vAlign w:val="center"/>
          </w:tcPr>
          <w:p w14:paraId="78D39B13" w14:textId="697F61A5" w:rsidR="002E13E0" w:rsidRPr="00E1336C" w:rsidRDefault="00EF0F03" w:rsidP="00EF0F03">
            <w:pPr>
              <w:jc w:val="center"/>
              <w:rPr>
                <w:rFonts w:cs="Times New Roman"/>
              </w:rPr>
            </w:pPr>
            <w:r w:rsidRPr="00E1336C">
              <w:rPr>
                <w:rFonts w:cs="Times New Roman"/>
                <w:b/>
                <w:bCs/>
              </w:rPr>
              <w:t>10</w:t>
            </w:r>
            <w:r w:rsidR="002E13E0" w:rsidRPr="00E1336C">
              <w:rPr>
                <w:rFonts w:cs="Times New Roman"/>
                <w:b/>
                <w:bCs/>
              </w:rPr>
              <w:t>c</w:t>
            </w:r>
          </w:p>
        </w:tc>
        <w:tc>
          <w:tcPr>
            <w:tcW w:w="386" w:type="pct"/>
            <w:vAlign w:val="center"/>
          </w:tcPr>
          <w:p w14:paraId="68F130A5" w14:textId="5B98F64A" w:rsidR="002E13E0" w:rsidRPr="00E1336C" w:rsidRDefault="002E13E0" w:rsidP="00E2393D">
            <w:pPr>
              <w:jc w:val="center"/>
              <w:rPr>
                <w:rFonts w:cs="Times New Roman"/>
              </w:rPr>
            </w:pPr>
            <w:r w:rsidRPr="00E1336C">
              <w:rPr>
                <w:rFonts w:cs="Times New Roman"/>
              </w:rPr>
              <w:t>O</w:t>
            </w:r>
          </w:p>
        </w:tc>
        <w:tc>
          <w:tcPr>
            <w:tcW w:w="922" w:type="pct"/>
            <w:vAlign w:val="center"/>
          </w:tcPr>
          <w:p w14:paraId="07E416D1" w14:textId="5FD47038" w:rsidR="002E13E0" w:rsidRPr="00E1336C" w:rsidRDefault="002E13E0" w:rsidP="00E2393D">
            <w:pPr>
              <w:jc w:val="center"/>
              <w:rPr>
                <w:rFonts w:cs="Times New Roman"/>
              </w:rPr>
            </w:pPr>
            <w:r w:rsidRPr="00E1336C">
              <w:rPr>
                <w:rFonts w:cs="Times New Roman"/>
              </w:rPr>
              <w:t>Racemate</w:t>
            </w:r>
          </w:p>
        </w:tc>
        <w:tc>
          <w:tcPr>
            <w:tcW w:w="434" w:type="pct"/>
            <w:vAlign w:val="center"/>
          </w:tcPr>
          <w:p w14:paraId="544C007A" w14:textId="73E20A0E" w:rsidR="002E13E0" w:rsidRPr="00E1336C" w:rsidRDefault="002E13E0" w:rsidP="00E2393D">
            <w:pPr>
              <w:jc w:val="center"/>
              <w:rPr>
                <w:rFonts w:cs="Times New Roman"/>
              </w:rPr>
            </w:pPr>
            <w:r w:rsidRPr="00E1336C">
              <w:rPr>
                <w:rFonts w:cs="Times New Roman"/>
              </w:rPr>
              <w:t>-</w:t>
            </w:r>
          </w:p>
        </w:tc>
        <w:tc>
          <w:tcPr>
            <w:tcW w:w="550" w:type="pct"/>
            <w:vAlign w:val="center"/>
          </w:tcPr>
          <w:p w14:paraId="02BB3D23" w14:textId="41A8A2A3" w:rsidR="002E13E0" w:rsidRPr="00E1336C" w:rsidRDefault="002E13E0" w:rsidP="00E2393D">
            <w:pPr>
              <w:jc w:val="center"/>
              <w:rPr>
                <w:rFonts w:cs="Times New Roman"/>
              </w:rPr>
            </w:pPr>
            <w:r w:rsidRPr="00E1336C">
              <w:rPr>
                <w:rFonts w:cs="Times New Roman"/>
              </w:rPr>
              <w:t>56-58</w:t>
            </w:r>
          </w:p>
        </w:tc>
        <w:tc>
          <w:tcPr>
            <w:tcW w:w="680" w:type="pct"/>
            <w:vAlign w:val="center"/>
          </w:tcPr>
          <w:p w14:paraId="252239BD" w14:textId="24D50701" w:rsidR="002E13E0" w:rsidRPr="00E1336C" w:rsidRDefault="002E13E0" w:rsidP="00BA3593">
            <w:pPr>
              <w:jc w:val="center"/>
              <w:rPr>
                <w:rFonts w:cs="Times New Roman"/>
                <w:color w:val="000000"/>
              </w:rPr>
            </w:pPr>
            <w:r w:rsidRPr="00E1336C">
              <w:rPr>
                <w:rFonts w:cs="Times New Roman"/>
                <w:color w:val="000000"/>
              </w:rPr>
              <w:t>16.39</w:t>
            </w:r>
          </w:p>
        </w:tc>
        <w:tc>
          <w:tcPr>
            <w:tcW w:w="656" w:type="pct"/>
            <w:vAlign w:val="center"/>
          </w:tcPr>
          <w:p w14:paraId="64252202" w14:textId="56D1F4BF" w:rsidR="002E13E0" w:rsidRPr="00E1336C" w:rsidRDefault="002E13E0">
            <w:pPr>
              <w:jc w:val="center"/>
              <w:rPr>
                <w:rFonts w:cs="Times New Roman"/>
              </w:rPr>
            </w:pPr>
            <w:r w:rsidRPr="00E1336C">
              <w:rPr>
                <w:rFonts w:cs="Times New Roman"/>
                <w:color w:val="000000"/>
              </w:rPr>
              <w:t>17</w:t>
            </w:r>
            <w:r w:rsidR="00EF0F03" w:rsidRPr="00E1336C">
              <w:rPr>
                <w:rFonts w:cs="Times New Roman"/>
                <w:color w:val="000000"/>
              </w:rPr>
              <w:t>.</w:t>
            </w:r>
            <w:r w:rsidRPr="00E1336C">
              <w:rPr>
                <w:rFonts w:cs="Times New Roman"/>
                <w:color w:val="000000"/>
              </w:rPr>
              <w:t xml:space="preserve">68 </w:t>
            </w:r>
          </w:p>
        </w:tc>
        <w:tc>
          <w:tcPr>
            <w:tcW w:w="680" w:type="pct"/>
            <w:vAlign w:val="center"/>
          </w:tcPr>
          <w:p w14:paraId="26BB5EB1" w14:textId="6792C2A7" w:rsidR="002E13E0" w:rsidRPr="00E1336C" w:rsidRDefault="002E13E0" w:rsidP="00E2393D">
            <w:pPr>
              <w:jc w:val="center"/>
              <w:rPr>
                <w:rFonts w:cs="Times New Roman"/>
              </w:rPr>
            </w:pPr>
            <w:r w:rsidRPr="00E1336C">
              <w:rPr>
                <w:rFonts w:cs="Times New Roman"/>
              </w:rPr>
              <w:t>-</w:t>
            </w:r>
          </w:p>
        </w:tc>
      </w:tr>
      <w:tr w:rsidR="00B535F2" w:rsidRPr="00E1336C" w14:paraId="3C9CF638" w14:textId="7158C138" w:rsidTr="00B535F2">
        <w:trPr>
          <w:jc w:val="center"/>
        </w:trPr>
        <w:tc>
          <w:tcPr>
            <w:tcW w:w="692" w:type="pct"/>
            <w:vAlign w:val="center"/>
          </w:tcPr>
          <w:p w14:paraId="4269D244" w14:textId="4FA72AA3" w:rsidR="00B535F2" w:rsidRPr="00E1336C" w:rsidRDefault="00B535F2" w:rsidP="00B535F2">
            <w:pPr>
              <w:jc w:val="center"/>
              <w:rPr>
                <w:rFonts w:cs="Times New Roman"/>
                <w:b/>
                <w:bCs/>
              </w:rPr>
            </w:pPr>
            <w:r w:rsidRPr="00E1336C">
              <w:rPr>
                <w:rFonts w:cs="Times New Roman"/>
                <w:b/>
                <w:bCs/>
              </w:rPr>
              <w:t>16</w:t>
            </w:r>
          </w:p>
        </w:tc>
        <w:tc>
          <w:tcPr>
            <w:tcW w:w="386" w:type="pct"/>
            <w:vAlign w:val="center"/>
          </w:tcPr>
          <w:p w14:paraId="70B45C2F" w14:textId="4C560AFE" w:rsidR="00B535F2" w:rsidRPr="00E1336C" w:rsidRDefault="00B535F2" w:rsidP="00B535F2">
            <w:pPr>
              <w:jc w:val="center"/>
              <w:rPr>
                <w:rFonts w:cs="Times New Roman"/>
              </w:rPr>
            </w:pPr>
            <w:r w:rsidRPr="00E1336C">
              <w:rPr>
                <w:rFonts w:cs="Times New Roman"/>
              </w:rPr>
              <w:t>O</w:t>
            </w:r>
          </w:p>
        </w:tc>
        <w:tc>
          <w:tcPr>
            <w:tcW w:w="922" w:type="pct"/>
            <w:vAlign w:val="center"/>
          </w:tcPr>
          <w:p w14:paraId="52415CFA" w14:textId="1BF07D0E" w:rsidR="00B535F2" w:rsidRPr="00E1336C" w:rsidRDefault="00B535F2" w:rsidP="00B535F2">
            <w:pPr>
              <w:jc w:val="center"/>
              <w:rPr>
                <w:rFonts w:cs="Times New Roman"/>
              </w:rPr>
            </w:pPr>
            <w:r w:rsidRPr="00E1336C">
              <w:rPr>
                <w:rFonts w:cs="Times New Roman"/>
              </w:rPr>
              <w:t>-</w:t>
            </w:r>
          </w:p>
        </w:tc>
        <w:tc>
          <w:tcPr>
            <w:tcW w:w="434" w:type="pct"/>
            <w:vAlign w:val="center"/>
          </w:tcPr>
          <w:p w14:paraId="3098BDDC" w14:textId="73FA4033" w:rsidR="00B535F2" w:rsidRPr="00E1336C" w:rsidRDefault="00B535F2" w:rsidP="00B535F2">
            <w:pPr>
              <w:jc w:val="center"/>
              <w:rPr>
                <w:rFonts w:cs="Times New Roman"/>
              </w:rPr>
            </w:pPr>
            <w:r w:rsidRPr="00E1336C">
              <w:rPr>
                <w:rFonts w:cs="Times New Roman"/>
              </w:rPr>
              <w:t>-</w:t>
            </w:r>
          </w:p>
        </w:tc>
        <w:tc>
          <w:tcPr>
            <w:tcW w:w="550" w:type="pct"/>
            <w:vAlign w:val="center"/>
          </w:tcPr>
          <w:p w14:paraId="6EB86EFF" w14:textId="466438DF" w:rsidR="00B535F2" w:rsidRPr="00E1336C" w:rsidRDefault="00B535F2" w:rsidP="00B535F2">
            <w:pPr>
              <w:jc w:val="center"/>
              <w:rPr>
                <w:rFonts w:cs="Times New Roman"/>
              </w:rPr>
            </w:pPr>
            <w:r w:rsidRPr="00E1336C">
              <w:rPr>
                <w:rFonts w:cs="Times New Roman"/>
              </w:rPr>
              <w:t>106-108</w:t>
            </w:r>
          </w:p>
        </w:tc>
        <w:tc>
          <w:tcPr>
            <w:tcW w:w="680" w:type="pct"/>
          </w:tcPr>
          <w:p w14:paraId="0557D94C" w14:textId="1DDC911F" w:rsidR="00B535F2" w:rsidRPr="00E1336C" w:rsidRDefault="00B535F2" w:rsidP="00B535F2">
            <w:pPr>
              <w:jc w:val="center"/>
              <w:rPr>
                <w:rFonts w:cs="Times New Roman"/>
              </w:rPr>
            </w:pPr>
            <w:r w:rsidRPr="00E1336C">
              <w:t>12.37</w:t>
            </w:r>
          </w:p>
        </w:tc>
        <w:tc>
          <w:tcPr>
            <w:tcW w:w="656" w:type="pct"/>
          </w:tcPr>
          <w:p w14:paraId="348710D1" w14:textId="7BE653A6" w:rsidR="00B535F2" w:rsidRPr="00E1336C" w:rsidRDefault="00B535F2" w:rsidP="00B535F2">
            <w:pPr>
              <w:jc w:val="center"/>
              <w:rPr>
                <w:rFonts w:cs="Times New Roman"/>
              </w:rPr>
            </w:pPr>
            <w:r w:rsidRPr="00E1336C">
              <w:t>10.12</w:t>
            </w:r>
          </w:p>
        </w:tc>
        <w:tc>
          <w:tcPr>
            <w:tcW w:w="680" w:type="pct"/>
            <w:vAlign w:val="center"/>
          </w:tcPr>
          <w:p w14:paraId="74F98511" w14:textId="65388C55" w:rsidR="00B535F2" w:rsidRPr="00E1336C" w:rsidRDefault="00B535F2" w:rsidP="00B535F2">
            <w:pPr>
              <w:jc w:val="center"/>
              <w:rPr>
                <w:rFonts w:cs="Times New Roman"/>
              </w:rPr>
            </w:pPr>
            <w:r w:rsidRPr="00E1336C">
              <w:rPr>
                <w:rFonts w:cs="Times New Roman"/>
              </w:rPr>
              <w:fldChar w:fldCharType="begin" w:fldLock="1"/>
            </w:r>
            <w:r w:rsidRPr="00E1336C">
              <w:rPr>
                <w:rFonts w:cs="Times New Roman"/>
              </w:rPr>
              <w:instrText>ADDIN CSL_CITATION {"citationItems":[{"id":"ITEM-1","itemData":{"DOI":"10.1016/j.tet.2016.08.043","ISSN":"14645416","abstract":"An efficient route to the synthesis of potent antimalarial aryloxy 1,2,4,5-tetraoxanes is described that permits parallel synthesis for Structure–Activity Relationship (SAR) investigations. Brief details of the in vitro and in vivo antimalarial evaluation are included which enables identification of antimalarial leads for further development. Also described is an improved approach to the synthesis of a selected late-lead compound in just four or five synthetic steps from commercially available starting materials.","author":[{"dropping-particle":"","family":"O' Neill","given":"Paul M.","non-dropping-particle":"","parse-names":false,"suffix":""},{"dropping-particle":"","family":"Sabbani","given":"Sunil","non-dropping-particle":"","parse-names":false,"suffix":""},{"dropping-particle":"","family":"Nixon","given":"Gemma L.","non-dropping-particle":"","parse-names":false,"suffix":""},{"dropping-particle":"","family":"Schnaderbeck","given":"Matthew","non-dropping-particle":"","parse-names":false,"suffix":""},{"dropping-particle":"","family":"Roberts","given":"Natalie L.","non-dropping-particle":"","parse-names":false,"suffix":""},{"dropping-particle":"","family":"Shore","given":"Emma R.","non-dropping-particle":"","parse-names":false,"suffix":""},{"dropping-particle":"","family":"Riley","given":"Christopher","non-dropping-particle":"","parse-names":false,"suffix":""},{"dropping-particle":"","family":"Murphy","given":"Ben","non-dropping-particle":"","parse-names":false,"suffix":""},{"dropping-particle":"","family":"McGillan","given":"Paul","non-dropping-particle":"","parse-names":false,"suffix":""},{"dropping-particle":"","family":"Ward","given":"Stephen A.","non-dropping-particle":"","parse-names":false,"suffix":""},{"dropping-particle":"","family":"Davies","given":"Jill","non-dropping-particle":"","parse-names":false,"suffix":""},{"dropping-particle":"","family":"Amewu","given":"Richard K.","non-dropping-particle":"","parse-names":false,"suffix":""}],"container-title":"Tetrahedron","id":"ITEM-1","issue":"40","issued":{"date-parts":[["2016","10","6"]]},"page":"6118-6126","publisher":"Pergamon","title":"Optimisation of the synthesis of second generation 1,2,4,5 tetraoxane antimalarials","type":"article-journal","volume":"72"},"uris":["http://www.mendeley.com/documents/?uuid=213fdcb8-56bb-4ffa-a2b3-43fe20b77377"]}],"mendeley":{"formattedCitation":"&lt;sup&gt;26&lt;/sup&gt;","plainTextFormattedCitation":"26","previouslyFormattedCitation":"&lt;sup&gt;26&lt;/sup&gt;"},"properties":{"noteIndex":0},"schema":"https://github.com/citation-style-language/schema/raw/master/csl-citation.json"}</w:instrText>
            </w:r>
            <w:r w:rsidRPr="00E1336C">
              <w:rPr>
                <w:rFonts w:cs="Times New Roman"/>
              </w:rPr>
              <w:fldChar w:fldCharType="separate"/>
            </w:r>
            <w:r w:rsidRPr="00E1336C">
              <w:rPr>
                <w:rFonts w:cs="Times New Roman"/>
                <w:noProof/>
                <w:vertAlign w:val="superscript"/>
              </w:rPr>
              <w:t>26</w:t>
            </w:r>
            <w:r w:rsidRPr="00E1336C">
              <w:rPr>
                <w:rFonts w:cs="Times New Roman"/>
              </w:rPr>
              <w:fldChar w:fldCharType="end"/>
            </w:r>
          </w:p>
        </w:tc>
      </w:tr>
      <w:tr w:rsidR="004A2129" w:rsidRPr="00E1336C" w14:paraId="28616462" w14:textId="5A389084" w:rsidTr="0049645C">
        <w:trPr>
          <w:jc w:val="center"/>
        </w:trPr>
        <w:tc>
          <w:tcPr>
            <w:tcW w:w="692" w:type="pct"/>
            <w:vAlign w:val="center"/>
          </w:tcPr>
          <w:p w14:paraId="4DA0CE66" w14:textId="4C205BD7" w:rsidR="002E13E0" w:rsidRPr="00E1336C" w:rsidRDefault="00EF0F03" w:rsidP="00E2393D">
            <w:pPr>
              <w:jc w:val="center"/>
              <w:rPr>
                <w:rFonts w:cs="Times New Roman"/>
              </w:rPr>
            </w:pPr>
            <w:r w:rsidRPr="00E1336C">
              <w:rPr>
                <w:rFonts w:cs="Times New Roman"/>
                <w:b/>
                <w:bCs/>
              </w:rPr>
              <w:t>14a</w:t>
            </w:r>
          </w:p>
        </w:tc>
        <w:tc>
          <w:tcPr>
            <w:tcW w:w="386" w:type="pct"/>
            <w:vAlign w:val="center"/>
          </w:tcPr>
          <w:p w14:paraId="2D1B0662" w14:textId="01AD257E" w:rsidR="002E13E0" w:rsidRPr="00E1336C" w:rsidRDefault="002E13E0" w:rsidP="00E2393D">
            <w:pPr>
              <w:jc w:val="center"/>
              <w:rPr>
                <w:rFonts w:cs="Times New Roman"/>
              </w:rPr>
            </w:pPr>
            <w:r w:rsidRPr="00E1336C">
              <w:rPr>
                <w:rFonts w:cs="Times New Roman"/>
              </w:rPr>
              <w:t>O</w:t>
            </w:r>
          </w:p>
        </w:tc>
        <w:tc>
          <w:tcPr>
            <w:tcW w:w="922" w:type="pct"/>
            <w:vAlign w:val="center"/>
          </w:tcPr>
          <w:p w14:paraId="00D0A397" w14:textId="253992EA" w:rsidR="002E13E0" w:rsidRPr="00E1336C" w:rsidRDefault="002E13E0" w:rsidP="00E2393D">
            <w:pPr>
              <w:jc w:val="center"/>
              <w:rPr>
                <w:rFonts w:cs="Times New Roman"/>
                <w:i/>
              </w:rPr>
            </w:pPr>
            <w:r w:rsidRPr="00E1336C">
              <w:rPr>
                <w:rFonts w:cs="Times New Roman"/>
                <w:i/>
              </w:rPr>
              <w:t>R</w:t>
            </w:r>
          </w:p>
        </w:tc>
        <w:tc>
          <w:tcPr>
            <w:tcW w:w="434" w:type="pct"/>
            <w:vAlign w:val="center"/>
          </w:tcPr>
          <w:p w14:paraId="5F207DFE" w14:textId="2CC5DFF1" w:rsidR="002E13E0" w:rsidRPr="00E1336C" w:rsidRDefault="002E13E0" w:rsidP="00E2393D">
            <w:pPr>
              <w:jc w:val="center"/>
              <w:rPr>
                <w:rFonts w:cs="Times New Roman"/>
              </w:rPr>
            </w:pPr>
            <w:r w:rsidRPr="00E1336C">
              <w:rPr>
                <w:rFonts w:cs="Times New Roman"/>
              </w:rPr>
              <w:t>98</w:t>
            </w:r>
          </w:p>
        </w:tc>
        <w:tc>
          <w:tcPr>
            <w:tcW w:w="550" w:type="pct"/>
            <w:vAlign w:val="center"/>
          </w:tcPr>
          <w:p w14:paraId="7C8E6492" w14:textId="3E2CFE96" w:rsidR="002E13E0" w:rsidRPr="00E1336C" w:rsidRDefault="002E13E0" w:rsidP="00E2393D">
            <w:pPr>
              <w:jc w:val="center"/>
              <w:rPr>
                <w:rFonts w:cs="Times New Roman"/>
              </w:rPr>
            </w:pPr>
            <w:r w:rsidRPr="00E1336C">
              <w:rPr>
                <w:rFonts w:cs="Times New Roman"/>
              </w:rPr>
              <w:t>93-95</w:t>
            </w:r>
          </w:p>
        </w:tc>
        <w:tc>
          <w:tcPr>
            <w:tcW w:w="680" w:type="pct"/>
            <w:vAlign w:val="center"/>
          </w:tcPr>
          <w:p w14:paraId="7801B556" w14:textId="1B7A68AA" w:rsidR="002E13E0" w:rsidRPr="00E1336C" w:rsidRDefault="002E13E0" w:rsidP="00BA3593">
            <w:pPr>
              <w:jc w:val="center"/>
              <w:rPr>
                <w:rFonts w:cs="Times New Roman"/>
                <w:color w:val="000000"/>
              </w:rPr>
            </w:pPr>
            <w:r w:rsidRPr="00E1336C">
              <w:rPr>
                <w:rFonts w:cs="Times New Roman"/>
                <w:color w:val="000000"/>
              </w:rPr>
              <w:t>12.49</w:t>
            </w:r>
          </w:p>
        </w:tc>
        <w:tc>
          <w:tcPr>
            <w:tcW w:w="656" w:type="pct"/>
            <w:vAlign w:val="center"/>
          </w:tcPr>
          <w:p w14:paraId="7DB51E89" w14:textId="10703208" w:rsidR="002E13E0" w:rsidRPr="00E1336C" w:rsidRDefault="002E13E0">
            <w:pPr>
              <w:jc w:val="center"/>
              <w:rPr>
                <w:rFonts w:cs="Times New Roman"/>
              </w:rPr>
            </w:pPr>
            <w:r w:rsidRPr="00E1336C">
              <w:rPr>
                <w:rFonts w:cs="Times New Roman"/>
                <w:color w:val="000000"/>
              </w:rPr>
              <w:t>11</w:t>
            </w:r>
            <w:r w:rsidR="00EF0F03" w:rsidRPr="00E1336C">
              <w:rPr>
                <w:rFonts w:cs="Times New Roman"/>
                <w:color w:val="000000"/>
              </w:rPr>
              <w:t>.</w:t>
            </w:r>
            <w:r w:rsidRPr="00E1336C">
              <w:rPr>
                <w:rFonts w:cs="Times New Roman"/>
                <w:color w:val="000000"/>
              </w:rPr>
              <w:t>25</w:t>
            </w:r>
          </w:p>
        </w:tc>
        <w:tc>
          <w:tcPr>
            <w:tcW w:w="680" w:type="pct"/>
            <w:vAlign w:val="center"/>
          </w:tcPr>
          <w:p w14:paraId="470CFAA2" w14:textId="5992466D" w:rsidR="002E13E0" w:rsidRPr="00E1336C" w:rsidRDefault="002E13E0" w:rsidP="00E2393D">
            <w:pPr>
              <w:jc w:val="center"/>
              <w:rPr>
                <w:rFonts w:cs="Times New Roman"/>
              </w:rPr>
            </w:pPr>
            <w:r w:rsidRPr="00E1336C">
              <w:rPr>
                <w:rFonts w:cs="Times New Roman"/>
              </w:rPr>
              <w:t>-</w:t>
            </w:r>
          </w:p>
        </w:tc>
      </w:tr>
      <w:tr w:rsidR="004A2129" w:rsidRPr="00E1336C" w14:paraId="7008430C" w14:textId="29D2847E" w:rsidTr="0049645C">
        <w:trPr>
          <w:jc w:val="center"/>
        </w:trPr>
        <w:tc>
          <w:tcPr>
            <w:tcW w:w="692" w:type="pct"/>
            <w:vAlign w:val="center"/>
          </w:tcPr>
          <w:p w14:paraId="0B9C53D5" w14:textId="3B3C181A" w:rsidR="002E13E0" w:rsidRPr="00E1336C" w:rsidRDefault="00EF0F03" w:rsidP="00E2393D">
            <w:pPr>
              <w:jc w:val="center"/>
              <w:rPr>
                <w:rFonts w:cs="Times New Roman"/>
              </w:rPr>
            </w:pPr>
            <w:r w:rsidRPr="00E1336C">
              <w:rPr>
                <w:rFonts w:cs="Times New Roman"/>
                <w:b/>
                <w:bCs/>
              </w:rPr>
              <w:t>14b</w:t>
            </w:r>
          </w:p>
        </w:tc>
        <w:tc>
          <w:tcPr>
            <w:tcW w:w="386" w:type="pct"/>
            <w:vAlign w:val="center"/>
          </w:tcPr>
          <w:p w14:paraId="0748CCD4" w14:textId="6A840041" w:rsidR="002E13E0" w:rsidRPr="00E1336C" w:rsidRDefault="002E13E0" w:rsidP="00E2393D">
            <w:pPr>
              <w:jc w:val="center"/>
              <w:rPr>
                <w:rFonts w:cs="Times New Roman"/>
              </w:rPr>
            </w:pPr>
            <w:r w:rsidRPr="00E1336C">
              <w:rPr>
                <w:rFonts w:cs="Times New Roman"/>
              </w:rPr>
              <w:t>O</w:t>
            </w:r>
          </w:p>
        </w:tc>
        <w:tc>
          <w:tcPr>
            <w:tcW w:w="922" w:type="pct"/>
            <w:vAlign w:val="center"/>
          </w:tcPr>
          <w:p w14:paraId="0EE68835" w14:textId="40042344" w:rsidR="002E13E0" w:rsidRPr="00E1336C" w:rsidRDefault="002E13E0" w:rsidP="00E2393D">
            <w:pPr>
              <w:jc w:val="center"/>
              <w:rPr>
                <w:rFonts w:cs="Times New Roman"/>
                <w:i/>
              </w:rPr>
            </w:pPr>
            <w:r w:rsidRPr="00E1336C">
              <w:rPr>
                <w:rFonts w:cs="Times New Roman"/>
                <w:i/>
              </w:rPr>
              <w:t>S</w:t>
            </w:r>
          </w:p>
        </w:tc>
        <w:tc>
          <w:tcPr>
            <w:tcW w:w="434" w:type="pct"/>
            <w:vAlign w:val="center"/>
          </w:tcPr>
          <w:p w14:paraId="3D040CA8" w14:textId="0B7563F5" w:rsidR="002E13E0" w:rsidRPr="00E1336C" w:rsidRDefault="002E13E0" w:rsidP="00E2393D">
            <w:pPr>
              <w:jc w:val="center"/>
              <w:rPr>
                <w:rFonts w:cs="Times New Roman"/>
              </w:rPr>
            </w:pPr>
            <w:r w:rsidRPr="00E1336C">
              <w:rPr>
                <w:rFonts w:cs="Times New Roman"/>
              </w:rPr>
              <w:t xml:space="preserve"> 99</w:t>
            </w:r>
          </w:p>
        </w:tc>
        <w:tc>
          <w:tcPr>
            <w:tcW w:w="550" w:type="pct"/>
            <w:vAlign w:val="center"/>
          </w:tcPr>
          <w:p w14:paraId="5F6653BC" w14:textId="4D7A1300" w:rsidR="002E13E0" w:rsidRPr="00E1336C" w:rsidRDefault="002E13E0" w:rsidP="00E2393D">
            <w:pPr>
              <w:jc w:val="center"/>
              <w:rPr>
                <w:rFonts w:cs="Times New Roman"/>
              </w:rPr>
            </w:pPr>
            <w:r w:rsidRPr="00E1336C">
              <w:rPr>
                <w:rFonts w:cs="Times New Roman"/>
              </w:rPr>
              <w:t>93-95</w:t>
            </w:r>
          </w:p>
        </w:tc>
        <w:tc>
          <w:tcPr>
            <w:tcW w:w="680" w:type="pct"/>
            <w:vAlign w:val="center"/>
          </w:tcPr>
          <w:p w14:paraId="520CFCB6" w14:textId="420DF72F" w:rsidR="002E13E0" w:rsidRPr="00E1336C" w:rsidRDefault="002E13E0" w:rsidP="00BA3593">
            <w:pPr>
              <w:jc w:val="center"/>
              <w:rPr>
                <w:rFonts w:cs="Times New Roman"/>
                <w:color w:val="000000"/>
              </w:rPr>
            </w:pPr>
            <w:r w:rsidRPr="00E1336C">
              <w:rPr>
                <w:rFonts w:cs="Times New Roman"/>
                <w:color w:val="000000"/>
              </w:rPr>
              <w:t>15.22</w:t>
            </w:r>
          </w:p>
        </w:tc>
        <w:tc>
          <w:tcPr>
            <w:tcW w:w="656" w:type="pct"/>
            <w:vAlign w:val="center"/>
          </w:tcPr>
          <w:p w14:paraId="73A730CE" w14:textId="31885E8F" w:rsidR="002E13E0" w:rsidRPr="00E1336C" w:rsidRDefault="002E13E0">
            <w:pPr>
              <w:jc w:val="center"/>
              <w:rPr>
                <w:rFonts w:cs="Times New Roman"/>
              </w:rPr>
            </w:pPr>
            <w:r w:rsidRPr="00E1336C">
              <w:rPr>
                <w:rFonts w:cs="Times New Roman"/>
                <w:color w:val="000000"/>
              </w:rPr>
              <w:t>15</w:t>
            </w:r>
            <w:r w:rsidR="00EF0F03" w:rsidRPr="00E1336C">
              <w:rPr>
                <w:rFonts w:cs="Times New Roman"/>
                <w:color w:val="000000"/>
              </w:rPr>
              <w:t>.</w:t>
            </w:r>
            <w:r w:rsidRPr="00E1336C">
              <w:rPr>
                <w:rFonts w:cs="Times New Roman"/>
                <w:color w:val="000000"/>
              </w:rPr>
              <w:t xml:space="preserve">20 </w:t>
            </w:r>
          </w:p>
        </w:tc>
        <w:tc>
          <w:tcPr>
            <w:tcW w:w="680" w:type="pct"/>
            <w:vAlign w:val="center"/>
          </w:tcPr>
          <w:p w14:paraId="0C31A7F9" w14:textId="55B88D91" w:rsidR="002E13E0" w:rsidRPr="00E1336C" w:rsidRDefault="002E13E0" w:rsidP="00E2393D">
            <w:pPr>
              <w:jc w:val="center"/>
              <w:rPr>
                <w:rFonts w:cs="Times New Roman"/>
              </w:rPr>
            </w:pPr>
            <w:r w:rsidRPr="00E1336C">
              <w:rPr>
                <w:rFonts w:cs="Times New Roman"/>
              </w:rPr>
              <w:t>-</w:t>
            </w:r>
          </w:p>
        </w:tc>
      </w:tr>
      <w:tr w:rsidR="00B535F2" w:rsidRPr="00E1336C" w14:paraId="1FB612B0" w14:textId="77777777" w:rsidTr="00B535F2">
        <w:trPr>
          <w:jc w:val="center"/>
        </w:trPr>
        <w:tc>
          <w:tcPr>
            <w:tcW w:w="692" w:type="pct"/>
            <w:vAlign w:val="center"/>
          </w:tcPr>
          <w:p w14:paraId="7790B43F" w14:textId="603E8BEC" w:rsidR="00B535F2" w:rsidRPr="00E1336C" w:rsidRDefault="00B535F2" w:rsidP="00B535F2">
            <w:pPr>
              <w:jc w:val="center"/>
              <w:rPr>
                <w:rFonts w:cs="Times New Roman"/>
                <w:b/>
                <w:bCs/>
              </w:rPr>
            </w:pPr>
            <w:r w:rsidRPr="00E1336C">
              <w:rPr>
                <w:rFonts w:cs="Times New Roman"/>
                <w:b/>
                <w:bCs/>
              </w:rPr>
              <w:t>14c</w:t>
            </w:r>
          </w:p>
        </w:tc>
        <w:tc>
          <w:tcPr>
            <w:tcW w:w="386" w:type="pct"/>
            <w:vAlign w:val="center"/>
          </w:tcPr>
          <w:p w14:paraId="055FDF95" w14:textId="5A8AB6F2" w:rsidR="00B535F2" w:rsidRPr="00E1336C" w:rsidRDefault="00B535F2" w:rsidP="00B535F2">
            <w:pPr>
              <w:jc w:val="center"/>
              <w:rPr>
                <w:rFonts w:cs="Times New Roman"/>
              </w:rPr>
            </w:pPr>
            <w:r w:rsidRPr="00E1336C">
              <w:rPr>
                <w:rFonts w:cs="Times New Roman"/>
              </w:rPr>
              <w:t>O</w:t>
            </w:r>
          </w:p>
        </w:tc>
        <w:tc>
          <w:tcPr>
            <w:tcW w:w="922" w:type="pct"/>
            <w:vAlign w:val="center"/>
          </w:tcPr>
          <w:p w14:paraId="4A1112FF" w14:textId="6B1E7328" w:rsidR="00B535F2" w:rsidRPr="00E1336C" w:rsidRDefault="00B535F2" w:rsidP="00B535F2">
            <w:pPr>
              <w:jc w:val="center"/>
              <w:rPr>
                <w:rFonts w:cs="Times New Roman"/>
              </w:rPr>
            </w:pPr>
            <w:r w:rsidRPr="00E1336C">
              <w:rPr>
                <w:rFonts w:cs="Times New Roman"/>
              </w:rPr>
              <w:t>Racemate</w:t>
            </w:r>
          </w:p>
        </w:tc>
        <w:tc>
          <w:tcPr>
            <w:tcW w:w="434" w:type="pct"/>
            <w:vAlign w:val="center"/>
          </w:tcPr>
          <w:p w14:paraId="0C129F80" w14:textId="0A34C656" w:rsidR="00B535F2" w:rsidRPr="00E1336C" w:rsidRDefault="00B535F2" w:rsidP="00B535F2">
            <w:pPr>
              <w:jc w:val="center"/>
              <w:rPr>
                <w:rFonts w:cs="Times New Roman"/>
              </w:rPr>
            </w:pPr>
            <w:r w:rsidRPr="00E1336C">
              <w:rPr>
                <w:rFonts w:cs="Times New Roman"/>
              </w:rPr>
              <w:t>-</w:t>
            </w:r>
          </w:p>
        </w:tc>
        <w:tc>
          <w:tcPr>
            <w:tcW w:w="550" w:type="pct"/>
            <w:vAlign w:val="center"/>
          </w:tcPr>
          <w:p w14:paraId="417DA354" w14:textId="0EEA0472" w:rsidR="00B535F2" w:rsidRPr="00E1336C" w:rsidRDefault="00972BD3" w:rsidP="00B535F2">
            <w:pPr>
              <w:jc w:val="center"/>
              <w:rPr>
                <w:rFonts w:cs="Times New Roman"/>
              </w:rPr>
            </w:pPr>
            <w:r w:rsidRPr="00E1336C">
              <w:t>73-75</w:t>
            </w:r>
          </w:p>
        </w:tc>
        <w:tc>
          <w:tcPr>
            <w:tcW w:w="680" w:type="pct"/>
          </w:tcPr>
          <w:p w14:paraId="0BEF9F57" w14:textId="15D57769" w:rsidR="00B535F2" w:rsidRPr="00E1336C" w:rsidRDefault="00B535F2" w:rsidP="00B535F2">
            <w:pPr>
              <w:jc w:val="center"/>
              <w:rPr>
                <w:rFonts w:cs="Times New Roman"/>
              </w:rPr>
            </w:pPr>
            <w:r w:rsidRPr="00E1336C">
              <w:t>15.43</w:t>
            </w:r>
          </w:p>
        </w:tc>
        <w:tc>
          <w:tcPr>
            <w:tcW w:w="656" w:type="pct"/>
          </w:tcPr>
          <w:p w14:paraId="02C08D93" w14:textId="366DA4A5" w:rsidR="00B535F2" w:rsidRPr="00E1336C" w:rsidRDefault="00B535F2" w:rsidP="00B535F2">
            <w:pPr>
              <w:jc w:val="center"/>
              <w:rPr>
                <w:rFonts w:cs="Times New Roman"/>
              </w:rPr>
            </w:pPr>
            <w:r w:rsidRPr="00E1336C">
              <w:t>11.22</w:t>
            </w:r>
          </w:p>
        </w:tc>
        <w:tc>
          <w:tcPr>
            <w:tcW w:w="680" w:type="pct"/>
            <w:vAlign w:val="center"/>
          </w:tcPr>
          <w:p w14:paraId="3003E006" w14:textId="77777777" w:rsidR="00B535F2" w:rsidRPr="00E1336C" w:rsidRDefault="00B535F2" w:rsidP="00B535F2">
            <w:pPr>
              <w:jc w:val="center"/>
              <w:rPr>
                <w:rFonts w:cs="Times New Roman"/>
              </w:rPr>
            </w:pPr>
          </w:p>
        </w:tc>
      </w:tr>
      <w:tr w:rsidR="00B535F2" w:rsidRPr="00E1336C" w14:paraId="4407C11B" w14:textId="3A762221" w:rsidTr="00B535F2">
        <w:trPr>
          <w:jc w:val="center"/>
        </w:trPr>
        <w:tc>
          <w:tcPr>
            <w:tcW w:w="692" w:type="pct"/>
            <w:vAlign w:val="center"/>
          </w:tcPr>
          <w:p w14:paraId="4AFDBEEE" w14:textId="2A609830" w:rsidR="00B535F2" w:rsidRPr="00E1336C" w:rsidRDefault="00B535F2" w:rsidP="00B535F2">
            <w:pPr>
              <w:jc w:val="center"/>
              <w:rPr>
                <w:rFonts w:cs="Times New Roman"/>
                <w:b/>
                <w:bCs/>
              </w:rPr>
            </w:pPr>
            <w:r w:rsidRPr="00E1336C">
              <w:rPr>
                <w:rFonts w:cs="Times New Roman"/>
                <w:b/>
                <w:bCs/>
              </w:rPr>
              <w:t>N205</w:t>
            </w:r>
            <w:r w:rsidRPr="00E1336C">
              <w:rPr>
                <w:rFonts w:cs="Times New Roman"/>
                <w:b/>
                <w:bCs/>
                <w:vertAlign w:val="superscript"/>
              </w:rPr>
              <w:t>b</w:t>
            </w:r>
          </w:p>
        </w:tc>
        <w:tc>
          <w:tcPr>
            <w:tcW w:w="386" w:type="pct"/>
            <w:vAlign w:val="center"/>
          </w:tcPr>
          <w:p w14:paraId="03929744" w14:textId="180A50C7" w:rsidR="00B535F2" w:rsidRPr="00E1336C" w:rsidRDefault="00B535F2" w:rsidP="00B535F2">
            <w:pPr>
              <w:jc w:val="center"/>
              <w:rPr>
                <w:rFonts w:cs="Times New Roman"/>
              </w:rPr>
            </w:pPr>
            <w:r w:rsidRPr="00E1336C">
              <w:rPr>
                <w:rFonts w:cs="Times New Roman"/>
              </w:rPr>
              <w:t>O</w:t>
            </w:r>
          </w:p>
        </w:tc>
        <w:tc>
          <w:tcPr>
            <w:tcW w:w="922" w:type="pct"/>
            <w:vAlign w:val="center"/>
          </w:tcPr>
          <w:p w14:paraId="29C1C746" w14:textId="5EC9A49A" w:rsidR="00B535F2" w:rsidRPr="00E1336C" w:rsidRDefault="00B535F2" w:rsidP="00B535F2">
            <w:pPr>
              <w:jc w:val="center"/>
              <w:rPr>
                <w:rFonts w:cs="Times New Roman"/>
              </w:rPr>
            </w:pPr>
            <w:r w:rsidRPr="00E1336C">
              <w:rPr>
                <w:rFonts w:cs="Times New Roman"/>
              </w:rPr>
              <w:t>-</w:t>
            </w:r>
          </w:p>
        </w:tc>
        <w:tc>
          <w:tcPr>
            <w:tcW w:w="434" w:type="pct"/>
            <w:vAlign w:val="center"/>
          </w:tcPr>
          <w:p w14:paraId="0A068B6B" w14:textId="78BC9EA1" w:rsidR="00B535F2" w:rsidRPr="00E1336C" w:rsidRDefault="00B535F2" w:rsidP="00B535F2">
            <w:pPr>
              <w:jc w:val="center"/>
              <w:rPr>
                <w:rFonts w:cs="Times New Roman"/>
              </w:rPr>
            </w:pPr>
            <w:r w:rsidRPr="00E1336C">
              <w:rPr>
                <w:rFonts w:cs="Times New Roman"/>
              </w:rPr>
              <w:t>-</w:t>
            </w:r>
          </w:p>
        </w:tc>
        <w:tc>
          <w:tcPr>
            <w:tcW w:w="550" w:type="pct"/>
            <w:vAlign w:val="center"/>
          </w:tcPr>
          <w:p w14:paraId="381F4A2F" w14:textId="51B34A89" w:rsidR="00B535F2" w:rsidRPr="00E1336C" w:rsidRDefault="00B535F2" w:rsidP="00B535F2">
            <w:pPr>
              <w:jc w:val="center"/>
              <w:rPr>
                <w:rFonts w:cs="Times New Roman"/>
              </w:rPr>
            </w:pPr>
            <w:r w:rsidRPr="00E1336C">
              <w:rPr>
                <w:rFonts w:cs="Times New Roman"/>
              </w:rPr>
              <w:t>180</w:t>
            </w:r>
          </w:p>
        </w:tc>
        <w:tc>
          <w:tcPr>
            <w:tcW w:w="680" w:type="pct"/>
          </w:tcPr>
          <w:p w14:paraId="4A33EF50" w14:textId="285C262C" w:rsidR="00B535F2" w:rsidRPr="00E1336C" w:rsidRDefault="00B535F2" w:rsidP="00B535F2">
            <w:pPr>
              <w:jc w:val="center"/>
              <w:rPr>
                <w:rFonts w:cs="Times New Roman"/>
              </w:rPr>
            </w:pPr>
            <w:r w:rsidRPr="00E1336C">
              <w:t>9.38</w:t>
            </w:r>
          </w:p>
        </w:tc>
        <w:tc>
          <w:tcPr>
            <w:tcW w:w="656" w:type="pct"/>
          </w:tcPr>
          <w:p w14:paraId="236DBD66" w14:textId="62C13D7C" w:rsidR="00B535F2" w:rsidRPr="00E1336C" w:rsidRDefault="00B535F2" w:rsidP="00B535F2">
            <w:pPr>
              <w:jc w:val="center"/>
              <w:rPr>
                <w:rFonts w:cs="Times New Roman"/>
              </w:rPr>
            </w:pPr>
            <w:r w:rsidRPr="00E1336C">
              <w:t>8.65</w:t>
            </w:r>
          </w:p>
        </w:tc>
        <w:tc>
          <w:tcPr>
            <w:tcW w:w="680" w:type="pct"/>
            <w:vAlign w:val="center"/>
          </w:tcPr>
          <w:p w14:paraId="61081EC8" w14:textId="19161A83" w:rsidR="00B535F2" w:rsidRPr="00E1336C" w:rsidRDefault="00B535F2" w:rsidP="00B535F2">
            <w:pPr>
              <w:jc w:val="center"/>
              <w:rPr>
                <w:rFonts w:cs="Times New Roman"/>
              </w:rPr>
            </w:pPr>
            <w:r w:rsidRPr="00E1336C">
              <w:rPr>
                <w:rFonts w:cs="Times New Roman"/>
              </w:rPr>
              <w:fldChar w:fldCharType="begin" w:fldLock="1"/>
            </w:r>
            <w:r w:rsidRPr="00E1336C">
              <w:rPr>
                <w:rFonts w:cs="Times New Roman"/>
              </w:rPr>
              <w:instrText>ADDIN CSL_CITATION {"citationItems":[{"id":"ITEM-1","itemData":{"DOI":"10.1016/j.bmc.2018.05.006","ISSN":"14643391","PMID":"29779669","abstract":"A series of aryl carboxamide and benzylamino dispiro 1,2,4,5-tetraoxane analogues have been designed and synthesized in a short synthetic sequence from readily available starting materials. From this series of endoperoxides, molecules with in vitro IC50s versus Plasmodium falciparum (3D7) as low as 0.84 nM were identified. Based on an assessment of blood stability and in vitro microsomal stability, N205 (10a) was selected for rodent pharmacokinetic and in vivo antimalarial efficacy studies in the mouse Plasmodium berghei and Plasmodium falciparum Pf3D70087/N9 severe combined immunodeficiency (SCID) mouse models. The results indicate that the 4-benzylamino derivatives have excellent profiles with a representative of this series, N205, an excellent starting point for further lead optimization studies.","author":[{"dropping-particle":"","family":"O’ Neill","given":"Paul M.","non-dropping-particle":"","parse-names":false,"suffix":""},{"dropping-particle":"","family":"Stocks","given":"Paul A.","non-dropping-particle":"","parse-names":false,"suffix":""},{"dropping-particle":"","family":"Sabbani","given":"Sunil","non-dropping-particle":"","parse-names":false,"suffix":""},{"dropping-particle":"","family":"Roberts","given":"Natalie L.","non-dropping-particle":"","parse-names":false,"suffix":""},{"dropping-particle":"","family":"Amewu","given":"Richard K.","non-dropping-particle":"","parse-names":false,"suffix":""},{"dropping-particle":"","family":"Shore","given":"Emma R.","non-dropping-particle":"","parse-names":false,"suffix":""},{"dropping-particle":"","family":"Aljayyoussi","given":"Ghaith","non-dropping-particle":"","parse-names":false,"suffix":""},{"dropping-particle":"","family":"Angulo-Barturén","given":"Iñigo","non-dropping-particle":"","parse-names":false,"suffix":""},{"dropping-particle":"","family":"Belén","given":"María","non-dropping-particle":"","parse-names":false,"suffix":""},{"dropping-particle":"","family":"Jiménez-Díaz","given":"","non-dropping-particle":"","parse-names":false,"suffix":""},{"dropping-particle":"","family":"Bazaga","given":"Santiago Ferrer","non-dropping-particle":"","parse-names":false,"suffix":""},{"dropping-particle":"","family":"Martínez","given":"María Santos","non-dropping-particle":"","parse-names":false,"suffix":""},{"dropping-particle":"","family":"Campo","given":"Brice","non-dropping-particle":"","parse-names":false,"suffix":""},{"dropping-particle":"","family":"Sharma","given":"Raman","non-dropping-particle":"","parse-names":false,"suffix":""},{"dropping-particle":"","family":"Charman","given":"Susan A.","non-dropping-particle":"","parse-names":false,"suffix":""},{"dropping-particle":"","family":"Ryan","given":"Eileen","non-dropping-particle":"","parse-names":false,"suffix":""},{"dropping-particle":"","family":"Chen","given":"Gong","non-dropping-particle":"","parse-names":false,"suffix":""},{"dropping-particle":"","family":"Shackleford","given":"David M.","non-dropping-particle":"","parse-names":false,"suffix":""},{"dropping-particle":"","family":"Davies","given":"Jill","non-dropping-particle":"","parse-names":false,"suffix":""},{"dropping-particle":"","family":"Nixon","given":"Gemma L.","non-dropping-particle":"","parse-names":false,"suffix":""},{"dropping-particle":"","family":"Biagini","given":"Giancarlo A.","non-dropping-particle":"","parse-names":false,"suffix":""},{"dropping-particle":"","family":"Ward","given":"Stephen A.","non-dropping-particle":"","parse-names":false,"suffix":""}],"container-title":"Bioorganic and Medicinal Chemistry","id":"ITEM-1","issue":"11","issued":{"date-parts":[["2018"]]},"page":"2996-3005","title":"Synthesis and profiling of benzylmorpholine 1,2,4,5-tetraoxane analogue N205: Towards tetraoxane scaffolds with potential for single dose cure of malaria","type":"article-journal","volume":"26"},"uris":["http://www.mendeley.com/documents/?uuid=b01a6628-e486-4bc8-9c65-23f027e524bc"]}],"mendeley":{"formattedCitation":"&lt;sup&gt;18&lt;/sup&gt;","plainTextFormattedCitation":"18","previouslyFormattedCitation":"&lt;sup&gt;18&lt;/sup&gt;"},"properties":{"noteIndex":0},"schema":"https://github.com/citation-style-language/schema/raw/master/csl-citation.json"}</w:instrText>
            </w:r>
            <w:r w:rsidRPr="00E1336C">
              <w:rPr>
                <w:rFonts w:cs="Times New Roman"/>
              </w:rPr>
              <w:fldChar w:fldCharType="separate"/>
            </w:r>
            <w:r w:rsidRPr="00E1336C">
              <w:rPr>
                <w:rFonts w:cs="Times New Roman"/>
                <w:noProof/>
                <w:vertAlign w:val="superscript"/>
              </w:rPr>
              <w:t>18</w:t>
            </w:r>
            <w:r w:rsidRPr="00E1336C">
              <w:rPr>
                <w:rFonts w:cs="Times New Roman"/>
              </w:rPr>
              <w:fldChar w:fldCharType="end"/>
            </w:r>
          </w:p>
        </w:tc>
      </w:tr>
      <w:tr w:rsidR="004A2129" w:rsidRPr="00E1336C" w14:paraId="6601BD4F" w14:textId="009A25AF" w:rsidTr="0049645C">
        <w:trPr>
          <w:jc w:val="center"/>
        </w:trPr>
        <w:tc>
          <w:tcPr>
            <w:tcW w:w="692" w:type="pct"/>
            <w:vAlign w:val="center"/>
          </w:tcPr>
          <w:p w14:paraId="1E417F09" w14:textId="624391B9" w:rsidR="002E13E0" w:rsidRPr="00E1336C" w:rsidRDefault="00EF0F03" w:rsidP="00EF0F03">
            <w:pPr>
              <w:jc w:val="center"/>
              <w:rPr>
                <w:rFonts w:cs="Times New Roman"/>
              </w:rPr>
            </w:pPr>
            <w:r w:rsidRPr="00E1336C">
              <w:rPr>
                <w:rFonts w:cs="Times New Roman"/>
                <w:b/>
                <w:bCs/>
              </w:rPr>
              <w:t>15a</w:t>
            </w:r>
          </w:p>
        </w:tc>
        <w:tc>
          <w:tcPr>
            <w:tcW w:w="386" w:type="pct"/>
            <w:vAlign w:val="center"/>
          </w:tcPr>
          <w:p w14:paraId="51B343FA" w14:textId="48CED7DD" w:rsidR="002E13E0" w:rsidRPr="00E1336C" w:rsidRDefault="002E13E0" w:rsidP="00E2393D">
            <w:pPr>
              <w:jc w:val="center"/>
              <w:rPr>
                <w:rFonts w:cs="Times New Roman"/>
              </w:rPr>
            </w:pPr>
            <w:r w:rsidRPr="00E1336C">
              <w:rPr>
                <w:rFonts w:cs="Times New Roman"/>
              </w:rPr>
              <w:t>CHF</w:t>
            </w:r>
          </w:p>
        </w:tc>
        <w:tc>
          <w:tcPr>
            <w:tcW w:w="922" w:type="pct"/>
            <w:vAlign w:val="center"/>
          </w:tcPr>
          <w:p w14:paraId="6543A123" w14:textId="7CCE80A7" w:rsidR="002E13E0" w:rsidRPr="00E1336C" w:rsidRDefault="002E13E0" w:rsidP="00E2393D">
            <w:pPr>
              <w:jc w:val="center"/>
              <w:rPr>
                <w:rFonts w:cs="Times New Roman"/>
                <w:i/>
              </w:rPr>
            </w:pPr>
            <w:r w:rsidRPr="00E1336C">
              <w:rPr>
                <w:rFonts w:cs="Times New Roman"/>
                <w:i/>
              </w:rPr>
              <w:t>R</w:t>
            </w:r>
          </w:p>
        </w:tc>
        <w:tc>
          <w:tcPr>
            <w:tcW w:w="434" w:type="pct"/>
            <w:vAlign w:val="center"/>
          </w:tcPr>
          <w:p w14:paraId="6E89BB51" w14:textId="553A5686" w:rsidR="002E13E0" w:rsidRPr="00E1336C" w:rsidRDefault="004A2129" w:rsidP="00E2393D">
            <w:pPr>
              <w:jc w:val="center"/>
              <w:rPr>
                <w:rFonts w:cs="Times New Roman"/>
              </w:rPr>
            </w:pPr>
            <w:r w:rsidRPr="00E1336C">
              <w:rPr>
                <w:rFonts w:cs="Times New Roman"/>
              </w:rPr>
              <w:t>&gt;99</w:t>
            </w:r>
          </w:p>
        </w:tc>
        <w:tc>
          <w:tcPr>
            <w:tcW w:w="550" w:type="pct"/>
            <w:vAlign w:val="center"/>
          </w:tcPr>
          <w:p w14:paraId="34E3F914" w14:textId="0DE6FD63" w:rsidR="002E13E0" w:rsidRPr="00E1336C" w:rsidRDefault="002E13E0" w:rsidP="00E2393D">
            <w:pPr>
              <w:jc w:val="center"/>
              <w:rPr>
                <w:rFonts w:cs="Times New Roman"/>
              </w:rPr>
            </w:pPr>
            <w:r w:rsidRPr="00E1336C">
              <w:rPr>
                <w:rFonts w:cs="Times New Roman"/>
              </w:rPr>
              <w:t>89-92</w:t>
            </w:r>
          </w:p>
        </w:tc>
        <w:tc>
          <w:tcPr>
            <w:tcW w:w="680" w:type="pct"/>
            <w:vAlign w:val="center"/>
          </w:tcPr>
          <w:p w14:paraId="0F102AA3" w14:textId="57C22624" w:rsidR="002E13E0" w:rsidRPr="00E1336C" w:rsidRDefault="002E13E0" w:rsidP="00BA3593">
            <w:pPr>
              <w:jc w:val="center"/>
              <w:rPr>
                <w:rFonts w:cs="Times New Roman"/>
                <w:color w:val="000000"/>
              </w:rPr>
            </w:pPr>
            <w:r w:rsidRPr="00E1336C">
              <w:rPr>
                <w:rFonts w:cs="Times New Roman"/>
                <w:color w:val="000000"/>
              </w:rPr>
              <w:t>10.58</w:t>
            </w:r>
          </w:p>
        </w:tc>
        <w:tc>
          <w:tcPr>
            <w:tcW w:w="656" w:type="pct"/>
            <w:vAlign w:val="center"/>
          </w:tcPr>
          <w:p w14:paraId="28D74869" w14:textId="3A16373C" w:rsidR="002E13E0" w:rsidRPr="00E1336C" w:rsidRDefault="002E13E0">
            <w:pPr>
              <w:jc w:val="center"/>
              <w:rPr>
                <w:rFonts w:cs="Times New Roman"/>
              </w:rPr>
            </w:pPr>
            <w:r w:rsidRPr="00E1336C">
              <w:rPr>
                <w:rFonts w:cs="Times New Roman"/>
                <w:color w:val="000000"/>
              </w:rPr>
              <w:t>10</w:t>
            </w:r>
            <w:r w:rsidR="00EF0F03" w:rsidRPr="00E1336C">
              <w:rPr>
                <w:rFonts w:cs="Times New Roman"/>
                <w:color w:val="000000"/>
              </w:rPr>
              <w:t>.</w:t>
            </w:r>
            <w:r w:rsidRPr="00E1336C">
              <w:rPr>
                <w:rFonts w:cs="Times New Roman"/>
                <w:color w:val="000000"/>
              </w:rPr>
              <w:t xml:space="preserve">28 </w:t>
            </w:r>
          </w:p>
        </w:tc>
        <w:tc>
          <w:tcPr>
            <w:tcW w:w="680" w:type="pct"/>
            <w:vAlign w:val="center"/>
          </w:tcPr>
          <w:p w14:paraId="34A46817" w14:textId="61B5D698" w:rsidR="002E13E0" w:rsidRPr="00E1336C" w:rsidRDefault="002E13E0" w:rsidP="00E2393D">
            <w:pPr>
              <w:jc w:val="center"/>
              <w:rPr>
                <w:rFonts w:cs="Times New Roman"/>
              </w:rPr>
            </w:pPr>
            <w:r w:rsidRPr="00E1336C">
              <w:rPr>
                <w:rFonts w:cs="Times New Roman"/>
              </w:rPr>
              <w:t>-</w:t>
            </w:r>
          </w:p>
        </w:tc>
      </w:tr>
      <w:tr w:rsidR="004A2129" w:rsidRPr="00E1336C" w14:paraId="24A0998D" w14:textId="233F712D" w:rsidTr="0049645C">
        <w:trPr>
          <w:jc w:val="center"/>
        </w:trPr>
        <w:tc>
          <w:tcPr>
            <w:tcW w:w="692" w:type="pct"/>
            <w:vAlign w:val="center"/>
          </w:tcPr>
          <w:p w14:paraId="4E8425EE" w14:textId="0151C980" w:rsidR="002E13E0" w:rsidRPr="00E1336C" w:rsidRDefault="00EF0F03" w:rsidP="00EF0F03">
            <w:pPr>
              <w:jc w:val="center"/>
              <w:rPr>
                <w:rFonts w:cs="Times New Roman"/>
              </w:rPr>
            </w:pPr>
            <w:r w:rsidRPr="00E1336C">
              <w:rPr>
                <w:rFonts w:cs="Times New Roman"/>
                <w:b/>
                <w:bCs/>
              </w:rPr>
              <w:t>15b</w:t>
            </w:r>
          </w:p>
        </w:tc>
        <w:tc>
          <w:tcPr>
            <w:tcW w:w="386" w:type="pct"/>
            <w:vAlign w:val="center"/>
          </w:tcPr>
          <w:p w14:paraId="3EB00AF4" w14:textId="126EA317" w:rsidR="002E13E0" w:rsidRPr="00E1336C" w:rsidRDefault="002E13E0" w:rsidP="00E2393D">
            <w:pPr>
              <w:jc w:val="center"/>
              <w:rPr>
                <w:rFonts w:cs="Times New Roman"/>
              </w:rPr>
            </w:pPr>
            <w:r w:rsidRPr="00E1336C">
              <w:rPr>
                <w:rFonts w:cs="Times New Roman"/>
              </w:rPr>
              <w:t>CHF</w:t>
            </w:r>
          </w:p>
        </w:tc>
        <w:tc>
          <w:tcPr>
            <w:tcW w:w="922" w:type="pct"/>
            <w:vAlign w:val="center"/>
          </w:tcPr>
          <w:p w14:paraId="02A11746" w14:textId="3E8662A6" w:rsidR="002E13E0" w:rsidRPr="00E1336C" w:rsidRDefault="002E13E0" w:rsidP="00E2393D">
            <w:pPr>
              <w:jc w:val="center"/>
              <w:rPr>
                <w:rFonts w:cs="Times New Roman"/>
                <w:i/>
              </w:rPr>
            </w:pPr>
            <w:r w:rsidRPr="00E1336C">
              <w:rPr>
                <w:rFonts w:cs="Times New Roman"/>
                <w:i/>
              </w:rPr>
              <w:t>S</w:t>
            </w:r>
          </w:p>
        </w:tc>
        <w:tc>
          <w:tcPr>
            <w:tcW w:w="434" w:type="pct"/>
            <w:vAlign w:val="center"/>
          </w:tcPr>
          <w:p w14:paraId="790689BB" w14:textId="44834EE6" w:rsidR="002E13E0" w:rsidRPr="00E1336C" w:rsidRDefault="002E13E0" w:rsidP="00E2393D">
            <w:pPr>
              <w:jc w:val="center"/>
              <w:rPr>
                <w:rFonts w:cs="Times New Roman"/>
              </w:rPr>
            </w:pPr>
            <w:r w:rsidRPr="00E1336C">
              <w:rPr>
                <w:rFonts w:cs="Times New Roman"/>
              </w:rPr>
              <w:t>98</w:t>
            </w:r>
          </w:p>
        </w:tc>
        <w:tc>
          <w:tcPr>
            <w:tcW w:w="550" w:type="pct"/>
            <w:vAlign w:val="center"/>
          </w:tcPr>
          <w:p w14:paraId="0ADEB8B6" w14:textId="7C76AA2A" w:rsidR="002E13E0" w:rsidRPr="00E1336C" w:rsidRDefault="002E13E0" w:rsidP="00E2393D">
            <w:pPr>
              <w:jc w:val="center"/>
              <w:rPr>
                <w:rFonts w:cs="Times New Roman"/>
              </w:rPr>
            </w:pPr>
            <w:r w:rsidRPr="00E1336C">
              <w:rPr>
                <w:rFonts w:cs="Times New Roman"/>
              </w:rPr>
              <w:t>83-86</w:t>
            </w:r>
          </w:p>
        </w:tc>
        <w:tc>
          <w:tcPr>
            <w:tcW w:w="680" w:type="pct"/>
            <w:vAlign w:val="center"/>
          </w:tcPr>
          <w:p w14:paraId="117624BA" w14:textId="4E3E0B0B" w:rsidR="002E13E0" w:rsidRPr="00E1336C" w:rsidRDefault="002E13E0" w:rsidP="00BA3593">
            <w:pPr>
              <w:jc w:val="center"/>
              <w:rPr>
                <w:rFonts w:cs="Times New Roman"/>
                <w:color w:val="000000"/>
              </w:rPr>
            </w:pPr>
            <w:r w:rsidRPr="00E1336C">
              <w:rPr>
                <w:rFonts w:cs="Times New Roman"/>
                <w:color w:val="000000"/>
              </w:rPr>
              <w:t>16.46</w:t>
            </w:r>
          </w:p>
        </w:tc>
        <w:tc>
          <w:tcPr>
            <w:tcW w:w="656" w:type="pct"/>
            <w:vAlign w:val="center"/>
          </w:tcPr>
          <w:p w14:paraId="1D60C635" w14:textId="39ABD8AA" w:rsidR="002E13E0" w:rsidRPr="00E1336C" w:rsidRDefault="002E13E0">
            <w:pPr>
              <w:jc w:val="center"/>
              <w:rPr>
                <w:rFonts w:cs="Times New Roman"/>
              </w:rPr>
            </w:pPr>
            <w:r w:rsidRPr="00E1336C">
              <w:rPr>
                <w:rFonts w:cs="Times New Roman"/>
                <w:color w:val="000000"/>
              </w:rPr>
              <w:t>14</w:t>
            </w:r>
            <w:r w:rsidR="00EF0F03" w:rsidRPr="00E1336C">
              <w:rPr>
                <w:rFonts w:cs="Times New Roman"/>
                <w:color w:val="000000"/>
              </w:rPr>
              <w:t>.</w:t>
            </w:r>
            <w:r w:rsidRPr="00E1336C">
              <w:rPr>
                <w:rFonts w:cs="Times New Roman"/>
                <w:color w:val="000000"/>
              </w:rPr>
              <w:t>88</w:t>
            </w:r>
          </w:p>
        </w:tc>
        <w:tc>
          <w:tcPr>
            <w:tcW w:w="680" w:type="pct"/>
            <w:vAlign w:val="center"/>
          </w:tcPr>
          <w:p w14:paraId="53E58BF9" w14:textId="62504C9E" w:rsidR="002E13E0" w:rsidRPr="00E1336C" w:rsidRDefault="002E13E0" w:rsidP="00E2393D">
            <w:pPr>
              <w:jc w:val="center"/>
              <w:rPr>
                <w:rFonts w:cs="Times New Roman"/>
              </w:rPr>
            </w:pPr>
            <w:r w:rsidRPr="00E1336C">
              <w:rPr>
                <w:rFonts w:cs="Times New Roman"/>
              </w:rPr>
              <w:t>-</w:t>
            </w:r>
          </w:p>
        </w:tc>
      </w:tr>
      <w:tr w:rsidR="004A2129" w:rsidRPr="00E1336C" w14:paraId="2E2D5B71" w14:textId="3376195F" w:rsidTr="0049645C">
        <w:trPr>
          <w:jc w:val="center"/>
        </w:trPr>
        <w:tc>
          <w:tcPr>
            <w:tcW w:w="692" w:type="pct"/>
            <w:vAlign w:val="center"/>
          </w:tcPr>
          <w:p w14:paraId="31FFE437" w14:textId="10A3CF33" w:rsidR="002E13E0" w:rsidRPr="00E1336C" w:rsidRDefault="00EF0F03" w:rsidP="00EF0F03">
            <w:pPr>
              <w:jc w:val="center"/>
              <w:rPr>
                <w:rFonts w:cs="Times New Roman"/>
              </w:rPr>
            </w:pPr>
            <w:r w:rsidRPr="00E1336C">
              <w:rPr>
                <w:rFonts w:cs="Times New Roman"/>
                <w:b/>
                <w:bCs/>
              </w:rPr>
              <w:t>15c</w:t>
            </w:r>
          </w:p>
        </w:tc>
        <w:tc>
          <w:tcPr>
            <w:tcW w:w="386" w:type="pct"/>
            <w:vAlign w:val="center"/>
          </w:tcPr>
          <w:p w14:paraId="40E2EA19" w14:textId="4C145E87" w:rsidR="002E13E0" w:rsidRPr="00E1336C" w:rsidRDefault="002E13E0" w:rsidP="00E2393D">
            <w:pPr>
              <w:jc w:val="center"/>
              <w:rPr>
                <w:rFonts w:cs="Times New Roman"/>
              </w:rPr>
            </w:pPr>
            <w:r w:rsidRPr="00E1336C">
              <w:rPr>
                <w:rFonts w:cs="Times New Roman"/>
              </w:rPr>
              <w:t>CHF</w:t>
            </w:r>
          </w:p>
        </w:tc>
        <w:tc>
          <w:tcPr>
            <w:tcW w:w="922" w:type="pct"/>
            <w:vAlign w:val="center"/>
          </w:tcPr>
          <w:p w14:paraId="5C3B8BEF" w14:textId="47EB04BE" w:rsidR="002E13E0" w:rsidRPr="00E1336C" w:rsidRDefault="002E13E0" w:rsidP="00E2393D">
            <w:pPr>
              <w:jc w:val="center"/>
              <w:rPr>
                <w:rFonts w:cs="Times New Roman"/>
              </w:rPr>
            </w:pPr>
            <w:r w:rsidRPr="00E1336C">
              <w:rPr>
                <w:rFonts w:cs="Times New Roman"/>
              </w:rPr>
              <w:t>Racemate</w:t>
            </w:r>
          </w:p>
        </w:tc>
        <w:tc>
          <w:tcPr>
            <w:tcW w:w="434" w:type="pct"/>
            <w:vAlign w:val="center"/>
          </w:tcPr>
          <w:p w14:paraId="73743B45" w14:textId="1E21D9D2" w:rsidR="002E13E0" w:rsidRPr="00E1336C" w:rsidRDefault="002E13E0" w:rsidP="00E2393D">
            <w:pPr>
              <w:jc w:val="center"/>
              <w:rPr>
                <w:rFonts w:cs="Times New Roman"/>
              </w:rPr>
            </w:pPr>
            <w:r w:rsidRPr="00E1336C">
              <w:rPr>
                <w:rFonts w:cs="Times New Roman"/>
              </w:rPr>
              <w:t>-</w:t>
            </w:r>
          </w:p>
        </w:tc>
        <w:tc>
          <w:tcPr>
            <w:tcW w:w="550" w:type="pct"/>
            <w:vAlign w:val="center"/>
          </w:tcPr>
          <w:p w14:paraId="4D12B20A" w14:textId="13AE1D3E" w:rsidR="002E13E0" w:rsidRPr="00E1336C" w:rsidRDefault="002E13E0" w:rsidP="00E2393D">
            <w:pPr>
              <w:jc w:val="center"/>
              <w:rPr>
                <w:rFonts w:cs="Times New Roman"/>
              </w:rPr>
            </w:pPr>
            <w:r w:rsidRPr="00E1336C">
              <w:rPr>
                <w:rFonts w:cs="Times New Roman"/>
              </w:rPr>
              <w:t>74-76</w:t>
            </w:r>
          </w:p>
        </w:tc>
        <w:tc>
          <w:tcPr>
            <w:tcW w:w="680" w:type="pct"/>
            <w:vAlign w:val="center"/>
          </w:tcPr>
          <w:p w14:paraId="4C35E387" w14:textId="3D3A8847" w:rsidR="002E13E0" w:rsidRPr="00E1336C" w:rsidRDefault="002E13E0" w:rsidP="00BA3593">
            <w:pPr>
              <w:jc w:val="center"/>
              <w:rPr>
                <w:rFonts w:cs="Times New Roman"/>
                <w:color w:val="000000"/>
              </w:rPr>
            </w:pPr>
            <w:r w:rsidRPr="00E1336C">
              <w:rPr>
                <w:rFonts w:cs="Times New Roman"/>
                <w:color w:val="000000"/>
              </w:rPr>
              <w:t>15.68</w:t>
            </w:r>
          </w:p>
        </w:tc>
        <w:tc>
          <w:tcPr>
            <w:tcW w:w="656" w:type="pct"/>
            <w:vAlign w:val="center"/>
          </w:tcPr>
          <w:p w14:paraId="6144F9BB" w14:textId="77508382" w:rsidR="002E13E0" w:rsidRPr="00E1336C" w:rsidRDefault="002E13E0">
            <w:pPr>
              <w:jc w:val="center"/>
              <w:rPr>
                <w:rFonts w:cs="Times New Roman"/>
              </w:rPr>
            </w:pPr>
            <w:r w:rsidRPr="00E1336C">
              <w:rPr>
                <w:rFonts w:cs="Times New Roman"/>
                <w:color w:val="000000"/>
              </w:rPr>
              <w:t>14</w:t>
            </w:r>
            <w:r w:rsidR="00EF0F03" w:rsidRPr="00E1336C">
              <w:rPr>
                <w:rFonts w:cs="Times New Roman"/>
                <w:color w:val="000000"/>
              </w:rPr>
              <w:t>.</w:t>
            </w:r>
            <w:r w:rsidRPr="00E1336C">
              <w:rPr>
                <w:rFonts w:cs="Times New Roman"/>
                <w:color w:val="000000"/>
              </w:rPr>
              <w:t>44</w:t>
            </w:r>
          </w:p>
        </w:tc>
        <w:tc>
          <w:tcPr>
            <w:tcW w:w="680" w:type="pct"/>
            <w:vAlign w:val="center"/>
          </w:tcPr>
          <w:p w14:paraId="54B82E59" w14:textId="14E7FAA8" w:rsidR="002E13E0" w:rsidRPr="00E1336C" w:rsidRDefault="002E13E0" w:rsidP="00E2393D">
            <w:pPr>
              <w:jc w:val="center"/>
              <w:rPr>
                <w:rFonts w:cs="Times New Roman"/>
              </w:rPr>
            </w:pPr>
            <w:r w:rsidRPr="00E1336C">
              <w:rPr>
                <w:rFonts w:cs="Times New Roman"/>
              </w:rPr>
              <w:t>-</w:t>
            </w:r>
          </w:p>
        </w:tc>
      </w:tr>
      <w:tr w:rsidR="00B535F2" w:rsidRPr="00E1336C" w14:paraId="6F2CF623" w14:textId="77777777" w:rsidTr="00B535F2">
        <w:trPr>
          <w:jc w:val="center"/>
        </w:trPr>
        <w:tc>
          <w:tcPr>
            <w:tcW w:w="692" w:type="pct"/>
            <w:vAlign w:val="center"/>
          </w:tcPr>
          <w:p w14:paraId="15D7A7CE" w14:textId="75234E01" w:rsidR="00B535F2" w:rsidRPr="00E1336C" w:rsidRDefault="00B535F2" w:rsidP="00B535F2">
            <w:pPr>
              <w:jc w:val="center"/>
              <w:rPr>
                <w:rFonts w:cs="Times New Roman"/>
                <w:b/>
                <w:bCs/>
              </w:rPr>
            </w:pPr>
            <w:r w:rsidRPr="00E1336C">
              <w:rPr>
                <w:rFonts w:cs="Times New Roman"/>
                <w:b/>
                <w:bCs/>
              </w:rPr>
              <w:t>N214</w:t>
            </w:r>
          </w:p>
        </w:tc>
        <w:tc>
          <w:tcPr>
            <w:tcW w:w="386" w:type="pct"/>
            <w:vAlign w:val="center"/>
          </w:tcPr>
          <w:p w14:paraId="0D4D57FD" w14:textId="71345D4A" w:rsidR="00B535F2" w:rsidRPr="00E1336C" w:rsidRDefault="00B535F2" w:rsidP="00B535F2">
            <w:pPr>
              <w:jc w:val="center"/>
              <w:rPr>
                <w:rFonts w:cs="Times New Roman"/>
              </w:rPr>
            </w:pPr>
            <w:r w:rsidRPr="00E1336C">
              <w:rPr>
                <w:rFonts w:cs="Times New Roman"/>
              </w:rPr>
              <w:t>CHF</w:t>
            </w:r>
          </w:p>
        </w:tc>
        <w:tc>
          <w:tcPr>
            <w:tcW w:w="922" w:type="pct"/>
            <w:vAlign w:val="center"/>
          </w:tcPr>
          <w:p w14:paraId="6B3549B1" w14:textId="00EBDE24" w:rsidR="00B535F2" w:rsidRPr="00E1336C" w:rsidRDefault="00B535F2" w:rsidP="00B535F2">
            <w:pPr>
              <w:jc w:val="center"/>
              <w:rPr>
                <w:rFonts w:cs="Times New Roman"/>
              </w:rPr>
            </w:pPr>
            <w:r w:rsidRPr="00E1336C">
              <w:rPr>
                <w:rFonts w:cs="Times New Roman"/>
              </w:rPr>
              <w:t>-</w:t>
            </w:r>
          </w:p>
        </w:tc>
        <w:tc>
          <w:tcPr>
            <w:tcW w:w="434" w:type="pct"/>
            <w:vAlign w:val="center"/>
          </w:tcPr>
          <w:p w14:paraId="765901C2" w14:textId="73B5C119" w:rsidR="00B535F2" w:rsidRPr="00E1336C" w:rsidRDefault="00B535F2" w:rsidP="00B535F2">
            <w:pPr>
              <w:jc w:val="center"/>
              <w:rPr>
                <w:rFonts w:cs="Times New Roman"/>
              </w:rPr>
            </w:pPr>
            <w:r w:rsidRPr="00E1336C">
              <w:rPr>
                <w:rFonts w:cs="Times New Roman"/>
              </w:rPr>
              <w:t>-</w:t>
            </w:r>
          </w:p>
        </w:tc>
        <w:tc>
          <w:tcPr>
            <w:tcW w:w="550" w:type="pct"/>
            <w:vAlign w:val="center"/>
          </w:tcPr>
          <w:p w14:paraId="4FA5766C" w14:textId="783FD807" w:rsidR="00B535F2" w:rsidRPr="00E1336C" w:rsidRDefault="00B535F2" w:rsidP="00B535F2">
            <w:pPr>
              <w:jc w:val="center"/>
              <w:rPr>
                <w:rFonts w:cs="Times New Roman"/>
              </w:rPr>
            </w:pPr>
            <w:r w:rsidRPr="00E1336C">
              <w:rPr>
                <w:rFonts w:cs="Times New Roman"/>
              </w:rPr>
              <w:t>122-124</w:t>
            </w:r>
          </w:p>
        </w:tc>
        <w:tc>
          <w:tcPr>
            <w:tcW w:w="680" w:type="pct"/>
          </w:tcPr>
          <w:p w14:paraId="5A1FB9A3" w14:textId="40690628" w:rsidR="00B535F2" w:rsidRPr="00E1336C" w:rsidRDefault="00B535F2" w:rsidP="00B535F2">
            <w:pPr>
              <w:jc w:val="center"/>
              <w:rPr>
                <w:rFonts w:cs="Times New Roman"/>
              </w:rPr>
            </w:pPr>
            <w:r w:rsidRPr="00E1336C">
              <w:t>16.15</w:t>
            </w:r>
          </w:p>
        </w:tc>
        <w:tc>
          <w:tcPr>
            <w:tcW w:w="656" w:type="pct"/>
          </w:tcPr>
          <w:p w14:paraId="19BCEC52" w14:textId="50019D8D" w:rsidR="00B535F2" w:rsidRPr="00E1336C" w:rsidRDefault="00B535F2" w:rsidP="00B535F2">
            <w:pPr>
              <w:jc w:val="center"/>
              <w:rPr>
                <w:rFonts w:cs="Times New Roman"/>
              </w:rPr>
            </w:pPr>
            <w:r w:rsidRPr="00E1336C">
              <w:t>11.74</w:t>
            </w:r>
          </w:p>
        </w:tc>
        <w:tc>
          <w:tcPr>
            <w:tcW w:w="680" w:type="pct"/>
            <w:vAlign w:val="center"/>
          </w:tcPr>
          <w:p w14:paraId="7FC2CC85" w14:textId="39B85580" w:rsidR="00B535F2" w:rsidRPr="00E1336C" w:rsidRDefault="00B535F2" w:rsidP="00B535F2">
            <w:pPr>
              <w:jc w:val="center"/>
              <w:rPr>
                <w:rFonts w:cs="Times New Roman"/>
              </w:rPr>
            </w:pPr>
            <w:r w:rsidRPr="00E1336C">
              <w:rPr>
                <w:rFonts w:cs="Times New Roman"/>
              </w:rPr>
              <w:fldChar w:fldCharType="begin" w:fldLock="1"/>
            </w:r>
            <w:r w:rsidRPr="00E1336C">
              <w:rPr>
                <w:rFonts w:cs="Times New Roman"/>
              </w:rPr>
              <w:instrText>ADDIN CSL_CITATION {"citationItems":[{"id":"ITEM-1","itemData":{"DOI":"10.1016/j.bmc.2018.05.006","ISSN":"14643391","PMID":"29779669","abstract":"A series of aryl carboxamide and benzylamino dispiro 1,2,4,5-tetraoxane analogues have been designed and synthesized in a short synthetic sequence from readily available starting materials. From this series of endoperoxides, molecules with in vitro IC50s versus Plasmodium falciparum (3D7) as low as 0.84 nM were identified. Based on an assessment of blood stability and in vitro microsomal stability, N205 (10a) was selected for rodent pharmacokinetic and in vivo antimalarial efficacy studies in the mouse Plasmodium berghei and Plasmodium falciparum Pf3D70087/N9 severe combined immunodeficiency (SCID) mouse models. The results indicate that the 4-benzylamino derivatives have excellent profiles with a representative of this series, N205, an excellent starting point for further lead optimization studies.","author":[{"dropping-particle":"","family":"O’ Neill","given":"Paul M.","non-dropping-particle":"","parse-names":false,"suffix":""},{"dropping-particle":"","family":"Stocks","given":"Paul A.","non-dropping-particle":"","parse-names":false,"suffix":""},{"dropping-particle":"","family":"Sabbani","given":"Sunil","non-dropping-particle":"","parse-names":false,"suffix":""},{"dropping-particle":"","family":"Roberts","given":"Natalie L.","non-dropping-particle":"","parse-names":false,"suffix":""},{"dropping-particle":"","family":"Amewu","given":"Richard K.","non-dropping-particle":"","parse-names":false,"suffix":""},{"dropping-particle":"","family":"Shore","given":"Emma R.","non-dropping-particle":"","parse-names":false,"suffix":""},{"dropping-particle":"","family":"Aljayyoussi","given":"Ghaith","non-dropping-particle":"","parse-names":false,"suffix":""},{"dropping-particle":"","family":"Angulo-Barturén","given":"Iñigo","non-dropping-particle":"","parse-names":false,"suffix":""},{"dropping-particle":"","family":"Belén","given":"María","non-dropping-particle":"","parse-names":false,"suffix":""},{"dropping-particle":"","family":"Jiménez-Díaz","given":"","non-dropping-particle":"","parse-names":false,"suffix":""},{"dropping-particle":"","family":"Bazaga","given":"Santiago Ferrer","non-dropping-particle":"","parse-names":false,"suffix":""},{"dropping-particle":"","family":"Martínez","given":"María Santos","non-dropping-particle":"","parse-names":false,"suffix":""},{"dropping-particle":"","family":"Campo","given":"Brice","non-dropping-particle":"","parse-names":false,"suffix":""},{"dropping-particle":"","family":"Sharma","given":"Raman","non-dropping-particle":"","parse-names":false,"suffix":""},{"dropping-particle":"","family":"Charman","given":"Susan A.","non-dropping-particle":"","parse-names":false,"suffix":""},{"dropping-particle":"","family":"Ryan","given":"Eileen","non-dropping-particle":"","parse-names":false,"suffix":""},{"dropping-particle":"","family":"Chen","given":"Gong","non-dropping-particle":"","parse-names":false,"suffix":""},{"dropping-particle":"","family":"Shackleford","given":"David M.","non-dropping-particle":"","parse-names":false,"suffix":""},{"dropping-particle":"","family":"Davies","given":"Jill","non-dropping-particle":"","parse-names":false,"suffix":""},{"dropping-particle":"","family":"Nixon","given":"Gemma L.","non-dropping-particle":"","parse-names":false,"suffix":""},{"dropping-particle":"","family":"Biagini","given":"Giancarlo A.","non-dropping-particle":"","parse-names":false,"suffix":""},{"dropping-particle":"","family":"Ward","given":"Stephen A.","non-dropping-particle":"","parse-names":false,"suffix":""}],"container-title":"Bioorganic and Medicinal Chemistry","id":"ITEM-1","issue":"11","issued":{"date-parts":[["2018"]]},"page":"2996-3005","title":"Synthesis and profiling of benzylmorpholine 1,2,4,5-tetraoxane analogue N205: Towards tetraoxane scaffolds with potential for single dose cure of malaria","type":"article-journal","volume":"26"},"uris":["http://www.mendeley.com/documents/?uuid=b01a6628-e486-4bc8-9c65-23f027e524bc"]}],"mendeley":{"formattedCitation":"&lt;sup&gt;18&lt;/sup&gt;","plainTextFormattedCitation":"18","previouslyFormattedCitation":"&lt;sup&gt;18&lt;/sup&gt;"},"properties":{"noteIndex":0},"schema":"https://github.com/citation-style-language/schema/raw/master/csl-citation.json"}</w:instrText>
            </w:r>
            <w:r w:rsidRPr="00E1336C">
              <w:rPr>
                <w:rFonts w:cs="Times New Roman"/>
              </w:rPr>
              <w:fldChar w:fldCharType="separate"/>
            </w:r>
            <w:r w:rsidRPr="00E1336C">
              <w:rPr>
                <w:rFonts w:cs="Times New Roman"/>
                <w:noProof/>
                <w:vertAlign w:val="superscript"/>
              </w:rPr>
              <w:t>18</w:t>
            </w:r>
            <w:r w:rsidRPr="00E1336C">
              <w:rPr>
                <w:rFonts w:cs="Times New Roman"/>
              </w:rPr>
              <w:fldChar w:fldCharType="end"/>
            </w:r>
          </w:p>
        </w:tc>
      </w:tr>
      <w:tr w:rsidR="000A7F75" w:rsidRPr="00E1336C" w14:paraId="5E431F18" w14:textId="77777777" w:rsidTr="0049645C">
        <w:trPr>
          <w:jc w:val="center"/>
        </w:trPr>
        <w:tc>
          <w:tcPr>
            <w:tcW w:w="692" w:type="pct"/>
            <w:vAlign w:val="center"/>
          </w:tcPr>
          <w:p w14:paraId="3490B10E" w14:textId="544DA006" w:rsidR="000A7F75" w:rsidRPr="00E1336C" w:rsidRDefault="000A7F75" w:rsidP="000A7F75">
            <w:pPr>
              <w:jc w:val="center"/>
              <w:rPr>
                <w:rFonts w:cs="Times New Roman"/>
                <w:b/>
                <w:bCs/>
              </w:rPr>
            </w:pPr>
            <w:r w:rsidRPr="00E1336C">
              <w:rPr>
                <w:rFonts w:cs="Times New Roman"/>
                <w:b/>
                <w:bCs/>
              </w:rPr>
              <w:t>OZ439</w:t>
            </w:r>
          </w:p>
        </w:tc>
        <w:tc>
          <w:tcPr>
            <w:tcW w:w="386" w:type="pct"/>
            <w:vAlign w:val="center"/>
          </w:tcPr>
          <w:p w14:paraId="2DE5251A" w14:textId="4100D6E1" w:rsidR="000A7F75" w:rsidRPr="00E1336C" w:rsidRDefault="000A7F75" w:rsidP="000A7F75">
            <w:pPr>
              <w:jc w:val="center"/>
              <w:rPr>
                <w:rFonts w:cs="Times New Roman"/>
              </w:rPr>
            </w:pPr>
            <w:r w:rsidRPr="00E1336C">
              <w:rPr>
                <w:rFonts w:cs="Times New Roman"/>
              </w:rPr>
              <w:t>-</w:t>
            </w:r>
          </w:p>
        </w:tc>
        <w:tc>
          <w:tcPr>
            <w:tcW w:w="922" w:type="pct"/>
            <w:vAlign w:val="center"/>
          </w:tcPr>
          <w:p w14:paraId="4ACD2711" w14:textId="58404144" w:rsidR="000A7F75" w:rsidRPr="00E1336C" w:rsidRDefault="000A7F75" w:rsidP="000A7F75">
            <w:pPr>
              <w:jc w:val="center"/>
              <w:rPr>
                <w:rFonts w:cs="Times New Roman"/>
              </w:rPr>
            </w:pPr>
            <w:r w:rsidRPr="00E1336C">
              <w:rPr>
                <w:rFonts w:cs="Times New Roman"/>
              </w:rPr>
              <w:t>-</w:t>
            </w:r>
          </w:p>
        </w:tc>
        <w:tc>
          <w:tcPr>
            <w:tcW w:w="434" w:type="pct"/>
            <w:vAlign w:val="center"/>
          </w:tcPr>
          <w:p w14:paraId="3B60A219" w14:textId="3414AB24" w:rsidR="000A7F75" w:rsidRPr="00E1336C" w:rsidRDefault="000A7F75" w:rsidP="000A7F75">
            <w:pPr>
              <w:jc w:val="center"/>
              <w:rPr>
                <w:rFonts w:cs="Times New Roman"/>
              </w:rPr>
            </w:pPr>
            <w:r w:rsidRPr="00E1336C">
              <w:rPr>
                <w:rFonts w:cs="Times New Roman"/>
              </w:rPr>
              <w:t>-</w:t>
            </w:r>
          </w:p>
        </w:tc>
        <w:tc>
          <w:tcPr>
            <w:tcW w:w="550" w:type="pct"/>
            <w:vAlign w:val="center"/>
          </w:tcPr>
          <w:p w14:paraId="05377AA5" w14:textId="23E0654F" w:rsidR="000A7F75" w:rsidRPr="00E1336C" w:rsidRDefault="000A7F75" w:rsidP="000A7F75">
            <w:pPr>
              <w:jc w:val="center"/>
              <w:rPr>
                <w:rFonts w:cs="Times New Roman"/>
              </w:rPr>
            </w:pPr>
            <w:r w:rsidRPr="00E1336C">
              <w:rPr>
                <w:rFonts w:cs="Times New Roman"/>
              </w:rPr>
              <w:t>105-109</w:t>
            </w:r>
          </w:p>
        </w:tc>
        <w:tc>
          <w:tcPr>
            <w:tcW w:w="680" w:type="pct"/>
            <w:vAlign w:val="center"/>
          </w:tcPr>
          <w:p w14:paraId="35B235FC" w14:textId="3E50039D" w:rsidR="000A7F75" w:rsidRPr="00E1336C" w:rsidRDefault="000A7F75" w:rsidP="000A7F75">
            <w:pPr>
              <w:jc w:val="center"/>
              <w:rPr>
                <w:rFonts w:cs="Times New Roman"/>
              </w:rPr>
            </w:pPr>
            <w:r w:rsidRPr="00E1336C">
              <w:rPr>
                <w:rFonts w:cs="Times New Roman"/>
              </w:rPr>
              <w:t>5.1</w:t>
            </w:r>
            <w:r w:rsidR="00EC2669" w:rsidRPr="00E1336C">
              <w:rPr>
                <w:rFonts w:cs="Times New Roman"/>
              </w:rPr>
              <w:t>0</w:t>
            </w:r>
            <w:r w:rsidRPr="00E1336C">
              <w:rPr>
                <w:rFonts w:cs="Times New Roman"/>
              </w:rPr>
              <w:t xml:space="preserve"> (3D7)</w:t>
            </w:r>
          </w:p>
        </w:tc>
        <w:tc>
          <w:tcPr>
            <w:tcW w:w="656" w:type="pct"/>
            <w:vAlign w:val="center"/>
          </w:tcPr>
          <w:p w14:paraId="3C68AC16" w14:textId="21EF10BF" w:rsidR="000A7F75" w:rsidRPr="00E1336C" w:rsidRDefault="000A7F75" w:rsidP="000A7F75">
            <w:pPr>
              <w:jc w:val="center"/>
              <w:rPr>
                <w:rFonts w:cs="Times New Roman"/>
              </w:rPr>
            </w:pPr>
            <w:r w:rsidRPr="00E1336C">
              <w:rPr>
                <w:rFonts w:cs="Times New Roman"/>
              </w:rPr>
              <w:t>-</w:t>
            </w:r>
          </w:p>
        </w:tc>
        <w:tc>
          <w:tcPr>
            <w:tcW w:w="680" w:type="pct"/>
            <w:vAlign w:val="center"/>
          </w:tcPr>
          <w:p w14:paraId="169E9EE9" w14:textId="5C84D1A3" w:rsidR="000A7F75" w:rsidRPr="00E1336C" w:rsidRDefault="000A7F75" w:rsidP="000A7F75">
            <w:pPr>
              <w:jc w:val="center"/>
              <w:rPr>
                <w:rFonts w:cs="Times New Roman"/>
              </w:rPr>
            </w:pPr>
            <w:r w:rsidRPr="00E1336C">
              <w:rPr>
                <w:rFonts w:cs="Times New Roman"/>
              </w:rPr>
              <w:fldChar w:fldCharType="begin" w:fldLock="1"/>
            </w:r>
            <w:r w:rsidR="00A26B94" w:rsidRPr="00E1336C">
              <w:rPr>
                <w:rFonts w:cs="Times New Roman"/>
              </w:rPr>
              <w:instrText>ADDIN CSL_CITATION {"citationItems":[{"id":"ITEM-1","itemData":{"DOI":"10.1038/ncomms15159","ISSN":"20411723","PMID":"28537265","abstract":"K13 gene mutations are a primary marker of artemisinin resistance in Plasmodium falciparum malaria that threatens the long-term clinical utility of artemisinin-based combination therapies, the cornerstone of modern day malaria treatment. Here we describe a multinational drug discovery programme that has delivered a synthetic tetraoxane-based molecule, E209, which meets key requirements of the Medicines for Malaria Venture drug candidate profiles. E209 has potent nanomolar inhibitory activity against multiple strains of P. falciparum and P. vivax in vitro, is efficacious against P. falciparum in in vivo rodent models, produces parasite reduction ratios equivalent to dihydroartemisinin and has pharmacokinetic and pharmacodynamic characteristics compatible with a single-dose cure. In vitro studies with transgenic parasites expressing variant forms of K13 show no cross-resistance with the C580Y mutation, the primary variant observed in Southeast Asia. E209 is a superior next generation endoperoxide with combined pharmacokinetic and pharmacodynamic features that overcome the liabilities of artemisinin derivatives.","author":[{"dropping-particle":"","family":"O'Neill","given":"Paul M.","non-dropping-particle":"","parse-names":false,"suffix":""},{"dropping-particle":"","family":"Amewu","given":"Richard K.","non-dropping-particle":"","parse-names":false,"suffix":""},{"dropping-particle":"","family":"Charman","given":"Susan A.","non-dropping-particle":"","parse-names":false,"suffix":""},{"dropping-particle":"","family":"Sabbani","given":"Sunil","non-dropping-particle":"","parse-names":false,"suffix":""},{"dropping-particle":"","family":"Gnädig","given":"Nina F.","non-dropping-particle":"","parse-names":false,"suffix":""},{"dropping-particle":"","family":"Straimer","given":"Judith","non-dropping-particle":"","parse-names":false,"suffix":""},{"dropping-particle":"","family":"Fidock","given":"David A.","non-dropping-particle":"","parse-names":false,"suffix":""},{"dropping-particle":"","family":"Shore","given":"Emma R.","non-dropping-particle":"","parse-names":false,"suffix":""},{"dropping-particle":"","family":"Roberts","given":"Natalie L.","non-dropping-particle":"","parse-names":false,"suffix":""},{"dropping-particle":"","family":"Wong","given":"Michael H.L.","non-dropping-particle":"","parse-names":false,"suffix":""},{"dropping-particle":"","family":"Hong","given":"W. David","non-dropping-particle":"","parse-names":false,"suffix":""},{"dropping-particle":"","family":"Pidathala","given":"Chandrakala","non-dropping-particle":"","parse-names":false,"suffix":""},{"dropping-particle":"","family":"Riley","given":"Chris","non-dropping-particle":"","parse-names":false,"suffix":""},{"dropping-particle":"","family":"Murphy","given":"Ben","non-dropping-particle":"","parse-names":false,"suffix":""},{"dropping-particle":"","family":"Aljayyoussi","given":"Ghaith","non-dropping-particle":"","parse-names":false,"suffix":""},{"dropping-particle":"","family":"Gamo","given":"Francisco Javier","non-dropping-particle":"","parse-names":false,"suffix":""},{"dropping-particle":"","family":"Sanz","given":"Laura","non-dropping-particle":"","parse-names":false,"suffix":""},{"dropping-particle":"","family":"Rodrigues","given":"Janneth","non-dropping-particle":"","parse-names":false,"suffix":""},{"dropping-particle":"","family":"Cortes","given":"Carolina Gonzalez","non-dropping-particle":"","parse-names":false,"suffix":""},{"dropping-particle":"","family":"Herreros","given":"Esperanza","non-dropping-particle":"","parse-names":false,"suffix":""},{"dropping-particle":"","family":"Angulo-Barturén","given":"Iñigo","non-dropping-particle":"","parse-names":false,"suffix":""},{"dropping-particle":"","family":"Jiménez-Díaz","given":"María Belén","non-dropping-particle":"","parse-names":false,"suffix":""},{"dropping-particle":"","family":"Bazaga","given":"Santiago Ferrer","non-dropping-particle":"","parse-names":false,"suffix":""},{"dropping-particle":"","family":"Martínez-Martínez","given":"María Santos","non-dropping-particle":"","parse-names":false,"suffix":""},{"dropping-particle":"","family":"Campo","given":"Brice","non-dropping-particle":"","parse-names":false,"suffix":""},{"dropping-particle":"","family":"Sharma","given":"Raman","non-dropping-particle":"","parse-names":false,"suffix":""},{"dropping-particle":"","family":"Ryan","given":"Eileen","non-dropping-particle":"","parse-names":false,"suffix":""},{"dropping-particle":"","family":"Shackleford","given":"David M.","non-dropping-particle":"","parse-names":false,"suffix":""},{"dropping-particle":"","family":"Campbell","given":"Simon","non-dropping-particle":"","parse-names":false,"suffix":""},{"dropping-particle":"","family":"Smith","given":"Dennis A.","non-dropping-particle":"","parse-names":false,"suffix":""},{"dropping-particle":"","family":"Wirjanata","given":"Grennady","non-dropping-particle":"","parse-names":false,"suffix":""},{"dropping-particle":"","family":"Noviyanti","given":"Rintis","non-dropping-particle":"","parse-names":false,"suffix":""},{"dropping-particle":"","family":"Price","given":"Ric N.","non-dropping-particle":"","parse-names":false,"suffix":""},{"dropping-particle":"","family":"Marfurt","given":"Jutta","non-dropping-particle":"","parse-names":false,"suffix":""},{"dropping-particle":"","family":"Palmer","given":"Michael J.","non-dropping-particle":"","parse-names":false,"suffix":""},{"dropping-particle":"","family":"Copple","given":"Ian M.","non-dropping-particle":"","parse-names":false,"suffix":""},{"dropping-particle":"","family":"Mercer","given":"Amy E.","non-dropping-particle":"","parse-names":false,"suffix":""},{"dropping-particle":"","family":"Ruecker","given":"Andrea","non-dropping-particle":"","parse-names":false,"suffix":""},{"dropping-particle":"","family":"Delves","given":"Michael J.","non-dropping-particle":"","parse-names":false,"suffix":""},{"dropping-particle":"","family":"Sinden","given":"Robert E.","non-dropping-particle":"","parse-names":false,"suffix":""},{"dropping-particle":"","family":"Siegl","given":"Peter","non-dropping-particle":"","parse-names":false,"suffix":""},{"dropping-particle":"","family":"Davies","given":"Jill","non-dropping-particle":"","parse-names":false,"suffix":""},{"dropping-particle":"","family":"Rochford","given":"Rosemary","non-dropping-particle":"","parse-names":false,"suffix":""},{"dropping-particle":"","family":"Kocken","given":"Clemens H.M.","non-dropping-particle":"","parse-names":false,"suffix":""},{"dropping-particle":"","family":"Zeeman","given":"Anne Marie","non-dropping-particle":"","parse-names":false,"suffix":""},{"dropping-particle":"","family":"Nixon","given":"Gemma L.","non-dropping-particle":"","parse-names":false,"suffix":""},{"dropping-particle":"","family":"Biagini","given":"Giancarlo A.","non-dropping-particle":"","parse-names":false,"suffix":""},{"dropping-particle":"","family":"Ward","given":"Stephen A.","non-dropping-particle":"","parse-names":false,"suffix":""}],"container-title":"Nature Communications","id":"ITEM-1","issued":{"date-parts":[["2017"]]},"page":"15159","title":"A tetraoxane-based antimalarial drug candidate that overcomes PfK13-C580Y dependent artemisinin resistance","type":"article-journal","volume":"8"},"uris":["http://www.mendeley.com/documents/?uuid=a8359039-f330-4b02-89f8-01ba6ccd592d"]}],"mendeley":{"formattedCitation":"&lt;sup&gt;17&lt;/sup&gt;","plainTextFormattedCitation":"17","previouslyFormattedCitation":"&lt;sup&gt;17&lt;/sup&gt;"},"properties":{"noteIndex":0},"schema":"https://github.com/citation-style-language/schema/raw/master/csl-citation.json"}</w:instrText>
            </w:r>
            <w:r w:rsidRPr="00E1336C">
              <w:rPr>
                <w:rFonts w:cs="Times New Roman"/>
              </w:rPr>
              <w:fldChar w:fldCharType="separate"/>
            </w:r>
            <w:r w:rsidR="00B60F81" w:rsidRPr="00E1336C">
              <w:rPr>
                <w:rFonts w:cs="Times New Roman"/>
                <w:noProof/>
                <w:vertAlign w:val="superscript"/>
              </w:rPr>
              <w:t>17</w:t>
            </w:r>
            <w:r w:rsidRPr="00E1336C">
              <w:rPr>
                <w:rFonts w:cs="Times New Roman"/>
              </w:rPr>
              <w:fldChar w:fldCharType="end"/>
            </w:r>
          </w:p>
        </w:tc>
      </w:tr>
      <w:tr w:rsidR="000A7F75" w:rsidRPr="00E1336C" w14:paraId="7F077355" w14:textId="77777777" w:rsidTr="0049645C">
        <w:trPr>
          <w:jc w:val="center"/>
        </w:trPr>
        <w:tc>
          <w:tcPr>
            <w:tcW w:w="692" w:type="pct"/>
            <w:vAlign w:val="center"/>
          </w:tcPr>
          <w:p w14:paraId="1C0FFE71" w14:textId="0C82DC87" w:rsidR="000A7F75" w:rsidRPr="00E1336C" w:rsidRDefault="000A7F75" w:rsidP="000A7F75">
            <w:pPr>
              <w:jc w:val="center"/>
              <w:rPr>
                <w:rFonts w:cs="Times New Roman"/>
                <w:b/>
                <w:bCs/>
              </w:rPr>
            </w:pPr>
            <w:r w:rsidRPr="00E1336C">
              <w:rPr>
                <w:rFonts w:cs="Times New Roman"/>
                <w:b/>
                <w:bCs/>
              </w:rPr>
              <w:t>CQ</w:t>
            </w:r>
          </w:p>
        </w:tc>
        <w:tc>
          <w:tcPr>
            <w:tcW w:w="386" w:type="pct"/>
            <w:vAlign w:val="center"/>
          </w:tcPr>
          <w:p w14:paraId="2CA0FE1B" w14:textId="7FCC1118" w:rsidR="000A7F75" w:rsidRPr="00E1336C" w:rsidRDefault="000A7F75" w:rsidP="000A7F75">
            <w:pPr>
              <w:jc w:val="center"/>
              <w:rPr>
                <w:rFonts w:cs="Times New Roman"/>
              </w:rPr>
            </w:pPr>
            <w:r w:rsidRPr="00E1336C">
              <w:rPr>
                <w:rFonts w:cs="Times New Roman"/>
              </w:rPr>
              <w:t>-</w:t>
            </w:r>
          </w:p>
        </w:tc>
        <w:tc>
          <w:tcPr>
            <w:tcW w:w="922" w:type="pct"/>
            <w:vAlign w:val="center"/>
          </w:tcPr>
          <w:p w14:paraId="37412F78" w14:textId="02CFFA90" w:rsidR="000A7F75" w:rsidRPr="00E1336C" w:rsidRDefault="000A7F75" w:rsidP="000A7F75">
            <w:pPr>
              <w:jc w:val="center"/>
              <w:rPr>
                <w:rFonts w:cs="Times New Roman"/>
              </w:rPr>
            </w:pPr>
            <w:r w:rsidRPr="00E1336C">
              <w:rPr>
                <w:rFonts w:cs="Times New Roman"/>
              </w:rPr>
              <w:t>-</w:t>
            </w:r>
          </w:p>
        </w:tc>
        <w:tc>
          <w:tcPr>
            <w:tcW w:w="434" w:type="pct"/>
            <w:vAlign w:val="center"/>
          </w:tcPr>
          <w:p w14:paraId="5AC6EA61" w14:textId="4FD87C19" w:rsidR="000A7F75" w:rsidRPr="00E1336C" w:rsidRDefault="000A7F75" w:rsidP="000A7F75">
            <w:pPr>
              <w:jc w:val="center"/>
              <w:rPr>
                <w:rFonts w:cs="Times New Roman"/>
              </w:rPr>
            </w:pPr>
            <w:r w:rsidRPr="00E1336C">
              <w:rPr>
                <w:rFonts w:cs="Times New Roman"/>
              </w:rPr>
              <w:t>-</w:t>
            </w:r>
          </w:p>
        </w:tc>
        <w:tc>
          <w:tcPr>
            <w:tcW w:w="550" w:type="pct"/>
            <w:vAlign w:val="center"/>
          </w:tcPr>
          <w:p w14:paraId="1C1A78A3" w14:textId="4042703C" w:rsidR="000A7F75" w:rsidRPr="00E1336C" w:rsidRDefault="000A7F75" w:rsidP="000A7F75">
            <w:pPr>
              <w:jc w:val="center"/>
              <w:rPr>
                <w:rFonts w:cs="Times New Roman"/>
              </w:rPr>
            </w:pPr>
            <w:r w:rsidRPr="00E1336C">
              <w:rPr>
                <w:rFonts w:cs="Times New Roman"/>
              </w:rPr>
              <w:t>-</w:t>
            </w:r>
          </w:p>
        </w:tc>
        <w:tc>
          <w:tcPr>
            <w:tcW w:w="680" w:type="pct"/>
            <w:vAlign w:val="center"/>
          </w:tcPr>
          <w:p w14:paraId="41137917" w14:textId="724F92F3" w:rsidR="000A7F75" w:rsidRPr="00E1336C" w:rsidRDefault="000A7F75" w:rsidP="000A7F75">
            <w:pPr>
              <w:jc w:val="center"/>
              <w:rPr>
                <w:rFonts w:cs="Times New Roman"/>
                <w:color w:val="000000"/>
              </w:rPr>
            </w:pPr>
            <w:r w:rsidRPr="00E1336C">
              <w:rPr>
                <w:rFonts w:cs="Times New Roman"/>
                <w:color w:val="000000"/>
              </w:rPr>
              <w:t>31.92</w:t>
            </w:r>
          </w:p>
        </w:tc>
        <w:tc>
          <w:tcPr>
            <w:tcW w:w="656" w:type="pct"/>
            <w:vAlign w:val="center"/>
          </w:tcPr>
          <w:p w14:paraId="3E92C02F" w14:textId="72106D1A" w:rsidR="000A7F75" w:rsidRPr="00E1336C" w:rsidRDefault="000A7F75" w:rsidP="000A7F75">
            <w:pPr>
              <w:jc w:val="center"/>
              <w:rPr>
                <w:rFonts w:cs="Times New Roman"/>
              </w:rPr>
            </w:pPr>
            <w:r w:rsidRPr="00E1336C">
              <w:rPr>
                <w:rFonts w:cs="Times New Roman"/>
                <w:color w:val="000000"/>
              </w:rPr>
              <w:t>462.02</w:t>
            </w:r>
          </w:p>
        </w:tc>
        <w:tc>
          <w:tcPr>
            <w:tcW w:w="680" w:type="pct"/>
            <w:vAlign w:val="center"/>
          </w:tcPr>
          <w:p w14:paraId="1DF299EA" w14:textId="7E098BCB" w:rsidR="000A7F75" w:rsidRPr="00E1336C" w:rsidRDefault="000A7F75" w:rsidP="000A7F75">
            <w:pPr>
              <w:jc w:val="center"/>
              <w:rPr>
                <w:rFonts w:cs="Times New Roman"/>
              </w:rPr>
            </w:pPr>
            <w:r w:rsidRPr="00E1336C">
              <w:rPr>
                <w:rFonts w:cs="Times New Roman"/>
              </w:rPr>
              <w:t>-</w:t>
            </w:r>
          </w:p>
        </w:tc>
      </w:tr>
      <w:tr w:rsidR="000A7F75" w:rsidRPr="00E1336C" w14:paraId="47C98144" w14:textId="77777777" w:rsidTr="0049645C">
        <w:trPr>
          <w:jc w:val="center"/>
        </w:trPr>
        <w:tc>
          <w:tcPr>
            <w:tcW w:w="692" w:type="pct"/>
            <w:tcBorders>
              <w:bottom w:val="single" w:sz="4" w:space="0" w:color="auto"/>
            </w:tcBorders>
            <w:vAlign w:val="center"/>
          </w:tcPr>
          <w:p w14:paraId="4170E32A" w14:textId="14AEFEE4" w:rsidR="000A7F75" w:rsidRPr="00E1336C" w:rsidRDefault="000A7F75" w:rsidP="000A7F75">
            <w:pPr>
              <w:jc w:val="center"/>
              <w:rPr>
                <w:rFonts w:cs="Times New Roman"/>
                <w:b/>
                <w:bCs/>
              </w:rPr>
            </w:pPr>
            <w:r w:rsidRPr="00E1336C">
              <w:rPr>
                <w:rFonts w:cs="Times New Roman"/>
                <w:b/>
                <w:bCs/>
              </w:rPr>
              <w:t>DHA</w:t>
            </w:r>
          </w:p>
        </w:tc>
        <w:tc>
          <w:tcPr>
            <w:tcW w:w="386" w:type="pct"/>
            <w:tcBorders>
              <w:bottom w:val="single" w:sz="4" w:space="0" w:color="auto"/>
            </w:tcBorders>
            <w:vAlign w:val="center"/>
          </w:tcPr>
          <w:p w14:paraId="22C78B9D" w14:textId="52B8BB0F" w:rsidR="000A7F75" w:rsidRPr="00E1336C" w:rsidRDefault="000A7F75" w:rsidP="000A7F75">
            <w:pPr>
              <w:jc w:val="center"/>
              <w:rPr>
                <w:rFonts w:cs="Times New Roman"/>
              </w:rPr>
            </w:pPr>
            <w:r w:rsidRPr="00E1336C">
              <w:rPr>
                <w:rFonts w:cs="Times New Roman"/>
              </w:rPr>
              <w:t>-</w:t>
            </w:r>
          </w:p>
        </w:tc>
        <w:tc>
          <w:tcPr>
            <w:tcW w:w="922" w:type="pct"/>
            <w:tcBorders>
              <w:bottom w:val="single" w:sz="4" w:space="0" w:color="auto"/>
            </w:tcBorders>
            <w:vAlign w:val="center"/>
          </w:tcPr>
          <w:p w14:paraId="5C43D934" w14:textId="6E3BAFB1" w:rsidR="000A7F75" w:rsidRPr="00E1336C" w:rsidRDefault="000A7F75" w:rsidP="000A7F75">
            <w:pPr>
              <w:jc w:val="center"/>
              <w:rPr>
                <w:rFonts w:cs="Times New Roman"/>
              </w:rPr>
            </w:pPr>
            <w:r w:rsidRPr="00E1336C">
              <w:rPr>
                <w:rFonts w:cs="Times New Roman"/>
              </w:rPr>
              <w:t>-</w:t>
            </w:r>
          </w:p>
        </w:tc>
        <w:tc>
          <w:tcPr>
            <w:tcW w:w="434" w:type="pct"/>
            <w:tcBorders>
              <w:bottom w:val="single" w:sz="4" w:space="0" w:color="auto"/>
            </w:tcBorders>
            <w:vAlign w:val="center"/>
          </w:tcPr>
          <w:p w14:paraId="31F0918F" w14:textId="3F1D9DCE" w:rsidR="000A7F75" w:rsidRPr="00E1336C" w:rsidRDefault="000A7F75" w:rsidP="000A7F75">
            <w:pPr>
              <w:jc w:val="center"/>
              <w:rPr>
                <w:rFonts w:cs="Times New Roman"/>
              </w:rPr>
            </w:pPr>
            <w:r w:rsidRPr="00E1336C">
              <w:rPr>
                <w:rFonts w:cs="Times New Roman"/>
              </w:rPr>
              <w:t>-</w:t>
            </w:r>
          </w:p>
        </w:tc>
        <w:tc>
          <w:tcPr>
            <w:tcW w:w="550" w:type="pct"/>
            <w:tcBorders>
              <w:bottom w:val="single" w:sz="4" w:space="0" w:color="auto"/>
            </w:tcBorders>
            <w:vAlign w:val="center"/>
          </w:tcPr>
          <w:p w14:paraId="750CE37A" w14:textId="1E83C5A8" w:rsidR="000A7F75" w:rsidRPr="00E1336C" w:rsidRDefault="000A7F75" w:rsidP="000A7F75">
            <w:pPr>
              <w:jc w:val="center"/>
              <w:rPr>
                <w:rFonts w:cs="Times New Roman"/>
              </w:rPr>
            </w:pPr>
            <w:r w:rsidRPr="00E1336C">
              <w:rPr>
                <w:rFonts w:cs="Times New Roman"/>
              </w:rPr>
              <w:t>-</w:t>
            </w:r>
          </w:p>
        </w:tc>
        <w:tc>
          <w:tcPr>
            <w:tcW w:w="680" w:type="pct"/>
            <w:tcBorders>
              <w:bottom w:val="single" w:sz="4" w:space="0" w:color="auto"/>
            </w:tcBorders>
            <w:vAlign w:val="center"/>
          </w:tcPr>
          <w:p w14:paraId="1B5FA768" w14:textId="7F6E01C3" w:rsidR="000A7F75" w:rsidRPr="00E1336C" w:rsidRDefault="000A7F75" w:rsidP="000A7F75">
            <w:pPr>
              <w:jc w:val="center"/>
              <w:rPr>
                <w:rFonts w:cs="Times New Roman"/>
                <w:color w:val="000000"/>
              </w:rPr>
            </w:pPr>
            <w:r w:rsidRPr="00E1336C">
              <w:rPr>
                <w:rFonts w:cs="Times New Roman"/>
              </w:rPr>
              <w:t>2.59</w:t>
            </w:r>
          </w:p>
        </w:tc>
        <w:tc>
          <w:tcPr>
            <w:tcW w:w="656" w:type="pct"/>
            <w:tcBorders>
              <w:bottom w:val="single" w:sz="4" w:space="0" w:color="auto"/>
            </w:tcBorders>
            <w:vAlign w:val="center"/>
          </w:tcPr>
          <w:p w14:paraId="0A7FB8EF" w14:textId="0CBDED0B" w:rsidR="000A7F75" w:rsidRPr="00E1336C" w:rsidRDefault="000A7F75" w:rsidP="000A7F75">
            <w:pPr>
              <w:jc w:val="center"/>
              <w:rPr>
                <w:rFonts w:cs="Times New Roman"/>
              </w:rPr>
            </w:pPr>
            <w:r w:rsidRPr="00E1336C">
              <w:rPr>
                <w:rFonts w:cs="Times New Roman"/>
                <w:color w:val="000000"/>
              </w:rPr>
              <w:t>1.02</w:t>
            </w:r>
          </w:p>
        </w:tc>
        <w:tc>
          <w:tcPr>
            <w:tcW w:w="680" w:type="pct"/>
            <w:tcBorders>
              <w:bottom w:val="single" w:sz="4" w:space="0" w:color="auto"/>
            </w:tcBorders>
            <w:vAlign w:val="center"/>
          </w:tcPr>
          <w:p w14:paraId="7F505493" w14:textId="4F44D3F2" w:rsidR="000A7F75" w:rsidRPr="00E1336C" w:rsidRDefault="000A7F75" w:rsidP="000A7F75">
            <w:pPr>
              <w:jc w:val="center"/>
              <w:rPr>
                <w:rFonts w:cs="Times New Roman"/>
              </w:rPr>
            </w:pPr>
            <w:r w:rsidRPr="00E1336C">
              <w:rPr>
                <w:rFonts w:cs="Times New Roman"/>
              </w:rPr>
              <w:t>-</w:t>
            </w:r>
          </w:p>
        </w:tc>
      </w:tr>
    </w:tbl>
    <w:p w14:paraId="6062A9EC" w14:textId="14D290AD" w:rsidR="00F37573" w:rsidRPr="00E1336C" w:rsidRDefault="00F37573">
      <w:pPr>
        <w:pStyle w:val="Caption"/>
        <w:rPr>
          <w:rFonts w:cs="Times New Roman"/>
        </w:rPr>
      </w:pPr>
      <w:r w:rsidRPr="00E1336C">
        <w:rPr>
          <w:rFonts w:cs="Times New Roman"/>
        </w:rPr>
        <w:t xml:space="preserve">Table </w:t>
      </w:r>
      <w:r w:rsidR="00336CF2" w:rsidRPr="00E1336C">
        <w:rPr>
          <w:rFonts w:cs="Times New Roman"/>
        </w:rPr>
        <w:fldChar w:fldCharType="begin"/>
      </w:r>
      <w:r w:rsidR="00336CF2" w:rsidRPr="00E1336C">
        <w:rPr>
          <w:rFonts w:cs="Times New Roman"/>
        </w:rPr>
        <w:instrText xml:space="preserve"> SEQ Table \* ARABIC </w:instrText>
      </w:r>
      <w:r w:rsidR="00336CF2" w:rsidRPr="00E1336C">
        <w:rPr>
          <w:rFonts w:cs="Times New Roman"/>
        </w:rPr>
        <w:fldChar w:fldCharType="separate"/>
      </w:r>
      <w:r w:rsidR="00944FAE" w:rsidRPr="00E1336C">
        <w:rPr>
          <w:rFonts w:cs="Times New Roman"/>
          <w:noProof/>
        </w:rPr>
        <w:t>2</w:t>
      </w:r>
      <w:r w:rsidR="00336CF2" w:rsidRPr="00E1336C">
        <w:rPr>
          <w:rFonts w:cs="Times New Roman"/>
          <w:noProof/>
        </w:rPr>
        <w:fldChar w:fldCharType="end"/>
      </w:r>
      <w:r w:rsidRPr="00E1336C">
        <w:rPr>
          <w:rFonts w:cs="Times New Roman"/>
        </w:rPr>
        <w:t>: Summary of enantiomeric excesses, melting points and antimalarial activity of synthesised analogues and literature compounds</w:t>
      </w:r>
      <w:r w:rsidR="00D92151" w:rsidRPr="00E1336C">
        <w:rPr>
          <w:rFonts w:cs="Times New Roman"/>
        </w:rPr>
        <w:t xml:space="preserve">. </w:t>
      </w:r>
      <w:r w:rsidR="007D7727" w:rsidRPr="00E1336C">
        <w:rPr>
          <w:rFonts w:cs="Times New Roman"/>
          <w:vertAlign w:val="superscript"/>
        </w:rPr>
        <w:t>a</w:t>
      </w:r>
      <w:r w:rsidR="007D7727" w:rsidRPr="00E1336C">
        <w:rPr>
          <w:rFonts w:cs="Times New Roman"/>
        </w:rPr>
        <w:t xml:space="preserve"> Unless stated IC</w:t>
      </w:r>
      <w:r w:rsidR="007D7727" w:rsidRPr="00E1336C">
        <w:rPr>
          <w:rFonts w:cs="Times New Roman"/>
          <w:vertAlign w:val="subscript"/>
        </w:rPr>
        <w:t xml:space="preserve">50 </w:t>
      </w:r>
      <w:r w:rsidR="007D7727" w:rsidRPr="00E1336C">
        <w:rPr>
          <w:rFonts w:cs="Times New Roman"/>
        </w:rPr>
        <w:t xml:space="preserve">values were </w:t>
      </w:r>
      <w:r w:rsidR="00BA3593" w:rsidRPr="00E1336C">
        <w:rPr>
          <w:rFonts w:cs="Times New Roman"/>
        </w:rPr>
        <w:t>determined</w:t>
      </w:r>
      <w:r w:rsidR="007D7727" w:rsidRPr="00E1336C">
        <w:rPr>
          <w:rFonts w:cs="Times New Roman"/>
        </w:rPr>
        <w:t xml:space="preserve"> against the </w:t>
      </w:r>
      <w:r w:rsidR="00B535F2" w:rsidRPr="00E1336C">
        <w:rPr>
          <w:rFonts w:cs="Times New Roman"/>
        </w:rPr>
        <w:t>D10</w:t>
      </w:r>
      <w:r w:rsidR="007D7727" w:rsidRPr="00E1336C">
        <w:rPr>
          <w:rFonts w:cs="Times New Roman"/>
        </w:rPr>
        <w:t xml:space="preserve"> chloroquine </w:t>
      </w:r>
      <w:r w:rsidR="00B535F2" w:rsidRPr="00E1336C">
        <w:rPr>
          <w:rFonts w:cs="Times New Roman"/>
        </w:rPr>
        <w:t>sensitive</w:t>
      </w:r>
      <w:r w:rsidR="007D7727" w:rsidRPr="00E1336C">
        <w:rPr>
          <w:rFonts w:cs="Times New Roman"/>
        </w:rPr>
        <w:t xml:space="preserve"> strain of P. falciparum</w:t>
      </w:r>
      <w:r w:rsidR="00106224" w:rsidRPr="00E1336C">
        <w:rPr>
          <w:rFonts w:cs="Times New Roman"/>
        </w:rPr>
        <w:t xml:space="preserve"> (Method is in Supporting Information file)</w:t>
      </w:r>
      <w:r w:rsidR="00CF36A7">
        <w:rPr>
          <w:rFonts w:cs="Times New Roman"/>
        </w:rPr>
        <w:t xml:space="preserve">. </w:t>
      </w:r>
      <w:r w:rsidR="00CF36A7" w:rsidRPr="00CF36A7">
        <w:rPr>
          <w:rFonts w:cs="Times New Roman"/>
          <w:color w:val="FF0000"/>
        </w:rPr>
        <w:t>The IC</w:t>
      </w:r>
      <w:r w:rsidR="00CF36A7" w:rsidRPr="00CF36A7">
        <w:rPr>
          <w:rFonts w:cs="Times New Roman"/>
          <w:color w:val="FF0000"/>
          <w:vertAlign w:val="subscript"/>
        </w:rPr>
        <w:t>50</w:t>
      </w:r>
      <w:r w:rsidR="00CF36A7" w:rsidRPr="00CF36A7">
        <w:rPr>
          <w:rFonts w:cs="Times New Roman"/>
          <w:color w:val="FF0000"/>
        </w:rPr>
        <w:t xml:space="preserve"> values are the mean of three different experiments, each performed in duplicate</w:t>
      </w:r>
      <w:r w:rsidR="00CF36A7" w:rsidRPr="00CF36A7">
        <w:rPr>
          <w:rFonts w:cs="Times New Roman"/>
        </w:rPr>
        <w:t>.</w:t>
      </w:r>
      <w:r w:rsidR="00B535F2" w:rsidRPr="00E1336C">
        <w:rPr>
          <w:rFonts w:cs="Times New Roman"/>
        </w:rPr>
        <w:t xml:space="preserve"> </w:t>
      </w:r>
      <w:r w:rsidR="00B535F2" w:rsidRPr="00E1336C">
        <w:rPr>
          <w:rFonts w:cs="Times New Roman"/>
          <w:vertAlign w:val="superscript"/>
        </w:rPr>
        <w:t>b</w:t>
      </w:r>
      <w:r w:rsidR="00B535F2" w:rsidRPr="00E1336C">
        <w:rPr>
          <w:rFonts w:cs="Times New Roman"/>
        </w:rPr>
        <w:t xml:space="preserve"> Tested as mesylate salt</w:t>
      </w:r>
    </w:p>
    <w:p w14:paraId="34F3F463" w14:textId="44ED85F8" w:rsidR="00CD25DA" w:rsidRPr="00231B15" w:rsidRDefault="00B77E80" w:rsidP="007C02AE">
      <w:pPr>
        <w:rPr>
          <w:rFonts w:cs="Times New Roman"/>
        </w:rPr>
      </w:pPr>
      <w:r w:rsidRPr="00E1336C">
        <w:rPr>
          <w:rFonts w:cs="Times New Roman"/>
        </w:rPr>
        <w:lastRenderedPageBreak/>
        <w:t xml:space="preserve">In comparison to linear counterparts, the melting points of </w:t>
      </w:r>
      <w:r w:rsidR="005A5AB2" w:rsidRPr="00E1336C">
        <w:rPr>
          <w:rFonts w:cs="Times New Roman"/>
        </w:rPr>
        <w:t xml:space="preserve">the </w:t>
      </w:r>
      <w:r w:rsidRPr="00E1336C">
        <w:rPr>
          <w:rFonts w:cs="Times New Roman"/>
        </w:rPr>
        <w:t>chiral analogues</w:t>
      </w:r>
      <w:r w:rsidR="00175589" w:rsidRPr="00E1336C">
        <w:rPr>
          <w:rFonts w:cs="Times New Roman"/>
        </w:rPr>
        <w:t xml:space="preserve"> (Table 2)</w:t>
      </w:r>
      <w:r w:rsidRPr="00E1336C">
        <w:rPr>
          <w:rFonts w:cs="Times New Roman"/>
        </w:rPr>
        <w:t xml:space="preserve"> were found to</w:t>
      </w:r>
      <w:r w:rsidRPr="00231B15">
        <w:rPr>
          <w:rFonts w:cs="Times New Roman"/>
        </w:rPr>
        <w:t xml:space="preserve"> be </w:t>
      </w:r>
      <w:r w:rsidR="00A72422" w:rsidRPr="00231B15">
        <w:rPr>
          <w:rFonts w:cs="Times New Roman"/>
        </w:rPr>
        <w:t xml:space="preserve">significantly lower. </w:t>
      </w:r>
      <w:r w:rsidR="001A4F65" w:rsidRPr="00231B15">
        <w:rPr>
          <w:rFonts w:cs="Times New Roman"/>
        </w:rPr>
        <w:t>This reduction in melting point is presumably due to interference with crystal packing</w:t>
      </w:r>
      <w:r w:rsidR="00606F57" w:rsidRPr="00231B15">
        <w:rPr>
          <w:rFonts w:cs="Times New Roman"/>
        </w:rPr>
        <w:t xml:space="preserve"> making fusion a more entropically favourable process</w:t>
      </w:r>
      <w:r w:rsidR="00266167" w:rsidRPr="00231B15">
        <w:rPr>
          <w:rFonts w:cs="Times New Roman"/>
        </w:rPr>
        <w:t>.</w:t>
      </w:r>
      <w:r w:rsidR="00266167" w:rsidRPr="00231B15">
        <w:rPr>
          <w:rFonts w:cs="Times New Roman"/>
        </w:rPr>
        <w:fldChar w:fldCharType="begin" w:fldLock="1"/>
      </w:r>
      <w:r w:rsidR="00A26B94">
        <w:rPr>
          <w:rFonts w:cs="Times New Roman"/>
        </w:rPr>
        <w:instrText>ADDIN CSL_CITATION {"citationItems":[{"id":"ITEM-1","itemData":{"DOI":"10.1021/ed077p724","ISSN":"00219584","author":[{"dropping-particle":"","family":"Brown","given":"R. J.C.","non-dropping-particle":"","parse-names":false,"suffix":""},{"dropping-particle":"","family":"Brown","given":"R. F.C.","non-dropping-particle":"","parse-names":false,"suffix":""}],"container-title":"Journal of Chemical Education","id":"ITEM-1","issued":{"date-parts":[["2000"]]},"title":"Melting Point and Molecular Symmetry","type":"article-journal"},"uris":["http://www.mendeley.com/documents/?uuid=5ea97a5e-acda-4176-9482-a6c0c969bb93"]}],"mendeley":{"formattedCitation":"&lt;sup&gt;20&lt;/sup&gt;","plainTextFormattedCitation":"20","previouslyFormattedCitation":"&lt;sup&gt;20&lt;/sup&gt;"},"properties":{"noteIndex":0},"schema":"https://github.com/citation-style-language/schema/raw/master/csl-citation.json"}</w:instrText>
      </w:r>
      <w:r w:rsidR="00266167" w:rsidRPr="00231B15">
        <w:rPr>
          <w:rFonts w:cs="Times New Roman"/>
        </w:rPr>
        <w:fldChar w:fldCharType="separate"/>
      </w:r>
      <w:r w:rsidR="00B60F81" w:rsidRPr="00B60F81">
        <w:rPr>
          <w:rFonts w:cs="Times New Roman"/>
          <w:noProof/>
          <w:vertAlign w:val="superscript"/>
        </w:rPr>
        <w:t>20</w:t>
      </w:r>
      <w:r w:rsidR="00266167" w:rsidRPr="00231B15">
        <w:rPr>
          <w:rFonts w:cs="Times New Roman"/>
        </w:rPr>
        <w:fldChar w:fldCharType="end"/>
      </w:r>
      <w:r w:rsidR="00266167" w:rsidRPr="00231B15">
        <w:rPr>
          <w:rFonts w:cs="Times New Roman"/>
        </w:rPr>
        <w:t xml:space="preserve"> </w:t>
      </w:r>
      <w:r w:rsidR="00B50A61" w:rsidRPr="00231B15">
        <w:rPr>
          <w:rFonts w:cs="Times New Roman"/>
        </w:rPr>
        <w:t xml:space="preserve">As </w:t>
      </w:r>
      <w:r w:rsidR="00A77F38" w:rsidRPr="00231B15">
        <w:rPr>
          <w:rFonts w:cs="Times New Roman"/>
        </w:rPr>
        <w:t>expected,</w:t>
      </w:r>
      <w:r w:rsidR="00B50A61" w:rsidRPr="00231B15">
        <w:rPr>
          <w:rFonts w:cs="Times New Roman"/>
        </w:rPr>
        <w:t xml:space="preserve"> </w:t>
      </w:r>
      <w:r w:rsidR="00CD25DA" w:rsidRPr="00231B15">
        <w:rPr>
          <w:rFonts w:cs="Times New Roman"/>
        </w:rPr>
        <w:t>the racemates possessed lower melting points than enantiomerically pure compounds.</w:t>
      </w:r>
    </w:p>
    <w:p w14:paraId="546C098D" w14:textId="4C995901" w:rsidR="00CD25DA" w:rsidRPr="00231B15" w:rsidRDefault="00F17531" w:rsidP="007C02AE">
      <w:pPr>
        <w:rPr>
          <w:rFonts w:cs="Times New Roman"/>
        </w:rPr>
      </w:pPr>
      <w:r w:rsidRPr="00231B15">
        <w:rPr>
          <w:rFonts w:cs="Times New Roman"/>
        </w:rPr>
        <w:t xml:space="preserve">To assess antimalarial activity, all analogues were </w:t>
      </w:r>
      <w:r w:rsidR="00417B31" w:rsidRPr="00231B15">
        <w:rPr>
          <w:rFonts w:eastAsiaTheme="minorEastAsia" w:cs="Times New Roman"/>
          <w:lang w:eastAsia="zh-CN"/>
        </w:rPr>
        <w:t xml:space="preserve">screened </w:t>
      </w:r>
      <w:r w:rsidRPr="00231B15">
        <w:rPr>
          <w:rFonts w:cs="Times New Roman"/>
        </w:rPr>
        <w:t>against the chloroquine</w:t>
      </w:r>
      <w:r w:rsidR="004A2129" w:rsidRPr="00231B15">
        <w:rPr>
          <w:rFonts w:cs="Times New Roman"/>
        </w:rPr>
        <w:t xml:space="preserve"> (CQ)</w:t>
      </w:r>
      <w:r w:rsidRPr="00231B15">
        <w:rPr>
          <w:rFonts w:cs="Times New Roman"/>
        </w:rPr>
        <w:t xml:space="preserve"> </w:t>
      </w:r>
      <w:r w:rsidR="004A2129" w:rsidRPr="00231B15">
        <w:rPr>
          <w:rFonts w:cs="Times New Roman"/>
        </w:rPr>
        <w:t xml:space="preserve">sensitive strain D10 </w:t>
      </w:r>
      <w:r w:rsidR="0063744C" w:rsidRPr="00231B15">
        <w:rPr>
          <w:rFonts w:cs="Times New Roman"/>
          <w:i/>
          <w:iCs/>
        </w:rPr>
        <w:t>P. falciparum</w:t>
      </w:r>
      <w:r w:rsidR="004A2129" w:rsidRPr="00231B15">
        <w:rPr>
          <w:rFonts w:cs="Times New Roman"/>
          <w:i/>
          <w:iCs/>
        </w:rPr>
        <w:t xml:space="preserve"> </w:t>
      </w:r>
      <w:r w:rsidR="004A2129" w:rsidRPr="00231B15">
        <w:rPr>
          <w:rFonts w:cs="Times New Roman"/>
          <w:iCs/>
        </w:rPr>
        <w:t>and the</w:t>
      </w:r>
      <w:r w:rsidR="004A2129" w:rsidRPr="00231B15">
        <w:rPr>
          <w:rFonts w:cs="Times New Roman"/>
          <w:i/>
          <w:iCs/>
        </w:rPr>
        <w:t xml:space="preserve"> </w:t>
      </w:r>
      <w:r w:rsidR="004A2129" w:rsidRPr="00231B15">
        <w:rPr>
          <w:rFonts w:cs="Times New Roman"/>
        </w:rPr>
        <w:t xml:space="preserve">CQ resistant strain W2 </w:t>
      </w:r>
      <w:r w:rsidR="004A2129" w:rsidRPr="00231B15">
        <w:rPr>
          <w:rFonts w:cs="Times New Roman"/>
          <w:i/>
        </w:rPr>
        <w:t>P. falciparum</w:t>
      </w:r>
      <w:r w:rsidR="00175589" w:rsidRPr="00231B15">
        <w:rPr>
          <w:rFonts w:cs="Times New Roman"/>
        </w:rPr>
        <w:t>;</w:t>
      </w:r>
      <w:r w:rsidR="00175589" w:rsidRPr="00231B15">
        <w:rPr>
          <w:rFonts w:cs="Times New Roman"/>
          <w:i/>
          <w:iCs/>
        </w:rPr>
        <w:t xml:space="preserve"> </w:t>
      </w:r>
      <w:r w:rsidR="00175589" w:rsidRPr="00231B15">
        <w:rPr>
          <w:rFonts w:cs="Times New Roman"/>
        </w:rPr>
        <w:t>the IC</w:t>
      </w:r>
      <w:r w:rsidR="00175589" w:rsidRPr="00231B15">
        <w:rPr>
          <w:rFonts w:cs="Times New Roman"/>
        </w:rPr>
        <w:softHyphen/>
      </w:r>
      <w:r w:rsidR="00175589" w:rsidRPr="00231B15">
        <w:rPr>
          <w:rFonts w:cs="Times New Roman"/>
          <w:vertAlign w:val="subscript"/>
        </w:rPr>
        <w:t>50</w:t>
      </w:r>
      <w:r w:rsidR="00175589" w:rsidRPr="00231B15">
        <w:rPr>
          <w:rFonts w:cs="Times New Roman"/>
        </w:rPr>
        <w:t xml:space="preserve"> values for which are summarised in Table 2</w:t>
      </w:r>
      <w:r w:rsidR="0063744C" w:rsidRPr="00231B15">
        <w:rPr>
          <w:rFonts w:cs="Times New Roman"/>
        </w:rPr>
        <w:t>.</w:t>
      </w:r>
      <w:r w:rsidR="00CF06C5" w:rsidRPr="00231B15">
        <w:rPr>
          <w:rFonts w:cs="Times New Roman"/>
        </w:rPr>
        <w:t xml:space="preserve"> </w:t>
      </w:r>
      <w:r w:rsidR="00417B31" w:rsidRPr="00231B15">
        <w:rPr>
          <w:rFonts w:cs="Times New Roman"/>
          <w:lang w:eastAsia="zh-CN"/>
        </w:rPr>
        <w:t>Firstly,</w:t>
      </w:r>
      <w:r w:rsidR="00417B31" w:rsidRPr="00231B15">
        <w:rPr>
          <w:rFonts w:cs="Times New Roman"/>
        </w:rPr>
        <w:t xml:space="preserve"> </w:t>
      </w:r>
      <w:r w:rsidR="00CF06C5" w:rsidRPr="00231B15">
        <w:rPr>
          <w:rFonts w:cs="Times New Roman"/>
        </w:rPr>
        <w:t xml:space="preserve">all analogues maintain low nanomolar potency against W2 </w:t>
      </w:r>
      <w:r w:rsidR="00CF06C5" w:rsidRPr="00231B15">
        <w:rPr>
          <w:rFonts w:cs="Times New Roman"/>
          <w:i/>
          <w:iCs/>
        </w:rPr>
        <w:t xml:space="preserve">P. falciparum </w:t>
      </w:r>
      <w:r w:rsidR="00255CF8" w:rsidRPr="00231B15">
        <w:rPr>
          <w:rFonts w:cs="Times New Roman"/>
        </w:rPr>
        <w:t xml:space="preserve">suggesting the introduction of non-linearity does not interfere with the mechanism of action of the tetraoxane antimalarials. </w:t>
      </w:r>
      <w:r w:rsidR="001B3881" w:rsidRPr="00231B15">
        <w:rPr>
          <w:rFonts w:cs="Times New Roman"/>
        </w:rPr>
        <w:t>Notably in the CQ sensitive D10 strain all non-linear analogues were found to outperform CQ</w:t>
      </w:r>
      <w:r w:rsidR="00EE5474" w:rsidRPr="00231B15">
        <w:rPr>
          <w:rFonts w:cs="Times New Roman"/>
        </w:rPr>
        <w:t xml:space="preserve"> by approximately two-fold.</w:t>
      </w:r>
      <w:r w:rsidR="001B3881" w:rsidRPr="00231B15">
        <w:rPr>
          <w:rFonts w:cs="Times New Roman"/>
        </w:rPr>
        <w:t xml:space="preserve"> Despite this, </w:t>
      </w:r>
      <w:r w:rsidR="00EE5474" w:rsidRPr="00231B15">
        <w:rPr>
          <w:rFonts w:cs="Times New Roman"/>
        </w:rPr>
        <w:t>a</w:t>
      </w:r>
      <w:r w:rsidR="001B3881" w:rsidRPr="00231B15">
        <w:rPr>
          <w:rFonts w:cs="Times New Roman"/>
        </w:rPr>
        <w:t xml:space="preserve"> reduction in activity was seen for all non-linear analogues in comparison to their linear counterparts</w:t>
      </w:r>
      <w:r w:rsidR="00120122" w:rsidRPr="00231B15">
        <w:rPr>
          <w:rFonts w:cs="Times New Roman"/>
        </w:rPr>
        <w:t xml:space="preserve">. </w:t>
      </w:r>
      <w:r w:rsidR="007C02AE" w:rsidRPr="00231B15">
        <w:rPr>
          <w:rFonts w:cs="Times New Roman"/>
        </w:rPr>
        <w:t>No significant difference was seen in antimalarial activities between individual enantiomer</w:t>
      </w:r>
      <w:r w:rsidR="00FF0F5C" w:rsidRPr="00231B15">
        <w:rPr>
          <w:rFonts w:cs="Times New Roman"/>
        </w:rPr>
        <w:t>s which we expected as the proposed mechanism for bioactivation</w:t>
      </w:r>
      <w:r w:rsidR="00985F1E" w:rsidRPr="00231B15">
        <w:rPr>
          <w:rFonts w:cs="Times New Roman"/>
        </w:rPr>
        <w:t xml:space="preserve"> involves </w:t>
      </w:r>
      <w:r w:rsidR="00417B31" w:rsidRPr="00231B15">
        <w:rPr>
          <w:rFonts w:cs="Times New Roman"/>
          <w:lang w:eastAsia="zh-CN"/>
        </w:rPr>
        <w:t>mainly</w:t>
      </w:r>
      <w:r w:rsidR="00985F1E" w:rsidRPr="00231B15">
        <w:rPr>
          <w:rFonts w:cs="Times New Roman"/>
        </w:rPr>
        <w:t xml:space="preserve"> the peroxide containing moiety</w:t>
      </w:r>
      <w:r w:rsidR="00E25072">
        <w:rPr>
          <w:rFonts w:cs="Times New Roman"/>
        </w:rPr>
        <w:t>,</w:t>
      </w:r>
      <w:r w:rsidR="00985F1E" w:rsidRPr="00231B15">
        <w:rPr>
          <w:rFonts w:cs="Times New Roman"/>
        </w:rPr>
        <w:t xml:space="preserve"> </w:t>
      </w:r>
      <w:r w:rsidR="00E25072">
        <w:rPr>
          <w:rFonts w:cs="Times New Roman"/>
          <w:lang w:eastAsia="zh-CN"/>
        </w:rPr>
        <w:t>with</w:t>
      </w:r>
      <w:r w:rsidR="00417B31" w:rsidRPr="00231B15">
        <w:rPr>
          <w:rFonts w:cs="Times New Roman"/>
          <w:lang w:eastAsia="zh-CN"/>
        </w:rPr>
        <w:t xml:space="preserve"> </w:t>
      </w:r>
      <w:r w:rsidR="00985F1E" w:rsidRPr="00231B15">
        <w:rPr>
          <w:rFonts w:cs="Times New Roman"/>
        </w:rPr>
        <w:t xml:space="preserve">the tetraoxane substituents </w:t>
      </w:r>
      <w:r w:rsidR="00B26C89" w:rsidRPr="00231B15">
        <w:rPr>
          <w:rFonts w:cs="Times New Roman"/>
        </w:rPr>
        <w:t>attenuating peroxide stability and physicochemical properties.</w:t>
      </w:r>
      <w:r w:rsidR="00266167" w:rsidRPr="00231B15">
        <w:rPr>
          <w:rFonts w:cs="Times New Roman"/>
        </w:rPr>
        <w:fldChar w:fldCharType="begin" w:fldLock="1"/>
      </w:r>
      <w:r w:rsidR="00A26B94">
        <w:rPr>
          <w:rFonts w:cs="Times New Roman"/>
        </w:rPr>
        <w:instrText>ADDIN CSL_CITATION {"citationItems":[{"id":"ITEM-1","itemData":{"DOI":"10.3390/molecules15031705","ISSN":"14203049","abstract":"Despite international efforts to 'roll back malaria' the 2008 World Malaria Report revealed the disease still affects approximately 3 billion people in 109 countries; 45 within the WHO African region. The latest report however does provide some 'cautious optimism'; more than one third of malarious countries have documented greater than 50% reductions in malaria cases in 2008 compared to 2000. The goal of the Member States at the World Health Assembly and 'Roll Back Malaria' (RBM) partnership is to reduce the numbers of malaria cases and deaths recorded in 2000 by 50% or more by the end of 2010. Although malaria is preventable it is most prevalent in poorer countries where prevention is difficult and prophylaxis is generally not an option. The burden of disease has increased by the emergence of multi drug resistant (MDR) parasites which threatens the use of established and cost effective antimalarial agents. After a major change in treatment policies, artemisinins are now the frontline treatment to aid rapid clearance of parasitaemia and quick resolution of symptoms. Since artemisinin and its derivatives are eliminated rapidly, artemisinin combination therapies (ACT's) are now recommended to delay resistance mechanisms. In spite of these precautionary measures reduced susceptibility of parasites to the artemisinin-based component of ACT's has developed at the Thai-Cambodian border, a historical 'hot spot' for MDR parasite evolution and emergence. This development raises serious concerns for the future of the artemsinins and this is not helped by controversy related to the mode of action. Although a number of potential targets have been proposed the actual mechanism of action remains ambiguous. Interestingly, artemisinins have also shown potent and broad anticancer properties in cell lines and animal models and are becoming established as anti-schistosomal agents. In this review we will discuss the recent evidence explaining bioactivation and potential molecular targets in the chemotherapy of malaria and cancer. © 2010 by the authors.","author":[{"dropping-particle":"","family":"O'Neill","given":"Paul M.","non-dropping-particle":"","parse-names":false,"suffix":""},{"dropping-particle":"","family":"Barton","given":"Victoria E.","non-dropping-particle":"","parse-names":false,"suffix":""},{"dropping-particle":"","family":"Ward","given":"Stephen A.","non-dropping-particle":"","parse-names":false,"suffix":""}],"container-title":"Molecules","id":"ITEM-1","issued":{"date-parts":[["2010"]]},"title":"The molecular mechanism of action of artemisinin - The debate continues","type":"article-journal"},"uris":["http://www.mendeley.com/documents/?uuid=4347249c-aa3a-4a6a-a282-2eddfc37f82e"]}],"mendeley":{"formattedCitation":"&lt;sup&gt;19&lt;/sup&gt;","plainTextFormattedCitation":"19","previouslyFormattedCitation":"&lt;sup&gt;19&lt;/sup&gt;"},"properties":{"noteIndex":0},"schema":"https://github.com/citation-style-language/schema/raw/master/csl-citation.json"}</w:instrText>
      </w:r>
      <w:r w:rsidR="00266167" w:rsidRPr="00231B15">
        <w:rPr>
          <w:rFonts w:cs="Times New Roman"/>
        </w:rPr>
        <w:fldChar w:fldCharType="separate"/>
      </w:r>
      <w:r w:rsidR="00B60F81" w:rsidRPr="00B60F81">
        <w:rPr>
          <w:rFonts w:cs="Times New Roman"/>
          <w:noProof/>
          <w:vertAlign w:val="superscript"/>
        </w:rPr>
        <w:t>19</w:t>
      </w:r>
      <w:r w:rsidR="00266167" w:rsidRPr="00231B15">
        <w:rPr>
          <w:rFonts w:cs="Times New Roman"/>
        </w:rPr>
        <w:fldChar w:fldCharType="end"/>
      </w:r>
      <w:r w:rsidR="006876DB" w:rsidRPr="00231B15">
        <w:rPr>
          <w:rFonts w:cs="Times New Roman"/>
        </w:rPr>
        <w:t xml:space="preserve"> </w:t>
      </w:r>
    </w:p>
    <w:p w14:paraId="26747EB5" w14:textId="55947413" w:rsidR="00120122" w:rsidRPr="00231B15" w:rsidRDefault="00FD628A" w:rsidP="00120122">
      <w:pPr>
        <w:ind w:left="360"/>
        <w:rPr>
          <w:rFonts w:cs="Times New Roman"/>
        </w:rPr>
      </w:pPr>
      <w:r w:rsidRPr="0073657C">
        <w:rPr>
          <w:rFonts w:cs="Times New Roman"/>
          <w:noProof/>
        </w:rPr>
        <w:object w:dxaOrig="7665" w:dyaOrig="2229" w14:anchorId="3D661A64">
          <v:shape id="_x0000_i1033" type="#_x0000_t75" alt="" style="width:382.6pt;height:113pt;mso-width-percent:0;mso-height-percent:0;mso-width-percent:0;mso-height-percent:0" o:ole="">
            <v:imagedata r:id="rId26" o:title=""/>
          </v:shape>
          <o:OLEObject Type="Embed" ProgID="ChemDraw.Document.6.0" ShapeID="_x0000_i1033" DrawAspect="Content" ObjectID="_1684854716" r:id="rId27"/>
        </w:object>
      </w:r>
    </w:p>
    <w:tbl>
      <w:tblPr>
        <w:tblStyle w:val="TableGrid"/>
        <w:tblW w:w="76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08"/>
        <w:gridCol w:w="1134"/>
        <w:gridCol w:w="1418"/>
        <w:gridCol w:w="1276"/>
        <w:gridCol w:w="1417"/>
        <w:gridCol w:w="709"/>
      </w:tblGrid>
      <w:tr w:rsidR="005A03D0" w:rsidRPr="00231B15" w14:paraId="342AF166" w14:textId="758F4AB4" w:rsidTr="007D738C">
        <w:trPr>
          <w:jc w:val="center"/>
        </w:trPr>
        <w:tc>
          <w:tcPr>
            <w:tcW w:w="993" w:type="dxa"/>
            <w:tcBorders>
              <w:top w:val="single" w:sz="4" w:space="0" w:color="auto"/>
              <w:bottom w:val="single" w:sz="4" w:space="0" w:color="auto"/>
            </w:tcBorders>
            <w:vAlign w:val="center"/>
          </w:tcPr>
          <w:p w14:paraId="63C2205C" w14:textId="5C186746" w:rsidR="005A03D0" w:rsidRPr="00231B15" w:rsidRDefault="005A03D0" w:rsidP="004A2129">
            <w:pPr>
              <w:jc w:val="center"/>
              <w:rPr>
                <w:rFonts w:cs="Times New Roman"/>
              </w:rPr>
            </w:pPr>
            <w:r w:rsidRPr="00231B15">
              <w:rPr>
                <w:rFonts w:cs="Times New Roman"/>
              </w:rPr>
              <w:t>Cmpd</w:t>
            </w:r>
          </w:p>
        </w:tc>
        <w:tc>
          <w:tcPr>
            <w:tcW w:w="708" w:type="dxa"/>
            <w:tcBorders>
              <w:top w:val="single" w:sz="4" w:space="0" w:color="auto"/>
              <w:bottom w:val="single" w:sz="4" w:space="0" w:color="auto"/>
            </w:tcBorders>
            <w:vAlign w:val="center"/>
          </w:tcPr>
          <w:p w14:paraId="29604CDA" w14:textId="3704F5B5" w:rsidR="005A03D0" w:rsidRPr="00231B15" w:rsidRDefault="005A03D0" w:rsidP="00ED437B">
            <w:pPr>
              <w:jc w:val="center"/>
              <w:rPr>
                <w:rFonts w:cs="Times New Roman"/>
              </w:rPr>
            </w:pPr>
            <w:r w:rsidRPr="00231B15">
              <w:rPr>
                <w:rFonts w:cs="Times New Roman"/>
              </w:rPr>
              <w:t>X</w:t>
            </w:r>
          </w:p>
        </w:tc>
        <w:tc>
          <w:tcPr>
            <w:tcW w:w="1134" w:type="dxa"/>
            <w:tcBorders>
              <w:top w:val="single" w:sz="4" w:space="0" w:color="auto"/>
              <w:bottom w:val="single" w:sz="4" w:space="0" w:color="auto"/>
            </w:tcBorders>
            <w:vAlign w:val="center"/>
          </w:tcPr>
          <w:p w14:paraId="6E712275" w14:textId="1A570EBB" w:rsidR="005A03D0" w:rsidRPr="00231B15" w:rsidRDefault="005A03D0" w:rsidP="000D252A">
            <w:pPr>
              <w:jc w:val="center"/>
              <w:rPr>
                <w:rFonts w:cs="Times New Roman"/>
              </w:rPr>
            </w:pPr>
            <w:r w:rsidRPr="00231B15">
              <w:rPr>
                <w:rFonts w:cs="Times New Roman"/>
              </w:rPr>
              <w:t>Stereo-chemistry</w:t>
            </w:r>
          </w:p>
        </w:tc>
        <w:tc>
          <w:tcPr>
            <w:tcW w:w="1418" w:type="dxa"/>
            <w:tcBorders>
              <w:top w:val="single" w:sz="4" w:space="0" w:color="auto"/>
              <w:bottom w:val="single" w:sz="4" w:space="0" w:color="auto"/>
            </w:tcBorders>
            <w:vAlign w:val="center"/>
          </w:tcPr>
          <w:p w14:paraId="13FBFDF1" w14:textId="7EA848CC" w:rsidR="005A03D0" w:rsidRPr="00231B15" w:rsidRDefault="005A03D0">
            <w:pPr>
              <w:jc w:val="center"/>
              <w:rPr>
                <w:rFonts w:cs="Times New Roman"/>
              </w:rPr>
            </w:pPr>
            <w:r w:rsidRPr="00231B15">
              <w:rPr>
                <w:rFonts w:cs="Times New Roman"/>
                <w:color w:val="000000"/>
              </w:rPr>
              <w:t>Aqueous Solubility pH 7.4 (µM)</w:t>
            </w:r>
          </w:p>
        </w:tc>
        <w:tc>
          <w:tcPr>
            <w:tcW w:w="1276" w:type="dxa"/>
            <w:tcBorders>
              <w:top w:val="single" w:sz="4" w:space="0" w:color="auto"/>
              <w:bottom w:val="single" w:sz="4" w:space="0" w:color="auto"/>
            </w:tcBorders>
            <w:vAlign w:val="center"/>
          </w:tcPr>
          <w:p w14:paraId="38D14BF3" w14:textId="5A480299" w:rsidR="005A03D0" w:rsidRPr="00231B15" w:rsidRDefault="005A03D0" w:rsidP="0072641D">
            <w:pPr>
              <w:jc w:val="center"/>
              <w:rPr>
                <w:rFonts w:cs="Times New Roman"/>
              </w:rPr>
            </w:pPr>
            <w:r w:rsidRPr="00231B15">
              <w:rPr>
                <w:rFonts w:cs="Times New Roman"/>
                <w:color w:val="000000"/>
              </w:rPr>
              <w:t>Rat Hepatocyte C</w:t>
            </w:r>
            <w:r w:rsidR="0072641D">
              <w:rPr>
                <w:rFonts w:cs="Times New Roman"/>
                <w:color w:val="000000"/>
              </w:rPr>
              <w:t>L</w:t>
            </w:r>
            <w:r w:rsidRPr="00E26468">
              <w:rPr>
                <w:rFonts w:cs="Times New Roman"/>
                <w:color w:val="000000"/>
                <w:vertAlign w:val="subscript"/>
              </w:rPr>
              <w:t>int</w:t>
            </w:r>
            <w:r w:rsidRPr="00231B15">
              <w:rPr>
                <w:rFonts w:cs="Times New Roman"/>
                <w:color w:val="000000"/>
              </w:rPr>
              <w:t xml:space="preserve"> (µl/min/</w:t>
            </w:r>
            <w:r w:rsidRPr="00231B15">
              <w:rPr>
                <w:rFonts w:cs="Times New Roman"/>
                <w:color w:val="000000"/>
              </w:rPr>
              <w:br/>
              <w:t>10</w:t>
            </w:r>
            <w:r w:rsidRPr="00231B15">
              <w:rPr>
                <w:rFonts w:cs="Times New Roman"/>
                <w:color w:val="000000"/>
                <w:vertAlign w:val="superscript"/>
              </w:rPr>
              <w:t>6</w:t>
            </w:r>
            <w:r w:rsidRPr="00231B15">
              <w:rPr>
                <w:rFonts w:cs="Times New Roman"/>
                <w:color w:val="000000"/>
              </w:rPr>
              <w:t>)</w:t>
            </w:r>
          </w:p>
        </w:tc>
        <w:tc>
          <w:tcPr>
            <w:tcW w:w="1417" w:type="dxa"/>
            <w:tcBorders>
              <w:top w:val="single" w:sz="4" w:space="0" w:color="auto"/>
              <w:bottom w:val="single" w:sz="4" w:space="0" w:color="auto"/>
            </w:tcBorders>
            <w:vAlign w:val="center"/>
          </w:tcPr>
          <w:p w14:paraId="505B6DC3" w14:textId="17988911" w:rsidR="005A03D0" w:rsidRPr="00231B15" w:rsidRDefault="005A03D0" w:rsidP="0072641D">
            <w:pPr>
              <w:jc w:val="center"/>
              <w:rPr>
                <w:rFonts w:cs="Times New Roman"/>
              </w:rPr>
            </w:pPr>
            <w:r w:rsidRPr="00231B15">
              <w:rPr>
                <w:rFonts w:cs="Times New Roman"/>
              </w:rPr>
              <w:t>Human Microsome C</w:t>
            </w:r>
            <w:r w:rsidR="0072641D">
              <w:rPr>
                <w:rFonts w:cs="Times New Roman"/>
              </w:rPr>
              <w:t>L</w:t>
            </w:r>
            <w:r w:rsidRPr="00E26468">
              <w:rPr>
                <w:rFonts w:cs="Times New Roman"/>
                <w:vertAlign w:val="subscript"/>
              </w:rPr>
              <w:t xml:space="preserve">int </w:t>
            </w:r>
            <w:r w:rsidRPr="00231B15">
              <w:rPr>
                <w:rFonts w:cs="Times New Roman"/>
              </w:rPr>
              <w:t>(µl/min/mg)</w:t>
            </w:r>
          </w:p>
        </w:tc>
        <w:tc>
          <w:tcPr>
            <w:tcW w:w="709" w:type="dxa"/>
            <w:tcBorders>
              <w:top w:val="single" w:sz="4" w:space="0" w:color="auto"/>
              <w:bottom w:val="single" w:sz="4" w:space="0" w:color="auto"/>
            </w:tcBorders>
            <w:vAlign w:val="center"/>
          </w:tcPr>
          <w:p w14:paraId="5E8EAC6D" w14:textId="38E40E33" w:rsidR="005A03D0" w:rsidRPr="00231B15" w:rsidRDefault="005A03D0">
            <w:pPr>
              <w:jc w:val="center"/>
              <w:rPr>
                <w:rFonts w:cs="Times New Roman"/>
                <w:vertAlign w:val="superscript"/>
              </w:rPr>
            </w:pPr>
            <w:r w:rsidRPr="00231B15">
              <w:rPr>
                <w:rFonts w:cs="Times New Roman"/>
              </w:rPr>
              <w:t>cLogP</w:t>
            </w:r>
            <w:r w:rsidRPr="00231B15">
              <w:rPr>
                <w:rFonts w:cs="Times New Roman"/>
                <w:vertAlign w:val="superscript"/>
              </w:rPr>
              <w:t>a</w:t>
            </w:r>
          </w:p>
        </w:tc>
      </w:tr>
      <w:tr w:rsidR="005A03D0" w:rsidRPr="00231B15" w14:paraId="0B99163B" w14:textId="35745FF3" w:rsidTr="007D738C">
        <w:trPr>
          <w:jc w:val="center"/>
        </w:trPr>
        <w:tc>
          <w:tcPr>
            <w:tcW w:w="993" w:type="dxa"/>
            <w:tcBorders>
              <w:top w:val="single" w:sz="4" w:space="0" w:color="auto"/>
            </w:tcBorders>
            <w:vAlign w:val="center"/>
          </w:tcPr>
          <w:p w14:paraId="6E7BA806" w14:textId="1BC7B963" w:rsidR="005A03D0" w:rsidRPr="00231B15" w:rsidRDefault="005A03D0" w:rsidP="004A2129">
            <w:pPr>
              <w:jc w:val="center"/>
              <w:rPr>
                <w:rFonts w:cs="Times New Roman"/>
              </w:rPr>
            </w:pPr>
            <w:r w:rsidRPr="00231B15">
              <w:rPr>
                <w:rFonts w:cs="Times New Roman"/>
                <w:b/>
                <w:bCs/>
              </w:rPr>
              <w:t>9a</w:t>
            </w:r>
          </w:p>
        </w:tc>
        <w:tc>
          <w:tcPr>
            <w:tcW w:w="708" w:type="dxa"/>
            <w:tcBorders>
              <w:top w:val="single" w:sz="4" w:space="0" w:color="auto"/>
            </w:tcBorders>
            <w:vAlign w:val="center"/>
          </w:tcPr>
          <w:p w14:paraId="18E9E372" w14:textId="13CD0897" w:rsidR="005A03D0" w:rsidRPr="00231B15" w:rsidRDefault="005A03D0" w:rsidP="00ED437B">
            <w:pPr>
              <w:jc w:val="center"/>
              <w:rPr>
                <w:rFonts w:cs="Times New Roman"/>
              </w:rPr>
            </w:pPr>
            <w:r w:rsidRPr="00231B15">
              <w:rPr>
                <w:rFonts w:cs="Times New Roman"/>
              </w:rPr>
              <w:t>CHF</w:t>
            </w:r>
          </w:p>
        </w:tc>
        <w:tc>
          <w:tcPr>
            <w:tcW w:w="1134" w:type="dxa"/>
            <w:tcBorders>
              <w:top w:val="single" w:sz="4" w:space="0" w:color="auto"/>
            </w:tcBorders>
            <w:vAlign w:val="center"/>
          </w:tcPr>
          <w:p w14:paraId="5FC74A3A" w14:textId="3BCF415A" w:rsidR="005A03D0" w:rsidRPr="00E26468" w:rsidRDefault="005A03D0" w:rsidP="000D252A">
            <w:pPr>
              <w:jc w:val="center"/>
              <w:rPr>
                <w:rFonts w:cs="Times New Roman"/>
                <w:i/>
              </w:rPr>
            </w:pPr>
            <w:r w:rsidRPr="00E26468">
              <w:rPr>
                <w:rFonts w:cs="Times New Roman"/>
                <w:i/>
              </w:rPr>
              <w:t>R</w:t>
            </w:r>
          </w:p>
        </w:tc>
        <w:tc>
          <w:tcPr>
            <w:tcW w:w="1418" w:type="dxa"/>
            <w:tcBorders>
              <w:top w:val="single" w:sz="4" w:space="0" w:color="auto"/>
            </w:tcBorders>
            <w:vAlign w:val="center"/>
          </w:tcPr>
          <w:p w14:paraId="34821FCD" w14:textId="53EE6349" w:rsidR="005A03D0" w:rsidRPr="00231B15" w:rsidRDefault="005A03D0">
            <w:pPr>
              <w:jc w:val="center"/>
              <w:rPr>
                <w:rFonts w:cs="Times New Roman"/>
              </w:rPr>
            </w:pPr>
            <w:r w:rsidRPr="00231B15">
              <w:rPr>
                <w:rFonts w:cs="Times New Roman"/>
                <w:color w:val="000000"/>
              </w:rPr>
              <w:t>0.1</w:t>
            </w:r>
          </w:p>
        </w:tc>
        <w:tc>
          <w:tcPr>
            <w:tcW w:w="1276" w:type="dxa"/>
            <w:tcBorders>
              <w:top w:val="single" w:sz="4" w:space="0" w:color="auto"/>
            </w:tcBorders>
            <w:vAlign w:val="center"/>
          </w:tcPr>
          <w:p w14:paraId="5DEB2CA1" w14:textId="3F0320D1" w:rsidR="005A03D0" w:rsidRPr="00231B15" w:rsidRDefault="005A03D0">
            <w:pPr>
              <w:jc w:val="center"/>
              <w:rPr>
                <w:rFonts w:cs="Times New Roman"/>
              </w:rPr>
            </w:pPr>
            <w:r w:rsidRPr="00231B15">
              <w:rPr>
                <w:rFonts w:cs="Times New Roman"/>
                <w:color w:val="000000"/>
              </w:rPr>
              <w:t>13.5</w:t>
            </w:r>
          </w:p>
        </w:tc>
        <w:tc>
          <w:tcPr>
            <w:tcW w:w="1417" w:type="dxa"/>
            <w:tcBorders>
              <w:top w:val="single" w:sz="4" w:space="0" w:color="auto"/>
            </w:tcBorders>
            <w:vAlign w:val="center"/>
          </w:tcPr>
          <w:p w14:paraId="221C0637" w14:textId="760EBE93" w:rsidR="005A03D0" w:rsidRPr="00231B15" w:rsidRDefault="005A03D0">
            <w:pPr>
              <w:jc w:val="center"/>
              <w:rPr>
                <w:rFonts w:cs="Times New Roman"/>
              </w:rPr>
            </w:pPr>
            <w:r w:rsidRPr="00231B15">
              <w:rPr>
                <w:rFonts w:cs="Times New Roman"/>
                <w:color w:val="000000"/>
              </w:rPr>
              <w:t>19.8</w:t>
            </w:r>
          </w:p>
        </w:tc>
        <w:tc>
          <w:tcPr>
            <w:tcW w:w="709" w:type="dxa"/>
            <w:tcBorders>
              <w:top w:val="single" w:sz="4" w:space="0" w:color="auto"/>
            </w:tcBorders>
            <w:vAlign w:val="center"/>
          </w:tcPr>
          <w:p w14:paraId="28272AC6" w14:textId="7DC358A0" w:rsidR="005A03D0" w:rsidRPr="00231B15" w:rsidRDefault="005A03D0">
            <w:pPr>
              <w:jc w:val="center"/>
              <w:rPr>
                <w:rFonts w:cs="Times New Roman"/>
              </w:rPr>
            </w:pPr>
            <w:r w:rsidRPr="00231B15">
              <w:rPr>
                <w:rFonts w:cs="Times New Roman"/>
              </w:rPr>
              <w:t>5.73</w:t>
            </w:r>
          </w:p>
        </w:tc>
      </w:tr>
      <w:tr w:rsidR="005A03D0" w:rsidRPr="00231B15" w14:paraId="730050E1" w14:textId="0CBF1C09" w:rsidTr="007D738C">
        <w:trPr>
          <w:jc w:val="center"/>
        </w:trPr>
        <w:tc>
          <w:tcPr>
            <w:tcW w:w="993" w:type="dxa"/>
            <w:vAlign w:val="center"/>
          </w:tcPr>
          <w:p w14:paraId="0AF68F82" w14:textId="581FC016" w:rsidR="005A03D0" w:rsidRPr="00231B15" w:rsidRDefault="005A03D0" w:rsidP="004A2129">
            <w:pPr>
              <w:jc w:val="center"/>
              <w:rPr>
                <w:rFonts w:cs="Times New Roman"/>
              </w:rPr>
            </w:pPr>
            <w:r w:rsidRPr="00231B15">
              <w:rPr>
                <w:rFonts w:cs="Times New Roman"/>
                <w:b/>
                <w:bCs/>
              </w:rPr>
              <w:t>9b</w:t>
            </w:r>
          </w:p>
        </w:tc>
        <w:tc>
          <w:tcPr>
            <w:tcW w:w="708" w:type="dxa"/>
            <w:vAlign w:val="center"/>
          </w:tcPr>
          <w:p w14:paraId="2FEC2470" w14:textId="7EB57127" w:rsidR="005A03D0" w:rsidRPr="00231B15" w:rsidRDefault="005A03D0" w:rsidP="00ED437B">
            <w:pPr>
              <w:jc w:val="center"/>
              <w:rPr>
                <w:rFonts w:cs="Times New Roman"/>
              </w:rPr>
            </w:pPr>
            <w:r w:rsidRPr="00231B15">
              <w:rPr>
                <w:rFonts w:cs="Times New Roman"/>
              </w:rPr>
              <w:t>CHF</w:t>
            </w:r>
          </w:p>
        </w:tc>
        <w:tc>
          <w:tcPr>
            <w:tcW w:w="1134" w:type="dxa"/>
            <w:vAlign w:val="center"/>
          </w:tcPr>
          <w:p w14:paraId="113EB358" w14:textId="11C2F27C" w:rsidR="005A03D0" w:rsidRPr="00E26468" w:rsidRDefault="005A03D0" w:rsidP="000D252A">
            <w:pPr>
              <w:jc w:val="center"/>
              <w:rPr>
                <w:rFonts w:cs="Times New Roman"/>
                <w:i/>
              </w:rPr>
            </w:pPr>
            <w:r w:rsidRPr="00E26468">
              <w:rPr>
                <w:rFonts w:cs="Times New Roman"/>
                <w:i/>
              </w:rPr>
              <w:t>S</w:t>
            </w:r>
          </w:p>
        </w:tc>
        <w:tc>
          <w:tcPr>
            <w:tcW w:w="1418" w:type="dxa"/>
            <w:vAlign w:val="center"/>
          </w:tcPr>
          <w:p w14:paraId="2FDBF385" w14:textId="0A3AEA13" w:rsidR="005A03D0" w:rsidRPr="00231B15" w:rsidRDefault="005A03D0">
            <w:pPr>
              <w:jc w:val="center"/>
              <w:rPr>
                <w:rFonts w:cs="Times New Roman"/>
              </w:rPr>
            </w:pPr>
            <w:r w:rsidRPr="00231B15">
              <w:rPr>
                <w:rFonts w:cs="Times New Roman"/>
                <w:color w:val="000000"/>
              </w:rPr>
              <w:t>0.1</w:t>
            </w:r>
          </w:p>
        </w:tc>
        <w:tc>
          <w:tcPr>
            <w:tcW w:w="1276" w:type="dxa"/>
            <w:vAlign w:val="center"/>
          </w:tcPr>
          <w:p w14:paraId="12A3E2BC" w14:textId="5CAC63FA" w:rsidR="005A03D0" w:rsidRPr="00231B15" w:rsidRDefault="005A03D0">
            <w:pPr>
              <w:jc w:val="center"/>
              <w:rPr>
                <w:rFonts w:cs="Times New Roman"/>
              </w:rPr>
            </w:pPr>
            <w:r w:rsidRPr="00231B15">
              <w:rPr>
                <w:rFonts w:cs="Times New Roman"/>
                <w:color w:val="000000"/>
              </w:rPr>
              <w:t>16.7</w:t>
            </w:r>
          </w:p>
        </w:tc>
        <w:tc>
          <w:tcPr>
            <w:tcW w:w="1417" w:type="dxa"/>
            <w:vAlign w:val="center"/>
          </w:tcPr>
          <w:p w14:paraId="343DF876" w14:textId="5C845119" w:rsidR="005A03D0" w:rsidRPr="00231B15" w:rsidRDefault="005A03D0">
            <w:pPr>
              <w:jc w:val="center"/>
              <w:rPr>
                <w:rFonts w:cs="Times New Roman"/>
              </w:rPr>
            </w:pPr>
            <w:r w:rsidRPr="00231B15">
              <w:rPr>
                <w:rFonts w:cs="Times New Roman"/>
                <w:color w:val="000000"/>
              </w:rPr>
              <w:t>26.3</w:t>
            </w:r>
          </w:p>
        </w:tc>
        <w:tc>
          <w:tcPr>
            <w:tcW w:w="709" w:type="dxa"/>
            <w:vAlign w:val="center"/>
          </w:tcPr>
          <w:p w14:paraId="4871A4DD" w14:textId="0EB57908" w:rsidR="005A03D0" w:rsidRPr="00231B15" w:rsidRDefault="005A03D0">
            <w:pPr>
              <w:jc w:val="center"/>
              <w:rPr>
                <w:rFonts w:cs="Times New Roman"/>
              </w:rPr>
            </w:pPr>
            <w:r w:rsidRPr="00231B15">
              <w:rPr>
                <w:rFonts w:cs="Times New Roman"/>
              </w:rPr>
              <w:t>5.73</w:t>
            </w:r>
          </w:p>
        </w:tc>
      </w:tr>
      <w:tr w:rsidR="005A03D0" w:rsidRPr="00231B15" w14:paraId="0AB6299E" w14:textId="027CEC4C" w:rsidTr="007D738C">
        <w:trPr>
          <w:jc w:val="center"/>
        </w:trPr>
        <w:tc>
          <w:tcPr>
            <w:tcW w:w="993" w:type="dxa"/>
            <w:vAlign w:val="center"/>
          </w:tcPr>
          <w:p w14:paraId="6E2BBA73" w14:textId="551903E0" w:rsidR="005A03D0" w:rsidRPr="00231B15" w:rsidRDefault="005A03D0" w:rsidP="004A2129">
            <w:pPr>
              <w:jc w:val="center"/>
              <w:rPr>
                <w:rFonts w:cs="Times New Roman"/>
              </w:rPr>
            </w:pPr>
            <w:r w:rsidRPr="00231B15">
              <w:rPr>
                <w:rFonts w:cs="Times New Roman"/>
                <w:b/>
                <w:bCs/>
              </w:rPr>
              <w:t>10a</w:t>
            </w:r>
          </w:p>
        </w:tc>
        <w:tc>
          <w:tcPr>
            <w:tcW w:w="708" w:type="dxa"/>
            <w:vAlign w:val="center"/>
          </w:tcPr>
          <w:p w14:paraId="1E9CD194" w14:textId="2D57B3CA" w:rsidR="005A03D0" w:rsidRPr="00231B15" w:rsidRDefault="005A03D0" w:rsidP="00ED437B">
            <w:pPr>
              <w:jc w:val="center"/>
              <w:rPr>
                <w:rFonts w:cs="Times New Roman"/>
              </w:rPr>
            </w:pPr>
            <w:r w:rsidRPr="00231B15">
              <w:rPr>
                <w:rFonts w:cs="Times New Roman"/>
              </w:rPr>
              <w:t>O</w:t>
            </w:r>
          </w:p>
        </w:tc>
        <w:tc>
          <w:tcPr>
            <w:tcW w:w="1134" w:type="dxa"/>
            <w:vAlign w:val="center"/>
          </w:tcPr>
          <w:p w14:paraId="0120E1BA" w14:textId="18992374" w:rsidR="005A03D0" w:rsidRPr="00E26468" w:rsidRDefault="005A03D0" w:rsidP="000D252A">
            <w:pPr>
              <w:jc w:val="center"/>
              <w:rPr>
                <w:rFonts w:cs="Times New Roman"/>
                <w:i/>
              </w:rPr>
            </w:pPr>
            <w:r w:rsidRPr="00E26468">
              <w:rPr>
                <w:rFonts w:cs="Times New Roman"/>
                <w:i/>
              </w:rPr>
              <w:t>R</w:t>
            </w:r>
          </w:p>
        </w:tc>
        <w:tc>
          <w:tcPr>
            <w:tcW w:w="1418" w:type="dxa"/>
            <w:vAlign w:val="center"/>
          </w:tcPr>
          <w:p w14:paraId="069FCD22" w14:textId="68A556AC" w:rsidR="005A03D0" w:rsidRPr="00231B15" w:rsidRDefault="005A03D0">
            <w:pPr>
              <w:jc w:val="center"/>
              <w:rPr>
                <w:rFonts w:cs="Times New Roman"/>
              </w:rPr>
            </w:pPr>
            <w:r w:rsidRPr="00231B15">
              <w:rPr>
                <w:rFonts w:cs="Times New Roman"/>
                <w:color w:val="000000"/>
              </w:rPr>
              <w:t>0.1</w:t>
            </w:r>
          </w:p>
        </w:tc>
        <w:tc>
          <w:tcPr>
            <w:tcW w:w="1276" w:type="dxa"/>
            <w:vAlign w:val="center"/>
          </w:tcPr>
          <w:p w14:paraId="32EA2978" w14:textId="1A1E5195" w:rsidR="005A03D0" w:rsidRPr="00231B15" w:rsidRDefault="005A03D0">
            <w:pPr>
              <w:jc w:val="center"/>
              <w:rPr>
                <w:rFonts w:cs="Times New Roman"/>
              </w:rPr>
            </w:pPr>
            <w:r w:rsidRPr="00231B15">
              <w:rPr>
                <w:rFonts w:cs="Times New Roman"/>
                <w:color w:val="000000"/>
              </w:rPr>
              <w:t>21.6</w:t>
            </w:r>
          </w:p>
        </w:tc>
        <w:tc>
          <w:tcPr>
            <w:tcW w:w="1417" w:type="dxa"/>
            <w:vAlign w:val="center"/>
          </w:tcPr>
          <w:p w14:paraId="5C45A959" w14:textId="182C883D" w:rsidR="005A03D0" w:rsidRPr="00231B15" w:rsidRDefault="005A03D0">
            <w:pPr>
              <w:jc w:val="center"/>
              <w:rPr>
                <w:rFonts w:cs="Times New Roman"/>
              </w:rPr>
            </w:pPr>
            <w:r w:rsidRPr="00231B15">
              <w:rPr>
                <w:rFonts w:cs="Times New Roman"/>
                <w:color w:val="000000"/>
              </w:rPr>
              <w:t>22.2</w:t>
            </w:r>
          </w:p>
        </w:tc>
        <w:tc>
          <w:tcPr>
            <w:tcW w:w="709" w:type="dxa"/>
            <w:vAlign w:val="center"/>
          </w:tcPr>
          <w:p w14:paraId="777EA37B" w14:textId="4221B447" w:rsidR="005A03D0" w:rsidRPr="00231B15" w:rsidRDefault="005A03D0">
            <w:pPr>
              <w:jc w:val="center"/>
              <w:rPr>
                <w:rFonts w:cs="Times New Roman"/>
              </w:rPr>
            </w:pPr>
            <w:r w:rsidRPr="00231B15">
              <w:rPr>
                <w:rFonts w:cs="Times New Roman"/>
              </w:rPr>
              <w:t>4.79</w:t>
            </w:r>
          </w:p>
        </w:tc>
      </w:tr>
      <w:tr w:rsidR="005A03D0" w:rsidRPr="00231B15" w14:paraId="4D0C07FB" w14:textId="46ABBA44" w:rsidTr="007D738C">
        <w:trPr>
          <w:jc w:val="center"/>
        </w:trPr>
        <w:tc>
          <w:tcPr>
            <w:tcW w:w="993" w:type="dxa"/>
            <w:vAlign w:val="center"/>
          </w:tcPr>
          <w:p w14:paraId="09673C10" w14:textId="3BB69A31" w:rsidR="005A03D0" w:rsidRPr="00231B15" w:rsidRDefault="005A03D0" w:rsidP="004A2129">
            <w:pPr>
              <w:jc w:val="center"/>
              <w:rPr>
                <w:rFonts w:cs="Times New Roman"/>
              </w:rPr>
            </w:pPr>
            <w:r w:rsidRPr="00231B15">
              <w:rPr>
                <w:rFonts w:cs="Times New Roman"/>
                <w:b/>
                <w:bCs/>
              </w:rPr>
              <w:t>10b</w:t>
            </w:r>
          </w:p>
        </w:tc>
        <w:tc>
          <w:tcPr>
            <w:tcW w:w="708" w:type="dxa"/>
            <w:vAlign w:val="center"/>
          </w:tcPr>
          <w:p w14:paraId="5877E4FD" w14:textId="0587E8EE" w:rsidR="005A03D0" w:rsidRPr="00231B15" w:rsidRDefault="005A03D0" w:rsidP="00ED437B">
            <w:pPr>
              <w:jc w:val="center"/>
              <w:rPr>
                <w:rFonts w:cs="Times New Roman"/>
              </w:rPr>
            </w:pPr>
            <w:r w:rsidRPr="00231B15">
              <w:rPr>
                <w:rFonts w:cs="Times New Roman"/>
              </w:rPr>
              <w:t>O</w:t>
            </w:r>
          </w:p>
        </w:tc>
        <w:tc>
          <w:tcPr>
            <w:tcW w:w="1134" w:type="dxa"/>
            <w:vAlign w:val="center"/>
          </w:tcPr>
          <w:p w14:paraId="0A989A13" w14:textId="49FFAFD4" w:rsidR="005A03D0" w:rsidRPr="00E26468" w:rsidRDefault="005A03D0" w:rsidP="000D252A">
            <w:pPr>
              <w:jc w:val="center"/>
              <w:rPr>
                <w:rFonts w:cs="Times New Roman"/>
                <w:i/>
              </w:rPr>
            </w:pPr>
            <w:r w:rsidRPr="00E26468">
              <w:rPr>
                <w:rFonts w:cs="Times New Roman"/>
                <w:i/>
              </w:rPr>
              <w:t>S</w:t>
            </w:r>
          </w:p>
        </w:tc>
        <w:tc>
          <w:tcPr>
            <w:tcW w:w="1418" w:type="dxa"/>
            <w:vAlign w:val="center"/>
          </w:tcPr>
          <w:p w14:paraId="2273453D" w14:textId="076E9FE2" w:rsidR="005A03D0" w:rsidRPr="00231B15" w:rsidRDefault="005A03D0">
            <w:pPr>
              <w:jc w:val="center"/>
              <w:rPr>
                <w:rFonts w:cs="Times New Roman"/>
              </w:rPr>
            </w:pPr>
            <w:r w:rsidRPr="00231B15">
              <w:rPr>
                <w:rFonts w:cs="Times New Roman"/>
                <w:color w:val="000000"/>
              </w:rPr>
              <w:t>0.1</w:t>
            </w:r>
          </w:p>
        </w:tc>
        <w:tc>
          <w:tcPr>
            <w:tcW w:w="1276" w:type="dxa"/>
            <w:vAlign w:val="center"/>
          </w:tcPr>
          <w:p w14:paraId="517086E3" w14:textId="06C04438" w:rsidR="005A03D0" w:rsidRPr="00231B15" w:rsidRDefault="005A03D0">
            <w:pPr>
              <w:jc w:val="center"/>
              <w:rPr>
                <w:rFonts w:cs="Times New Roman"/>
              </w:rPr>
            </w:pPr>
            <w:r w:rsidRPr="00231B15">
              <w:rPr>
                <w:rFonts w:cs="Times New Roman"/>
                <w:color w:val="000000"/>
              </w:rPr>
              <w:t>49.2</w:t>
            </w:r>
          </w:p>
        </w:tc>
        <w:tc>
          <w:tcPr>
            <w:tcW w:w="1417" w:type="dxa"/>
            <w:vAlign w:val="center"/>
          </w:tcPr>
          <w:p w14:paraId="64F38BDA" w14:textId="1905BDBC" w:rsidR="005A03D0" w:rsidRPr="00231B15" w:rsidRDefault="005A03D0">
            <w:pPr>
              <w:jc w:val="center"/>
              <w:rPr>
                <w:rFonts w:cs="Times New Roman"/>
              </w:rPr>
            </w:pPr>
            <w:r w:rsidRPr="00231B15">
              <w:rPr>
                <w:rFonts w:cs="Times New Roman"/>
                <w:color w:val="000000"/>
              </w:rPr>
              <w:t>22.1</w:t>
            </w:r>
          </w:p>
        </w:tc>
        <w:tc>
          <w:tcPr>
            <w:tcW w:w="709" w:type="dxa"/>
            <w:vAlign w:val="center"/>
          </w:tcPr>
          <w:p w14:paraId="6E491EC8" w14:textId="2C10E9B8" w:rsidR="005A03D0" w:rsidRPr="00231B15" w:rsidRDefault="005A03D0">
            <w:pPr>
              <w:jc w:val="center"/>
              <w:rPr>
                <w:rFonts w:cs="Times New Roman"/>
              </w:rPr>
            </w:pPr>
            <w:r w:rsidRPr="00231B15">
              <w:rPr>
                <w:rFonts w:cs="Times New Roman"/>
              </w:rPr>
              <w:t>4.79</w:t>
            </w:r>
          </w:p>
        </w:tc>
      </w:tr>
      <w:tr w:rsidR="005A03D0" w:rsidRPr="00231B15" w14:paraId="283A9530" w14:textId="666BB176" w:rsidTr="007D738C">
        <w:trPr>
          <w:jc w:val="center"/>
        </w:trPr>
        <w:tc>
          <w:tcPr>
            <w:tcW w:w="993" w:type="dxa"/>
            <w:vAlign w:val="center"/>
          </w:tcPr>
          <w:p w14:paraId="619B1008" w14:textId="67462044" w:rsidR="005A03D0" w:rsidRPr="00231B15" w:rsidRDefault="005A03D0" w:rsidP="004A2129">
            <w:pPr>
              <w:jc w:val="center"/>
              <w:rPr>
                <w:rFonts w:cs="Times New Roman"/>
              </w:rPr>
            </w:pPr>
            <w:r w:rsidRPr="00231B15">
              <w:rPr>
                <w:rFonts w:cs="Times New Roman"/>
                <w:b/>
                <w:bCs/>
              </w:rPr>
              <w:t>14a</w:t>
            </w:r>
          </w:p>
        </w:tc>
        <w:tc>
          <w:tcPr>
            <w:tcW w:w="708" w:type="dxa"/>
            <w:vAlign w:val="center"/>
          </w:tcPr>
          <w:p w14:paraId="14C2F9AC" w14:textId="72D3DB4F" w:rsidR="005A03D0" w:rsidRPr="00231B15" w:rsidRDefault="005A03D0" w:rsidP="00ED437B">
            <w:pPr>
              <w:jc w:val="center"/>
              <w:rPr>
                <w:rFonts w:cs="Times New Roman"/>
              </w:rPr>
            </w:pPr>
            <w:r w:rsidRPr="00231B15">
              <w:rPr>
                <w:rFonts w:cs="Times New Roman"/>
              </w:rPr>
              <w:t>O</w:t>
            </w:r>
          </w:p>
        </w:tc>
        <w:tc>
          <w:tcPr>
            <w:tcW w:w="1134" w:type="dxa"/>
            <w:vAlign w:val="center"/>
          </w:tcPr>
          <w:p w14:paraId="16F0EB24" w14:textId="44916095" w:rsidR="005A03D0" w:rsidRPr="00E26468" w:rsidRDefault="005A03D0" w:rsidP="000D252A">
            <w:pPr>
              <w:jc w:val="center"/>
              <w:rPr>
                <w:rFonts w:cs="Times New Roman"/>
                <w:i/>
              </w:rPr>
            </w:pPr>
            <w:r w:rsidRPr="00E26468">
              <w:rPr>
                <w:rFonts w:cs="Times New Roman"/>
                <w:i/>
              </w:rPr>
              <w:t>R</w:t>
            </w:r>
          </w:p>
        </w:tc>
        <w:tc>
          <w:tcPr>
            <w:tcW w:w="1418" w:type="dxa"/>
            <w:vAlign w:val="center"/>
          </w:tcPr>
          <w:p w14:paraId="58EEB199" w14:textId="790ABC01" w:rsidR="005A03D0" w:rsidRPr="00231B15" w:rsidRDefault="005A03D0">
            <w:pPr>
              <w:jc w:val="center"/>
              <w:rPr>
                <w:rFonts w:cs="Times New Roman"/>
              </w:rPr>
            </w:pPr>
            <w:r w:rsidRPr="00231B15">
              <w:rPr>
                <w:rFonts w:cs="Times New Roman"/>
                <w:color w:val="000000"/>
              </w:rPr>
              <w:t>0.1</w:t>
            </w:r>
          </w:p>
        </w:tc>
        <w:tc>
          <w:tcPr>
            <w:tcW w:w="1276" w:type="dxa"/>
            <w:vAlign w:val="center"/>
          </w:tcPr>
          <w:p w14:paraId="62E177B7" w14:textId="1CCCB62B" w:rsidR="005A03D0" w:rsidRPr="00231B15" w:rsidRDefault="005A03D0">
            <w:pPr>
              <w:jc w:val="center"/>
              <w:rPr>
                <w:rFonts w:cs="Times New Roman"/>
              </w:rPr>
            </w:pPr>
            <w:r w:rsidRPr="00231B15">
              <w:rPr>
                <w:rFonts w:cs="Times New Roman"/>
                <w:color w:val="000000"/>
              </w:rPr>
              <w:t>26.2</w:t>
            </w:r>
          </w:p>
        </w:tc>
        <w:tc>
          <w:tcPr>
            <w:tcW w:w="1417" w:type="dxa"/>
            <w:vAlign w:val="center"/>
          </w:tcPr>
          <w:p w14:paraId="7EBA8284" w14:textId="7475415F" w:rsidR="005A03D0" w:rsidRPr="00231B15" w:rsidRDefault="005A03D0">
            <w:pPr>
              <w:jc w:val="center"/>
              <w:rPr>
                <w:rFonts w:cs="Times New Roman"/>
              </w:rPr>
            </w:pPr>
            <w:r w:rsidRPr="00231B15">
              <w:rPr>
                <w:rFonts w:cs="Times New Roman"/>
                <w:color w:val="000000"/>
              </w:rPr>
              <w:t>27.1</w:t>
            </w:r>
          </w:p>
        </w:tc>
        <w:tc>
          <w:tcPr>
            <w:tcW w:w="709" w:type="dxa"/>
            <w:vAlign w:val="center"/>
          </w:tcPr>
          <w:p w14:paraId="542DF664" w14:textId="618A5E1F" w:rsidR="005A03D0" w:rsidRPr="00231B15" w:rsidRDefault="005A03D0">
            <w:pPr>
              <w:jc w:val="center"/>
              <w:rPr>
                <w:rFonts w:cs="Times New Roman"/>
              </w:rPr>
            </w:pPr>
            <w:r w:rsidRPr="00231B15">
              <w:rPr>
                <w:rFonts w:cs="Times New Roman"/>
              </w:rPr>
              <w:t>4.48</w:t>
            </w:r>
          </w:p>
        </w:tc>
      </w:tr>
      <w:tr w:rsidR="005A03D0" w:rsidRPr="00231B15" w14:paraId="276D5E99" w14:textId="7E53113E" w:rsidTr="007D738C">
        <w:trPr>
          <w:jc w:val="center"/>
        </w:trPr>
        <w:tc>
          <w:tcPr>
            <w:tcW w:w="993" w:type="dxa"/>
            <w:vAlign w:val="center"/>
          </w:tcPr>
          <w:p w14:paraId="6A7A2A54" w14:textId="0850C213" w:rsidR="005A03D0" w:rsidRPr="00231B15" w:rsidRDefault="005A03D0" w:rsidP="004A2129">
            <w:pPr>
              <w:jc w:val="center"/>
              <w:rPr>
                <w:rFonts w:cs="Times New Roman"/>
              </w:rPr>
            </w:pPr>
            <w:r w:rsidRPr="00231B15">
              <w:rPr>
                <w:rFonts w:cs="Times New Roman"/>
                <w:b/>
                <w:bCs/>
              </w:rPr>
              <w:t>14b</w:t>
            </w:r>
          </w:p>
        </w:tc>
        <w:tc>
          <w:tcPr>
            <w:tcW w:w="708" w:type="dxa"/>
            <w:vAlign w:val="center"/>
          </w:tcPr>
          <w:p w14:paraId="6BB6CBD4" w14:textId="7CC32D17" w:rsidR="005A03D0" w:rsidRPr="00231B15" w:rsidRDefault="005A03D0" w:rsidP="00ED437B">
            <w:pPr>
              <w:jc w:val="center"/>
              <w:rPr>
                <w:rFonts w:cs="Times New Roman"/>
              </w:rPr>
            </w:pPr>
            <w:r w:rsidRPr="00231B15">
              <w:rPr>
                <w:rFonts w:cs="Times New Roman"/>
              </w:rPr>
              <w:t>O</w:t>
            </w:r>
          </w:p>
        </w:tc>
        <w:tc>
          <w:tcPr>
            <w:tcW w:w="1134" w:type="dxa"/>
            <w:vAlign w:val="center"/>
          </w:tcPr>
          <w:p w14:paraId="5EB672C2" w14:textId="66A5BE4B" w:rsidR="005A03D0" w:rsidRPr="00E26468" w:rsidRDefault="005A03D0" w:rsidP="000D252A">
            <w:pPr>
              <w:jc w:val="center"/>
              <w:rPr>
                <w:rFonts w:cs="Times New Roman"/>
                <w:i/>
              </w:rPr>
            </w:pPr>
            <w:r w:rsidRPr="00E26468">
              <w:rPr>
                <w:rFonts w:cs="Times New Roman"/>
                <w:i/>
              </w:rPr>
              <w:t>S</w:t>
            </w:r>
          </w:p>
        </w:tc>
        <w:tc>
          <w:tcPr>
            <w:tcW w:w="1418" w:type="dxa"/>
            <w:vAlign w:val="center"/>
          </w:tcPr>
          <w:p w14:paraId="5277140F" w14:textId="41517C3F" w:rsidR="005A03D0" w:rsidRPr="00231B15" w:rsidRDefault="005A03D0">
            <w:pPr>
              <w:jc w:val="center"/>
              <w:rPr>
                <w:rFonts w:cs="Times New Roman"/>
              </w:rPr>
            </w:pPr>
            <w:r w:rsidRPr="00231B15">
              <w:rPr>
                <w:rFonts w:cs="Times New Roman"/>
                <w:color w:val="000000"/>
              </w:rPr>
              <w:t>0.1</w:t>
            </w:r>
          </w:p>
        </w:tc>
        <w:tc>
          <w:tcPr>
            <w:tcW w:w="1276" w:type="dxa"/>
            <w:vAlign w:val="center"/>
          </w:tcPr>
          <w:p w14:paraId="43BD63D9" w14:textId="355F7F48" w:rsidR="005A03D0" w:rsidRPr="00231B15" w:rsidRDefault="005A03D0">
            <w:pPr>
              <w:jc w:val="center"/>
              <w:rPr>
                <w:rFonts w:cs="Times New Roman"/>
              </w:rPr>
            </w:pPr>
            <w:r w:rsidRPr="00231B15">
              <w:rPr>
                <w:rFonts w:cs="Times New Roman"/>
                <w:color w:val="000000"/>
              </w:rPr>
              <w:t>50.2</w:t>
            </w:r>
          </w:p>
        </w:tc>
        <w:tc>
          <w:tcPr>
            <w:tcW w:w="1417" w:type="dxa"/>
            <w:vAlign w:val="center"/>
          </w:tcPr>
          <w:p w14:paraId="53AC4663" w14:textId="2BA2AC9F" w:rsidR="005A03D0" w:rsidRPr="00231B15" w:rsidRDefault="005A03D0">
            <w:pPr>
              <w:jc w:val="center"/>
              <w:rPr>
                <w:rFonts w:cs="Times New Roman"/>
              </w:rPr>
            </w:pPr>
            <w:r w:rsidRPr="00231B15">
              <w:rPr>
                <w:rFonts w:cs="Times New Roman"/>
                <w:color w:val="000000"/>
              </w:rPr>
              <w:t>19.7</w:t>
            </w:r>
          </w:p>
        </w:tc>
        <w:tc>
          <w:tcPr>
            <w:tcW w:w="709" w:type="dxa"/>
            <w:vAlign w:val="center"/>
          </w:tcPr>
          <w:p w14:paraId="1315138B" w14:textId="1DDED905" w:rsidR="005A03D0" w:rsidRPr="00231B15" w:rsidRDefault="005A03D0">
            <w:pPr>
              <w:jc w:val="center"/>
              <w:rPr>
                <w:rFonts w:cs="Times New Roman"/>
              </w:rPr>
            </w:pPr>
            <w:r w:rsidRPr="00231B15">
              <w:rPr>
                <w:rFonts w:cs="Times New Roman"/>
              </w:rPr>
              <w:t>4.48</w:t>
            </w:r>
          </w:p>
        </w:tc>
      </w:tr>
      <w:tr w:rsidR="005A03D0" w:rsidRPr="00231B15" w14:paraId="76406906" w14:textId="7222B667" w:rsidTr="007D738C">
        <w:trPr>
          <w:jc w:val="center"/>
        </w:trPr>
        <w:tc>
          <w:tcPr>
            <w:tcW w:w="993" w:type="dxa"/>
            <w:vAlign w:val="center"/>
          </w:tcPr>
          <w:p w14:paraId="29D2D4D9" w14:textId="1D31FF90" w:rsidR="005A03D0" w:rsidRPr="00231B15" w:rsidRDefault="005A03D0" w:rsidP="004A2129">
            <w:pPr>
              <w:jc w:val="center"/>
              <w:rPr>
                <w:rFonts w:cs="Times New Roman"/>
              </w:rPr>
            </w:pPr>
            <w:r w:rsidRPr="00231B15">
              <w:rPr>
                <w:rFonts w:cs="Times New Roman"/>
                <w:b/>
                <w:bCs/>
              </w:rPr>
              <w:t>15a</w:t>
            </w:r>
          </w:p>
        </w:tc>
        <w:tc>
          <w:tcPr>
            <w:tcW w:w="708" w:type="dxa"/>
            <w:vAlign w:val="center"/>
          </w:tcPr>
          <w:p w14:paraId="183C4454" w14:textId="17FC7494" w:rsidR="005A03D0" w:rsidRPr="00231B15" w:rsidRDefault="005A03D0" w:rsidP="00ED437B">
            <w:pPr>
              <w:jc w:val="center"/>
              <w:rPr>
                <w:rFonts w:cs="Times New Roman"/>
              </w:rPr>
            </w:pPr>
            <w:r w:rsidRPr="00231B15">
              <w:rPr>
                <w:rFonts w:cs="Times New Roman"/>
              </w:rPr>
              <w:t>CHF</w:t>
            </w:r>
          </w:p>
        </w:tc>
        <w:tc>
          <w:tcPr>
            <w:tcW w:w="1134" w:type="dxa"/>
            <w:vAlign w:val="center"/>
          </w:tcPr>
          <w:p w14:paraId="5B160688" w14:textId="4B110F35" w:rsidR="005A03D0" w:rsidRPr="00E26468" w:rsidRDefault="005A03D0" w:rsidP="000D252A">
            <w:pPr>
              <w:jc w:val="center"/>
              <w:rPr>
                <w:rFonts w:cs="Times New Roman"/>
                <w:i/>
              </w:rPr>
            </w:pPr>
            <w:r w:rsidRPr="00E26468">
              <w:rPr>
                <w:rFonts w:cs="Times New Roman"/>
                <w:i/>
              </w:rPr>
              <w:t>R</w:t>
            </w:r>
          </w:p>
        </w:tc>
        <w:tc>
          <w:tcPr>
            <w:tcW w:w="1418" w:type="dxa"/>
            <w:vAlign w:val="center"/>
          </w:tcPr>
          <w:p w14:paraId="287AA6D7" w14:textId="40E77403" w:rsidR="005A03D0" w:rsidRPr="00231B15" w:rsidRDefault="005A03D0">
            <w:pPr>
              <w:jc w:val="center"/>
              <w:rPr>
                <w:rFonts w:cs="Times New Roman"/>
              </w:rPr>
            </w:pPr>
            <w:r w:rsidRPr="00231B15">
              <w:rPr>
                <w:rFonts w:cs="Times New Roman"/>
                <w:color w:val="000000"/>
              </w:rPr>
              <w:t>0.1</w:t>
            </w:r>
          </w:p>
        </w:tc>
        <w:tc>
          <w:tcPr>
            <w:tcW w:w="1276" w:type="dxa"/>
            <w:vAlign w:val="center"/>
          </w:tcPr>
          <w:p w14:paraId="58DCA500" w14:textId="4AA56C64" w:rsidR="005A03D0" w:rsidRPr="00231B15" w:rsidRDefault="005A03D0">
            <w:pPr>
              <w:jc w:val="center"/>
              <w:rPr>
                <w:rFonts w:cs="Times New Roman"/>
              </w:rPr>
            </w:pPr>
            <w:r w:rsidRPr="00231B15">
              <w:rPr>
                <w:rFonts w:cs="Times New Roman"/>
                <w:color w:val="000000"/>
              </w:rPr>
              <w:t>19.2</w:t>
            </w:r>
          </w:p>
        </w:tc>
        <w:tc>
          <w:tcPr>
            <w:tcW w:w="1417" w:type="dxa"/>
            <w:vAlign w:val="center"/>
          </w:tcPr>
          <w:p w14:paraId="23B2D661" w14:textId="473C19F6" w:rsidR="005A03D0" w:rsidRPr="00231B15" w:rsidRDefault="005A03D0">
            <w:pPr>
              <w:jc w:val="center"/>
              <w:rPr>
                <w:rFonts w:cs="Times New Roman"/>
              </w:rPr>
            </w:pPr>
            <w:r w:rsidRPr="00231B15">
              <w:rPr>
                <w:rFonts w:cs="Times New Roman"/>
                <w:color w:val="000000"/>
              </w:rPr>
              <w:t>35.9</w:t>
            </w:r>
          </w:p>
        </w:tc>
        <w:tc>
          <w:tcPr>
            <w:tcW w:w="709" w:type="dxa"/>
            <w:vAlign w:val="center"/>
          </w:tcPr>
          <w:p w14:paraId="1ED717DD" w14:textId="5A236FE3" w:rsidR="005A03D0" w:rsidRPr="00231B15" w:rsidRDefault="005A03D0">
            <w:pPr>
              <w:jc w:val="center"/>
              <w:rPr>
                <w:rFonts w:cs="Times New Roman"/>
              </w:rPr>
            </w:pPr>
            <w:r w:rsidRPr="00231B15">
              <w:rPr>
                <w:rFonts w:cs="Times New Roman"/>
              </w:rPr>
              <w:t>5.34</w:t>
            </w:r>
          </w:p>
        </w:tc>
      </w:tr>
      <w:tr w:rsidR="005A03D0" w:rsidRPr="00231B15" w14:paraId="5491C790" w14:textId="77777777" w:rsidTr="007D738C">
        <w:trPr>
          <w:jc w:val="center"/>
        </w:trPr>
        <w:tc>
          <w:tcPr>
            <w:tcW w:w="993" w:type="dxa"/>
            <w:vAlign w:val="center"/>
          </w:tcPr>
          <w:p w14:paraId="08B55FE5" w14:textId="2225F4AE" w:rsidR="005A03D0" w:rsidRPr="00231B15" w:rsidRDefault="005A03D0" w:rsidP="004A2129">
            <w:pPr>
              <w:jc w:val="center"/>
              <w:rPr>
                <w:rFonts w:cs="Times New Roman"/>
              </w:rPr>
            </w:pPr>
            <w:r w:rsidRPr="00231B15">
              <w:rPr>
                <w:rFonts w:cs="Times New Roman"/>
                <w:b/>
                <w:bCs/>
              </w:rPr>
              <w:t>15b</w:t>
            </w:r>
          </w:p>
        </w:tc>
        <w:tc>
          <w:tcPr>
            <w:tcW w:w="708" w:type="dxa"/>
            <w:vAlign w:val="center"/>
          </w:tcPr>
          <w:p w14:paraId="312C9C33" w14:textId="4F189444" w:rsidR="005A03D0" w:rsidRPr="00231B15" w:rsidRDefault="005A03D0" w:rsidP="00ED437B">
            <w:pPr>
              <w:jc w:val="center"/>
              <w:rPr>
                <w:rFonts w:cs="Times New Roman"/>
              </w:rPr>
            </w:pPr>
            <w:r w:rsidRPr="00231B15">
              <w:rPr>
                <w:rFonts w:cs="Times New Roman"/>
              </w:rPr>
              <w:t>CHF</w:t>
            </w:r>
          </w:p>
        </w:tc>
        <w:tc>
          <w:tcPr>
            <w:tcW w:w="1134" w:type="dxa"/>
            <w:vAlign w:val="center"/>
          </w:tcPr>
          <w:p w14:paraId="1771195C" w14:textId="7CFCC386" w:rsidR="005A03D0" w:rsidRPr="00E26468" w:rsidRDefault="005A03D0" w:rsidP="000D252A">
            <w:pPr>
              <w:jc w:val="center"/>
              <w:rPr>
                <w:rFonts w:cs="Times New Roman"/>
                <w:i/>
              </w:rPr>
            </w:pPr>
            <w:r w:rsidRPr="00E26468">
              <w:rPr>
                <w:rFonts w:cs="Times New Roman"/>
                <w:i/>
              </w:rPr>
              <w:t>S</w:t>
            </w:r>
          </w:p>
        </w:tc>
        <w:tc>
          <w:tcPr>
            <w:tcW w:w="1418" w:type="dxa"/>
            <w:vAlign w:val="center"/>
          </w:tcPr>
          <w:p w14:paraId="73A8517F" w14:textId="1B158929" w:rsidR="005A03D0" w:rsidRPr="00231B15" w:rsidRDefault="005A03D0">
            <w:pPr>
              <w:jc w:val="center"/>
              <w:rPr>
                <w:rFonts w:cs="Times New Roman"/>
              </w:rPr>
            </w:pPr>
            <w:r w:rsidRPr="00231B15">
              <w:rPr>
                <w:rFonts w:cs="Times New Roman"/>
                <w:color w:val="000000"/>
              </w:rPr>
              <w:t>0.1</w:t>
            </w:r>
          </w:p>
        </w:tc>
        <w:tc>
          <w:tcPr>
            <w:tcW w:w="1276" w:type="dxa"/>
            <w:vAlign w:val="center"/>
          </w:tcPr>
          <w:p w14:paraId="35E4BEC1" w14:textId="209D99D4" w:rsidR="005A03D0" w:rsidRPr="00231B15" w:rsidRDefault="005A03D0">
            <w:pPr>
              <w:jc w:val="center"/>
              <w:rPr>
                <w:rFonts w:cs="Times New Roman"/>
              </w:rPr>
            </w:pPr>
            <w:r w:rsidRPr="00231B15">
              <w:rPr>
                <w:rFonts w:cs="Times New Roman"/>
                <w:color w:val="000000"/>
              </w:rPr>
              <w:t>30.7</w:t>
            </w:r>
          </w:p>
        </w:tc>
        <w:tc>
          <w:tcPr>
            <w:tcW w:w="1417" w:type="dxa"/>
            <w:vAlign w:val="center"/>
          </w:tcPr>
          <w:p w14:paraId="2376C224" w14:textId="592324A5" w:rsidR="005A03D0" w:rsidRPr="00231B15" w:rsidRDefault="005A03D0">
            <w:pPr>
              <w:jc w:val="center"/>
              <w:rPr>
                <w:rFonts w:cs="Times New Roman"/>
              </w:rPr>
            </w:pPr>
            <w:r w:rsidRPr="00231B15">
              <w:rPr>
                <w:rFonts w:cs="Times New Roman"/>
                <w:color w:val="000000"/>
              </w:rPr>
              <w:t>26.7</w:t>
            </w:r>
          </w:p>
        </w:tc>
        <w:tc>
          <w:tcPr>
            <w:tcW w:w="709" w:type="dxa"/>
            <w:vAlign w:val="center"/>
          </w:tcPr>
          <w:p w14:paraId="1E029242" w14:textId="36B38C1F" w:rsidR="005A03D0" w:rsidRPr="00231B15" w:rsidRDefault="005A03D0">
            <w:pPr>
              <w:jc w:val="center"/>
              <w:rPr>
                <w:rFonts w:cs="Times New Roman"/>
              </w:rPr>
            </w:pPr>
            <w:r w:rsidRPr="00231B15">
              <w:rPr>
                <w:rFonts w:cs="Times New Roman"/>
              </w:rPr>
              <w:t>5.34</w:t>
            </w:r>
          </w:p>
        </w:tc>
      </w:tr>
      <w:tr w:rsidR="005A03D0" w:rsidRPr="00231B15" w14:paraId="365B67F1" w14:textId="77777777" w:rsidTr="007D738C">
        <w:trPr>
          <w:jc w:val="center"/>
        </w:trPr>
        <w:tc>
          <w:tcPr>
            <w:tcW w:w="993" w:type="dxa"/>
            <w:vAlign w:val="center"/>
          </w:tcPr>
          <w:p w14:paraId="35C6D2E0" w14:textId="6F8B1320" w:rsidR="005A03D0" w:rsidRPr="00231B15" w:rsidRDefault="005A03D0" w:rsidP="004A2129">
            <w:pPr>
              <w:jc w:val="center"/>
              <w:rPr>
                <w:rFonts w:cs="Times New Roman"/>
                <w:b/>
                <w:bCs/>
              </w:rPr>
            </w:pPr>
            <w:r w:rsidRPr="00231B15">
              <w:rPr>
                <w:rFonts w:cs="Times New Roman"/>
                <w:b/>
                <w:bCs/>
              </w:rPr>
              <w:t>E209</w:t>
            </w:r>
          </w:p>
        </w:tc>
        <w:tc>
          <w:tcPr>
            <w:tcW w:w="708" w:type="dxa"/>
            <w:vAlign w:val="center"/>
          </w:tcPr>
          <w:p w14:paraId="27949EF6" w14:textId="4D18F8C7" w:rsidR="005A03D0" w:rsidRPr="00231B15" w:rsidRDefault="005A03D0" w:rsidP="00ED437B">
            <w:pPr>
              <w:jc w:val="center"/>
              <w:rPr>
                <w:rFonts w:cs="Times New Roman"/>
              </w:rPr>
            </w:pPr>
            <w:r w:rsidRPr="00231B15">
              <w:rPr>
                <w:rFonts w:cs="Times New Roman"/>
              </w:rPr>
              <w:t>-</w:t>
            </w:r>
          </w:p>
        </w:tc>
        <w:tc>
          <w:tcPr>
            <w:tcW w:w="1134" w:type="dxa"/>
            <w:vAlign w:val="center"/>
          </w:tcPr>
          <w:p w14:paraId="0BA31711" w14:textId="520CD7C3" w:rsidR="005A03D0" w:rsidRPr="00231B15" w:rsidRDefault="005A03D0" w:rsidP="000D252A">
            <w:pPr>
              <w:jc w:val="center"/>
              <w:rPr>
                <w:rFonts w:cs="Times New Roman"/>
              </w:rPr>
            </w:pPr>
            <w:r w:rsidRPr="00231B15">
              <w:rPr>
                <w:rFonts w:cs="Times New Roman"/>
              </w:rPr>
              <w:t>-</w:t>
            </w:r>
          </w:p>
        </w:tc>
        <w:tc>
          <w:tcPr>
            <w:tcW w:w="1418" w:type="dxa"/>
            <w:vAlign w:val="center"/>
          </w:tcPr>
          <w:p w14:paraId="6673B173" w14:textId="49AFA022" w:rsidR="005A03D0" w:rsidRPr="00231B15" w:rsidRDefault="005A03D0">
            <w:pPr>
              <w:jc w:val="center"/>
              <w:rPr>
                <w:rFonts w:cs="Times New Roman"/>
                <w:color w:val="000000"/>
              </w:rPr>
            </w:pPr>
            <w:r w:rsidRPr="00231B15">
              <w:rPr>
                <w:rFonts w:cs="Times New Roman"/>
              </w:rPr>
              <w:t>0.106</w:t>
            </w:r>
          </w:p>
        </w:tc>
        <w:tc>
          <w:tcPr>
            <w:tcW w:w="1276" w:type="dxa"/>
            <w:vAlign w:val="center"/>
          </w:tcPr>
          <w:p w14:paraId="5ADA7DB5" w14:textId="0943F1C8" w:rsidR="005A03D0" w:rsidRPr="00231B15" w:rsidRDefault="005A03D0">
            <w:pPr>
              <w:jc w:val="center"/>
              <w:rPr>
                <w:rFonts w:cs="Times New Roman"/>
              </w:rPr>
            </w:pPr>
            <w:r w:rsidRPr="00231B15">
              <w:rPr>
                <w:rFonts w:cs="Times New Roman"/>
              </w:rPr>
              <w:t>12</w:t>
            </w:r>
          </w:p>
        </w:tc>
        <w:tc>
          <w:tcPr>
            <w:tcW w:w="1417" w:type="dxa"/>
            <w:vAlign w:val="center"/>
          </w:tcPr>
          <w:p w14:paraId="0B157CD2" w14:textId="0A504C39" w:rsidR="005A03D0" w:rsidRPr="00231B15" w:rsidRDefault="005A03D0">
            <w:pPr>
              <w:jc w:val="center"/>
              <w:rPr>
                <w:rFonts w:cs="Times New Roman"/>
                <w:color w:val="000000"/>
              </w:rPr>
            </w:pPr>
            <w:r w:rsidRPr="00231B15">
              <w:rPr>
                <w:rFonts w:cs="Times New Roman"/>
              </w:rPr>
              <w:t>23</w:t>
            </w:r>
          </w:p>
        </w:tc>
        <w:tc>
          <w:tcPr>
            <w:tcW w:w="709" w:type="dxa"/>
            <w:vAlign w:val="center"/>
          </w:tcPr>
          <w:p w14:paraId="526245A0" w14:textId="28EE0D47" w:rsidR="005A03D0" w:rsidRPr="00231B15" w:rsidRDefault="005A03D0">
            <w:pPr>
              <w:jc w:val="center"/>
              <w:rPr>
                <w:rFonts w:cs="Times New Roman"/>
              </w:rPr>
            </w:pPr>
            <w:r w:rsidRPr="00231B15">
              <w:rPr>
                <w:rFonts w:cs="Times New Roman"/>
              </w:rPr>
              <w:t>6.06</w:t>
            </w:r>
          </w:p>
        </w:tc>
      </w:tr>
      <w:tr w:rsidR="005A03D0" w:rsidRPr="00231B15" w14:paraId="21FED153" w14:textId="77777777" w:rsidTr="007D738C">
        <w:trPr>
          <w:jc w:val="center"/>
        </w:trPr>
        <w:tc>
          <w:tcPr>
            <w:tcW w:w="993" w:type="dxa"/>
            <w:vAlign w:val="center"/>
          </w:tcPr>
          <w:p w14:paraId="4AD83AC7" w14:textId="06C1E8BE" w:rsidR="005A03D0" w:rsidRPr="00231B15" w:rsidRDefault="005A03D0" w:rsidP="004A2129">
            <w:pPr>
              <w:jc w:val="center"/>
              <w:rPr>
                <w:rFonts w:cs="Times New Roman"/>
                <w:b/>
                <w:bCs/>
              </w:rPr>
            </w:pPr>
            <w:r w:rsidRPr="00231B15">
              <w:rPr>
                <w:rFonts w:cs="Times New Roman"/>
                <w:b/>
                <w:bCs/>
              </w:rPr>
              <w:t>N205</w:t>
            </w:r>
          </w:p>
        </w:tc>
        <w:tc>
          <w:tcPr>
            <w:tcW w:w="708" w:type="dxa"/>
            <w:vAlign w:val="center"/>
          </w:tcPr>
          <w:p w14:paraId="6453D0F0" w14:textId="51BE3C24" w:rsidR="005A03D0" w:rsidRPr="00231B15" w:rsidRDefault="005A03D0" w:rsidP="00ED437B">
            <w:pPr>
              <w:jc w:val="center"/>
              <w:rPr>
                <w:rFonts w:cs="Times New Roman"/>
              </w:rPr>
            </w:pPr>
            <w:r w:rsidRPr="00231B15">
              <w:rPr>
                <w:rFonts w:cs="Times New Roman"/>
              </w:rPr>
              <w:t>-</w:t>
            </w:r>
          </w:p>
        </w:tc>
        <w:tc>
          <w:tcPr>
            <w:tcW w:w="1134" w:type="dxa"/>
            <w:vAlign w:val="center"/>
          </w:tcPr>
          <w:p w14:paraId="7E836F8F" w14:textId="0A1604ED" w:rsidR="005A03D0" w:rsidRPr="00231B15" w:rsidRDefault="005A03D0" w:rsidP="000D252A">
            <w:pPr>
              <w:jc w:val="center"/>
              <w:rPr>
                <w:rFonts w:cs="Times New Roman"/>
              </w:rPr>
            </w:pPr>
            <w:r w:rsidRPr="00231B15">
              <w:rPr>
                <w:rFonts w:cs="Times New Roman"/>
              </w:rPr>
              <w:t>-</w:t>
            </w:r>
          </w:p>
        </w:tc>
        <w:tc>
          <w:tcPr>
            <w:tcW w:w="1418" w:type="dxa"/>
            <w:vAlign w:val="center"/>
          </w:tcPr>
          <w:p w14:paraId="42332529" w14:textId="6761572B" w:rsidR="005A03D0" w:rsidRPr="00231B15" w:rsidRDefault="005A03D0">
            <w:pPr>
              <w:jc w:val="center"/>
              <w:rPr>
                <w:rFonts w:cs="Times New Roman"/>
                <w:color w:val="000000"/>
              </w:rPr>
            </w:pPr>
            <w:r w:rsidRPr="00231B15">
              <w:rPr>
                <w:rFonts w:cs="Times New Roman"/>
              </w:rPr>
              <w:t>&lt; 0.1</w:t>
            </w:r>
          </w:p>
        </w:tc>
        <w:tc>
          <w:tcPr>
            <w:tcW w:w="1276" w:type="dxa"/>
            <w:vAlign w:val="center"/>
          </w:tcPr>
          <w:p w14:paraId="17E38C00" w14:textId="7006ACB7" w:rsidR="005A03D0" w:rsidRPr="00231B15" w:rsidRDefault="005A03D0">
            <w:pPr>
              <w:jc w:val="center"/>
              <w:rPr>
                <w:rFonts w:cs="Times New Roman"/>
                <w:color w:val="000000"/>
              </w:rPr>
            </w:pPr>
            <w:r w:rsidRPr="00231B15">
              <w:rPr>
                <w:rFonts w:cs="Times New Roman"/>
                <w:color w:val="000000"/>
              </w:rPr>
              <w:t>-</w:t>
            </w:r>
          </w:p>
        </w:tc>
        <w:tc>
          <w:tcPr>
            <w:tcW w:w="1417" w:type="dxa"/>
            <w:vAlign w:val="center"/>
          </w:tcPr>
          <w:p w14:paraId="0F7EA057" w14:textId="1D3D00B9" w:rsidR="005A03D0" w:rsidRPr="00231B15" w:rsidRDefault="005A03D0">
            <w:pPr>
              <w:jc w:val="center"/>
              <w:rPr>
                <w:rFonts w:cs="Times New Roman"/>
                <w:color w:val="000000"/>
              </w:rPr>
            </w:pPr>
            <w:r w:rsidRPr="00231B15">
              <w:rPr>
                <w:rFonts w:cs="Times New Roman"/>
                <w:color w:val="000000"/>
              </w:rPr>
              <w:t>41</w:t>
            </w:r>
          </w:p>
        </w:tc>
        <w:tc>
          <w:tcPr>
            <w:tcW w:w="709" w:type="dxa"/>
            <w:vAlign w:val="center"/>
          </w:tcPr>
          <w:p w14:paraId="07D9CFE6" w14:textId="1D387F16" w:rsidR="005A03D0" w:rsidRPr="00231B15" w:rsidRDefault="005A03D0">
            <w:pPr>
              <w:jc w:val="center"/>
              <w:rPr>
                <w:rFonts w:cs="Times New Roman"/>
              </w:rPr>
            </w:pPr>
            <w:r w:rsidRPr="00231B15">
              <w:rPr>
                <w:rFonts w:cs="Times New Roman"/>
              </w:rPr>
              <w:t>4.5</w:t>
            </w:r>
          </w:p>
        </w:tc>
      </w:tr>
      <w:tr w:rsidR="005A03D0" w:rsidRPr="00231B15" w14:paraId="30A6EF4E" w14:textId="77777777" w:rsidTr="007D738C">
        <w:trPr>
          <w:jc w:val="center"/>
        </w:trPr>
        <w:tc>
          <w:tcPr>
            <w:tcW w:w="993" w:type="dxa"/>
            <w:tcBorders>
              <w:bottom w:val="single" w:sz="4" w:space="0" w:color="auto"/>
            </w:tcBorders>
            <w:vAlign w:val="center"/>
          </w:tcPr>
          <w:p w14:paraId="0D6B96F3" w14:textId="5306F605" w:rsidR="005A03D0" w:rsidRPr="00231B15" w:rsidRDefault="005A03D0" w:rsidP="004A2129">
            <w:pPr>
              <w:jc w:val="center"/>
              <w:rPr>
                <w:rFonts w:cs="Times New Roman"/>
                <w:b/>
                <w:bCs/>
              </w:rPr>
            </w:pPr>
            <w:r w:rsidRPr="00231B15">
              <w:rPr>
                <w:rFonts w:cs="Times New Roman"/>
                <w:b/>
                <w:bCs/>
              </w:rPr>
              <w:lastRenderedPageBreak/>
              <w:t>OZ439</w:t>
            </w:r>
          </w:p>
        </w:tc>
        <w:tc>
          <w:tcPr>
            <w:tcW w:w="708" w:type="dxa"/>
            <w:tcBorders>
              <w:bottom w:val="single" w:sz="4" w:space="0" w:color="auto"/>
            </w:tcBorders>
            <w:vAlign w:val="center"/>
          </w:tcPr>
          <w:p w14:paraId="738A96E1" w14:textId="09C7B565" w:rsidR="005A03D0" w:rsidRPr="00231B15" w:rsidRDefault="005A03D0" w:rsidP="00ED437B">
            <w:pPr>
              <w:jc w:val="center"/>
              <w:rPr>
                <w:rFonts w:cs="Times New Roman"/>
              </w:rPr>
            </w:pPr>
            <w:r w:rsidRPr="00231B15">
              <w:rPr>
                <w:rFonts w:cs="Times New Roman"/>
              </w:rPr>
              <w:t>-</w:t>
            </w:r>
          </w:p>
        </w:tc>
        <w:tc>
          <w:tcPr>
            <w:tcW w:w="1134" w:type="dxa"/>
            <w:tcBorders>
              <w:bottom w:val="single" w:sz="4" w:space="0" w:color="auto"/>
            </w:tcBorders>
            <w:vAlign w:val="center"/>
          </w:tcPr>
          <w:p w14:paraId="26CB3531" w14:textId="4D868722" w:rsidR="005A03D0" w:rsidRPr="00231B15" w:rsidRDefault="005A03D0" w:rsidP="000D252A">
            <w:pPr>
              <w:jc w:val="center"/>
              <w:rPr>
                <w:rFonts w:cs="Times New Roman"/>
              </w:rPr>
            </w:pPr>
            <w:r w:rsidRPr="00231B15">
              <w:rPr>
                <w:rFonts w:cs="Times New Roman"/>
              </w:rPr>
              <w:t>-</w:t>
            </w:r>
          </w:p>
        </w:tc>
        <w:tc>
          <w:tcPr>
            <w:tcW w:w="1418" w:type="dxa"/>
            <w:tcBorders>
              <w:bottom w:val="single" w:sz="4" w:space="0" w:color="auto"/>
            </w:tcBorders>
            <w:vAlign w:val="center"/>
          </w:tcPr>
          <w:p w14:paraId="7746910F" w14:textId="297D07C6" w:rsidR="005A03D0" w:rsidRPr="00231B15" w:rsidRDefault="005A03D0">
            <w:pPr>
              <w:jc w:val="center"/>
              <w:rPr>
                <w:rFonts w:cs="Times New Roman"/>
                <w:color w:val="000000"/>
              </w:rPr>
            </w:pPr>
            <w:r w:rsidRPr="00231B15">
              <w:rPr>
                <w:rFonts w:cs="Times New Roman"/>
              </w:rPr>
              <w:t>0.085/0.181</w:t>
            </w:r>
            <w:r w:rsidR="006841E6" w:rsidRPr="006841E6">
              <w:rPr>
                <w:rFonts w:cs="Times New Roman"/>
                <w:vertAlign w:val="superscript"/>
              </w:rPr>
              <w:t>28</w:t>
            </w:r>
          </w:p>
        </w:tc>
        <w:tc>
          <w:tcPr>
            <w:tcW w:w="1276" w:type="dxa"/>
            <w:tcBorders>
              <w:bottom w:val="single" w:sz="4" w:space="0" w:color="auto"/>
            </w:tcBorders>
            <w:vAlign w:val="center"/>
          </w:tcPr>
          <w:p w14:paraId="1E93360B" w14:textId="465CF500" w:rsidR="005A03D0" w:rsidRPr="00231B15" w:rsidRDefault="005A03D0">
            <w:pPr>
              <w:jc w:val="center"/>
              <w:rPr>
                <w:rFonts w:cs="Times New Roman"/>
                <w:color w:val="000000"/>
              </w:rPr>
            </w:pPr>
            <w:r w:rsidRPr="00231B15">
              <w:rPr>
                <w:rFonts w:cs="Times New Roman"/>
                <w:color w:val="000000"/>
              </w:rPr>
              <w:t>14</w:t>
            </w:r>
          </w:p>
        </w:tc>
        <w:tc>
          <w:tcPr>
            <w:tcW w:w="1417" w:type="dxa"/>
            <w:tcBorders>
              <w:bottom w:val="single" w:sz="4" w:space="0" w:color="auto"/>
            </w:tcBorders>
            <w:vAlign w:val="center"/>
          </w:tcPr>
          <w:p w14:paraId="108CFB4C" w14:textId="7F367AF1" w:rsidR="005A03D0" w:rsidRPr="00231B15" w:rsidRDefault="005A03D0">
            <w:pPr>
              <w:jc w:val="center"/>
              <w:rPr>
                <w:rFonts w:cs="Times New Roman"/>
                <w:color w:val="000000"/>
              </w:rPr>
            </w:pPr>
            <w:r w:rsidRPr="00231B15">
              <w:rPr>
                <w:rFonts w:cs="Times New Roman"/>
                <w:color w:val="000000"/>
              </w:rPr>
              <w:t>68</w:t>
            </w:r>
          </w:p>
        </w:tc>
        <w:tc>
          <w:tcPr>
            <w:tcW w:w="709" w:type="dxa"/>
            <w:tcBorders>
              <w:bottom w:val="single" w:sz="4" w:space="0" w:color="auto"/>
            </w:tcBorders>
            <w:vAlign w:val="center"/>
          </w:tcPr>
          <w:p w14:paraId="0B914809" w14:textId="1FF7D9A8" w:rsidR="005A03D0" w:rsidRPr="00231B15" w:rsidRDefault="005A03D0">
            <w:pPr>
              <w:jc w:val="center"/>
              <w:rPr>
                <w:rFonts w:cs="Times New Roman"/>
              </w:rPr>
            </w:pPr>
            <w:r w:rsidRPr="00231B15">
              <w:rPr>
                <w:rFonts w:cs="Times New Roman"/>
              </w:rPr>
              <w:t>5.44</w:t>
            </w:r>
          </w:p>
        </w:tc>
      </w:tr>
    </w:tbl>
    <w:p w14:paraId="6881BEC9" w14:textId="45215FE7" w:rsidR="00175589" w:rsidRPr="00E25072" w:rsidRDefault="00175589" w:rsidP="00E25072">
      <w:pPr>
        <w:pStyle w:val="Caption"/>
        <w:rPr>
          <w:color w:val="FF0000"/>
        </w:rPr>
      </w:pPr>
      <w:r w:rsidRPr="00231B15">
        <w:rPr>
          <w:rFonts w:cs="Times New Roman"/>
        </w:rPr>
        <w:t xml:space="preserve">Table </w:t>
      </w:r>
      <w:r w:rsidR="00336CF2" w:rsidRPr="00231B15">
        <w:rPr>
          <w:rFonts w:cs="Times New Roman"/>
        </w:rPr>
        <w:fldChar w:fldCharType="begin"/>
      </w:r>
      <w:r w:rsidR="00336CF2" w:rsidRPr="00231B15">
        <w:rPr>
          <w:rFonts w:cs="Times New Roman"/>
        </w:rPr>
        <w:instrText xml:space="preserve"> SEQ Table \* ARABIC </w:instrText>
      </w:r>
      <w:r w:rsidR="00336CF2" w:rsidRPr="00231B15">
        <w:rPr>
          <w:rFonts w:cs="Times New Roman"/>
        </w:rPr>
        <w:fldChar w:fldCharType="separate"/>
      </w:r>
      <w:r w:rsidR="00944FAE">
        <w:rPr>
          <w:rFonts w:cs="Times New Roman"/>
          <w:noProof/>
        </w:rPr>
        <w:t>3</w:t>
      </w:r>
      <w:r w:rsidR="00336CF2" w:rsidRPr="00231B15">
        <w:rPr>
          <w:rFonts w:cs="Times New Roman"/>
          <w:noProof/>
        </w:rPr>
        <w:fldChar w:fldCharType="end"/>
      </w:r>
      <w:r w:rsidRPr="00231B15">
        <w:rPr>
          <w:rFonts w:cs="Times New Roman"/>
        </w:rPr>
        <w:t>: Summary of DMPK data obtained for individual enantiomers of chiral analogues</w:t>
      </w:r>
      <w:r w:rsidR="004120BD" w:rsidRPr="00231B15">
        <w:rPr>
          <w:rFonts w:cs="Times New Roman"/>
        </w:rPr>
        <w:t>.</w:t>
      </w:r>
      <w:r w:rsidR="00E25072" w:rsidRPr="00E25072">
        <w:rPr>
          <w:rFonts w:ascii="AdvOT118e7927" w:eastAsia="Times New Roman" w:hAnsi="AdvOT118e7927" w:cs="Times New Roman"/>
          <w:sz w:val="14"/>
          <w:szCs w:val="14"/>
          <w:lang w:eastAsia="en-GB"/>
        </w:rPr>
        <w:t xml:space="preserve"> </w:t>
      </w:r>
      <w:r w:rsidR="00E25072" w:rsidRPr="005C0D28">
        <w:t>The DMPK property data described above were measured once through a high-throughput platform provided by AstraZeneca UK. The methods of the five assays, including LogD7.4, aqueous solubility, plasma protein binding, and microsome and hepatocyte clearance measurements, have been reported previously</w:t>
      </w:r>
      <w:r w:rsidR="00132AF7" w:rsidRPr="005C0D28">
        <w:t xml:space="preserve"> </w:t>
      </w:r>
      <w:r w:rsidR="00132AF7" w:rsidRPr="005C0D28">
        <w:rPr>
          <w:vertAlign w:val="superscript"/>
        </w:rPr>
        <w:t>27</w:t>
      </w:r>
      <w:r w:rsidR="00E25072" w:rsidRPr="00E25072">
        <w:rPr>
          <w:color w:val="FF0000"/>
        </w:rPr>
        <w:t xml:space="preserve"> </w:t>
      </w:r>
      <w:r w:rsidR="004120BD" w:rsidRPr="00231B15">
        <w:rPr>
          <w:rFonts w:cs="Times New Roman"/>
        </w:rPr>
        <w:t xml:space="preserve"> </w:t>
      </w:r>
      <w:proofErr w:type="spellStart"/>
      <w:r w:rsidR="004120BD" w:rsidRPr="00231B15">
        <w:rPr>
          <w:rFonts w:cs="Times New Roman"/>
          <w:vertAlign w:val="superscript"/>
        </w:rPr>
        <w:t>a</w:t>
      </w:r>
      <w:r w:rsidR="004120BD" w:rsidRPr="00231B15">
        <w:rPr>
          <w:rFonts w:cs="Times New Roman"/>
        </w:rPr>
        <w:t>Calculated</w:t>
      </w:r>
      <w:proofErr w:type="spellEnd"/>
      <w:r w:rsidR="004120BD" w:rsidRPr="00231B15">
        <w:rPr>
          <w:rFonts w:cs="Times New Roman"/>
        </w:rPr>
        <w:t xml:space="preserve"> using </w:t>
      </w:r>
      <w:proofErr w:type="spellStart"/>
      <w:r w:rsidR="004120BD" w:rsidRPr="00231B15">
        <w:rPr>
          <w:rFonts w:cs="Times New Roman"/>
        </w:rPr>
        <w:t>ChemDraw</w:t>
      </w:r>
      <w:proofErr w:type="spellEnd"/>
      <w:r w:rsidR="004120BD" w:rsidRPr="00231B15">
        <w:rPr>
          <w:rFonts w:cs="Times New Roman"/>
        </w:rPr>
        <w:t xml:space="preserve"> professional 19.1.1.21</w:t>
      </w:r>
    </w:p>
    <w:p w14:paraId="604AED98" w14:textId="114DCDF9" w:rsidR="00840731" w:rsidRPr="00A26B94" w:rsidRDefault="004F6498" w:rsidP="00AA04BE">
      <w:pPr>
        <w:rPr>
          <w:rFonts w:cs="Times New Roman"/>
          <w:iCs/>
        </w:rPr>
      </w:pPr>
      <w:r w:rsidRPr="00231B15">
        <w:rPr>
          <w:rFonts w:cs="Times New Roman"/>
        </w:rPr>
        <w:t>The enantiomerically pure enantiomers were screened for DMPK parameters</w:t>
      </w:r>
      <w:r w:rsidR="00175589" w:rsidRPr="00231B15">
        <w:rPr>
          <w:rFonts w:cs="Times New Roman"/>
        </w:rPr>
        <w:t xml:space="preserve"> as summarised in Table 3</w:t>
      </w:r>
      <w:r w:rsidRPr="00231B15">
        <w:rPr>
          <w:rFonts w:cs="Times New Roman"/>
        </w:rPr>
        <w:t xml:space="preserve">. </w:t>
      </w:r>
      <w:r w:rsidR="009053AC" w:rsidRPr="00231B15">
        <w:rPr>
          <w:rFonts w:cs="Times New Roman"/>
        </w:rPr>
        <w:t xml:space="preserve">Intrinsic clearance by human liver microsomes showed high metabolic stability for all analogues </w:t>
      </w:r>
      <w:r w:rsidR="00191EE3" w:rsidRPr="00231B15">
        <w:rPr>
          <w:rFonts w:cs="Times New Roman"/>
        </w:rPr>
        <w:t>except for</w:t>
      </w:r>
      <w:r w:rsidR="009053AC" w:rsidRPr="00231B15">
        <w:rPr>
          <w:rFonts w:cs="Times New Roman"/>
        </w:rPr>
        <w:t xml:space="preserve"> </w:t>
      </w:r>
      <w:r w:rsidR="00EF0F03" w:rsidRPr="00231B15">
        <w:rPr>
          <w:rFonts w:cs="Times New Roman"/>
          <w:b/>
          <w:bCs/>
        </w:rPr>
        <w:t>15a</w:t>
      </w:r>
      <w:r w:rsidR="00EF0F03" w:rsidRPr="00231B15">
        <w:rPr>
          <w:rFonts w:cs="Times New Roman"/>
          <w:b/>
          <w:bCs/>
          <w:i/>
          <w:iCs/>
        </w:rPr>
        <w:t xml:space="preserve"> </w:t>
      </w:r>
      <w:r w:rsidR="009053AC" w:rsidRPr="00231B15">
        <w:rPr>
          <w:rFonts w:cs="Times New Roman"/>
        </w:rPr>
        <w:t xml:space="preserve">which possessed moderate metabolic stability. In comparison, clearance by rat hepatocytes was found to be more variable with </w:t>
      </w:r>
      <w:r w:rsidR="00EF0F03" w:rsidRPr="00231B15">
        <w:rPr>
          <w:rFonts w:cs="Times New Roman"/>
          <w:b/>
          <w:bCs/>
        </w:rPr>
        <w:t>9a</w:t>
      </w:r>
      <w:r w:rsidR="009053AC" w:rsidRPr="00231B15">
        <w:rPr>
          <w:rFonts w:cs="Times New Roman"/>
          <w:b/>
          <w:bCs/>
        </w:rPr>
        <w:t xml:space="preserve">, </w:t>
      </w:r>
      <w:r w:rsidR="00EF0F03" w:rsidRPr="00231B15">
        <w:rPr>
          <w:rFonts w:cs="Times New Roman"/>
          <w:b/>
          <w:bCs/>
        </w:rPr>
        <w:t>9b</w:t>
      </w:r>
      <w:r w:rsidR="009053AC" w:rsidRPr="00231B15">
        <w:rPr>
          <w:rFonts w:cs="Times New Roman"/>
          <w:b/>
          <w:bCs/>
        </w:rPr>
        <w:t xml:space="preserve">, </w:t>
      </w:r>
      <w:r w:rsidR="00EF0F03" w:rsidRPr="00231B15">
        <w:rPr>
          <w:rFonts w:cs="Times New Roman"/>
          <w:b/>
          <w:bCs/>
        </w:rPr>
        <w:t>10a</w:t>
      </w:r>
      <w:r w:rsidR="009053AC" w:rsidRPr="00231B15">
        <w:rPr>
          <w:rFonts w:cs="Times New Roman"/>
          <w:b/>
          <w:bCs/>
        </w:rPr>
        <w:t xml:space="preserve">, </w:t>
      </w:r>
      <w:r w:rsidR="00EF0F03" w:rsidRPr="00231B15">
        <w:rPr>
          <w:rFonts w:cs="Times New Roman"/>
          <w:b/>
          <w:bCs/>
        </w:rPr>
        <w:t xml:space="preserve">14a </w:t>
      </w:r>
      <w:r w:rsidR="00191EE3" w:rsidRPr="00231B15">
        <w:rPr>
          <w:rFonts w:cs="Times New Roman"/>
        </w:rPr>
        <w:t xml:space="preserve">and </w:t>
      </w:r>
      <w:r w:rsidR="00EF0F03" w:rsidRPr="00231B15">
        <w:rPr>
          <w:rFonts w:cs="Times New Roman"/>
          <w:b/>
          <w:bCs/>
        </w:rPr>
        <w:t>15a</w:t>
      </w:r>
      <w:r w:rsidR="00EF0F03" w:rsidRPr="00231B15">
        <w:rPr>
          <w:rFonts w:cs="Times New Roman"/>
        </w:rPr>
        <w:t xml:space="preserve"> </w:t>
      </w:r>
      <w:r w:rsidR="00191EE3" w:rsidRPr="00231B15">
        <w:rPr>
          <w:rFonts w:cs="Times New Roman"/>
        </w:rPr>
        <w:t xml:space="preserve">displaying high metabolic stability while </w:t>
      </w:r>
      <w:r w:rsidR="00EF0F03" w:rsidRPr="00231B15">
        <w:rPr>
          <w:rFonts w:cs="Times New Roman"/>
          <w:b/>
          <w:bCs/>
        </w:rPr>
        <w:t>10b</w:t>
      </w:r>
      <w:r w:rsidR="00191EE3" w:rsidRPr="00231B15">
        <w:rPr>
          <w:rFonts w:cs="Times New Roman"/>
          <w:b/>
          <w:bCs/>
        </w:rPr>
        <w:t xml:space="preserve">, </w:t>
      </w:r>
      <w:r w:rsidR="00EF0F03" w:rsidRPr="00231B15">
        <w:rPr>
          <w:rFonts w:cs="Times New Roman"/>
          <w:b/>
          <w:bCs/>
        </w:rPr>
        <w:t xml:space="preserve">14b </w:t>
      </w:r>
      <w:r w:rsidR="00191EE3" w:rsidRPr="00231B15">
        <w:rPr>
          <w:rFonts w:cs="Times New Roman"/>
        </w:rPr>
        <w:t xml:space="preserve">and </w:t>
      </w:r>
      <w:r w:rsidR="00EF0F03" w:rsidRPr="00231B15">
        <w:rPr>
          <w:rFonts w:cs="Times New Roman"/>
          <w:b/>
          <w:bCs/>
        </w:rPr>
        <w:t>15b</w:t>
      </w:r>
      <w:r w:rsidR="00EF0F03" w:rsidRPr="00231B15">
        <w:rPr>
          <w:rFonts w:cs="Times New Roman"/>
        </w:rPr>
        <w:t xml:space="preserve"> </w:t>
      </w:r>
      <w:r w:rsidR="00191EE3" w:rsidRPr="00231B15">
        <w:rPr>
          <w:rFonts w:cs="Times New Roman"/>
        </w:rPr>
        <w:t xml:space="preserve">displayed moderate metabolic stability. </w:t>
      </w:r>
      <w:r w:rsidR="00FE194D" w:rsidRPr="00231B15">
        <w:rPr>
          <w:rFonts w:cs="Times New Roman"/>
        </w:rPr>
        <w:t xml:space="preserve">While the substituent on the cyclic amine was not seen to produce significant differences in metabolic stability, for most analogues there were </w:t>
      </w:r>
      <w:r w:rsidR="00A65C6F" w:rsidRPr="00231B15">
        <w:rPr>
          <w:rFonts w:cs="Times New Roman"/>
          <w:lang w:eastAsia="zh-CN"/>
        </w:rPr>
        <w:t>some noticeable</w:t>
      </w:r>
      <w:r w:rsidR="00A65C6F" w:rsidRPr="00231B15">
        <w:rPr>
          <w:rFonts w:cs="Times New Roman"/>
        </w:rPr>
        <w:t xml:space="preserve"> </w:t>
      </w:r>
      <w:r w:rsidR="00FE194D" w:rsidRPr="00231B15">
        <w:rPr>
          <w:rFonts w:cs="Times New Roman"/>
        </w:rPr>
        <w:t>differences between pairs of enantiomers</w:t>
      </w:r>
      <w:r w:rsidR="00A65C6F" w:rsidRPr="00231B15">
        <w:rPr>
          <w:rFonts w:cs="Times New Roman"/>
          <w:lang w:eastAsia="zh-CN"/>
        </w:rPr>
        <w:t>, especially in the rat hepatocyte clearance</w:t>
      </w:r>
      <w:r w:rsidRPr="00231B15">
        <w:rPr>
          <w:rFonts w:cs="Times New Roman"/>
        </w:rPr>
        <w:t xml:space="preserve">. </w:t>
      </w:r>
      <w:r w:rsidR="00527330" w:rsidRPr="00231B15">
        <w:rPr>
          <w:rFonts w:cs="Times New Roman"/>
        </w:rPr>
        <w:t>N</w:t>
      </w:r>
      <w:r w:rsidR="00191EE3" w:rsidRPr="00231B15">
        <w:rPr>
          <w:rFonts w:cs="Times New Roman"/>
        </w:rPr>
        <w:t xml:space="preserve">on-linear analogues of E209 scaffold were found to display similar levels of metabolic stability with only </w:t>
      </w:r>
      <w:r w:rsidR="00B63E96" w:rsidRPr="00231B15">
        <w:rPr>
          <w:rFonts w:cs="Times New Roman"/>
          <w:b/>
          <w:bCs/>
        </w:rPr>
        <w:t xml:space="preserve">9b </w:t>
      </w:r>
      <w:r w:rsidR="00191EE3" w:rsidRPr="00231B15">
        <w:rPr>
          <w:rFonts w:cs="Times New Roman"/>
        </w:rPr>
        <w:t>appearing significantly less stable in rat hepatocytes</w:t>
      </w:r>
      <w:r w:rsidR="00527330" w:rsidRPr="00231B15">
        <w:rPr>
          <w:rFonts w:cs="Times New Roman"/>
        </w:rPr>
        <w:t xml:space="preserve"> compared to </w:t>
      </w:r>
      <w:r w:rsidR="004A2129" w:rsidRPr="00231B15">
        <w:rPr>
          <w:rFonts w:cs="Times New Roman"/>
        </w:rPr>
        <w:t xml:space="preserve">the </w:t>
      </w:r>
      <w:r w:rsidR="00527330" w:rsidRPr="00231B15">
        <w:rPr>
          <w:rFonts w:cs="Times New Roman"/>
        </w:rPr>
        <w:t>parent molecule</w:t>
      </w:r>
      <w:r w:rsidR="00191EE3" w:rsidRPr="00231B15">
        <w:rPr>
          <w:rFonts w:cs="Times New Roman"/>
        </w:rPr>
        <w:t>. Non-linear analogues o</w:t>
      </w:r>
      <w:r w:rsidR="005A5AB2" w:rsidRPr="00231B15">
        <w:rPr>
          <w:rFonts w:cs="Times New Roman"/>
        </w:rPr>
        <w:t>f</w:t>
      </w:r>
      <w:r w:rsidR="00191EE3" w:rsidRPr="00231B15">
        <w:rPr>
          <w:rFonts w:cs="Times New Roman"/>
        </w:rPr>
        <w:t xml:space="preserve"> the N205 scaffold were all found to be more stable to metabolism by human liver microsomes</w:t>
      </w:r>
      <w:r w:rsidR="00527330" w:rsidRPr="00231B15">
        <w:rPr>
          <w:rFonts w:cs="Times New Roman"/>
        </w:rPr>
        <w:t xml:space="preserve"> compared to the parent molecule</w:t>
      </w:r>
      <w:r w:rsidR="00191EE3" w:rsidRPr="00231B15">
        <w:rPr>
          <w:rFonts w:cs="Times New Roman"/>
        </w:rPr>
        <w:t>. In comparison to OZ4</w:t>
      </w:r>
      <w:r w:rsidR="00F54710" w:rsidRPr="00231B15">
        <w:rPr>
          <w:rFonts w:cs="Times New Roman"/>
        </w:rPr>
        <w:t>3</w:t>
      </w:r>
      <w:r w:rsidR="00191EE3" w:rsidRPr="00231B15">
        <w:rPr>
          <w:rFonts w:cs="Times New Roman"/>
        </w:rPr>
        <w:t>9 all analogues were found to be more stable in human liver microsomes</w:t>
      </w:r>
      <w:r w:rsidR="00A26B94">
        <w:rPr>
          <w:rFonts w:cs="Times New Roman"/>
        </w:rPr>
        <w:t xml:space="preserve">. </w:t>
      </w:r>
      <w:r w:rsidR="00A26B94" w:rsidRPr="00E1336C">
        <w:rPr>
          <w:rFonts w:cs="Times New Roman"/>
        </w:rPr>
        <w:t xml:space="preserve">It should however be noted that, in contrast to its long half-life of &gt;40 hours, OZ439 possesses paradoxically low stability in human liver microsomes </w:t>
      </w:r>
      <w:r w:rsidR="00880BB6" w:rsidRPr="00E1336C">
        <w:rPr>
          <w:rFonts w:cs="Times New Roman"/>
          <w:i/>
        </w:rPr>
        <w:t xml:space="preserve">in vitro </w:t>
      </w:r>
      <w:r w:rsidR="00A26B94" w:rsidRPr="00E1336C">
        <w:rPr>
          <w:rFonts w:cs="Times New Roman"/>
        </w:rPr>
        <w:t xml:space="preserve">and as such improvements in stability aren’t necessarily indicative of improved </w:t>
      </w:r>
      <w:r w:rsidR="00A26B94" w:rsidRPr="00E1336C">
        <w:rPr>
          <w:rFonts w:cs="Times New Roman"/>
          <w:i/>
          <w:iCs/>
        </w:rPr>
        <w:t xml:space="preserve">in vivo </w:t>
      </w:r>
      <w:r w:rsidR="00A26B94" w:rsidRPr="00E1336C">
        <w:rPr>
          <w:rFonts w:cs="Times New Roman"/>
          <w:iCs/>
        </w:rPr>
        <w:t>efficacy.</w:t>
      </w:r>
      <w:r w:rsidR="00A26B94" w:rsidRPr="006841E6">
        <w:rPr>
          <w:rFonts w:cs="Times New Roman"/>
          <w:iCs/>
          <w:vertAlign w:val="superscript"/>
        </w:rPr>
        <w:fldChar w:fldCharType="begin" w:fldLock="1"/>
      </w:r>
      <w:r w:rsidR="00A26B94" w:rsidRPr="006841E6">
        <w:rPr>
          <w:rFonts w:cs="Times New Roman"/>
          <w:iCs/>
          <w:vertAlign w:val="superscript"/>
        </w:rPr>
        <w:instrText>ADDIN CSL_CITATION {"citationItems":[{"id":"ITEM-1","itemData":{"DOI":"10.1186/s12936-019-3075-5","ISSN":"1475-2875","abstract":"Modelling and simulation are being increasingly utilized to support the discovery and development of new anti-malarial drugs. These approaches require reliable in vitro data for physicochemical properties, permeability, binding, intrinsic clearance and cytochrome P450 inhibition. This work was conducted to generate an in vitro data toolbox using standardized methods for a set of 45 anti-malarial drugs and to assess changes in physicochemical properties in relation to changing target product and candidate profiles.","author":[{"dropping-particle":"","family":"Charman","given":"Susan A","non-dropping-particle":"","parse-names":false,"suffix":""},{"dropping-particle":"","family":"Andreu","given":"Alice","non-dropping-particle":"","parse-names":false,"suffix":""},{"dropping-particle":"","family":"Barker","given":"Helena","non-dropping-particle":"","parse-names":false,"suffix":""},{"dropping-particle":"","family":"Blundell","given":"Scott","non-dropping-particle":"","parse-names":false,"suffix":""},{"dropping-particle":"","family":"Campbell","given":"Anna","non-dropping-particle":"","parse-names":false,"suffix":""},{"dropping-particle":"","family":"Campbell","given":"Michael","non-dropping-particle":"","parse-names":false,"suffix":""},{"dropping-particle":"","family":"Chen","given":"Gong","non-dropping-particle":"","parse-names":false,"suffix":""},{"dropping-particle":"","family":"Chiu","given":"Francis C K","non-dropping-particle":"","parse-names":false,"suffix":""},{"dropping-particle":"","family":"Crighton","given":"Elly","non-dropping-particle":"","parse-names":false,"suffix":""},{"dropping-particle":"","family":"Katneni","given":"Kasiram","non-dropping-particle":"","parse-names":false,"suffix":""},{"dropping-particle":"","family":"Morizzi","given":"Julia","non-dropping-particle":"","parse-names":false,"suffix":""},{"dropping-particle":"","family":"Patil","given":"Rahul","non-dropping-particle":"","parse-names":false,"suffix":""},{"dropping-particle":"","family":"Pham","given":"Thao","non-dropping-particle":"","parse-names":false,"suffix":""},{"dropping-particle":"","family":"Ryan","given":"Eileen","non-dropping-particle":"","parse-names":false,"suffix":""},{"dropping-particle":"","family":"Saunders","given":"Jessica","non-dropping-particle":"","parse-names":false,"suffix":""},{"dropping-particle":"","family":"Shackleford","given":"David M","non-dropping-particle":"","parse-names":false,"suffix":""},{"dropping-particle":"","family":"White","given":"Karen L","non-dropping-particle":"","parse-names":false,"suffix":""},{"dropping-particle":"","family":"Almond","given":"Lisa","non-dropping-particle":"","parse-names":false,"suffix":""},{"dropping-particle":"","family":"Dickins","given":"Maurice","non-dropping-particle":"","parse-names":false,"suffix":""},{"dropping-particle":"","family":"Smith","given":"Dennis A","non-dropping-particle":"","parse-names":false,"suffix":""},{"dropping-particle":"","family":"Moehrle","given":"Joerg J","non-dropping-particle":"","parse-names":false,"suffix":""},{"dropping-particle":"","family":"Burrows","given":"Jeremy N","non-dropping-particle":"","parse-names":false,"suffix":""},{"dropping-particle":"","family":"Abla","given":"Nada","non-dropping-particle":"","parse-names":false,"suffix":""}],"container-title":"Malaria Journal","id":"ITEM-1","issue":"1","issued":{"date-parts":[["2020"]]},"page":"1","title":"An in vitro toolbox to accelerate anti-malarial drug discovery and development","type":"article-journal","volume":"19"},"uris":["http://www.mendeley.com/documents/?uuid=e459d377-0cf1-4f8a-bf4f-e6779c47a379"]}],"mendeley":{"formattedCitation":"&lt;sup&gt;27&lt;/sup&gt;","plainTextFormattedCitation":"27"},"properties":{"noteIndex":0},"schema":"https://github.com/citation-style-language/schema/raw/master/csl-citation.json"}</w:instrText>
      </w:r>
      <w:r w:rsidR="00A26B94" w:rsidRPr="006841E6">
        <w:rPr>
          <w:rFonts w:cs="Times New Roman"/>
          <w:iCs/>
          <w:vertAlign w:val="superscript"/>
        </w:rPr>
        <w:fldChar w:fldCharType="end"/>
      </w:r>
      <w:r w:rsidR="006841E6" w:rsidRPr="006841E6">
        <w:rPr>
          <w:rFonts w:cs="Times New Roman"/>
          <w:iCs/>
          <w:vertAlign w:val="superscript"/>
        </w:rPr>
        <w:t>28</w:t>
      </w:r>
    </w:p>
    <w:p w14:paraId="7F69B462" w14:textId="77777777" w:rsidR="00840731" w:rsidRPr="00231B15" w:rsidRDefault="00840731">
      <w:pPr>
        <w:spacing w:line="259" w:lineRule="auto"/>
        <w:jc w:val="left"/>
        <w:rPr>
          <w:rFonts w:cs="Times New Roman"/>
        </w:rPr>
      </w:pPr>
      <w:r w:rsidRPr="00231B15">
        <w:rPr>
          <w:rFonts w:cs="Times New Roman"/>
        </w:rPr>
        <w:br w:type="page"/>
      </w:r>
    </w:p>
    <w:p w14:paraId="5047D327" w14:textId="0DC27260" w:rsidR="00840731" w:rsidRPr="00231B15" w:rsidRDefault="00FD628A" w:rsidP="00840731">
      <w:pPr>
        <w:spacing w:line="259" w:lineRule="auto"/>
        <w:jc w:val="center"/>
        <w:rPr>
          <w:rFonts w:cs="Times New Roman"/>
        </w:rPr>
      </w:pPr>
      <w:r w:rsidRPr="0073657C">
        <w:rPr>
          <w:rFonts w:cs="Times New Roman"/>
          <w:noProof/>
        </w:rPr>
        <w:object w:dxaOrig="8500" w:dyaOrig="2030" w14:anchorId="1E1E2957">
          <v:shape id="_x0000_i1034" type="#_x0000_t75" alt="" style="width:365pt;height:87.9pt;mso-width-percent:0;mso-height-percent:0;mso-width-percent:0;mso-height-percent:0" o:ole="">
            <v:imagedata r:id="rId28" o:title=""/>
          </v:shape>
          <o:OLEObject Type="Embed" ProgID="ChemDraw.Document.6.0" ShapeID="_x0000_i1034" DrawAspect="Content" ObjectID="_1684854717" r:id="rId29"/>
        </w:object>
      </w:r>
    </w:p>
    <w:tbl>
      <w:tblPr>
        <w:tblW w:w="7627" w:type="dxa"/>
        <w:jc w:val="center"/>
        <w:tblLayout w:type="fixed"/>
        <w:tblLook w:val="04A0" w:firstRow="1" w:lastRow="0" w:firstColumn="1" w:lastColumn="0" w:noHBand="0" w:noVBand="1"/>
      </w:tblPr>
      <w:tblGrid>
        <w:gridCol w:w="1701"/>
        <w:gridCol w:w="1701"/>
        <w:gridCol w:w="1056"/>
        <w:gridCol w:w="1056"/>
        <w:gridCol w:w="1057"/>
        <w:gridCol w:w="1056"/>
      </w:tblGrid>
      <w:tr w:rsidR="00840731" w:rsidRPr="00231B15" w14:paraId="5FAB2DCE" w14:textId="77777777" w:rsidTr="00840731">
        <w:trPr>
          <w:trHeight w:val="433"/>
          <w:jc w:val="center"/>
        </w:trPr>
        <w:tc>
          <w:tcPr>
            <w:tcW w:w="3402" w:type="dxa"/>
            <w:gridSpan w:val="2"/>
            <w:tcBorders>
              <w:top w:val="single" w:sz="4" w:space="0" w:color="auto"/>
              <w:bottom w:val="single" w:sz="4" w:space="0" w:color="auto"/>
            </w:tcBorders>
            <w:shd w:val="clear" w:color="auto" w:fill="auto"/>
            <w:vAlign w:val="center"/>
            <w:hideMark/>
          </w:tcPr>
          <w:p w14:paraId="6E7C6AFD" w14:textId="77777777" w:rsidR="00840731" w:rsidRPr="00231B15" w:rsidRDefault="00840731" w:rsidP="00840731">
            <w:pPr>
              <w:jc w:val="center"/>
              <w:rPr>
                <w:rFonts w:cs="Times New Roman"/>
                <w:color w:val="000000"/>
                <w:sz w:val="24"/>
                <w:szCs w:val="24"/>
              </w:rPr>
            </w:pPr>
            <w:r w:rsidRPr="00231B15">
              <w:rPr>
                <w:rFonts w:cs="Times New Roman"/>
                <w:color w:val="000000"/>
              </w:rPr>
              <w:t>Compound</w:t>
            </w:r>
          </w:p>
        </w:tc>
        <w:tc>
          <w:tcPr>
            <w:tcW w:w="1056" w:type="dxa"/>
            <w:tcBorders>
              <w:top w:val="single" w:sz="4" w:space="0" w:color="auto"/>
              <w:bottom w:val="single" w:sz="4" w:space="0" w:color="auto"/>
            </w:tcBorders>
            <w:shd w:val="clear" w:color="auto" w:fill="auto"/>
            <w:noWrap/>
            <w:vAlign w:val="center"/>
            <w:hideMark/>
          </w:tcPr>
          <w:p w14:paraId="3621545C" w14:textId="69A72D36" w:rsidR="00840731" w:rsidRPr="00231B15" w:rsidRDefault="00B63E96" w:rsidP="00840731">
            <w:pPr>
              <w:jc w:val="center"/>
              <w:rPr>
                <w:rFonts w:cs="Times New Roman"/>
                <w:b/>
                <w:color w:val="000000"/>
                <w:sz w:val="24"/>
                <w:szCs w:val="24"/>
              </w:rPr>
            </w:pPr>
            <w:r w:rsidRPr="00231B15">
              <w:rPr>
                <w:rFonts w:cs="Times New Roman"/>
                <w:b/>
                <w:color w:val="000000"/>
                <w:sz w:val="24"/>
                <w:szCs w:val="24"/>
              </w:rPr>
              <w:t>9b</w:t>
            </w:r>
          </w:p>
        </w:tc>
        <w:tc>
          <w:tcPr>
            <w:tcW w:w="1056" w:type="dxa"/>
            <w:tcBorders>
              <w:top w:val="single" w:sz="4" w:space="0" w:color="auto"/>
              <w:bottom w:val="single" w:sz="4" w:space="0" w:color="auto"/>
            </w:tcBorders>
            <w:shd w:val="clear" w:color="auto" w:fill="auto"/>
            <w:noWrap/>
            <w:vAlign w:val="center"/>
            <w:hideMark/>
          </w:tcPr>
          <w:p w14:paraId="37AE2F5B" w14:textId="4D7E667B" w:rsidR="00840731" w:rsidRPr="00231B15" w:rsidRDefault="00B63E96" w:rsidP="00840731">
            <w:pPr>
              <w:jc w:val="center"/>
              <w:rPr>
                <w:rFonts w:cs="Times New Roman"/>
                <w:b/>
                <w:color w:val="000000"/>
                <w:sz w:val="24"/>
                <w:szCs w:val="24"/>
              </w:rPr>
            </w:pPr>
            <w:r w:rsidRPr="00231B15">
              <w:rPr>
                <w:rFonts w:cs="Times New Roman"/>
                <w:b/>
                <w:color w:val="000000"/>
                <w:sz w:val="24"/>
                <w:szCs w:val="24"/>
              </w:rPr>
              <w:t>10b</w:t>
            </w:r>
          </w:p>
        </w:tc>
        <w:tc>
          <w:tcPr>
            <w:tcW w:w="1057" w:type="dxa"/>
            <w:tcBorders>
              <w:top w:val="single" w:sz="4" w:space="0" w:color="auto"/>
              <w:bottom w:val="single" w:sz="4" w:space="0" w:color="auto"/>
            </w:tcBorders>
            <w:shd w:val="clear" w:color="auto" w:fill="auto"/>
            <w:noWrap/>
            <w:vAlign w:val="center"/>
            <w:hideMark/>
          </w:tcPr>
          <w:p w14:paraId="305B790C" w14:textId="77777777" w:rsidR="00840731" w:rsidRPr="00231B15" w:rsidRDefault="00840731" w:rsidP="00840731">
            <w:pPr>
              <w:jc w:val="center"/>
              <w:rPr>
                <w:rFonts w:cs="Times New Roman"/>
                <w:b/>
                <w:color w:val="000000"/>
                <w:sz w:val="24"/>
                <w:szCs w:val="24"/>
              </w:rPr>
            </w:pPr>
            <w:r w:rsidRPr="00231B15">
              <w:rPr>
                <w:rFonts w:cs="Times New Roman"/>
                <w:b/>
                <w:color w:val="000000"/>
                <w:sz w:val="24"/>
                <w:szCs w:val="24"/>
              </w:rPr>
              <w:t>E209</w:t>
            </w:r>
          </w:p>
        </w:tc>
        <w:tc>
          <w:tcPr>
            <w:tcW w:w="1056" w:type="dxa"/>
            <w:tcBorders>
              <w:top w:val="single" w:sz="4" w:space="0" w:color="auto"/>
              <w:bottom w:val="single" w:sz="4" w:space="0" w:color="auto"/>
            </w:tcBorders>
            <w:shd w:val="clear" w:color="auto" w:fill="auto"/>
            <w:noWrap/>
            <w:vAlign w:val="center"/>
            <w:hideMark/>
          </w:tcPr>
          <w:p w14:paraId="403F83AC" w14:textId="77777777" w:rsidR="00840731" w:rsidRPr="00231B15" w:rsidRDefault="00840731" w:rsidP="00840731">
            <w:pPr>
              <w:jc w:val="center"/>
              <w:rPr>
                <w:rFonts w:cs="Times New Roman"/>
                <w:b/>
                <w:color w:val="000000"/>
                <w:sz w:val="24"/>
                <w:szCs w:val="24"/>
              </w:rPr>
            </w:pPr>
            <w:r w:rsidRPr="00231B15">
              <w:rPr>
                <w:rFonts w:cs="Times New Roman"/>
                <w:b/>
                <w:color w:val="000000"/>
                <w:sz w:val="24"/>
                <w:szCs w:val="24"/>
              </w:rPr>
              <w:t>OZ439</w:t>
            </w:r>
          </w:p>
        </w:tc>
      </w:tr>
      <w:tr w:rsidR="00840731" w:rsidRPr="00231B15" w14:paraId="73528BBB" w14:textId="77777777" w:rsidTr="00840731">
        <w:trPr>
          <w:trHeight w:val="433"/>
          <w:jc w:val="center"/>
        </w:trPr>
        <w:tc>
          <w:tcPr>
            <w:tcW w:w="3402" w:type="dxa"/>
            <w:gridSpan w:val="2"/>
            <w:tcBorders>
              <w:top w:val="single" w:sz="4" w:space="0" w:color="auto"/>
            </w:tcBorders>
            <w:shd w:val="clear" w:color="auto" w:fill="auto"/>
            <w:vAlign w:val="center"/>
            <w:hideMark/>
          </w:tcPr>
          <w:p w14:paraId="45092D40" w14:textId="77777777" w:rsidR="00840731" w:rsidRPr="00231B15" w:rsidRDefault="00840731" w:rsidP="00840731">
            <w:pPr>
              <w:jc w:val="center"/>
              <w:rPr>
                <w:rFonts w:cs="Times New Roman"/>
                <w:color w:val="000000"/>
              </w:rPr>
            </w:pPr>
            <w:r w:rsidRPr="00231B15">
              <w:rPr>
                <w:rFonts w:cs="Times New Roman"/>
                <w:color w:val="000000"/>
              </w:rPr>
              <w:t>X</w:t>
            </w:r>
          </w:p>
        </w:tc>
        <w:tc>
          <w:tcPr>
            <w:tcW w:w="1056" w:type="dxa"/>
            <w:tcBorders>
              <w:top w:val="single" w:sz="4" w:space="0" w:color="auto"/>
            </w:tcBorders>
            <w:shd w:val="clear" w:color="auto" w:fill="auto"/>
            <w:noWrap/>
            <w:vAlign w:val="center"/>
            <w:hideMark/>
          </w:tcPr>
          <w:p w14:paraId="0C19BBEE" w14:textId="77777777" w:rsidR="00840731" w:rsidRPr="00231B15" w:rsidRDefault="00840731" w:rsidP="00840731">
            <w:pPr>
              <w:jc w:val="center"/>
              <w:rPr>
                <w:rFonts w:cs="Times New Roman"/>
                <w:color w:val="000000"/>
              </w:rPr>
            </w:pPr>
            <w:r w:rsidRPr="00231B15">
              <w:rPr>
                <w:rFonts w:cs="Times New Roman"/>
                <w:color w:val="000000"/>
              </w:rPr>
              <w:t>CHF</w:t>
            </w:r>
          </w:p>
        </w:tc>
        <w:tc>
          <w:tcPr>
            <w:tcW w:w="1056" w:type="dxa"/>
            <w:tcBorders>
              <w:top w:val="single" w:sz="4" w:space="0" w:color="auto"/>
            </w:tcBorders>
            <w:shd w:val="clear" w:color="auto" w:fill="auto"/>
            <w:noWrap/>
            <w:vAlign w:val="center"/>
            <w:hideMark/>
          </w:tcPr>
          <w:p w14:paraId="524B5E78" w14:textId="77777777" w:rsidR="00840731" w:rsidRPr="00231B15" w:rsidRDefault="00840731" w:rsidP="00840731">
            <w:pPr>
              <w:jc w:val="center"/>
              <w:rPr>
                <w:rFonts w:cs="Times New Roman"/>
                <w:color w:val="000000"/>
              </w:rPr>
            </w:pPr>
            <w:r w:rsidRPr="00231B15">
              <w:rPr>
                <w:rFonts w:cs="Times New Roman"/>
                <w:color w:val="000000"/>
              </w:rPr>
              <w:t>O</w:t>
            </w:r>
          </w:p>
        </w:tc>
        <w:tc>
          <w:tcPr>
            <w:tcW w:w="1057" w:type="dxa"/>
            <w:tcBorders>
              <w:top w:val="single" w:sz="4" w:space="0" w:color="auto"/>
            </w:tcBorders>
            <w:shd w:val="clear" w:color="auto" w:fill="auto"/>
            <w:noWrap/>
            <w:vAlign w:val="center"/>
            <w:hideMark/>
          </w:tcPr>
          <w:p w14:paraId="30740699" w14:textId="77777777" w:rsidR="00840731" w:rsidRPr="00231B15" w:rsidRDefault="00840731" w:rsidP="00840731">
            <w:pPr>
              <w:jc w:val="center"/>
              <w:rPr>
                <w:rFonts w:cs="Times New Roman"/>
                <w:color w:val="000000"/>
              </w:rPr>
            </w:pPr>
            <w:r w:rsidRPr="00231B15">
              <w:rPr>
                <w:rFonts w:cs="Times New Roman"/>
                <w:color w:val="000000"/>
              </w:rPr>
              <w:t>-</w:t>
            </w:r>
          </w:p>
        </w:tc>
        <w:tc>
          <w:tcPr>
            <w:tcW w:w="1056" w:type="dxa"/>
            <w:tcBorders>
              <w:top w:val="single" w:sz="4" w:space="0" w:color="auto"/>
            </w:tcBorders>
            <w:shd w:val="clear" w:color="auto" w:fill="auto"/>
            <w:noWrap/>
            <w:vAlign w:val="center"/>
            <w:hideMark/>
          </w:tcPr>
          <w:p w14:paraId="6E2DEFB9" w14:textId="77777777" w:rsidR="00840731" w:rsidRPr="00231B15" w:rsidRDefault="00840731" w:rsidP="00840731">
            <w:pPr>
              <w:jc w:val="center"/>
              <w:rPr>
                <w:rFonts w:cs="Times New Roman"/>
                <w:color w:val="000000"/>
              </w:rPr>
            </w:pPr>
            <w:r w:rsidRPr="00231B15">
              <w:rPr>
                <w:rFonts w:cs="Times New Roman"/>
                <w:color w:val="000000"/>
              </w:rPr>
              <w:t>-</w:t>
            </w:r>
          </w:p>
        </w:tc>
      </w:tr>
      <w:tr w:rsidR="00840731" w:rsidRPr="00231B15" w14:paraId="633A8A29" w14:textId="77777777" w:rsidTr="00840731">
        <w:trPr>
          <w:trHeight w:val="433"/>
          <w:jc w:val="center"/>
        </w:trPr>
        <w:tc>
          <w:tcPr>
            <w:tcW w:w="3402" w:type="dxa"/>
            <w:gridSpan w:val="2"/>
            <w:shd w:val="clear" w:color="auto" w:fill="auto"/>
            <w:vAlign w:val="center"/>
            <w:hideMark/>
          </w:tcPr>
          <w:p w14:paraId="40C78B21" w14:textId="77777777" w:rsidR="00840731" w:rsidRPr="00231B15" w:rsidRDefault="00840731" w:rsidP="00840731">
            <w:pPr>
              <w:jc w:val="center"/>
              <w:rPr>
                <w:rFonts w:cs="Times New Roman"/>
                <w:color w:val="000000"/>
              </w:rPr>
            </w:pPr>
            <w:r w:rsidRPr="00231B15">
              <w:rPr>
                <w:rFonts w:cs="Times New Roman"/>
                <w:color w:val="000000"/>
              </w:rPr>
              <w:t>Stereochemistry</w:t>
            </w:r>
          </w:p>
        </w:tc>
        <w:tc>
          <w:tcPr>
            <w:tcW w:w="1056" w:type="dxa"/>
            <w:shd w:val="clear" w:color="auto" w:fill="auto"/>
            <w:vAlign w:val="center"/>
            <w:hideMark/>
          </w:tcPr>
          <w:p w14:paraId="4231571E" w14:textId="3EC1A8C5" w:rsidR="00840731" w:rsidRPr="00E26468" w:rsidRDefault="00840731" w:rsidP="00840731">
            <w:pPr>
              <w:jc w:val="center"/>
              <w:rPr>
                <w:rFonts w:cs="Times New Roman"/>
                <w:i/>
                <w:color w:val="000000"/>
              </w:rPr>
            </w:pPr>
            <w:r w:rsidRPr="00E26468">
              <w:rPr>
                <w:rFonts w:cs="Times New Roman"/>
                <w:i/>
                <w:color w:val="000000"/>
              </w:rPr>
              <w:t>S</w:t>
            </w:r>
          </w:p>
        </w:tc>
        <w:tc>
          <w:tcPr>
            <w:tcW w:w="1056" w:type="dxa"/>
            <w:shd w:val="clear" w:color="auto" w:fill="auto"/>
            <w:vAlign w:val="center"/>
            <w:hideMark/>
          </w:tcPr>
          <w:p w14:paraId="79E7E37A" w14:textId="77777777" w:rsidR="00840731" w:rsidRPr="00E26468" w:rsidRDefault="00840731" w:rsidP="00840731">
            <w:pPr>
              <w:jc w:val="center"/>
              <w:rPr>
                <w:rFonts w:cs="Times New Roman"/>
                <w:i/>
                <w:color w:val="000000"/>
              </w:rPr>
            </w:pPr>
            <w:r w:rsidRPr="00E26468">
              <w:rPr>
                <w:rFonts w:cs="Times New Roman"/>
                <w:i/>
                <w:color w:val="000000"/>
              </w:rPr>
              <w:t>S</w:t>
            </w:r>
          </w:p>
        </w:tc>
        <w:tc>
          <w:tcPr>
            <w:tcW w:w="1057" w:type="dxa"/>
            <w:shd w:val="clear" w:color="auto" w:fill="auto"/>
            <w:vAlign w:val="center"/>
            <w:hideMark/>
          </w:tcPr>
          <w:p w14:paraId="500EA765" w14:textId="77777777" w:rsidR="00840731" w:rsidRPr="00231B15" w:rsidRDefault="00840731" w:rsidP="00840731">
            <w:pPr>
              <w:jc w:val="center"/>
              <w:rPr>
                <w:rFonts w:cs="Times New Roman"/>
                <w:color w:val="000000"/>
              </w:rPr>
            </w:pPr>
            <w:r w:rsidRPr="00231B15">
              <w:rPr>
                <w:rFonts w:cs="Times New Roman"/>
                <w:color w:val="000000"/>
              </w:rPr>
              <w:t>-</w:t>
            </w:r>
          </w:p>
        </w:tc>
        <w:tc>
          <w:tcPr>
            <w:tcW w:w="1056" w:type="dxa"/>
            <w:shd w:val="clear" w:color="auto" w:fill="auto"/>
            <w:vAlign w:val="center"/>
            <w:hideMark/>
          </w:tcPr>
          <w:p w14:paraId="5D38B311" w14:textId="77777777" w:rsidR="00840731" w:rsidRPr="00231B15" w:rsidRDefault="00840731" w:rsidP="00840731">
            <w:pPr>
              <w:jc w:val="center"/>
              <w:rPr>
                <w:rFonts w:cs="Times New Roman"/>
                <w:color w:val="000000"/>
              </w:rPr>
            </w:pPr>
            <w:r w:rsidRPr="00231B15">
              <w:rPr>
                <w:rFonts w:cs="Times New Roman"/>
                <w:color w:val="000000"/>
              </w:rPr>
              <w:t>-</w:t>
            </w:r>
          </w:p>
        </w:tc>
      </w:tr>
      <w:tr w:rsidR="00840731" w:rsidRPr="00231B15" w14:paraId="2EB6E9B9" w14:textId="77777777" w:rsidTr="00840731">
        <w:trPr>
          <w:trHeight w:val="433"/>
          <w:jc w:val="center"/>
        </w:trPr>
        <w:tc>
          <w:tcPr>
            <w:tcW w:w="3402" w:type="dxa"/>
            <w:gridSpan w:val="2"/>
            <w:shd w:val="clear" w:color="auto" w:fill="auto"/>
            <w:vAlign w:val="center"/>
            <w:hideMark/>
          </w:tcPr>
          <w:p w14:paraId="57D331D1" w14:textId="77777777" w:rsidR="00840731" w:rsidRPr="00231B15" w:rsidRDefault="00840731" w:rsidP="00840731">
            <w:pPr>
              <w:jc w:val="center"/>
              <w:rPr>
                <w:rFonts w:cs="Times New Roman"/>
                <w:color w:val="000000"/>
                <w:sz w:val="24"/>
                <w:szCs w:val="24"/>
              </w:rPr>
            </w:pPr>
            <w:r w:rsidRPr="00231B15">
              <w:rPr>
                <w:rFonts w:cs="Times New Roman"/>
                <w:color w:val="000000"/>
              </w:rPr>
              <w:t>m.p. (°C)</w:t>
            </w:r>
          </w:p>
        </w:tc>
        <w:tc>
          <w:tcPr>
            <w:tcW w:w="1056" w:type="dxa"/>
            <w:shd w:val="clear" w:color="auto" w:fill="auto"/>
            <w:vAlign w:val="center"/>
          </w:tcPr>
          <w:p w14:paraId="5C2B007B" w14:textId="77777777" w:rsidR="00840731" w:rsidRPr="00231B15" w:rsidRDefault="00840731" w:rsidP="00840731">
            <w:pPr>
              <w:jc w:val="center"/>
              <w:rPr>
                <w:rFonts w:cs="Times New Roman"/>
                <w:color w:val="000000"/>
                <w:sz w:val="24"/>
                <w:szCs w:val="24"/>
              </w:rPr>
            </w:pPr>
            <w:r w:rsidRPr="00231B15">
              <w:rPr>
                <w:rFonts w:cs="Times New Roman"/>
                <w:color w:val="000000"/>
                <w:sz w:val="24"/>
                <w:szCs w:val="24"/>
              </w:rPr>
              <w:t>65-69</w:t>
            </w:r>
          </w:p>
        </w:tc>
        <w:tc>
          <w:tcPr>
            <w:tcW w:w="1056" w:type="dxa"/>
            <w:shd w:val="clear" w:color="auto" w:fill="auto"/>
            <w:vAlign w:val="center"/>
          </w:tcPr>
          <w:p w14:paraId="78BE5B8D" w14:textId="51CF10B7" w:rsidR="00840731" w:rsidRPr="00231B15" w:rsidRDefault="00840731" w:rsidP="00A4720D">
            <w:pPr>
              <w:jc w:val="center"/>
              <w:rPr>
                <w:rFonts w:cs="Times New Roman"/>
                <w:color w:val="000000"/>
                <w:sz w:val="24"/>
                <w:szCs w:val="24"/>
              </w:rPr>
            </w:pPr>
            <w:r w:rsidRPr="00231B15">
              <w:rPr>
                <w:rFonts w:cs="Times New Roman"/>
                <w:color w:val="000000"/>
                <w:sz w:val="24"/>
                <w:szCs w:val="24"/>
              </w:rPr>
              <w:t>56-</w:t>
            </w:r>
            <w:r w:rsidR="00A4720D">
              <w:rPr>
                <w:rFonts w:cs="Times New Roman"/>
                <w:color w:val="000000"/>
                <w:sz w:val="24"/>
                <w:szCs w:val="24"/>
              </w:rPr>
              <w:t>6</w:t>
            </w:r>
            <w:r w:rsidR="00A4720D" w:rsidRPr="00231B15">
              <w:rPr>
                <w:rFonts w:cs="Times New Roman"/>
                <w:color w:val="000000"/>
                <w:sz w:val="24"/>
                <w:szCs w:val="24"/>
              </w:rPr>
              <w:t>2</w:t>
            </w:r>
          </w:p>
        </w:tc>
        <w:tc>
          <w:tcPr>
            <w:tcW w:w="1057" w:type="dxa"/>
            <w:shd w:val="clear" w:color="auto" w:fill="auto"/>
            <w:vAlign w:val="center"/>
          </w:tcPr>
          <w:p w14:paraId="39CB2D81" w14:textId="77777777" w:rsidR="00840731" w:rsidRPr="00231B15" w:rsidRDefault="00840731" w:rsidP="00840731">
            <w:pPr>
              <w:jc w:val="center"/>
              <w:rPr>
                <w:rFonts w:cs="Times New Roman"/>
                <w:color w:val="000000"/>
                <w:sz w:val="24"/>
                <w:szCs w:val="24"/>
              </w:rPr>
            </w:pPr>
            <w:r w:rsidRPr="00231B15">
              <w:rPr>
                <w:rFonts w:cs="Times New Roman"/>
                <w:color w:val="000000"/>
                <w:sz w:val="24"/>
                <w:szCs w:val="24"/>
              </w:rPr>
              <w:t>182-183</w:t>
            </w:r>
          </w:p>
        </w:tc>
        <w:tc>
          <w:tcPr>
            <w:tcW w:w="1056" w:type="dxa"/>
            <w:shd w:val="clear" w:color="auto" w:fill="auto"/>
            <w:vAlign w:val="center"/>
          </w:tcPr>
          <w:p w14:paraId="429D7C50" w14:textId="77777777" w:rsidR="00840731" w:rsidRPr="00231B15" w:rsidRDefault="00840731" w:rsidP="00840731">
            <w:pPr>
              <w:jc w:val="center"/>
              <w:rPr>
                <w:rFonts w:cs="Times New Roman"/>
                <w:color w:val="000000"/>
                <w:sz w:val="24"/>
                <w:szCs w:val="24"/>
              </w:rPr>
            </w:pPr>
            <w:r w:rsidRPr="00231B15">
              <w:rPr>
                <w:rFonts w:cs="Times New Roman"/>
                <w:color w:val="000000"/>
                <w:sz w:val="24"/>
                <w:szCs w:val="24"/>
              </w:rPr>
              <w:t>105-109</w:t>
            </w:r>
          </w:p>
        </w:tc>
      </w:tr>
      <w:tr w:rsidR="00840731" w:rsidRPr="00231B15" w14:paraId="0A6E2EDD" w14:textId="77777777" w:rsidTr="00840731">
        <w:trPr>
          <w:trHeight w:val="433"/>
          <w:jc w:val="center"/>
        </w:trPr>
        <w:tc>
          <w:tcPr>
            <w:tcW w:w="3402" w:type="dxa"/>
            <w:gridSpan w:val="2"/>
            <w:shd w:val="clear" w:color="auto" w:fill="auto"/>
            <w:vAlign w:val="center"/>
            <w:hideMark/>
          </w:tcPr>
          <w:p w14:paraId="3A311DD2" w14:textId="0E576E6D" w:rsidR="00840731" w:rsidRPr="00231B15" w:rsidRDefault="00840731" w:rsidP="00840731">
            <w:pPr>
              <w:jc w:val="center"/>
              <w:rPr>
                <w:rFonts w:cs="Times New Roman"/>
                <w:color w:val="000000"/>
                <w:sz w:val="24"/>
                <w:szCs w:val="24"/>
              </w:rPr>
            </w:pPr>
            <w:r w:rsidRPr="00231B15">
              <w:rPr>
                <w:rFonts w:cs="Times New Roman"/>
                <w:color w:val="000000"/>
              </w:rPr>
              <w:t>pKa</w:t>
            </w:r>
            <w:r w:rsidR="0042003A" w:rsidRPr="00231B15">
              <w:rPr>
                <w:rFonts w:cs="Times New Roman"/>
                <w:color w:val="000000"/>
                <w:vertAlign w:val="superscript"/>
              </w:rPr>
              <w:t>a</w:t>
            </w:r>
          </w:p>
        </w:tc>
        <w:tc>
          <w:tcPr>
            <w:tcW w:w="1056" w:type="dxa"/>
            <w:shd w:val="clear" w:color="auto" w:fill="auto"/>
            <w:vAlign w:val="center"/>
          </w:tcPr>
          <w:p w14:paraId="0951E34D" w14:textId="77777777" w:rsidR="00840731" w:rsidRPr="00231B15" w:rsidRDefault="00840731" w:rsidP="00840731">
            <w:pPr>
              <w:jc w:val="center"/>
              <w:rPr>
                <w:rFonts w:cs="Times New Roman"/>
                <w:color w:val="000000"/>
                <w:sz w:val="24"/>
                <w:szCs w:val="24"/>
              </w:rPr>
            </w:pPr>
            <w:r w:rsidRPr="00231B15">
              <w:rPr>
                <w:rFonts w:cs="Times New Roman"/>
                <w:color w:val="000000"/>
                <w:sz w:val="24"/>
                <w:szCs w:val="24"/>
              </w:rPr>
              <w:t>8.4</w:t>
            </w:r>
          </w:p>
        </w:tc>
        <w:tc>
          <w:tcPr>
            <w:tcW w:w="1056" w:type="dxa"/>
            <w:shd w:val="clear" w:color="auto" w:fill="auto"/>
            <w:vAlign w:val="center"/>
          </w:tcPr>
          <w:p w14:paraId="2589A491" w14:textId="77777777" w:rsidR="00840731" w:rsidRPr="00231B15" w:rsidRDefault="00840731" w:rsidP="00840731">
            <w:pPr>
              <w:jc w:val="center"/>
              <w:rPr>
                <w:rFonts w:cs="Times New Roman"/>
                <w:color w:val="000000"/>
                <w:sz w:val="24"/>
                <w:szCs w:val="24"/>
              </w:rPr>
            </w:pPr>
            <w:r w:rsidRPr="00231B15">
              <w:rPr>
                <w:rFonts w:cs="Times New Roman"/>
                <w:color w:val="000000"/>
                <w:sz w:val="24"/>
                <w:szCs w:val="24"/>
              </w:rPr>
              <w:t>7.09</w:t>
            </w:r>
          </w:p>
        </w:tc>
        <w:tc>
          <w:tcPr>
            <w:tcW w:w="1057" w:type="dxa"/>
            <w:shd w:val="clear" w:color="auto" w:fill="auto"/>
            <w:vAlign w:val="center"/>
          </w:tcPr>
          <w:p w14:paraId="2C7B0CDE" w14:textId="77777777" w:rsidR="00840731" w:rsidRPr="00231B15" w:rsidRDefault="00840731" w:rsidP="00840731">
            <w:pPr>
              <w:jc w:val="center"/>
              <w:rPr>
                <w:rFonts w:cs="Times New Roman"/>
                <w:color w:val="000000"/>
                <w:sz w:val="24"/>
                <w:szCs w:val="24"/>
              </w:rPr>
            </w:pPr>
            <w:r w:rsidRPr="00231B15">
              <w:rPr>
                <w:rFonts w:cs="Times New Roman"/>
                <w:color w:val="000000"/>
                <w:sz w:val="24"/>
                <w:szCs w:val="24"/>
              </w:rPr>
              <w:t>8.43</w:t>
            </w:r>
          </w:p>
        </w:tc>
        <w:tc>
          <w:tcPr>
            <w:tcW w:w="1056" w:type="dxa"/>
            <w:shd w:val="clear" w:color="auto" w:fill="auto"/>
            <w:vAlign w:val="center"/>
          </w:tcPr>
          <w:p w14:paraId="07A9715A" w14:textId="77777777" w:rsidR="00840731" w:rsidRPr="00231B15" w:rsidRDefault="00840731" w:rsidP="00840731">
            <w:pPr>
              <w:jc w:val="center"/>
              <w:rPr>
                <w:rFonts w:cs="Times New Roman"/>
                <w:color w:val="000000"/>
                <w:sz w:val="24"/>
                <w:szCs w:val="24"/>
              </w:rPr>
            </w:pPr>
            <w:r w:rsidRPr="00231B15">
              <w:rPr>
                <w:rFonts w:cs="Times New Roman"/>
                <w:color w:val="000000"/>
                <w:sz w:val="24"/>
                <w:szCs w:val="24"/>
              </w:rPr>
              <w:t>7.09</w:t>
            </w:r>
          </w:p>
        </w:tc>
      </w:tr>
      <w:tr w:rsidR="00840731" w:rsidRPr="00231B15" w14:paraId="5B29C1B3" w14:textId="77777777" w:rsidTr="00840731">
        <w:trPr>
          <w:trHeight w:val="433"/>
          <w:jc w:val="center"/>
        </w:trPr>
        <w:tc>
          <w:tcPr>
            <w:tcW w:w="1701" w:type="dxa"/>
            <w:vMerge w:val="restart"/>
            <w:shd w:val="clear" w:color="auto" w:fill="auto"/>
            <w:vAlign w:val="center"/>
            <w:hideMark/>
          </w:tcPr>
          <w:p w14:paraId="40088B5C" w14:textId="77777777" w:rsidR="00840731" w:rsidRPr="00231B15" w:rsidRDefault="00840731" w:rsidP="00840731">
            <w:pPr>
              <w:jc w:val="center"/>
              <w:rPr>
                <w:rFonts w:cs="Times New Roman"/>
                <w:color w:val="000000"/>
                <w:sz w:val="24"/>
                <w:szCs w:val="24"/>
              </w:rPr>
            </w:pPr>
            <w:r w:rsidRPr="00231B15">
              <w:rPr>
                <w:rFonts w:cs="Times New Roman"/>
                <w:color w:val="000000"/>
              </w:rPr>
              <w:t>Concentration (µg/ml)</w:t>
            </w:r>
          </w:p>
        </w:tc>
        <w:tc>
          <w:tcPr>
            <w:tcW w:w="1701" w:type="dxa"/>
            <w:shd w:val="clear" w:color="auto" w:fill="auto"/>
            <w:noWrap/>
            <w:vAlign w:val="center"/>
            <w:hideMark/>
          </w:tcPr>
          <w:p w14:paraId="22D70F4E" w14:textId="77777777" w:rsidR="00840731" w:rsidRPr="00231B15" w:rsidRDefault="00840731" w:rsidP="00840731">
            <w:pPr>
              <w:jc w:val="center"/>
              <w:rPr>
                <w:rFonts w:cs="Times New Roman"/>
                <w:color w:val="000000"/>
              </w:rPr>
            </w:pPr>
            <w:r w:rsidRPr="00231B15">
              <w:rPr>
                <w:rFonts w:cs="Times New Roman"/>
                <w:color w:val="000000"/>
              </w:rPr>
              <w:t>0.1M HCl</w:t>
            </w:r>
          </w:p>
        </w:tc>
        <w:tc>
          <w:tcPr>
            <w:tcW w:w="1056" w:type="dxa"/>
            <w:shd w:val="clear" w:color="auto" w:fill="auto"/>
            <w:vAlign w:val="center"/>
          </w:tcPr>
          <w:p w14:paraId="2F72F6BC" w14:textId="77777777" w:rsidR="00840731" w:rsidRPr="00231B15" w:rsidRDefault="00840731" w:rsidP="00840731">
            <w:pPr>
              <w:jc w:val="center"/>
              <w:rPr>
                <w:rFonts w:cs="Times New Roman"/>
                <w:color w:val="000000"/>
                <w:sz w:val="24"/>
                <w:szCs w:val="24"/>
              </w:rPr>
            </w:pPr>
            <w:r w:rsidRPr="00231B15">
              <w:rPr>
                <w:rFonts w:cs="Times New Roman"/>
                <w:color w:val="000000"/>
                <w:sz w:val="24"/>
                <w:szCs w:val="24"/>
              </w:rPr>
              <w:t>1271</w:t>
            </w:r>
          </w:p>
        </w:tc>
        <w:tc>
          <w:tcPr>
            <w:tcW w:w="1056" w:type="dxa"/>
            <w:shd w:val="clear" w:color="auto" w:fill="auto"/>
            <w:vAlign w:val="center"/>
          </w:tcPr>
          <w:p w14:paraId="68704424" w14:textId="77777777" w:rsidR="00840731" w:rsidRPr="00231B15" w:rsidRDefault="00840731" w:rsidP="00840731">
            <w:pPr>
              <w:jc w:val="center"/>
              <w:rPr>
                <w:rFonts w:cs="Times New Roman"/>
                <w:color w:val="000000"/>
                <w:sz w:val="24"/>
                <w:szCs w:val="24"/>
              </w:rPr>
            </w:pPr>
            <w:r w:rsidRPr="00231B15">
              <w:rPr>
                <w:rFonts w:cs="Times New Roman"/>
                <w:color w:val="000000"/>
                <w:sz w:val="24"/>
                <w:szCs w:val="24"/>
              </w:rPr>
              <w:t>284</w:t>
            </w:r>
          </w:p>
        </w:tc>
        <w:tc>
          <w:tcPr>
            <w:tcW w:w="1057" w:type="dxa"/>
            <w:shd w:val="clear" w:color="auto" w:fill="auto"/>
            <w:vAlign w:val="center"/>
          </w:tcPr>
          <w:p w14:paraId="35F2FB9C" w14:textId="77777777" w:rsidR="00840731" w:rsidRPr="00231B15" w:rsidRDefault="00840731" w:rsidP="00840731">
            <w:pPr>
              <w:jc w:val="center"/>
              <w:rPr>
                <w:rFonts w:cs="Times New Roman"/>
                <w:color w:val="000000"/>
                <w:sz w:val="24"/>
                <w:szCs w:val="24"/>
              </w:rPr>
            </w:pPr>
            <w:r w:rsidRPr="00231B15">
              <w:rPr>
                <w:rFonts w:cs="Times New Roman"/>
                <w:color w:val="000000"/>
                <w:sz w:val="24"/>
                <w:szCs w:val="24"/>
              </w:rPr>
              <w:t>1789</w:t>
            </w:r>
          </w:p>
        </w:tc>
        <w:tc>
          <w:tcPr>
            <w:tcW w:w="1056" w:type="dxa"/>
            <w:shd w:val="clear" w:color="auto" w:fill="auto"/>
            <w:vAlign w:val="center"/>
          </w:tcPr>
          <w:p w14:paraId="45AB640B" w14:textId="77777777" w:rsidR="00840731" w:rsidRPr="00231B15" w:rsidRDefault="00840731" w:rsidP="00840731">
            <w:pPr>
              <w:jc w:val="center"/>
              <w:rPr>
                <w:rFonts w:cs="Times New Roman"/>
                <w:color w:val="000000"/>
                <w:sz w:val="24"/>
                <w:szCs w:val="24"/>
              </w:rPr>
            </w:pPr>
            <w:r w:rsidRPr="00231B15">
              <w:rPr>
                <w:rFonts w:cs="Times New Roman"/>
                <w:color w:val="000000"/>
                <w:sz w:val="24"/>
                <w:szCs w:val="24"/>
              </w:rPr>
              <w:t>-</w:t>
            </w:r>
          </w:p>
        </w:tc>
      </w:tr>
      <w:tr w:rsidR="00840731" w:rsidRPr="00231B15" w14:paraId="7F8CF7EF" w14:textId="77777777" w:rsidTr="00840731">
        <w:trPr>
          <w:trHeight w:val="433"/>
          <w:jc w:val="center"/>
        </w:trPr>
        <w:tc>
          <w:tcPr>
            <w:tcW w:w="1701" w:type="dxa"/>
            <w:vMerge/>
            <w:vAlign w:val="center"/>
            <w:hideMark/>
          </w:tcPr>
          <w:p w14:paraId="6BF8E9B5" w14:textId="77777777" w:rsidR="00840731" w:rsidRPr="00231B15" w:rsidRDefault="00840731" w:rsidP="00840731">
            <w:pPr>
              <w:rPr>
                <w:rFonts w:cs="Times New Roman"/>
                <w:color w:val="000000"/>
                <w:sz w:val="24"/>
                <w:szCs w:val="24"/>
              </w:rPr>
            </w:pPr>
          </w:p>
        </w:tc>
        <w:tc>
          <w:tcPr>
            <w:tcW w:w="1701" w:type="dxa"/>
            <w:shd w:val="clear" w:color="auto" w:fill="auto"/>
            <w:noWrap/>
            <w:vAlign w:val="center"/>
            <w:hideMark/>
          </w:tcPr>
          <w:p w14:paraId="472AC45B" w14:textId="77777777" w:rsidR="00840731" w:rsidRPr="00231B15" w:rsidRDefault="00840731" w:rsidP="00840731">
            <w:pPr>
              <w:jc w:val="center"/>
              <w:rPr>
                <w:rFonts w:cs="Times New Roman"/>
                <w:color w:val="000000"/>
                <w:sz w:val="24"/>
                <w:szCs w:val="24"/>
              </w:rPr>
            </w:pPr>
            <w:r w:rsidRPr="00231B15">
              <w:rPr>
                <w:rFonts w:cs="Times New Roman"/>
                <w:color w:val="000000"/>
              </w:rPr>
              <w:t>FaSSIF Media</w:t>
            </w:r>
          </w:p>
        </w:tc>
        <w:tc>
          <w:tcPr>
            <w:tcW w:w="1056" w:type="dxa"/>
            <w:shd w:val="clear" w:color="auto" w:fill="auto"/>
            <w:vAlign w:val="center"/>
          </w:tcPr>
          <w:p w14:paraId="4EBBBDC9" w14:textId="77777777" w:rsidR="00840731" w:rsidRPr="00231B15" w:rsidRDefault="00840731" w:rsidP="00840731">
            <w:pPr>
              <w:jc w:val="center"/>
              <w:rPr>
                <w:rFonts w:cs="Times New Roman"/>
                <w:color w:val="000000"/>
                <w:sz w:val="24"/>
                <w:szCs w:val="24"/>
              </w:rPr>
            </w:pPr>
            <w:r w:rsidRPr="00231B15">
              <w:rPr>
                <w:rFonts w:cs="Times New Roman"/>
                <w:color w:val="000000"/>
                <w:sz w:val="24"/>
                <w:szCs w:val="24"/>
              </w:rPr>
              <w:t>413</w:t>
            </w:r>
          </w:p>
        </w:tc>
        <w:tc>
          <w:tcPr>
            <w:tcW w:w="1056" w:type="dxa"/>
            <w:shd w:val="clear" w:color="auto" w:fill="auto"/>
            <w:vAlign w:val="center"/>
          </w:tcPr>
          <w:p w14:paraId="136CA2FC" w14:textId="77777777" w:rsidR="00840731" w:rsidRPr="00231B15" w:rsidRDefault="00840731" w:rsidP="00840731">
            <w:pPr>
              <w:jc w:val="center"/>
              <w:rPr>
                <w:rFonts w:cs="Times New Roman"/>
                <w:color w:val="000000"/>
                <w:sz w:val="24"/>
                <w:szCs w:val="24"/>
              </w:rPr>
            </w:pPr>
            <w:r w:rsidRPr="00231B15">
              <w:rPr>
                <w:rFonts w:cs="Times New Roman"/>
                <w:color w:val="000000"/>
                <w:sz w:val="24"/>
                <w:szCs w:val="24"/>
              </w:rPr>
              <w:t>69</w:t>
            </w:r>
          </w:p>
        </w:tc>
        <w:tc>
          <w:tcPr>
            <w:tcW w:w="1057" w:type="dxa"/>
            <w:shd w:val="clear" w:color="auto" w:fill="auto"/>
            <w:vAlign w:val="center"/>
          </w:tcPr>
          <w:p w14:paraId="49B564A7" w14:textId="77777777" w:rsidR="00840731" w:rsidRPr="00231B15" w:rsidRDefault="00840731" w:rsidP="00840731">
            <w:pPr>
              <w:jc w:val="center"/>
              <w:rPr>
                <w:rFonts w:cs="Times New Roman"/>
                <w:color w:val="000000"/>
                <w:sz w:val="24"/>
                <w:szCs w:val="24"/>
              </w:rPr>
            </w:pPr>
            <w:r w:rsidRPr="00231B15">
              <w:rPr>
                <w:rFonts w:cs="Times New Roman"/>
                <w:color w:val="000000"/>
                <w:sz w:val="24"/>
                <w:szCs w:val="24"/>
              </w:rPr>
              <w:t>215</w:t>
            </w:r>
          </w:p>
        </w:tc>
        <w:tc>
          <w:tcPr>
            <w:tcW w:w="1056" w:type="dxa"/>
            <w:shd w:val="clear" w:color="auto" w:fill="auto"/>
            <w:vAlign w:val="center"/>
          </w:tcPr>
          <w:p w14:paraId="4EE342F8" w14:textId="77777777" w:rsidR="00840731" w:rsidRPr="00231B15" w:rsidRDefault="00840731" w:rsidP="00840731">
            <w:pPr>
              <w:jc w:val="center"/>
              <w:rPr>
                <w:rFonts w:cs="Times New Roman"/>
                <w:color w:val="000000"/>
                <w:sz w:val="24"/>
                <w:szCs w:val="24"/>
              </w:rPr>
            </w:pPr>
            <w:r w:rsidRPr="00231B15">
              <w:rPr>
                <w:rFonts w:cs="Times New Roman"/>
                <w:color w:val="000000"/>
                <w:sz w:val="24"/>
                <w:szCs w:val="24"/>
              </w:rPr>
              <w:t>120</w:t>
            </w:r>
          </w:p>
        </w:tc>
      </w:tr>
      <w:tr w:rsidR="00840731" w:rsidRPr="00231B15" w14:paraId="1B8AA8DE" w14:textId="77777777" w:rsidTr="00840731">
        <w:trPr>
          <w:trHeight w:val="433"/>
          <w:jc w:val="center"/>
        </w:trPr>
        <w:tc>
          <w:tcPr>
            <w:tcW w:w="1701" w:type="dxa"/>
            <w:vMerge w:val="restart"/>
            <w:shd w:val="clear" w:color="auto" w:fill="auto"/>
            <w:vAlign w:val="center"/>
            <w:hideMark/>
          </w:tcPr>
          <w:p w14:paraId="5E1095D7" w14:textId="77777777" w:rsidR="00840731" w:rsidRPr="00231B15" w:rsidRDefault="00840731" w:rsidP="00840731">
            <w:pPr>
              <w:jc w:val="center"/>
              <w:rPr>
                <w:rFonts w:cs="Times New Roman"/>
                <w:color w:val="000000"/>
                <w:sz w:val="24"/>
                <w:szCs w:val="24"/>
              </w:rPr>
            </w:pPr>
            <w:r w:rsidRPr="00231B15">
              <w:rPr>
                <w:rFonts w:cs="Times New Roman"/>
                <w:color w:val="000000"/>
              </w:rPr>
              <w:t>pH at equilibrium</w:t>
            </w:r>
          </w:p>
        </w:tc>
        <w:tc>
          <w:tcPr>
            <w:tcW w:w="1701" w:type="dxa"/>
            <w:shd w:val="clear" w:color="auto" w:fill="auto"/>
            <w:noWrap/>
            <w:vAlign w:val="center"/>
            <w:hideMark/>
          </w:tcPr>
          <w:p w14:paraId="3D51496C" w14:textId="77777777" w:rsidR="00840731" w:rsidRPr="00231B15" w:rsidRDefault="00840731" w:rsidP="00840731">
            <w:pPr>
              <w:jc w:val="center"/>
              <w:rPr>
                <w:rFonts w:cs="Times New Roman"/>
                <w:color w:val="000000"/>
              </w:rPr>
            </w:pPr>
            <w:r w:rsidRPr="00231B15">
              <w:rPr>
                <w:rFonts w:cs="Times New Roman"/>
                <w:color w:val="000000"/>
              </w:rPr>
              <w:t>0.1M HCl</w:t>
            </w:r>
          </w:p>
        </w:tc>
        <w:tc>
          <w:tcPr>
            <w:tcW w:w="1056" w:type="dxa"/>
            <w:shd w:val="clear" w:color="auto" w:fill="auto"/>
            <w:vAlign w:val="center"/>
          </w:tcPr>
          <w:p w14:paraId="727A98C9" w14:textId="77777777" w:rsidR="00840731" w:rsidRPr="00231B15" w:rsidRDefault="00840731" w:rsidP="00840731">
            <w:pPr>
              <w:jc w:val="center"/>
              <w:rPr>
                <w:rFonts w:cs="Times New Roman"/>
                <w:color w:val="000000"/>
                <w:sz w:val="24"/>
                <w:szCs w:val="24"/>
              </w:rPr>
            </w:pPr>
            <w:r w:rsidRPr="00231B15">
              <w:rPr>
                <w:rFonts w:cs="Times New Roman"/>
                <w:color w:val="000000"/>
                <w:sz w:val="24"/>
                <w:szCs w:val="24"/>
              </w:rPr>
              <w:t>1.14</w:t>
            </w:r>
          </w:p>
        </w:tc>
        <w:tc>
          <w:tcPr>
            <w:tcW w:w="1056" w:type="dxa"/>
            <w:shd w:val="clear" w:color="auto" w:fill="auto"/>
            <w:vAlign w:val="center"/>
          </w:tcPr>
          <w:p w14:paraId="64444E14" w14:textId="77777777" w:rsidR="00840731" w:rsidRPr="00231B15" w:rsidRDefault="00840731" w:rsidP="00840731">
            <w:pPr>
              <w:jc w:val="center"/>
              <w:rPr>
                <w:rFonts w:cs="Times New Roman"/>
                <w:color w:val="000000"/>
                <w:sz w:val="24"/>
                <w:szCs w:val="24"/>
              </w:rPr>
            </w:pPr>
            <w:r w:rsidRPr="00231B15">
              <w:rPr>
                <w:rFonts w:cs="Times New Roman"/>
                <w:color w:val="000000"/>
                <w:sz w:val="24"/>
                <w:szCs w:val="24"/>
              </w:rPr>
              <w:t>1.11</w:t>
            </w:r>
          </w:p>
        </w:tc>
        <w:tc>
          <w:tcPr>
            <w:tcW w:w="1057" w:type="dxa"/>
            <w:shd w:val="clear" w:color="auto" w:fill="auto"/>
            <w:vAlign w:val="center"/>
          </w:tcPr>
          <w:p w14:paraId="2B74473C" w14:textId="77777777" w:rsidR="00840731" w:rsidRPr="00231B15" w:rsidRDefault="00840731" w:rsidP="00840731">
            <w:pPr>
              <w:jc w:val="center"/>
              <w:rPr>
                <w:rFonts w:cs="Times New Roman"/>
                <w:color w:val="000000"/>
                <w:sz w:val="24"/>
                <w:szCs w:val="24"/>
              </w:rPr>
            </w:pPr>
            <w:r w:rsidRPr="00231B15">
              <w:rPr>
                <w:rFonts w:cs="Times New Roman"/>
                <w:color w:val="000000"/>
                <w:sz w:val="24"/>
                <w:szCs w:val="24"/>
              </w:rPr>
              <w:t>1.13</w:t>
            </w:r>
          </w:p>
        </w:tc>
        <w:tc>
          <w:tcPr>
            <w:tcW w:w="1056" w:type="dxa"/>
            <w:shd w:val="clear" w:color="auto" w:fill="auto"/>
            <w:vAlign w:val="center"/>
          </w:tcPr>
          <w:p w14:paraId="26DD86D7" w14:textId="77777777" w:rsidR="00840731" w:rsidRPr="00231B15" w:rsidRDefault="00840731" w:rsidP="00840731">
            <w:pPr>
              <w:jc w:val="center"/>
              <w:rPr>
                <w:rFonts w:cs="Times New Roman"/>
                <w:color w:val="000000"/>
                <w:sz w:val="24"/>
                <w:szCs w:val="24"/>
              </w:rPr>
            </w:pPr>
            <w:r w:rsidRPr="00231B15">
              <w:rPr>
                <w:rFonts w:cs="Times New Roman"/>
                <w:color w:val="000000"/>
                <w:sz w:val="24"/>
                <w:szCs w:val="24"/>
              </w:rPr>
              <w:t>-</w:t>
            </w:r>
          </w:p>
        </w:tc>
      </w:tr>
      <w:tr w:rsidR="00840731" w:rsidRPr="00231B15" w14:paraId="59B18DF1" w14:textId="77777777" w:rsidTr="00840731">
        <w:trPr>
          <w:trHeight w:val="433"/>
          <w:jc w:val="center"/>
        </w:trPr>
        <w:tc>
          <w:tcPr>
            <w:tcW w:w="1701" w:type="dxa"/>
            <w:vMerge/>
            <w:tcBorders>
              <w:bottom w:val="single" w:sz="4" w:space="0" w:color="auto"/>
            </w:tcBorders>
            <w:vAlign w:val="center"/>
            <w:hideMark/>
          </w:tcPr>
          <w:p w14:paraId="317D206B" w14:textId="77777777" w:rsidR="00840731" w:rsidRPr="00231B15" w:rsidRDefault="00840731" w:rsidP="00840731">
            <w:pPr>
              <w:rPr>
                <w:rFonts w:cs="Times New Roman"/>
                <w:color w:val="000000"/>
                <w:sz w:val="24"/>
                <w:szCs w:val="24"/>
              </w:rPr>
            </w:pPr>
          </w:p>
        </w:tc>
        <w:tc>
          <w:tcPr>
            <w:tcW w:w="1701" w:type="dxa"/>
            <w:tcBorders>
              <w:bottom w:val="single" w:sz="4" w:space="0" w:color="auto"/>
            </w:tcBorders>
            <w:shd w:val="clear" w:color="auto" w:fill="auto"/>
            <w:noWrap/>
            <w:vAlign w:val="center"/>
            <w:hideMark/>
          </w:tcPr>
          <w:p w14:paraId="2851858F" w14:textId="77777777" w:rsidR="00840731" w:rsidRPr="00231B15" w:rsidRDefault="00840731" w:rsidP="00840731">
            <w:pPr>
              <w:jc w:val="center"/>
              <w:rPr>
                <w:rFonts w:cs="Times New Roman"/>
                <w:color w:val="000000"/>
                <w:sz w:val="24"/>
                <w:szCs w:val="24"/>
              </w:rPr>
            </w:pPr>
            <w:r w:rsidRPr="00231B15">
              <w:rPr>
                <w:rFonts w:cs="Times New Roman"/>
                <w:color w:val="000000"/>
              </w:rPr>
              <w:t>FaSSIF Media</w:t>
            </w:r>
          </w:p>
        </w:tc>
        <w:tc>
          <w:tcPr>
            <w:tcW w:w="1056" w:type="dxa"/>
            <w:tcBorders>
              <w:bottom w:val="single" w:sz="4" w:space="0" w:color="auto"/>
            </w:tcBorders>
            <w:shd w:val="clear" w:color="auto" w:fill="auto"/>
            <w:vAlign w:val="center"/>
          </w:tcPr>
          <w:p w14:paraId="5A7D8CE0" w14:textId="77777777" w:rsidR="00840731" w:rsidRPr="00231B15" w:rsidRDefault="00840731" w:rsidP="00840731">
            <w:pPr>
              <w:jc w:val="center"/>
              <w:rPr>
                <w:rFonts w:cs="Times New Roman"/>
                <w:color w:val="000000"/>
                <w:sz w:val="24"/>
                <w:szCs w:val="24"/>
              </w:rPr>
            </w:pPr>
            <w:r w:rsidRPr="00231B15">
              <w:rPr>
                <w:rFonts w:cs="Times New Roman"/>
                <w:color w:val="000000"/>
                <w:sz w:val="24"/>
                <w:szCs w:val="24"/>
              </w:rPr>
              <w:t>6.43</w:t>
            </w:r>
          </w:p>
        </w:tc>
        <w:tc>
          <w:tcPr>
            <w:tcW w:w="1056" w:type="dxa"/>
            <w:tcBorders>
              <w:bottom w:val="single" w:sz="4" w:space="0" w:color="auto"/>
            </w:tcBorders>
            <w:shd w:val="clear" w:color="auto" w:fill="auto"/>
            <w:vAlign w:val="center"/>
          </w:tcPr>
          <w:p w14:paraId="1D92439F" w14:textId="77777777" w:rsidR="00840731" w:rsidRPr="00231B15" w:rsidRDefault="00840731" w:rsidP="00840731">
            <w:pPr>
              <w:jc w:val="center"/>
              <w:rPr>
                <w:rFonts w:cs="Times New Roman"/>
                <w:color w:val="000000"/>
                <w:sz w:val="24"/>
                <w:szCs w:val="24"/>
              </w:rPr>
            </w:pPr>
            <w:r w:rsidRPr="00231B15">
              <w:rPr>
                <w:rFonts w:cs="Times New Roman"/>
                <w:color w:val="000000"/>
                <w:sz w:val="24"/>
                <w:szCs w:val="24"/>
              </w:rPr>
              <w:t>6.42</w:t>
            </w:r>
          </w:p>
        </w:tc>
        <w:tc>
          <w:tcPr>
            <w:tcW w:w="1057" w:type="dxa"/>
            <w:tcBorders>
              <w:bottom w:val="single" w:sz="4" w:space="0" w:color="auto"/>
            </w:tcBorders>
            <w:shd w:val="clear" w:color="auto" w:fill="auto"/>
            <w:vAlign w:val="center"/>
          </w:tcPr>
          <w:p w14:paraId="0F38E0DD" w14:textId="77777777" w:rsidR="00840731" w:rsidRPr="00231B15" w:rsidRDefault="00840731" w:rsidP="00840731">
            <w:pPr>
              <w:jc w:val="center"/>
              <w:rPr>
                <w:rFonts w:cs="Times New Roman"/>
                <w:color w:val="000000"/>
                <w:sz w:val="24"/>
                <w:szCs w:val="24"/>
              </w:rPr>
            </w:pPr>
            <w:r w:rsidRPr="00231B15">
              <w:rPr>
                <w:rFonts w:cs="Times New Roman"/>
                <w:color w:val="000000"/>
                <w:sz w:val="24"/>
                <w:szCs w:val="24"/>
              </w:rPr>
              <w:t>6.42</w:t>
            </w:r>
          </w:p>
        </w:tc>
        <w:tc>
          <w:tcPr>
            <w:tcW w:w="1056" w:type="dxa"/>
            <w:tcBorders>
              <w:bottom w:val="single" w:sz="4" w:space="0" w:color="auto"/>
            </w:tcBorders>
            <w:shd w:val="clear" w:color="auto" w:fill="auto"/>
            <w:vAlign w:val="center"/>
          </w:tcPr>
          <w:p w14:paraId="1417374F" w14:textId="77777777" w:rsidR="00840731" w:rsidRPr="00231B15" w:rsidRDefault="00840731" w:rsidP="00840731">
            <w:pPr>
              <w:jc w:val="center"/>
              <w:rPr>
                <w:rFonts w:cs="Times New Roman"/>
                <w:color w:val="000000"/>
                <w:sz w:val="24"/>
                <w:szCs w:val="24"/>
              </w:rPr>
            </w:pPr>
            <w:r w:rsidRPr="00231B15">
              <w:rPr>
                <w:rFonts w:cs="Times New Roman"/>
                <w:color w:val="000000"/>
                <w:sz w:val="24"/>
                <w:szCs w:val="24"/>
              </w:rPr>
              <w:t>6.6</w:t>
            </w:r>
          </w:p>
        </w:tc>
      </w:tr>
    </w:tbl>
    <w:p w14:paraId="0B9F31E4" w14:textId="4A071EEB" w:rsidR="00840731" w:rsidRPr="00231B15" w:rsidRDefault="00840731" w:rsidP="00840731">
      <w:pPr>
        <w:pStyle w:val="Caption"/>
        <w:rPr>
          <w:rFonts w:cs="Times New Roman"/>
        </w:rPr>
      </w:pPr>
      <w:r w:rsidRPr="00231B15">
        <w:rPr>
          <w:rFonts w:cs="Times New Roman"/>
        </w:rPr>
        <w:t xml:space="preserve">Table </w:t>
      </w:r>
      <w:r w:rsidR="0042003A" w:rsidRPr="00231B15">
        <w:rPr>
          <w:rFonts w:cs="Times New Roman"/>
        </w:rPr>
        <w:t>4</w:t>
      </w:r>
      <w:r w:rsidRPr="00231B15">
        <w:rPr>
          <w:rFonts w:cs="Times New Roman"/>
        </w:rPr>
        <w:t>: Summary of solubility measurements for non-linear tetraoxane containing antimalarials based on the E209 scaffold and reference compounds.</w:t>
      </w:r>
      <w:r w:rsidRPr="00231B15">
        <w:rPr>
          <w:rFonts w:cs="Times New Roman"/>
          <w:vertAlign w:val="superscript"/>
        </w:rPr>
        <w:t xml:space="preserve"> a</w:t>
      </w:r>
      <w:r w:rsidRPr="00231B15">
        <w:rPr>
          <w:rFonts w:cs="Times New Roman"/>
        </w:rPr>
        <w:t xml:space="preserve"> Calculated using ChemDraw professional 19.1.1.21 N.B. basicity of pKa values is likely overpredicted using in silico methods</w:t>
      </w:r>
    </w:p>
    <w:p w14:paraId="709DB194" w14:textId="0FC11786" w:rsidR="00840731" w:rsidRPr="00231B15" w:rsidRDefault="00A218A1" w:rsidP="00840731">
      <w:pPr>
        <w:rPr>
          <w:rFonts w:cs="Times New Roman"/>
        </w:rPr>
      </w:pPr>
      <w:r w:rsidRPr="00231B15">
        <w:rPr>
          <w:rFonts w:cs="Times New Roman"/>
          <w:lang w:eastAsia="zh-CN"/>
        </w:rPr>
        <w:t>Although</w:t>
      </w:r>
      <w:r w:rsidRPr="00231B15">
        <w:rPr>
          <w:rFonts w:cs="Times New Roman"/>
        </w:rPr>
        <w:t xml:space="preserve"> </w:t>
      </w:r>
      <w:r w:rsidRPr="00231B15">
        <w:rPr>
          <w:rFonts w:cs="Times New Roman"/>
          <w:lang w:eastAsia="zh-CN"/>
        </w:rPr>
        <w:t xml:space="preserve">initially </w:t>
      </w:r>
      <w:r w:rsidRPr="00231B15">
        <w:rPr>
          <w:rFonts w:cs="Times New Roman"/>
        </w:rPr>
        <w:t xml:space="preserve">all analogues were seen to possess poor aqueous solubility </w:t>
      </w:r>
      <w:r w:rsidRPr="00231B15">
        <w:rPr>
          <w:rFonts w:cs="Times New Roman"/>
          <w:lang w:eastAsia="zh-CN"/>
        </w:rPr>
        <w:t xml:space="preserve">in PBS buffer </w:t>
      </w:r>
      <w:r w:rsidRPr="00231B15">
        <w:rPr>
          <w:rFonts w:cs="Times New Roman"/>
        </w:rPr>
        <w:t>at pH 7.4 with no improvement over second generation tetraoxane antimalarials</w:t>
      </w:r>
      <w:r w:rsidRPr="00231B15">
        <w:rPr>
          <w:rFonts w:cs="Times New Roman"/>
          <w:lang w:eastAsia="zh-CN"/>
        </w:rPr>
        <w:t xml:space="preserve">, when selected </w:t>
      </w:r>
      <w:r w:rsidR="00840731" w:rsidRPr="00231B15">
        <w:rPr>
          <w:rFonts w:cs="Times New Roman"/>
        </w:rPr>
        <w:t>compounds were screened for solubility in 0.1M HCl and FaSSIF media the effects of non-linearity on solubility in model physiological fluids</w:t>
      </w:r>
      <w:r w:rsidRPr="00231B15">
        <w:rPr>
          <w:rFonts w:cs="Times New Roman"/>
          <w:lang w:eastAsia="zh-CN"/>
        </w:rPr>
        <w:t xml:space="preserve"> were clearly demonstrated</w:t>
      </w:r>
      <w:r w:rsidR="00840731" w:rsidRPr="00231B15">
        <w:rPr>
          <w:rFonts w:cs="Times New Roman"/>
        </w:rPr>
        <w:t xml:space="preserve">. Table </w:t>
      </w:r>
      <w:r w:rsidR="005A5AB2" w:rsidRPr="00231B15">
        <w:rPr>
          <w:rFonts w:cs="Times New Roman"/>
        </w:rPr>
        <w:t>4</w:t>
      </w:r>
      <w:r w:rsidR="00840731" w:rsidRPr="00231B15">
        <w:rPr>
          <w:rFonts w:cs="Times New Roman"/>
        </w:rPr>
        <w:t xml:space="preserve"> summarises the obtained solubility data for compounds </w:t>
      </w:r>
      <w:r w:rsidR="00B63E96" w:rsidRPr="00231B15">
        <w:rPr>
          <w:rFonts w:cs="Times New Roman"/>
          <w:b/>
        </w:rPr>
        <w:t xml:space="preserve">9b </w:t>
      </w:r>
      <w:r w:rsidR="00840731" w:rsidRPr="00231B15">
        <w:rPr>
          <w:rFonts w:cs="Times New Roman"/>
        </w:rPr>
        <w:t xml:space="preserve">and </w:t>
      </w:r>
      <w:r w:rsidR="00B63E96" w:rsidRPr="00231B15">
        <w:rPr>
          <w:rFonts w:cs="Times New Roman"/>
          <w:b/>
        </w:rPr>
        <w:t xml:space="preserve">10b </w:t>
      </w:r>
      <w:r w:rsidR="00840731" w:rsidRPr="00231B15">
        <w:rPr>
          <w:rFonts w:cs="Times New Roman"/>
        </w:rPr>
        <w:t xml:space="preserve">as well as the reference compounds </w:t>
      </w:r>
      <w:r w:rsidR="00840731" w:rsidRPr="00231B15">
        <w:rPr>
          <w:rFonts w:cs="Times New Roman"/>
          <w:b/>
        </w:rPr>
        <w:t xml:space="preserve">E209 </w:t>
      </w:r>
      <w:r w:rsidR="00840731" w:rsidRPr="00231B15">
        <w:rPr>
          <w:rFonts w:cs="Times New Roman"/>
        </w:rPr>
        <w:t xml:space="preserve">and </w:t>
      </w:r>
      <w:r w:rsidR="00840731" w:rsidRPr="00231B15">
        <w:rPr>
          <w:rFonts w:cs="Times New Roman"/>
          <w:b/>
        </w:rPr>
        <w:t>OZ439</w:t>
      </w:r>
      <w:r w:rsidR="00840731" w:rsidRPr="00231B15">
        <w:rPr>
          <w:rFonts w:cs="Times New Roman"/>
        </w:rPr>
        <w:t xml:space="preserve">. As mentioned, while E209 displayed good solubility at lower pH values, solubility in FaSSIF media was </w:t>
      </w:r>
      <w:r w:rsidR="000C0CB1" w:rsidRPr="00231B15">
        <w:rPr>
          <w:rFonts w:cs="Times New Roman"/>
          <w:lang w:eastAsia="zh-CN"/>
        </w:rPr>
        <w:t>limited</w:t>
      </w:r>
      <w:r w:rsidR="000C0CB1" w:rsidRPr="00231B15">
        <w:rPr>
          <w:rFonts w:cs="Times New Roman"/>
        </w:rPr>
        <w:t xml:space="preserve"> </w:t>
      </w:r>
      <w:r w:rsidR="00840731" w:rsidRPr="00231B15">
        <w:rPr>
          <w:rFonts w:cs="Times New Roman"/>
        </w:rPr>
        <w:t xml:space="preserve">indicating </w:t>
      </w:r>
      <w:r w:rsidR="005A5AB2" w:rsidRPr="00231B15">
        <w:rPr>
          <w:rFonts w:cs="Times New Roman"/>
        </w:rPr>
        <w:t xml:space="preserve">potential </w:t>
      </w:r>
      <w:r w:rsidR="00840731" w:rsidRPr="00231B15">
        <w:rPr>
          <w:rFonts w:cs="Times New Roman"/>
        </w:rPr>
        <w:t>poor absorption in the fasted state.</w:t>
      </w:r>
      <w:r w:rsidR="008965C5">
        <w:rPr>
          <w:rFonts w:cs="Times New Roman"/>
        </w:rPr>
        <w:t xml:space="preserve"> </w:t>
      </w:r>
      <w:r w:rsidR="00B63E96" w:rsidRPr="00231B15">
        <w:rPr>
          <w:rFonts w:cs="Times New Roman"/>
          <w:b/>
        </w:rPr>
        <w:t xml:space="preserve">9b </w:t>
      </w:r>
      <w:r w:rsidR="00840731" w:rsidRPr="00231B15">
        <w:rPr>
          <w:rFonts w:cs="Times New Roman"/>
        </w:rPr>
        <w:t xml:space="preserve">similarly displayed good solubility in 0.1M HCl but also displayed improved solubility in FaSSIF media </w:t>
      </w:r>
      <w:r w:rsidR="0042003A" w:rsidRPr="00231B15">
        <w:rPr>
          <w:rFonts w:cs="Times New Roman"/>
        </w:rPr>
        <w:t xml:space="preserve">showing a 2-fold increase compared to </w:t>
      </w:r>
      <w:r w:rsidR="0042003A" w:rsidRPr="00231B15">
        <w:rPr>
          <w:rFonts w:cs="Times New Roman"/>
          <w:b/>
        </w:rPr>
        <w:t xml:space="preserve">E209 </w:t>
      </w:r>
      <w:r w:rsidR="0042003A" w:rsidRPr="00231B15">
        <w:rPr>
          <w:rFonts w:cs="Times New Roman"/>
        </w:rPr>
        <w:t xml:space="preserve">as well as a 3.5-fold increase compared to </w:t>
      </w:r>
      <w:r w:rsidR="0042003A" w:rsidRPr="00231B15">
        <w:rPr>
          <w:rFonts w:cs="Times New Roman"/>
          <w:b/>
        </w:rPr>
        <w:t>OZ439</w:t>
      </w:r>
      <w:r w:rsidR="0042003A" w:rsidRPr="00231B15">
        <w:rPr>
          <w:rFonts w:cs="Times New Roman"/>
        </w:rPr>
        <w:t xml:space="preserve">. Disappointingly, </w:t>
      </w:r>
      <w:r w:rsidR="00B63E96" w:rsidRPr="00231B15">
        <w:rPr>
          <w:rFonts w:cs="Times New Roman"/>
          <w:b/>
        </w:rPr>
        <w:t xml:space="preserve">10b </w:t>
      </w:r>
      <w:r w:rsidR="0042003A" w:rsidRPr="00231B15">
        <w:rPr>
          <w:rFonts w:cs="Times New Roman"/>
        </w:rPr>
        <w:t>displayed poorer solubility in both 0.1M HCl and FaSSIF media. While we expected the solubility of both analogues to increase with the introduction of asymmetry, we hypothesise that the varied effect could be rationalised by the flexibility of the ethylene linker which through its flexibility could make any structural changes to the core of the molecule less significant to its crystal packing.</w:t>
      </w:r>
    </w:p>
    <w:p w14:paraId="7549BB69" w14:textId="77777777" w:rsidR="00840731" w:rsidRPr="00231B15" w:rsidRDefault="00840731" w:rsidP="00840731">
      <w:pPr>
        <w:spacing w:line="259" w:lineRule="auto"/>
        <w:jc w:val="center"/>
        <w:rPr>
          <w:rFonts w:cs="Times New Roman"/>
        </w:rPr>
      </w:pPr>
    </w:p>
    <w:p w14:paraId="28A7A534" w14:textId="77777777" w:rsidR="00840731" w:rsidRPr="00231B15" w:rsidRDefault="00840731" w:rsidP="00840731">
      <w:pPr>
        <w:rPr>
          <w:rFonts w:cs="Times New Roman"/>
        </w:rPr>
      </w:pPr>
    </w:p>
    <w:p w14:paraId="427991AF" w14:textId="73150C62" w:rsidR="00840731" w:rsidRPr="00231B15" w:rsidRDefault="00FD628A" w:rsidP="00840731">
      <w:pPr>
        <w:jc w:val="center"/>
        <w:rPr>
          <w:rFonts w:cs="Times New Roman"/>
        </w:rPr>
      </w:pPr>
      <w:r w:rsidRPr="0073657C">
        <w:rPr>
          <w:rFonts w:cs="Times New Roman"/>
          <w:noProof/>
        </w:rPr>
        <w:object w:dxaOrig="8034" w:dyaOrig="2186" w14:anchorId="3EFE2D0A">
          <v:shape id="_x0000_i1035" type="#_x0000_t75" alt="" style="width:341.6pt;height:93.75pt;mso-width-percent:0;mso-height-percent:0;mso-width-percent:0;mso-height-percent:0" o:ole="">
            <v:imagedata r:id="rId30" o:title=""/>
          </v:shape>
          <o:OLEObject Type="Embed" ProgID="ChemDraw.Document.6.0" ShapeID="_x0000_i1035" DrawAspect="Content" ObjectID="_1684854718" r:id="rId31"/>
        </w:object>
      </w:r>
    </w:p>
    <w:tbl>
      <w:tblPr>
        <w:tblW w:w="9740" w:type="dxa"/>
        <w:jc w:val="center"/>
        <w:tblLayout w:type="fixed"/>
        <w:tblLook w:val="04A0" w:firstRow="1" w:lastRow="0" w:firstColumn="1" w:lastColumn="0" w:noHBand="0" w:noVBand="1"/>
      </w:tblPr>
      <w:tblGrid>
        <w:gridCol w:w="1701"/>
        <w:gridCol w:w="1701"/>
        <w:gridCol w:w="1056"/>
        <w:gridCol w:w="1056"/>
        <w:gridCol w:w="1057"/>
        <w:gridCol w:w="1056"/>
        <w:gridCol w:w="1056"/>
        <w:gridCol w:w="1057"/>
      </w:tblGrid>
      <w:tr w:rsidR="00840731" w:rsidRPr="00231B15" w14:paraId="62423DF2" w14:textId="77777777" w:rsidTr="00840731">
        <w:trPr>
          <w:trHeight w:val="433"/>
          <w:jc w:val="center"/>
        </w:trPr>
        <w:tc>
          <w:tcPr>
            <w:tcW w:w="3402" w:type="dxa"/>
            <w:gridSpan w:val="2"/>
            <w:tcBorders>
              <w:top w:val="single" w:sz="4" w:space="0" w:color="auto"/>
              <w:bottom w:val="single" w:sz="4" w:space="0" w:color="auto"/>
            </w:tcBorders>
            <w:shd w:val="clear" w:color="auto" w:fill="auto"/>
            <w:vAlign w:val="center"/>
            <w:hideMark/>
          </w:tcPr>
          <w:p w14:paraId="4CD6BF97" w14:textId="77777777" w:rsidR="00840731" w:rsidRPr="00231B15" w:rsidRDefault="00840731" w:rsidP="00840731">
            <w:pPr>
              <w:jc w:val="center"/>
              <w:rPr>
                <w:rFonts w:cs="Times New Roman"/>
                <w:color w:val="000000"/>
                <w:sz w:val="24"/>
                <w:szCs w:val="24"/>
              </w:rPr>
            </w:pPr>
            <w:r w:rsidRPr="00231B15">
              <w:rPr>
                <w:rFonts w:cs="Times New Roman"/>
                <w:color w:val="000000"/>
              </w:rPr>
              <w:t>Compound</w:t>
            </w:r>
          </w:p>
        </w:tc>
        <w:tc>
          <w:tcPr>
            <w:tcW w:w="1056" w:type="dxa"/>
            <w:tcBorders>
              <w:top w:val="single" w:sz="4" w:space="0" w:color="auto"/>
              <w:bottom w:val="single" w:sz="4" w:space="0" w:color="auto"/>
            </w:tcBorders>
            <w:shd w:val="clear" w:color="auto" w:fill="auto"/>
            <w:noWrap/>
            <w:vAlign w:val="center"/>
            <w:hideMark/>
          </w:tcPr>
          <w:p w14:paraId="6580D59A" w14:textId="4348194A" w:rsidR="00840731" w:rsidRPr="00231B15" w:rsidRDefault="00B63E96" w:rsidP="00840731">
            <w:pPr>
              <w:jc w:val="center"/>
              <w:rPr>
                <w:rFonts w:cs="Times New Roman"/>
                <w:b/>
                <w:bCs/>
                <w:color w:val="000000"/>
              </w:rPr>
            </w:pPr>
            <w:r w:rsidRPr="00231B15">
              <w:rPr>
                <w:rFonts w:cs="Times New Roman"/>
                <w:b/>
                <w:bCs/>
                <w:color w:val="000000"/>
              </w:rPr>
              <w:t>14a</w:t>
            </w:r>
          </w:p>
        </w:tc>
        <w:tc>
          <w:tcPr>
            <w:tcW w:w="1056" w:type="dxa"/>
            <w:tcBorders>
              <w:top w:val="single" w:sz="4" w:space="0" w:color="auto"/>
              <w:bottom w:val="single" w:sz="4" w:space="0" w:color="auto"/>
            </w:tcBorders>
            <w:shd w:val="clear" w:color="auto" w:fill="auto"/>
            <w:noWrap/>
            <w:vAlign w:val="center"/>
            <w:hideMark/>
          </w:tcPr>
          <w:p w14:paraId="1A8F554E" w14:textId="3FFEFD41" w:rsidR="00840731" w:rsidRPr="00231B15" w:rsidRDefault="00B63E96" w:rsidP="00840731">
            <w:pPr>
              <w:jc w:val="center"/>
              <w:rPr>
                <w:rFonts w:cs="Times New Roman"/>
                <w:b/>
                <w:bCs/>
                <w:color w:val="000000"/>
              </w:rPr>
            </w:pPr>
            <w:r w:rsidRPr="00231B15">
              <w:rPr>
                <w:rFonts w:cs="Times New Roman"/>
                <w:b/>
                <w:bCs/>
                <w:color w:val="000000"/>
              </w:rPr>
              <w:t>14b</w:t>
            </w:r>
          </w:p>
        </w:tc>
        <w:tc>
          <w:tcPr>
            <w:tcW w:w="1057" w:type="dxa"/>
            <w:tcBorders>
              <w:top w:val="single" w:sz="4" w:space="0" w:color="auto"/>
              <w:bottom w:val="single" w:sz="4" w:space="0" w:color="auto"/>
            </w:tcBorders>
            <w:shd w:val="clear" w:color="auto" w:fill="auto"/>
            <w:noWrap/>
            <w:vAlign w:val="center"/>
            <w:hideMark/>
          </w:tcPr>
          <w:p w14:paraId="07C85B72" w14:textId="37969F7D" w:rsidR="00840731" w:rsidRPr="00231B15" w:rsidRDefault="00840731" w:rsidP="00840731">
            <w:pPr>
              <w:jc w:val="center"/>
              <w:rPr>
                <w:rFonts w:cs="Times New Roman"/>
                <w:b/>
                <w:bCs/>
                <w:color w:val="000000"/>
              </w:rPr>
            </w:pPr>
            <w:r w:rsidRPr="00231B15">
              <w:rPr>
                <w:rFonts w:cs="Times New Roman"/>
                <w:b/>
                <w:bCs/>
                <w:color w:val="000000"/>
              </w:rPr>
              <w:t>N205</w:t>
            </w:r>
            <w:r w:rsidR="0042003A" w:rsidRPr="00231B15">
              <w:rPr>
                <w:rFonts w:cs="Times New Roman"/>
                <w:b/>
                <w:bCs/>
                <w:color w:val="000000"/>
                <w:vertAlign w:val="superscript"/>
              </w:rPr>
              <w:t>a</w:t>
            </w:r>
          </w:p>
        </w:tc>
        <w:tc>
          <w:tcPr>
            <w:tcW w:w="1056" w:type="dxa"/>
            <w:tcBorders>
              <w:top w:val="single" w:sz="4" w:space="0" w:color="auto"/>
              <w:bottom w:val="single" w:sz="4" w:space="0" w:color="auto"/>
            </w:tcBorders>
            <w:shd w:val="clear" w:color="auto" w:fill="auto"/>
            <w:noWrap/>
            <w:vAlign w:val="center"/>
            <w:hideMark/>
          </w:tcPr>
          <w:p w14:paraId="2C68CA2E" w14:textId="34468A7E" w:rsidR="00840731" w:rsidRPr="00231B15" w:rsidRDefault="00B63E96" w:rsidP="00840731">
            <w:pPr>
              <w:jc w:val="center"/>
              <w:rPr>
                <w:rFonts w:cs="Times New Roman"/>
                <w:b/>
                <w:bCs/>
                <w:color w:val="000000"/>
              </w:rPr>
            </w:pPr>
            <w:r w:rsidRPr="00231B15">
              <w:rPr>
                <w:rFonts w:cs="Times New Roman"/>
                <w:b/>
                <w:bCs/>
                <w:color w:val="000000"/>
              </w:rPr>
              <w:t>15a</w:t>
            </w:r>
          </w:p>
        </w:tc>
        <w:tc>
          <w:tcPr>
            <w:tcW w:w="1056" w:type="dxa"/>
            <w:tcBorders>
              <w:top w:val="single" w:sz="4" w:space="0" w:color="auto"/>
              <w:bottom w:val="single" w:sz="4" w:space="0" w:color="auto"/>
            </w:tcBorders>
            <w:shd w:val="clear" w:color="auto" w:fill="auto"/>
            <w:noWrap/>
            <w:vAlign w:val="center"/>
            <w:hideMark/>
          </w:tcPr>
          <w:p w14:paraId="4B210F2B" w14:textId="113BE27C" w:rsidR="00840731" w:rsidRPr="00231B15" w:rsidRDefault="00B63E96" w:rsidP="00840731">
            <w:pPr>
              <w:jc w:val="center"/>
              <w:rPr>
                <w:rFonts w:cs="Times New Roman"/>
                <w:b/>
                <w:bCs/>
                <w:color w:val="000000"/>
              </w:rPr>
            </w:pPr>
            <w:r w:rsidRPr="00231B15">
              <w:rPr>
                <w:rFonts w:cs="Times New Roman"/>
                <w:b/>
                <w:bCs/>
                <w:color w:val="000000"/>
              </w:rPr>
              <w:t>15b</w:t>
            </w:r>
          </w:p>
        </w:tc>
        <w:tc>
          <w:tcPr>
            <w:tcW w:w="1057" w:type="dxa"/>
            <w:tcBorders>
              <w:top w:val="single" w:sz="4" w:space="0" w:color="auto"/>
              <w:bottom w:val="single" w:sz="4" w:space="0" w:color="auto"/>
            </w:tcBorders>
            <w:shd w:val="clear" w:color="auto" w:fill="auto"/>
            <w:noWrap/>
            <w:vAlign w:val="center"/>
            <w:hideMark/>
          </w:tcPr>
          <w:p w14:paraId="4E4FB0E6" w14:textId="109B86ED" w:rsidR="00840731" w:rsidRPr="00231B15" w:rsidRDefault="00840731" w:rsidP="00840731">
            <w:pPr>
              <w:jc w:val="center"/>
              <w:rPr>
                <w:rFonts w:cs="Times New Roman"/>
                <w:b/>
                <w:bCs/>
                <w:color w:val="000000"/>
              </w:rPr>
            </w:pPr>
            <w:r w:rsidRPr="00231B15">
              <w:rPr>
                <w:rFonts w:cs="Times New Roman"/>
                <w:b/>
                <w:bCs/>
                <w:color w:val="000000"/>
              </w:rPr>
              <w:t>N214</w:t>
            </w:r>
            <w:r w:rsidR="0042003A" w:rsidRPr="00231B15">
              <w:rPr>
                <w:rFonts w:cs="Times New Roman"/>
                <w:b/>
                <w:bCs/>
                <w:color w:val="000000"/>
                <w:vertAlign w:val="superscript"/>
              </w:rPr>
              <w:t xml:space="preserve"> a</w:t>
            </w:r>
          </w:p>
        </w:tc>
      </w:tr>
      <w:tr w:rsidR="00840731" w:rsidRPr="00231B15" w14:paraId="374ED265" w14:textId="77777777" w:rsidTr="00840731">
        <w:trPr>
          <w:trHeight w:val="433"/>
          <w:jc w:val="center"/>
        </w:trPr>
        <w:tc>
          <w:tcPr>
            <w:tcW w:w="3402" w:type="dxa"/>
            <w:gridSpan w:val="2"/>
            <w:tcBorders>
              <w:top w:val="single" w:sz="4" w:space="0" w:color="auto"/>
            </w:tcBorders>
            <w:shd w:val="clear" w:color="auto" w:fill="auto"/>
            <w:vAlign w:val="center"/>
            <w:hideMark/>
          </w:tcPr>
          <w:p w14:paraId="224F5750" w14:textId="77777777" w:rsidR="00840731" w:rsidRPr="00231B15" w:rsidRDefault="00840731" w:rsidP="00840731">
            <w:pPr>
              <w:jc w:val="center"/>
              <w:rPr>
                <w:rFonts w:cs="Times New Roman"/>
                <w:color w:val="000000"/>
              </w:rPr>
            </w:pPr>
            <w:r w:rsidRPr="00231B15">
              <w:rPr>
                <w:rFonts w:cs="Times New Roman"/>
                <w:color w:val="000000"/>
              </w:rPr>
              <w:t>X</w:t>
            </w:r>
          </w:p>
        </w:tc>
        <w:tc>
          <w:tcPr>
            <w:tcW w:w="1056" w:type="dxa"/>
            <w:tcBorders>
              <w:top w:val="single" w:sz="4" w:space="0" w:color="auto"/>
            </w:tcBorders>
            <w:shd w:val="clear" w:color="auto" w:fill="auto"/>
            <w:noWrap/>
            <w:vAlign w:val="center"/>
            <w:hideMark/>
          </w:tcPr>
          <w:p w14:paraId="58D56F34" w14:textId="77777777" w:rsidR="00840731" w:rsidRPr="00231B15" w:rsidRDefault="00840731" w:rsidP="00840731">
            <w:pPr>
              <w:jc w:val="center"/>
              <w:rPr>
                <w:rFonts w:cs="Times New Roman"/>
                <w:color w:val="000000"/>
              </w:rPr>
            </w:pPr>
            <w:r w:rsidRPr="00231B15">
              <w:rPr>
                <w:rFonts w:cs="Times New Roman"/>
                <w:color w:val="000000"/>
              </w:rPr>
              <w:t>O</w:t>
            </w:r>
          </w:p>
        </w:tc>
        <w:tc>
          <w:tcPr>
            <w:tcW w:w="1056" w:type="dxa"/>
            <w:tcBorders>
              <w:top w:val="single" w:sz="4" w:space="0" w:color="auto"/>
            </w:tcBorders>
            <w:shd w:val="clear" w:color="auto" w:fill="auto"/>
            <w:noWrap/>
            <w:vAlign w:val="center"/>
            <w:hideMark/>
          </w:tcPr>
          <w:p w14:paraId="0F180140" w14:textId="77777777" w:rsidR="00840731" w:rsidRPr="00231B15" w:rsidRDefault="00840731" w:rsidP="00840731">
            <w:pPr>
              <w:jc w:val="center"/>
              <w:rPr>
                <w:rFonts w:cs="Times New Roman"/>
                <w:color w:val="000000"/>
              </w:rPr>
            </w:pPr>
            <w:r w:rsidRPr="00231B15">
              <w:rPr>
                <w:rFonts w:cs="Times New Roman"/>
                <w:color w:val="000000"/>
              </w:rPr>
              <w:t>O</w:t>
            </w:r>
          </w:p>
        </w:tc>
        <w:tc>
          <w:tcPr>
            <w:tcW w:w="1057" w:type="dxa"/>
            <w:tcBorders>
              <w:top w:val="single" w:sz="4" w:space="0" w:color="auto"/>
            </w:tcBorders>
            <w:shd w:val="clear" w:color="auto" w:fill="auto"/>
            <w:noWrap/>
            <w:vAlign w:val="center"/>
            <w:hideMark/>
          </w:tcPr>
          <w:p w14:paraId="26F4A22F" w14:textId="77777777" w:rsidR="00840731" w:rsidRPr="00231B15" w:rsidRDefault="00840731" w:rsidP="00840731">
            <w:pPr>
              <w:jc w:val="center"/>
              <w:rPr>
                <w:rFonts w:cs="Times New Roman"/>
                <w:color w:val="000000"/>
              </w:rPr>
            </w:pPr>
            <w:r w:rsidRPr="00231B15">
              <w:rPr>
                <w:rFonts w:cs="Times New Roman"/>
                <w:color w:val="000000"/>
              </w:rPr>
              <w:t>O</w:t>
            </w:r>
          </w:p>
        </w:tc>
        <w:tc>
          <w:tcPr>
            <w:tcW w:w="1056" w:type="dxa"/>
            <w:tcBorders>
              <w:top w:val="single" w:sz="4" w:space="0" w:color="auto"/>
            </w:tcBorders>
            <w:shd w:val="clear" w:color="auto" w:fill="auto"/>
            <w:noWrap/>
            <w:vAlign w:val="center"/>
            <w:hideMark/>
          </w:tcPr>
          <w:p w14:paraId="11FEA5D1" w14:textId="77777777" w:rsidR="00840731" w:rsidRPr="00231B15" w:rsidRDefault="00840731" w:rsidP="00840731">
            <w:pPr>
              <w:jc w:val="center"/>
              <w:rPr>
                <w:rFonts w:cs="Times New Roman"/>
                <w:color w:val="000000"/>
              </w:rPr>
            </w:pPr>
            <w:r w:rsidRPr="00231B15">
              <w:rPr>
                <w:rFonts w:cs="Times New Roman"/>
                <w:color w:val="000000"/>
              </w:rPr>
              <w:t>CHF</w:t>
            </w:r>
          </w:p>
        </w:tc>
        <w:tc>
          <w:tcPr>
            <w:tcW w:w="1056" w:type="dxa"/>
            <w:tcBorders>
              <w:top w:val="single" w:sz="4" w:space="0" w:color="auto"/>
            </w:tcBorders>
            <w:shd w:val="clear" w:color="auto" w:fill="auto"/>
            <w:noWrap/>
            <w:vAlign w:val="center"/>
            <w:hideMark/>
          </w:tcPr>
          <w:p w14:paraId="712BF400" w14:textId="77777777" w:rsidR="00840731" w:rsidRPr="00231B15" w:rsidRDefault="00840731" w:rsidP="00840731">
            <w:pPr>
              <w:jc w:val="center"/>
              <w:rPr>
                <w:rFonts w:cs="Times New Roman"/>
                <w:color w:val="000000"/>
              </w:rPr>
            </w:pPr>
            <w:r w:rsidRPr="00231B15">
              <w:rPr>
                <w:rFonts w:cs="Times New Roman"/>
                <w:color w:val="000000"/>
              </w:rPr>
              <w:t>CHF</w:t>
            </w:r>
          </w:p>
        </w:tc>
        <w:tc>
          <w:tcPr>
            <w:tcW w:w="1057" w:type="dxa"/>
            <w:tcBorders>
              <w:top w:val="single" w:sz="4" w:space="0" w:color="auto"/>
            </w:tcBorders>
            <w:shd w:val="clear" w:color="auto" w:fill="auto"/>
            <w:noWrap/>
            <w:vAlign w:val="center"/>
            <w:hideMark/>
          </w:tcPr>
          <w:p w14:paraId="3E3CA33B" w14:textId="77777777" w:rsidR="00840731" w:rsidRPr="00231B15" w:rsidRDefault="00840731" w:rsidP="00840731">
            <w:pPr>
              <w:jc w:val="center"/>
              <w:rPr>
                <w:rFonts w:cs="Times New Roman"/>
                <w:color w:val="000000"/>
              </w:rPr>
            </w:pPr>
            <w:r w:rsidRPr="00231B15">
              <w:rPr>
                <w:rFonts w:cs="Times New Roman"/>
                <w:color w:val="000000"/>
              </w:rPr>
              <w:t>CHF</w:t>
            </w:r>
          </w:p>
        </w:tc>
      </w:tr>
      <w:tr w:rsidR="00840731" w:rsidRPr="00231B15" w14:paraId="3B05CB7B" w14:textId="77777777" w:rsidTr="00840731">
        <w:trPr>
          <w:trHeight w:val="433"/>
          <w:jc w:val="center"/>
        </w:trPr>
        <w:tc>
          <w:tcPr>
            <w:tcW w:w="3402" w:type="dxa"/>
            <w:gridSpan w:val="2"/>
            <w:shd w:val="clear" w:color="auto" w:fill="auto"/>
            <w:vAlign w:val="center"/>
            <w:hideMark/>
          </w:tcPr>
          <w:p w14:paraId="65EA3CDD" w14:textId="77777777" w:rsidR="00840731" w:rsidRPr="00231B15" w:rsidRDefault="00840731" w:rsidP="00840731">
            <w:pPr>
              <w:jc w:val="center"/>
              <w:rPr>
                <w:rFonts w:cs="Times New Roman"/>
                <w:color w:val="000000"/>
              </w:rPr>
            </w:pPr>
            <w:r w:rsidRPr="00231B15">
              <w:rPr>
                <w:rFonts w:cs="Times New Roman"/>
                <w:color w:val="000000"/>
              </w:rPr>
              <w:t>Stereochemistry</w:t>
            </w:r>
          </w:p>
        </w:tc>
        <w:tc>
          <w:tcPr>
            <w:tcW w:w="1056" w:type="dxa"/>
            <w:shd w:val="clear" w:color="auto" w:fill="auto"/>
            <w:vAlign w:val="center"/>
            <w:hideMark/>
          </w:tcPr>
          <w:p w14:paraId="662DD1C2" w14:textId="77777777" w:rsidR="00840731" w:rsidRPr="00E26468" w:rsidRDefault="00840731" w:rsidP="00840731">
            <w:pPr>
              <w:jc w:val="center"/>
              <w:rPr>
                <w:rFonts w:cs="Times New Roman"/>
                <w:i/>
                <w:color w:val="000000"/>
              </w:rPr>
            </w:pPr>
            <w:r w:rsidRPr="00E26468">
              <w:rPr>
                <w:rFonts w:cs="Times New Roman"/>
                <w:i/>
                <w:color w:val="000000"/>
              </w:rPr>
              <w:t>R</w:t>
            </w:r>
          </w:p>
        </w:tc>
        <w:tc>
          <w:tcPr>
            <w:tcW w:w="1056" w:type="dxa"/>
            <w:shd w:val="clear" w:color="auto" w:fill="auto"/>
            <w:vAlign w:val="center"/>
            <w:hideMark/>
          </w:tcPr>
          <w:p w14:paraId="06D4F9C3" w14:textId="77777777" w:rsidR="00840731" w:rsidRPr="00E26468" w:rsidRDefault="00840731" w:rsidP="00840731">
            <w:pPr>
              <w:jc w:val="center"/>
              <w:rPr>
                <w:rFonts w:cs="Times New Roman"/>
                <w:i/>
                <w:color w:val="000000"/>
              </w:rPr>
            </w:pPr>
            <w:r w:rsidRPr="00E26468">
              <w:rPr>
                <w:rFonts w:cs="Times New Roman"/>
                <w:i/>
                <w:color w:val="000000"/>
              </w:rPr>
              <w:t>S</w:t>
            </w:r>
          </w:p>
        </w:tc>
        <w:tc>
          <w:tcPr>
            <w:tcW w:w="1057" w:type="dxa"/>
            <w:shd w:val="clear" w:color="auto" w:fill="auto"/>
            <w:vAlign w:val="center"/>
            <w:hideMark/>
          </w:tcPr>
          <w:p w14:paraId="337E721A" w14:textId="77777777" w:rsidR="00840731" w:rsidRPr="00E26468" w:rsidRDefault="00840731" w:rsidP="00840731">
            <w:pPr>
              <w:jc w:val="center"/>
              <w:rPr>
                <w:rFonts w:cs="Times New Roman"/>
                <w:i/>
                <w:color w:val="000000"/>
              </w:rPr>
            </w:pPr>
            <w:r w:rsidRPr="00E26468">
              <w:rPr>
                <w:rFonts w:cs="Times New Roman"/>
                <w:i/>
                <w:color w:val="000000"/>
              </w:rPr>
              <w:t>-</w:t>
            </w:r>
          </w:p>
        </w:tc>
        <w:tc>
          <w:tcPr>
            <w:tcW w:w="1056" w:type="dxa"/>
            <w:shd w:val="clear" w:color="auto" w:fill="auto"/>
            <w:vAlign w:val="center"/>
            <w:hideMark/>
          </w:tcPr>
          <w:p w14:paraId="14EC1522" w14:textId="77777777" w:rsidR="00840731" w:rsidRPr="00E26468" w:rsidRDefault="00840731" w:rsidP="00840731">
            <w:pPr>
              <w:jc w:val="center"/>
              <w:rPr>
                <w:rFonts w:cs="Times New Roman"/>
                <w:i/>
                <w:color w:val="000000"/>
              </w:rPr>
            </w:pPr>
            <w:r w:rsidRPr="00E26468">
              <w:rPr>
                <w:rFonts w:cs="Times New Roman"/>
                <w:i/>
                <w:color w:val="000000"/>
              </w:rPr>
              <w:t>R</w:t>
            </w:r>
          </w:p>
        </w:tc>
        <w:tc>
          <w:tcPr>
            <w:tcW w:w="1056" w:type="dxa"/>
            <w:shd w:val="clear" w:color="auto" w:fill="auto"/>
            <w:vAlign w:val="center"/>
            <w:hideMark/>
          </w:tcPr>
          <w:p w14:paraId="3FF369FB" w14:textId="77777777" w:rsidR="00840731" w:rsidRPr="00E26468" w:rsidRDefault="00840731" w:rsidP="00840731">
            <w:pPr>
              <w:jc w:val="center"/>
              <w:rPr>
                <w:rFonts w:cs="Times New Roman"/>
                <w:i/>
                <w:color w:val="000000"/>
              </w:rPr>
            </w:pPr>
            <w:r w:rsidRPr="00E26468">
              <w:rPr>
                <w:rFonts w:cs="Times New Roman"/>
                <w:i/>
                <w:color w:val="000000"/>
              </w:rPr>
              <w:t>S</w:t>
            </w:r>
          </w:p>
        </w:tc>
        <w:tc>
          <w:tcPr>
            <w:tcW w:w="1057" w:type="dxa"/>
            <w:shd w:val="clear" w:color="auto" w:fill="auto"/>
            <w:vAlign w:val="center"/>
            <w:hideMark/>
          </w:tcPr>
          <w:p w14:paraId="78359799" w14:textId="77777777" w:rsidR="00840731" w:rsidRPr="00231B15" w:rsidRDefault="00840731" w:rsidP="00840731">
            <w:pPr>
              <w:jc w:val="center"/>
              <w:rPr>
                <w:rFonts w:cs="Times New Roman"/>
                <w:color w:val="000000"/>
              </w:rPr>
            </w:pPr>
            <w:r w:rsidRPr="00231B15">
              <w:rPr>
                <w:rFonts w:cs="Times New Roman"/>
                <w:color w:val="000000"/>
              </w:rPr>
              <w:t>-</w:t>
            </w:r>
          </w:p>
        </w:tc>
      </w:tr>
      <w:tr w:rsidR="00840731" w:rsidRPr="00231B15" w14:paraId="3961EA3E" w14:textId="77777777" w:rsidTr="00840731">
        <w:trPr>
          <w:trHeight w:val="433"/>
          <w:jc w:val="center"/>
        </w:trPr>
        <w:tc>
          <w:tcPr>
            <w:tcW w:w="3402" w:type="dxa"/>
            <w:gridSpan w:val="2"/>
            <w:shd w:val="clear" w:color="auto" w:fill="auto"/>
            <w:vAlign w:val="center"/>
            <w:hideMark/>
          </w:tcPr>
          <w:p w14:paraId="685C141C" w14:textId="77777777" w:rsidR="00840731" w:rsidRPr="00231B15" w:rsidRDefault="00840731" w:rsidP="00840731">
            <w:pPr>
              <w:jc w:val="center"/>
              <w:rPr>
                <w:rFonts w:cs="Times New Roman"/>
                <w:color w:val="000000"/>
                <w:sz w:val="24"/>
                <w:szCs w:val="24"/>
              </w:rPr>
            </w:pPr>
            <w:r w:rsidRPr="00231B15">
              <w:rPr>
                <w:rFonts w:cs="Times New Roman"/>
                <w:color w:val="000000"/>
              </w:rPr>
              <w:t>m.p. (°C)</w:t>
            </w:r>
          </w:p>
        </w:tc>
        <w:tc>
          <w:tcPr>
            <w:tcW w:w="1056" w:type="dxa"/>
            <w:shd w:val="clear" w:color="auto" w:fill="auto"/>
            <w:vAlign w:val="center"/>
            <w:hideMark/>
          </w:tcPr>
          <w:p w14:paraId="2F7C5BA0" w14:textId="77777777" w:rsidR="00840731" w:rsidRPr="00231B15" w:rsidRDefault="00840731" w:rsidP="00840731">
            <w:pPr>
              <w:jc w:val="center"/>
              <w:rPr>
                <w:rFonts w:cs="Times New Roman"/>
                <w:color w:val="000000"/>
              </w:rPr>
            </w:pPr>
            <w:r w:rsidRPr="00231B15">
              <w:rPr>
                <w:rFonts w:cs="Times New Roman"/>
                <w:color w:val="000000"/>
              </w:rPr>
              <w:t>93-95</w:t>
            </w:r>
          </w:p>
        </w:tc>
        <w:tc>
          <w:tcPr>
            <w:tcW w:w="1056" w:type="dxa"/>
            <w:shd w:val="clear" w:color="auto" w:fill="auto"/>
            <w:vAlign w:val="center"/>
            <w:hideMark/>
          </w:tcPr>
          <w:p w14:paraId="50D3E0B7" w14:textId="77777777" w:rsidR="00840731" w:rsidRPr="00231B15" w:rsidRDefault="00840731" w:rsidP="00840731">
            <w:pPr>
              <w:jc w:val="center"/>
              <w:rPr>
                <w:rFonts w:cs="Times New Roman"/>
                <w:color w:val="000000"/>
              </w:rPr>
            </w:pPr>
            <w:r w:rsidRPr="00231B15">
              <w:rPr>
                <w:rFonts w:cs="Times New Roman"/>
                <w:color w:val="000000"/>
              </w:rPr>
              <w:t>73-75</w:t>
            </w:r>
          </w:p>
        </w:tc>
        <w:tc>
          <w:tcPr>
            <w:tcW w:w="1057" w:type="dxa"/>
            <w:shd w:val="clear" w:color="auto" w:fill="auto"/>
            <w:vAlign w:val="center"/>
            <w:hideMark/>
          </w:tcPr>
          <w:p w14:paraId="6B60B348" w14:textId="77777777" w:rsidR="00840731" w:rsidRPr="00231B15" w:rsidRDefault="00840731" w:rsidP="00840731">
            <w:pPr>
              <w:jc w:val="center"/>
              <w:rPr>
                <w:rFonts w:cs="Times New Roman"/>
                <w:color w:val="000000"/>
              </w:rPr>
            </w:pPr>
            <w:r w:rsidRPr="00231B15">
              <w:rPr>
                <w:rFonts w:cs="Times New Roman"/>
                <w:color w:val="000000"/>
              </w:rPr>
              <w:t>180</w:t>
            </w:r>
          </w:p>
        </w:tc>
        <w:tc>
          <w:tcPr>
            <w:tcW w:w="1056" w:type="dxa"/>
            <w:shd w:val="clear" w:color="auto" w:fill="auto"/>
            <w:vAlign w:val="center"/>
            <w:hideMark/>
          </w:tcPr>
          <w:p w14:paraId="77CAB316" w14:textId="77777777" w:rsidR="00840731" w:rsidRPr="00231B15" w:rsidRDefault="00840731" w:rsidP="00840731">
            <w:pPr>
              <w:jc w:val="center"/>
              <w:rPr>
                <w:rFonts w:cs="Times New Roman"/>
                <w:color w:val="000000"/>
              </w:rPr>
            </w:pPr>
            <w:r w:rsidRPr="00231B15">
              <w:rPr>
                <w:rFonts w:cs="Times New Roman"/>
                <w:color w:val="000000"/>
              </w:rPr>
              <w:t>89-92</w:t>
            </w:r>
          </w:p>
        </w:tc>
        <w:tc>
          <w:tcPr>
            <w:tcW w:w="1056" w:type="dxa"/>
            <w:shd w:val="clear" w:color="auto" w:fill="auto"/>
            <w:vAlign w:val="center"/>
            <w:hideMark/>
          </w:tcPr>
          <w:p w14:paraId="36453C6B" w14:textId="77777777" w:rsidR="00840731" w:rsidRPr="00231B15" w:rsidRDefault="00840731" w:rsidP="00840731">
            <w:pPr>
              <w:jc w:val="center"/>
              <w:rPr>
                <w:rFonts w:cs="Times New Roman"/>
                <w:color w:val="000000"/>
              </w:rPr>
            </w:pPr>
            <w:r w:rsidRPr="00231B15">
              <w:rPr>
                <w:rFonts w:cs="Times New Roman"/>
                <w:color w:val="000000"/>
              </w:rPr>
              <w:t>83-86</w:t>
            </w:r>
          </w:p>
        </w:tc>
        <w:tc>
          <w:tcPr>
            <w:tcW w:w="1057" w:type="dxa"/>
            <w:shd w:val="clear" w:color="auto" w:fill="auto"/>
            <w:vAlign w:val="center"/>
            <w:hideMark/>
          </w:tcPr>
          <w:p w14:paraId="192B9E3B" w14:textId="77777777" w:rsidR="00840731" w:rsidRPr="00231B15" w:rsidRDefault="00840731" w:rsidP="00840731">
            <w:pPr>
              <w:jc w:val="center"/>
              <w:rPr>
                <w:rFonts w:cs="Times New Roman"/>
                <w:color w:val="000000"/>
              </w:rPr>
            </w:pPr>
            <w:r w:rsidRPr="00231B15">
              <w:rPr>
                <w:rFonts w:cs="Times New Roman"/>
                <w:color w:val="000000"/>
              </w:rPr>
              <w:t>122-124</w:t>
            </w:r>
          </w:p>
        </w:tc>
      </w:tr>
      <w:tr w:rsidR="00840731" w:rsidRPr="00231B15" w14:paraId="15E364D9" w14:textId="77777777" w:rsidTr="00840731">
        <w:trPr>
          <w:trHeight w:val="433"/>
          <w:jc w:val="center"/>
        </w:trPr>
        <w:tc>
          <w:tcPr>
            <w:tcW w:w="3402" w:type="dxa"/>
            <w:gridSpan w:val="2"/>
            <w:shd w:val="clear" w:color="auto" w:fill="auto"/>
            <w:vAlign w:val="center"/>
            <w:hideMark/>
          </w:tcPr>
          <w:p w14:paraId="7C6417D3" w14:textId="419977D3" w:rsidR="00840731" w:rsidRPr="00231B15" w:rsidRDefault="00840731" w:rsidP="00840731">
            <w:pPr>
              <w:jc w:val="center"/>
              <w:rPr>
                <w:rFonts w:cs="Times New Roman"/>
                <w:color w:val="000000"/>
                <w:sz w:val="24"/>
                <w:szCs w:val="24"/>
              </w:rPr>
            </w:pPr>
            <w:r w:rsidRPr="00231B15">
              <w:rPr>
                <w:rFonts w:cs="Times New Roman"/>
                <w:color w:val="000000"/>
              </w:rPr>
              <w:t>pKa</w:t>
            </w:r>
            <w:r w:rsidR="0042003A" w:rsidRPr="00231B15">
              <w:rPr>
                <w:rFonts w:cs="Times New Roman"/>
                <w:color w:val="000000"/>
                <w:vertAlign w:val="superscript"/>
              </w:rPr>
              <w:t>b</w:t>
            </w:r>
          </w:p>
        </w:tc>
        <w:tc>
          <w:tcPr>
            <w:tcW w:w="1056" w:type="dxa"/>
            <w:shd w:val="clear" w:color="auto" w:fill="auto"/>
            <w:vAlign w:val="center"/>
            <w:hideMark/>
          </w:tcPr>
          <w:p w14:paraId="26F2E88C" w14:textId="77777777" w:rsidR="00840731" w:rsidRPr="00231B15" w:rsidRDefault="00840731" w:rsidP="00840731">
            <w:pPr>
              <w:jc w:val="center"/>
              <w:rPr>
                <w:rFonts w:cs="Times New Roman"/>
                <w:color w:val="000000"/>
              </w:rPr>
            </w:pPr>
            <w:r w:rsidRPr="00231B15">
              <w:rPr>
                <w:rFonts w:cs="Times New Roman"/>
                <w:color w:val="000000"/>
              </w:rPr>
              <w:t>7.42</w:t>
            </w:r>
          </w:p>
        </w:tc>
        <w:tc>
          <w:tcPr>
            <w:tcW w:w="1056" w:type="dxa"/>
            <w:shd w:val="clear" w:color="auto" w:fill="auto"/>
            <w:vAlign w:val="center"/>
            <w:hideMark/>
          </w:tcPr>
          <w:p w14:paraId="4FD0161B" w14:textId="77777777" w:rsidR="00840731" w:rsidRPr="00231B15" w:rsidRDefault="00840731" w:rsidP="00840731">
            <w:pPr>
              <w:jc w:val="center"/>
              <w:rPr>
                <w:rFonts w:cs="Times New Roman"/>
                <w:color w:val="000000"/>
              </w:rPr>
            </w:pPr>
            <w:r w:rsidRPr="00231B15">
              <w:rPr>
                <w:rFonts w:cs="Times New Roman"/>
                <w:color w:val="000000"/>
              </w:rPr>
              <w:t>7.42</w:t>
            </w:r>
          </w:p>
        </w:tc>
        <w:tc>
          <w:tcPr>
            <w:tcW w:w="1057" w:type="dxa"/>
            <w:shd w:val="clear" w:color="auto" w:fill="auto"/>
            <w:vAlign w:val="center"/>
            <w:hideMark/>
          </w:tcPr>
          <w:p w14:paraId="7CECDC14" w14:textId="77777777" w:rsidR="00840731" w:rsidRPr="00231B15" w:rsidRDefault="00840731" w:rsidP="00840731">
            <w:pPr>
              <w:jc w:val="center"/>
              <w:rPr>
                <w:rFonts w:cs="Times New Roman"/>
                <w:color w:val="000000"/>
              </w:rPr>
            </w:pPr>
            <w:r w:rsidRPr="00231B15">
              <w:rPr>
                <w:rFonts w:cs="Times New Roman"/>
                <w:color w:val="000000"/>
              </w:rPr>
              <w:t>7.44</w:t>
            </w:r>
          </w:p>
        </w:tc>
        <w:tc>
          <w:tcPr>
            <w:tcW w:w="1056" w:type="dxa"/>
            <w:shd w:val="clear" w:color="auto" w:fill="auto"/>
            <w:vAlign w:val="center"/>
            <w:hideMark/>
          </w:tcPr>
          <w:p w14:paraId="25C3D60A" w14:textId="77777777" w:rsidR="00840731" w:rsidRPr="00231B15" w:rsidRDefault="00840731" w:rsidP="00840731">
            <w:pPr>
              <w:jc w:val="center"/>
              <w:rPr>
                <w:rFonts w:cs="Times New Roman"/>
                <w:color w:val="000000"/>
              </w:rPr>
            </w:pPr>
            <w:r w:rsidRPr="00231B15">
              <w:rPr>
                <w:rFonts w:cs="Times New Roman"/>
                <w:color w:val="000000"/>
              </w:rPr>
              <w:t>8.74</w:t>
            </w:r>
          </w:p>
        </w:tc>
        <w:tc>
          <w:tcPr>
            <w:tcW w:w="1056" w:type="dxa"/>
            <w:shd w:val="clear" w:color="auto" w:fill="auto"/>
            <w:vAlign w:val="center"/>
            <w:hideMark/>
          </w:tcPr>
          <w:p w14:paraId="64F71153" w14:textId="77777777" w:rsidR="00840731" w:rsidRPr="00231B15" w:rsidRDefault="00840731" w:rsidP="00840731">
            <w:pPr>
              <w:jc w:val="center"/>
              <w:rPr>
                <w:rFonts w:cs="Times New Roman"/>
                <w:color w:val="000000"/>
              </w:rPr>
            </w:pPr>
            <w:r w:rsidRPr="00231B15">
              <w:rPr>
                <w:rFonts w:cs="Times New Roman"/>
                <w:color w:val="000000"/>
              </w:rPr>
              <w:t>8.74</w:t>
            </w:r>
          </w:p>
        </w:tc>
        <w:tc>
          <w:tcPr>
            <w:tcW w:w="1057" w:type="dxa"/>
            <w:shd w:val="clear" w:color="auto" w:fill="auto"/>
            <w:vAlign w:val="center"/>
            <w:hideMark/>
          </w:tcPr>
          <w:p w14:paraId="7560993B" w14:textId="77777777" w:rsidR="00840731" w:rsidRPr="00231B15" w:rsidRDefault="00840731" w:rsidP="00840731">
            <w:pPr>
              <w:jc w:val="center"/>
              <w:rPr>
                <w:rFonts w:cs="Times New Roman"/>
                <w:color w:val="000000"/>
              </w:rPr>
            </w:pPr>
            <w:r w:rsidRPr="00231B15">
              <w:rPr>
                <w:rFonts w:cs="Times New Roman"/>
                <w:color w:val="000000"/>
              </w:rPr>
              <w:t>8.76</w:t>
            </w:r>
          </w:p>
        </w:tc>
      </w:tr>
      <w:tr w:rsidR="00840731" w:rsidRPr="00231B15" w14:paraId="4F90B6B7" w14:textId="77777777" w:rsidTr="00840731">
        <w:trPr>
          <w:trHeight w:val="433"/>
          <w:jc w:val="center"/>
        </w:trPr>
        <w:tc>
          <w:tcPr>
            <w:tcW w:w="1701" w:type="dxa"/>
            <w:vMerge w:val="restart"/>
            <w:shd w:val="clear" w:color="auto" w:fill="auto"/>
            <w:vAlign w:val="center"/>
            <w:hideMark/>
          </w:tcPr>
          <w:p w14:paraId="4FA08869" w14:textId="77777777" w:rsidR="00840731" w:rsidRPr="00231B15" w:rsidRDefault="00840731" w:rsidP="00840731">
            <w:pPr>
              <w:jc w:val="center"/>
              <w:rPr>
                <w:rFonts w:cs="Times New Roman"/>
                <w:color w:val="000000"/>
                <w:sz w:val="24"/>
                <w:szCs w:val="24"/>
              </w:rPr>
            </w:pPr>
            <w:r w:rsidRPr="00231B15">
              <w:rPr>
                <w:rFonts w:cs="Times New Roman"/>
                <w:color w:val="000000"/>
              </w:rPr>
              <w:t>Concentration (µg/ml)</w:t>
            </w:r>
          </w:p>
        </w:tc>
        <w:tc>
          <w:tcPr>
            <w:tcW w:w="1701" w:type="dxa"/>
            <w:shd w:val="clear" w:color="auto" w:fill="auto"/>
            <w:noWrap/>
            <w:vAlign w:val="center"/>
            <w:hideMark/>
          </w:tcPr>
          <w:p w14:paraId="5C9E0B18" w14:textId="77777777" w:rsidR="00840731" w:rsidRPr="00231B15" w:rsidRDefault="00840731" w:rsidP="00840731">
            <w:pPr>
              <w:jc w:val="center"/>
              <w:rPr>
                <w:rFonts w:cs="Times New Roman"/>
                <w:color w:val="000000"/>
              </w:rPr>
            </w:pPr>
            <w:r w:rsidRPr="00231B15">
              <w:rPr>
                <w:rFonts w:cs="Times New Roman"/>
                <w:color w:val="000000"/>
              </w:rPr>
              <w:t>0.1M HCl</w:t>
            </w:r>
          </w:p>
        </w:tc>
        <w:tc>
          <w:tcPr>
            <w:tcW w:w="1056" w:type="dxa"/>
            <w:shd w:val="clear" w:color="auto" w:fill="auto"/>
            <w:vAlign w:val="center"/>
            <w:hideMark/>
          </w:tcPr>
          <w:p w14:paraId="361C8796" w14:textId="77777777" w:rsidR="00840731" w:rsidRPr="00231B15" w:rsidRDefault="00840731" w:rsidP="00840731">
            <w:pPr>
              <w:jc w:val="center"/>
              <w:rPr>
                <w:rFonts w:cs="Times New Roman"/>
                <w:color w:val="000000"/>
              </w:rPr>
            </w:pPr>
            <w:r w:rsidRPr="00231B15">
              <w:rPr>
                <w:rFonts w:cs="Times New Roman"/>
                <w:color w:val="000000"/>
              </w:rPr>
              <w:t>188</w:t>
            </w:r>
          </w:p>
        </w:tc>
        <w:tc>
          <w:tcPr>
            <w:tcW w:w="1056" w:type="dxa"/>
            <w:shd w:val="clear" w:color="auto" w:fill="auto"/>
            <w:vAlign w:val="center"/>
            <w:hideMark/>
          </w:tcPr>
          <w:p w14:paraId="7F8A6698" w14:textId="77777777" w:rsidR="00840731" w:rsidRPr="00231B15" w:rsidRDefault="00840731" w:rsidP="00840731">
            <w:pPr>
              <w:jc w:val="center"/>
              <w:rPr>
                <w:rFonts w:cs="Times New Roman"/>
                <w:color w:val="000000"/>
              </w:rPr>
            </w:pPr>
            <w:r w:rsidRPr="00231B15">
              <w:rPr>
                <w:rFonts w:cs="Times New Roman"/>
                <w:color w:val="000000"/>
              </w:rPr>
              <w:t>165</w:t>
            </w:r>
          </w:p>
        </w:tc>
        <w:tc>
          <w:tcPr>
            <w:tcW w:w="1057" w:type="dxa"/>
            <w:shd w:val="clear" w:color="auto" w:fill="auto"/>
            <w:vAlign w:val="center"/>
            <w:hideMark/>
          </w:tcPr>
          <w:p w14:paraId="7B8EE501" w14:textId="77777777" w:rsidR="00840731" w:rsidRPr="00231B15" w:rsidRDefault="00840731" w:rsidP="00840731">
            <w:pPr>
              <w:jc w:val="center"/>
              <w:rPr>
                <w:rFonts w:cs="Times New Roman"/>
                <w:color w:val="000000"/>
              </w:rPr>
            </w:pPr>
            <w:r w:rsidRPr="00231B15">
              <w:rPr>
                <w:rFonts w:cs="Times New Roman"/>
                <w:color w:val="000000"/>
              </w:rPr>
              <w:t>21.2</w:t>
            </w:r>
          </w:p>
        </w:tc>
        <w:tc>
          <w:tcPr>
            <w:tcW w:w="1056" w:type="dxa"/>
            <w:shd w:val="clear" w:color="auto" w:fill="auto"/>
            <w:vAlign w:val="center"/>
            <w:hideMark/>
          </w:tcPr>
          <w:p w14:paraId="33F44715" w14:textId="77777777" w:rsidR="00840731" w:rsidRPr="00231B15" w:rsidRDefault="00840731" w:rsidP="00840731">
            <w:pPr>
              <w:jc w:val="center"/>
              <w:rPr>
                <w:rFonts w:cs="Times New Roman"/>
                <w:color w:val="000000"/>
              </w:rPr>
            </w:pPr>
            <w:r w:rsidRPr="00231B15">
              <w:rPr>
                <w:rFonts w:cs="Times New Roman"/>
                <w:color w:val="000000"/>
              </w:rPr>
              <w:t>95</w:t>
            </w:r>
          </w:p>
        </w:tc>
        <w:tc>
          <w:tcPr>
            <w:tcW w:w="1056" w:type="dxa"/>
            <w:shd w:val="clear" w:color="auto" w:fill="auto"/>
            <w:vAlign w:val="center"/>
            <w:hideMark/>
          </w:tcPr>
          <w:p w14:paraId="3D57C3E0" w14:textId="77777777" w:rsidR="00840731" w:rsidRPr="00231B15" w:rsidRDefault="00840731" w:rsidP="00840731">
            <w:pPr>
              <w:jc w:val="center"/>
              <w:rPr>
                <w:rFonts w:cs="Times New Roman"/>
                <w:color w:val="000000"/>
              </w:rPr>
            </w:pPr>
            <w:r w:rsidRPr="00231B15">
              <w:rPr>
                <w:rFonts w:cs="Times New Roman"/>
                <w:color w:val="000000"/>
              </w:rPr>
              <w:t>60</w:t>
            </w:r>
          </w:p>
        </w:tc>
        <w:tc>
          <w:tcPr>
            <w:tcW w:w="1057" w:type="dxa"/>
            <w:shd w:val="clear" w:color="auto" w:fill="auto"/>
            <w:vAlign w:val="center"/>
            <w:hideMark/>
          </w:tcPr>
          <w:p w14:paraId="6B023AA5" w14:textId="77777777" w:rsidR="00840731" w:rsidRPr="00231B15" w:rsidRDefault="00840731" w:rsidP="00840731">
            <w:pPr>
              <w:jc w:val="center"/>
              <w:rPr>
                <w:rFonts w:cs="Times New Roman"/>
                <w:color w:val="000000"/>
              </w:rPr>
            </w:pPr>
            <w:r w:rsidRPr="00231B15">
              <w:rPr>
                <w:rFonts w:cs="Times New Roman"/>
                <w:color w:val="000000"/>
              </w:rPr>
              <w:t>101</w:t>
            </w:r>
          </w:p>
        </w:tc>
      </w:tr>
      <w:tr w:rsidR="00840731" w:rsidRPr="00231B15" w14:paraId="669E6D01" w14:textId="77777777" w:rsidTr="00840731">
        <w:trPr>
          <w:trHeight w:val="433"/>
          <w:jc w:val="center"/>
        </w:trPr>
        <w:tc>
          <w:tcPr>
            <w:tcW w:w="1701" w:type="dxa"/>
            <w:vMerge/>
            <w:vAlign w:val="center"/>
            <w:hideMark/>
          </w:tcPr>
          <w:p w14:paraId="7DBE5E2C" w14:textId="77777777" w:rsidR="00840731" w:rsidRPr="00231B15" w:rsidRDefault="00840731" w:rsidP="00840731">
            <w:pPr>
              <w:rPr>
                <w:rFonts w:cs="Times New Roman"/>
                <w:color w:val="000000"/>
                <w:sz w:val="24"/>
                <w:szCs w:val="24"/>
              </w:rPr>
            </w:pPr>
          </w:p>
        </w:tc>
        <w:tc>
          <w:tcPr>
            <w:tcW w:w="1701" w:type="dxa"/>
            <w:shd w:val="clear" w:color="auto" w:fill="auto"/>
            <w:noWrap/>
            <w:vAlign w:val="center"/>
            <w:hideMark/>
          </w:tcPr>
          <w:p w14:paraId="0B2FBA12" w14:textId="77777777" w:rsidR="00840731" w:rsidRPr="00231B15" w:rsidRDefault="00840731" w:rsidP="00840731">
            <w:pPr>
              <w:jc w:val="center"/>
              <w:rPr>
                <w:rFonts w:cs="Times New Roman"/>
                <w:color w:val="000000"/>
                <w:sz w:val="24"/>
                <w:szCs w:val="24"/>
              </w:rPr>
            </w:pPr>
            <w:r w:rsidRPr="00231B15">
              <w:rPr>
                <w:rFonts w:cs="Times New Roman"/>
                <w:color w:val="000000"/>
              </w:rPr>
              <w:t>FaSSIF Media</w:t>
            </w:r>
          </w:p>
        </w:tc>
        <w:tc>
          <w:tcPr>
            <w:tcW w:w="1056" w:type="dxa"/>
            <w:shd w:val="clear" w:color="auto" w:fill="auto"/>
            <w:vAlign w:val="center"/>
            <w:hideMark/>
          </w:tcPr>
          <w:p w14:paraId="4101F039" w14:textId="77777777" w:rsidR="00840731" w:rsidRPr="00231B15" w:rsidRDefault="00840731" w:rsidP="00840731">
            <w:pPr>
              <w:jc w:val="center"/>
              <w:rPr>
                <w:rFonts w:cs="Times New Roman"/>
                <w:color w:val="000000"/>
              </w:rPr>
            </w:pPr>
            <w:r w:rsidRPr="00231B15">
              <w:rPr>
                <w:rFonts w:cs="Times New Roman"/>
                <w:color w:val="000000"/>
              </w:rPr>
              <w:t>324</w:t>
            </w:r>
          </w:p>
        </w:tc>
        <w:tc>
          <w:tcPr>
            <w:tcW w:w="1056" w:type="dxa"/>
            <w:shd w:val="clear" w:color="auto" w:fill="auto"/>
            <w:vAlign w:val="center"/>
            <w:hideMark/>
          </w:tcPr>
          <w:p w14:paraId="02699094" w14:textId="77777777" w:rsidR="00840731" w:rsidRPr="00231B15" w:rsidRDefault="00840731" w:rsidP="00840731">
            <w:pPr>
              <w:jc w:val="center"/>
              <w:rPr>
                <w:rFonts w:cs="Times New Roman"/>
                <w:color w:val="000000"/>
              </w:rPr>
            </w:pPr>
            <w:r w:rsidRPr="00231B15">
              <w:rPr>
                <w:rFonts w:cs="Times New Roman"/>
                <w:color w:val="000000"/>
              </w:rPr>
              <w:t>248</w:t>
            </w:r>
          </w:p>
        </w:tc>
        <w:tc>
          <w:tcPr>
            <w:tcW w:w="1057" w:type="dxa"/>
            <w:shd w:val="clear" w:color="auto" w:fill="auto"/>
            <w:vAlign w:val="center"/>
            <w:hideMark/>
          </w:tcPr>
          <w:p w14:paraId="26DC3763" w14:textId="77777777" w:rsidR="00840731" w:rsidRPr="00231B15" w:rsidRDefault="00840731" w:rsidP="00840731">
            <w:pPr>
              <w:jc w:val="center"/>
              <w:rPr>
                <w:rFonts w:cs="Times New Roman"/>
                <w:color w:val="000000"/>
              </w:rPr>
            </w:pPr>
            <w:r w:rsidRPr="00231B15">
              <w:rPr>
                <w:rFonts w:cs="Times New Roman"/>
                <w:color w:val="000000"/>
              </w:rPr>
              <w:t>24</w:t>
            </w:r>
          </w:p>
        </w:tc>
        <w:tc>
          <w:tcPr>
            <w:tcW w:w="1056" w:type="dxa"/>
            <w:shd w:val="clear" w:color="auto" w:fill="auto"/>
            <w:vAlign w:val="center"/>
            <w:hideMark/>
          </w:tcPr>
          <w:p w14:paraId="69459E97" w14:textId="77777777" w:rsidR="00840731" w:rsidRPr="00231B15" w:rsidRDefault="00840731" w:rsidP="00840731">
            <w:pPr>
              <w:jc w:val="center"/>
              <w:rPr>
                <w:rFonts w:cs="Times New Roman"/>
                <w:color w:val="000000"/>
              </w:rPr>
            </w:pPr>
            <w:r w:rsidRPr="00231B15">
              <w:rPr>
                <w:rFonts w:cs="Times New Roman"/>
                <w:color w:val="000000"/>
              </w:rPr>
              <w:t>195</w:t>
            </w:r>
          </w:p>
        </w:tc>
        <w:tc>
          <w:tcPr>
            <w:tcW w:w="1056" w:type="dxa"/>
            <w:shd w:val="clear" w:color="auto" w:fill="auto"/>
            <w:vAlign w:val="center"/>
            <w:hideMark/>
          </w:tcPr>
          <w:p w14:paraId="2EE1FE98" w14:textId="77777777" w:rsidR="00840731" w:rsidRPr="00231B15" w:rsidRDefault="00840731" w:rsidP="00840731">
            <w:pPr>
              <w:jc w:val="center"/>
              <w:rPr>
                <w:rFonts w:cs="Times New Roman"/>
                <w:color w:val="000000"/>
              </w:rPr>
            </w:pPr>
            <w:r w:rsidRPr="00231B15">
              <w:rPr>
                <w:rFonts w:cs="Times New Roman"/>
                <w:color w:val="000000"/>
              </w:rPr>
              <w:t>189</w:t>
            </w:r>
          </w:p>
        </w:tc>
        <w:tc>
          <w:tcPr>
            <w:tcW w:w="1057" w:type="dxa"/>
            <w:shd w:val="clear" w:color="auto" w:fill="auto"/>
            <w:vAlign w:val="center"/>
            <w:hideMark/>
          </w:tcPr>
          <w:p w14:paraId="2EF0CABC" w14:textId="77777777" w:rsidR="00840731" w:rsidRPr="00231B15" w:rsidRDefault="00840731" w:rsidP="00840731">
            <w:pPr>
              <w:jc w:val="center"/>
              <w:rPr>
                <w:rFonts w:cs="Times New Roman"/>
                <w:color w:val="000000"/>
              </w:rPr>
            </w:pPr>
            <w:r w:rsidRPr="00231B15">
              <w:rPr>
                <w:rFonts w:cs="Times New Roman"/>
                <w:color w:val="000000"/>
              </w:rPr>
              <w:t>14.8</w:t>
            </w:r>
          </w:p>
        </w:tc>
      </w:tr>
      <w:tr w:rsidR="00840731" w:rsidRPr="00231B15" w14:paraId="50DBE0AB" w14:textId="77777777" w:rsidTr="00840731">
        <w:trPr>
          <w:trHeight w:val="433"/>
          <w:jc w:val="center"/>
        </w:trPr>
        <w:tc>
          <w:tcPr>
            <w:tcW w:w="1701" w:type="dxa"/>
            <w:vMerge w:val="restart"/>
            <w:shd w:val="clear" w:color="auto" w:fill="auto"/>
            <w:vAlign w:val="center"/>
            <w:hideMark/>
          </w:tcPr>
          <w:p w14:paraId="66C8AFFA" w14:textId="77777777" w:rsidR="00840731" w:rsidRPr="00231B15" w:rsidRDefault="00840731" w:rsidP="00840731">
            <w:pPr>
              <w:jc w:val="center"/>
              <w:rPr>
                <w:rFonts w:cs="Times New Roman"/>
                <w:color w:val="000000"/>
                <w:sz w:val="24"/>
                <w:szCs w:val="24"/>
              </w:rPr>
            </w:pPr>
            <w:r w:rsidRPr="00231B15">
              <w:rPr>
                <w:rFonts w:cs="Times New Roman"/>
                <w:color w:val="000000"/>
              </w:rPr>
              <w:t>pH at equilibrium</w:t>
            </w:r>
          </w:p>
        </w:tc>
        <w:tc>
          <w:tcPr>
            <w:tcW w:w="1701" w:type="dxa"/>
            <w:shd w:val="clear" w:color="auto" w:fill="auto"/>
            <w:noWrap/>
            <w:vAlign w:val="center"/>
            <w:hideMark/>
          </w:tcPr>
          <w:p w14:paraId="3C140A3F" w14:textId="77777777" w:rsidR="00840731" w:rsidRPr="00231B15" w:rsidRDefault="00840731" w:rsidP="00840731">
            <w:pPr>
              <w:jc w:val="center"/>
              <w:rPr>
                <w:rFonts w:cs="Times New Roman"/>
                <w:color w:val="000000"/>
              </w:rPr>
            </w:pPr>
            <w:r w:rsidRPr="00231B15">
              <w:rPr>
                <w:rFonts w:cs="Times New Roman"/>
                <w:color w:val="000000"/>
              </w:rPr>
              <w:t>0.1M HCl</w:t>
            </w:r>
          </w:p>
        </w:tc>
        <w:tc>
          <w:tcPr>
            <w:tcW w:w="1056" w:type="dxa"/>
            <w:shd w:val="clear" w:color="auto" w:fill="auto"/>
            <w:vAlign w:val="center"/>
            <w:hideMark/>
          </w:tcPr>
          <w:p w14:paraId="67D9F976" w14:textId="77777777" w:rsidR="00840731" w:rsidRPr="00231B15" w:rsidRDefault="00840731" w:rsidP="00840731">
            <w:pPr>
              <w:jc w:val="center"/>
              <w:rPr>
                <w:rFonts w:cs="Times New Roman"/>
                <w:color w:val="000000"/>
              </w:rPr>
            </w:pPr>
            <w:r w:rsidRPr="00231B15">
              <w:rPr>
                <w:rFonts w:cs="Times New Roman"/>
                <w:color w:val="000000"/>
              </w:rPr>
              <w:t>1.12</w:t>
            </w:r>
          </w:p>
        </w:tc>
        <w:tc>
          <w:tcPr>
            <w:tcW w:w="1056" w:type="dxa"/>
            <w:shd w:val="clear" w:color="auto" w:fill="auto"/>
            <w:vAlign w:val="center"/>
            <w:hideMark/>
          </w:tcPr>
          <w:p w14:paraId="30441742" w14:textId="77777777" w:rsidR="00840731" w:rsidRPr="00231B15" w:rsidRDefault="00840731" w:rsidP="00840731">
            <w:pPr>
              <w:jc w:val="center"/>
              <w:rPr>
                <w:rFonts w:cs="Times New Roman"/>
                <w:color w:val="000000"/>
              </w:rPr>
            </w:pPr>
            <w:r w:rsidRPr="00231B15">
              <w:rPr>
                <w:rFonts w:cs="Times New Roman"/>
                <w:color w:val="000000"/>
              </w:rPr>
              <w:t>1.13</w:t>
            </w:r>
          </w:p>
        </w:tc>
        <w:tc>
          <w:tcPr>
            <w:tcW w:w="1057" w:type="dxa"/>
            <w:shd w:val="clear" w:color="auto" w:fill="auto"/>
            <w:vAlign w:val="center"/>
            <w:hideMark/>
          </w:tcPr>
          <w:p w14:paraId="3F3D0E53" w14:textId="77777777" w:rsidR="00840731" w:rsidRPr="00231B15" w:rsidRDefault="00840731" w:rsidP="00840731">
            <w:pPr>
              <w:jc w:val="center"/>
              <w:rPr>
                <w:rFonts w:cs="Times New Roman"/>
                <w:color w:val="000000"/>
              </w:rPr>
            </w:pPr>
            <w:r w:rsidRPr="00231B15">
              <w:rPr>
                <w:rFonts w:cs="Times New Roman"/>
                <w:color w:val="000000"/>
              </w:rPr>
              <w:t>1</w:t>
            </w:r>
          </w:p>
        </w:tc>
        <w:tc>
          <w:tcPr>
            <w:tcW w:w="1056" w:type="dxa"/>
            <w:shd w:val="clear" w:color="auto" w:fill="auto"/>
            <w:vAlign w:val="center"/>
            <w:hideMark/>
          </w:tcPr>
          <w:p w14:paraId="245B6DB5" w14:textId="77777777" w:rsidR="00840731" w:rsidRPr="00231B15" w:rsidRDefault="00840731" w:rsidP="00840731">
            <w:pPr>
              <w:jc w:val="center"/>
              <w:rPr>
                <w:rFonts w:cs="Times New Roman"/>
                <w:color w:val="000000"/>
              </w:rPr>
            </w:pPr>
            <w:r w:rsidRPr="00231B15">
              <w:rPr>
                <w:rFonts w:cs="Times New Roman"/>
                <w:color w:val="000000"/>
              </w:rPr>
              <w:t>1.12</w:t>
            </w:r>
          </w:p>
        </w:tc>
        <w:tc>
          <w:tcPr>
            <w:tcW w:w="1056" w:type="dxa"/>
            <w:shd w:val="clear" w:color="auto" w:fill="auto"/>
            <w:vAlign w:val="center"/>
            <w:hideMark/>
          </w:tcPr>
          <w:p w14:paraId="628C6D47" w14:textId="77777777" w:rsidR="00840731" w:rsidRPr="00231B15" w:rsidRDefault="00840731" w:rsidP="00840731">
            <w:pPr>
              <w:jc w:val="center"/>
              <w:rPr>
                <w:rFonts w:cs="Times New Roman"/>
                <w:color w:val="000000"/>
              </w:rPr>
            </w:pPr>
            <w:r w:rsidRPr="00231B15">
              <w:rPr>
                <w:rFonts w:cs="Times New Roman"/>
                <w:color w:val="000000"/>
              </w:rPr>
              <w:t>1.14</w:t>
            </w:r>
          </w:p>
        </w:tc>
        <w:tc>
          <w:tcPr>
            <w:tcW w:w="1057" w:type="dxa"/>
            <w:shd w:val="clear" w:color="auto" w:fill="auto"/>
            <w:vAlign w:val="center"/>
            <w:hideMark/>
          </w:tcPr>
          <w:p w14:paraId="4049234C" w14:textId="77777777" w:rsidR="00840731" w:rsidRPr="00231B15" w:rsidRDefault="00840731" w:rsidP="00840731">
            <w:pPr>
              <w:jc w:val="center"/>
              <w:rPr>
                <w:rFonts w:cs="Times New Roman"/>
                <w:color w:val="000000"/>
              </w:rPr>
            </w:pPr>
            <w:r w:rsidRPr="00231B15">
              <w:rPr>
                <w:rFonts w:cs="Times New Roman"/>
                <w:color w:val="000000"/>
              </w:rPr>
              <w:t>1</w:t>
            </w:r>
          </w:p>
        </w:tc>
      </w:tr>
      <w:tr w:rsidR="00840731" w:rsidRPr="00231B15" w14:paraId="28786515" w14:textId="77777777" w:rsidTr="00840731">
        <w:trPr>
          <w:trHeight w:val="433"/>
          <w:jc w:val="center"/>
        </w:trPr>
        <w:tc>
          <w:tcPr>
            <w:tcW w:w="1701" w:type="dxa"/>
            <w:vMerge/>
            <w:tcBorders>
              <w:bottom w:val="single" w:sz="4" w:space="0" w:color="auto"/>
            </w:tcBorders>
            <w:vAlign w:val="center"/>
            <w:hideMark/>
          </w:tcPr>
          <w:p w14:paraId="1E46D398" w14:textId="77777777" w:rsidR="00840731" w:rsidRPr="00231B15" w:rsidRDefault="00840731" w:rsidP="00840731">
            <w:pPr>
              <w:rPr>
                <w:rFonts w:cs="Times New Roman"/>
                <w:color w:val="000000"/>
                <w:sz w:val="24"/>
                <w:szCs w:val="24"/>
              </w:rPr>
            </w:pPr>
          </w:p>
        </w:tc>
        <w:tc>
          <w:tcPr>
            <w:tcW w:w="1701" w:type="dxa"/>
            <w:tcBorders>
              <w:bottom w:val="single" w:sz="4" w:space="0" w:color="auto"/>
            </w:tcBorders>
            <w:shd w:val="clear" w:color="auto" w:fill="auto"/>
            <w:noWrap/>
            <w:vAlign w:val="center"/>
            <w:hideMark/>
          </w:tcPr>
          <w:p w14:paraId="1E302F09" w14:textId="77777777" w:rsidR="00840731" w:rsidRPr="00231B15" w:rsidRDefault="00840731" w:rsidP="00840731">
            <w:pPr>
              <w:jc w:val="center"/>
              <w:rPr>
                <w:rFonts w:cs="Times New Roman"/>
                <w:color w:val="000000"/>
                <w:sz w:val="24"/>
                <w:szCs w:val="24"/>
              </w:rPr>
            </w:pPr>
            <w:r w:rsidRPr="00231B15">
              <w:rPr>
                <w:rFonts w:cs="Times New Roman"/>
                <w:color w:val="000000"/>
              </w:rPr>
              <w:t>FaSSIF Media</w:t>
            </w:r>
          </w:p>
        </w:tc>
        <w:tc>
          <w:tcPr>
            <w:tcW w:w="1056" w:type="dxa"/>
            <w:tcBorders>
              <w:bottom w:val="single" w:sz="4" w:space="0" w:color="auto"/>
            </w:tcBorders>
            <w:shd w:val="clear" w:color="auto" w:fill="auto"/>
            <w:vAlign w:val="center"/>
            <w:hideMark/>
          </w:tcPr>
          <w:p w14:paraId="39892451" w14:textId="77777777" w:rsidR="00840731" w:rsidRPr="00231B15" w:rsidRDefault="00840731" w:rsidP="00840731">
            <w:pPr>
              <w:jc w:val="center"/>
              <w:rPr>
                <w:rFonts w:cs="Times New Roman"/>
                <w:color w:val="000000"/>
              </w:rPr>
            </w:pPr>
            <w:r w:rsidRPr="00231B15">
              <w:rPr>
                <w:rFonts w:cs="Times New Roman"/>
                <w:color w:val="000000"/>
              </w:rPr>
              <w:t>6.43</w:t>
            </w:r>
          </w:p>
        </w:tc>
        <w:tc>
          <w:tcPr>
            <w:tcW w:w="1056" w:type="dxa"/>
            <w:tcBorders>
              <w:bottom w:val="single" w:sz="4" w:space="0" w:color="auto"/>
            </w:tcBorders>
            <w:shd w:val="clear" w:color="auto" w:fill="auto"/>
            <w:vAlign w:val="center"/>
            <w:hideMark/>
          </w:tcPr>
          <w:p w14:paraId="5D430C2B" w14:textId="77777777" w:rsidR="00840731" w:rsidRPr="00231B15" w:rsidRDefault="00840731" w:rsidP="00840731">
            <w:pPr>
              <w:jc w:val="center"/>
              <w:rPr>
                <w:rFonts w:cs="Times New Roman"/>
                <w:color w:val="000000"/>
              </w:rPr>
            </w:pPr>
            <w:r w:rsidRPr="00231B15">
              <w:rPr>
                <w:rFonts w:cs="Times New Roman"/>
                <w:color w:val="000000"/>
              </w:rPr>
              <w:t>6.42</w:t>
            </w:r>
          </w:p>
        </w:tc>
        <w:tc>
          <w:tcPr>
            <w:tcW w:w="1057" w:type="dxa"/>
            <w:tcBorders>
              <w:bottom w:val="single" w:sz="4" w:space="0" w:color="auto"/>
            </w:tcBorders>
            <w:shd w:val="clear" w:color="auto" w:fill="auto"/>
            <w:vAlign w:val="center"/>
            <w:hideMark/>
          </w:tcPr>
          <w:p w14:paraId="7036B82B" w14:textId="77777777" w:rsidR="00840731" w:rsidRPr="00231B15" w:rsidRDefault="00840731" w:rsidP="00840731">
            <w:pPr>
              <w:jc w:val="center"/>
              <w:rPr>
                <w:rFonts w:cs="Times New Roman"/>
                <w:color w:val="000000"/>
              </w:rPr>
            </w:pPr>
            <w:r w:rsidRPr="00231B15">
              <w:rPr>
                <w:rFonts w:cs="Times New Roman"/>
                <w:color w:val="000000"/>
              </w:rPr>
              <w:t>6.1</w:t>
            </w:r>
          </w:p>
        </w:tc>
        <w:tc>
          <w:tcPr>
            <w:tcW w:w="1056" w:type="dxa"/>
            <w:tcBorders>
              <w:bottom w:val="single" w:sz="4" w:space="0" w:color="auto"/>
            </w:tcBorders>
            <w:shd w:val="clear" w:color="auto" w:fill="auto"/>
            <w:vAlign w:val="center"/>
            <w:hideMark/>
          </w:tcPr>
          <w:p w14:paraId="7E442EB2" w14:textId="77777777" w:rsidR="00840731" w:rsidRPr="00231B15" w:rsidRDefault="00840731" w:rsidP="00840731">
            <w:pPr>
              <w:jc w:val="center"/>
              <w:rPr>
                <w:rFonts w:cs="Times New Roman"/>
                <w:color w:val="000000"/>
              </w:rPr>
            </w:pPr>
            <w:r w:rsidRPr="00231B15">
              <w:rPr>
                <w:rFonts w:cs="Times New Roman"/>
                <w:color w:val="000000"/>
              </w:rPr>
              <w:t>6.43</w:t>
            </w:r>
          </w:p>
        </w:tc>
        <w:tc>
          <w:tcPr>
            <w:tcW w:w="1056" w:type="dxa"/>
            <w:tcBorders>
              <w:bottom w:val="single" w:sz="4" w:space="0" w:color="auto"/>
            </w:tcBorders>
            <w:shd w:val="clear" w:color="auto" w:fill="auto"/>
            <w:vAlign w:val="center"/>
            <w:hideMark/>
          </w:tcPr>
          <w:p w14:paraId="18C06438" w14:textId="77777777" w:rsidR="00840731" w:rsidRPr="00231B15" w:rsidRDefault="00840731" w:rsidP="00840731">
            <w:pPr>
              <w:jc w:val="center"/>
              <w:rPr>
                <w:rFonts w:cs="Times New Roman"/>
                <w:color w:val="000000"/>
              </w:rPr>
            </w:pPr>
            <w:r w:rsidRPr="00231B15">
              <w:rPr>
                <w:rFonts w:cs="Times New Roman"/>
                <w:color w:val="000000"/>
              </w:rPr>
              <w:t>6.44</w:t>
            </w:r>
          </w:p>
        </w:tc>
        <w:tc>
          <w:tcPr>
            <w:tcW w:w="1057" w:type="dxa"/>
            <w:tcBorders>
              <w:bottom w:val="single" w:sz="4" w:space="0" w:color="auto"/>
            </w:tcBorders>
            <w:shd w:val="clear" w:color="auto" w:fill="auto"/>
            <w:vAlign w:val="center"/>
            <w:hideMark/>
          </w:tcPr>
          <w:p w14:paraId="27D16E12" w14:textId="77777777" w:rsidR="00840731" w:rsidRPr="00231B15" w:rsidRDefault="00840731" w:rsidP="00840731">
            <w:pPr>
              <w:jc w:val="center"/>
              <w:rPr>
                <w:rFonts w:cs="Times New Roman"/>
                <w:color w:val="000000"/>
              </w:rPr>
            </w:pPr>
            <w:r w:rsidRPr="00231B15">
              <w:rPr>
                <w:rFonts w:cs="Times New Roman"/>
                <w:color w:val="000000"/>
              </w:rPr>
              <w:t>6.1</w:t>
            </w:r>
          </w:p>
        </w:tc>
      </w:tr>
    </w:tbl>
    <w:p w14:paraId="2DCAA77A" w14:textId="5532864F" w:rsidR="00840731" w:rsidRPr="00231B15" w:rsidRDefault="00840731" w:rsidP="00840731">
      <w:pPr>
        <w:pStyle w:val="Caption"/>
        <w:rPr>
          <w:rFonts w:cs="Times New Roman"/>
        </w:rPr>
      </w:pPr>
      <w:r w:rsidRPr="00231B15">
        <w:rPr>
          <w:rFonts w:cs="Times New Roman"/>
        </w:rPr>
        <w:t xml:space="preserve">Table </w:t>
      </w:r>
      <w:r w:rsidR="0042003A" w:rsidRPr="00231B15">
        <w:rPr>
          <w:rFonts w:cs="Times New Roman"/>
        </w:rPr>
        <w:t>5</w:t>
      </w:r>
      <w:r w:rsidRPr="00231B15">
        <w:rPr>
          <w:rFonts w:cs="Times New Roman"/>
        </w:rPr>
        <w:t>: Summary of solubility measurements for non-linear tetraoxane containing antimalarials based on the N205 scaffold and reference compounds.</w:t>
      </w:r>
      <w:r w:rsidRPr="00231B15">
        <w:rPr>
          <w:rFonts w:cs="Times New Roman"/>
          <w:vertAlign w:val="superscript"/>
        </w:rPr>
        <w:t xml:space="preserve"> a </w:t>
      </w:r>
      <w:r w:rsidRPr="00231B15">
        <w:rPr>
          <w:rFonts w:cs="Times New Roman"/>
        </w:rPr>
        <w:t xml:space="preserve">Solubility determined for the mesylate salt. </w:t>
      </w:r>
      <w:r w:rsidRPr="00231B15">
        <w:rPr>
          <w:rFonts w:cs="Times New Roman"/>
          <w:vertAlign w:val="superscript"/>
        </w:rPr>
        <w:t>b</w:t>
      </w:r>
      <w:r w:rsidRPr="00231B15">
        <w:rPr>
          <w:rFonts w:cs="Times New Roman"/>
        </w:rPr>
        <w:t xml:space="preserve"> Calculated using ChemDraw professional 19.1.1.21 N.B. basicity of pKa values is likely </w:t>
      </w:r>
      <w:r w:rsidR="0042003A" w:rsidRPr="00231B15">
        <w:rPr>
          <w:rFonts w:cs="Times New Roman"/>
        </w:rPr>
        <w:t>over predicted</w:t>
      </w:r>
      <w:r w:rsidRPr="00231B15">
        <w:rPr>
          <w:rFonts w:cs="Times New Roman"/>
        </w:rPr>
        <w:t xml:space="preserve"> using in silico methods</w:t>
      </w:r>
    </w:p>
    <w:p w14:paraId="76A93C69" w14:textId="026A1426" w:rsidR="00840731" w:rsidRPr="00231B15" w:rsidRDefault="0042003A" w:rsidP="00AA04BE">
      <w:pPr>
        <w:rPr>
          <w:rFonts w:cs="Times New Roman"/>
        </w:rPr>
      </w:pPr>
      <w:r w:rsidRPr="00231B15">
        <w:rPr>
          <w:rFonts w:cs="Times New Roman"/>
        </w:rPr>
        <w:t xml:space="preserve">Table 5 summarises the solubility data obtained for the benzyl amine analogues </w:t>
      </w:r>
      <w:r w:rsidRPr="00231B15">
        <w:rPr>
          <w:rFonts w:cs="Times New Roman"/>
          <w:b/>
        </w:rPr>
        <w:t>1</w:t>
      </w:r>
      <w:r w:rsidR="00B63E96" w:rsidRPr="00231B15">
        <w:rPr>
          <w:rFonts w:cs="Times New Roman"/>
          <w:b/>
        </w:rPr>
        <w:t>4</w:t>
      </w:r>
      <w:r w:rsidRPr="00231B15">
        <w:rPr>
          <w:rFonts w:cs="Times New Roman"/>
          <w:b/>
        </w:rPr>
        <w:t>a</w:t>
      </w:r>
      <w:r w:rsidRPr="00231B15">
        <w:rPr>
          <w:rFonts w:cs="Times New Roman"/>
        </w:rPr>
        <w:t xml:space="preserve">, </w:t>
      </w:r>
      <w:r w:rsidR="00B63E96" w:rsidRPr="00231B15">
        <w:rPr>
          <w:rFonts w:cs="Times New Roman"/>
          <w:b/>
        </w:rPr>
        <w:t>14b</w:t>
      </w:r>
      <w:r w:rsidRPr="00231B15">
        <w:rPr>
          <w:rFonts w:cs="Times New Roman"/>
        </w:rPr>
        <w:t xml:space="preserve">, </w:t>
      </w:r>
      <w:r w:rsidR="00B63E96" w:rsidRPr="00231B15">
        <w:rPr>
          <w:rFonts w:cs="Times New Roman"/>
          <w:b/>
        </w:rPr>
        <w:t>15a</w:t>
      </w:r>
      <w:r w:rsidR="00B63E96" w:rsidRPr="00231B15">
        <w:rPr>
          <w:rFonts w:cs="Times New Roman"/>
        </w:rPr>
        <w:t xml:space="preserve"> </w:t>
      </w:r>
      <w:r w:rsidRPr="00231B15">
        <w:rPr>
          <w:rFonts w:cs="Times New Roman"/>
        </w:rPr>
        <w:t xml:space="preserve">and </w:t>
      </w:r>
      <w:r w:rsidR="00B63E96" w:rsidRPr="00231B15">
        <w:rPr>
          <w:rFonts w:cs="Times New Roman"/>
          <w:b/>
        </w:rPr>
        <w:t>15b</w:t>
      </w:r>
      <w:r w:rsidR="00AD0C24" w:rsidRPr="00231B15">
        <w:rPr>
          <w:rFonts w:cs="Times New Roman"/>
        </w:rPr>
        <w:t xml:space="preserve">. </w:t>
      </w:r>
      <w:r w:rsidR="00E91A2C" w:rsidRPr="00231B15">
        <w:rPr>
          <w:rFonts w:cs="Times New Roman"/>
        </w:rPr>
        <w:t xml:space="preserve">For each </w:t>
      </w:r>
      <w:r w:rsidR="005A5AB2" w:rsidRPr="00231B15">
        <w:rPr>
          <w:rFonts w:cs="Times New Roman"/>
        </w:rPr>
        <w:t>of</w:t>
      </w:r>
      <w:r w:rsidR="00E91A2C" w:rsidRPr="00231B15">
        <w:rPr>
          <w:rFonts w:cs="Times New Roman"/>
        </w:rPr>
        <w:t xml:space="preserve"> the non-linear analogues FaSSIF solubility was found to be significantly improved in comparison to the parent compounds; 10 – 13.5-fold for </w:t>
      </w:r>
      <w:r w:rsidR="00B63E96" w:rsidRPr="00231B15">
        <w:rPr>
          <w:rFonts w:cs="Times New Roman"/>
          <w:b/>
        </w:rPr>
        <w:t xml:space="preserve">14a </w:t>
      </w:r>
      <w:r w:rsidR="00E91A2C" w:rsidRPr="00231B15">
        <w:rPr>
          <w:rFonts w:cs="Times New Roman"/>
        </w:rPr>
        <w:t xml:space="preserve">and </w:t>
      </w:r>
      <w:r w:rsidR="00E91A2C" w:rsidRPr="00231B15">
        <w:rPr>
          <w:rFonts w:cs="Times New Roman"/>
          <w:b/>
        </w:rPr>
        <w:t>b</w:t>
      </w:r>
      <w:r w:rsidR="00E91A2C" w:rsidRPr="00231B15">
        <w:rPr>
          <w:rFonts w:cs="Times New Roman"/>
        </w:rPr>
        <w:t xml:space="preserve"> and 13-fold for </w:t>
      </w:r>
      <w:r w:rsidR="00B63E96" w:rsidRPr="00231B15">
        <w:rPr>
          <w:rFonts w:cs="Times New Roman"/>
          <w:b/>
        </w:rPr>
        <w:t xml:space="preserve">15a </w:t>
      </w:r>
      <w:r w:rsidR="00E91A2C" w:rsidRPr="00231B15">
        <w:rPr>
          <w:rFonts w:cs="Times New Roman"/>
        </w:rPr>
        <w:t xml:space="preserve">and </w:t>
      </w:r>
      <w:r w:rsidR="00E91A2C" w:rsidRPr="00231B15">
        <w:rPr>
          <w:rFonts w:cs="Times New Roman"/>
          <w:b/>
        </w:rPr>
        <w:t>b</w:t>
      </w:r>
      <w:r w:rsidR="00E91A2C" w:rsidRPr="00231B15">
        <w:rPr>
          <w:rFonts w:cs="Times New Roman"/>
        </w:rPr>
        <w:t xml:space="preserve">. This represents a greater increase in FaSSIF solubility than the analogues on the </w:t>
      </w:r>
      <w:r w:rsidR="00E91A2C" w:rsidRPr="00231B15">
        <w:rPr>
          <w:rFonts w:cs="Times New Roman"/>
          <w:b/>
        </w:rPr>
        <w:t xml:space="preserve">E209 </w:t>
      </w:r>
      <w:r w:rsidR="00E91A2C" w:rsidRPr="00231B15">
        <w:rPr>
          <w:rFonts w:cs="Times New Roman"/>
        </w:rPr>
        <w:t>scaffold which may be due to the comparably lower flexibility of the benzyl amine scaffold. It should be noted that while solubility for an enantiomeric pair should be the same, variations in FaSSIF measurements b</w:t>
      </w:r>
      <w:r w:rsidR="00A74BDC" w:rsidRPr="00231B15">
        <w:rPr>
          <w:rFonts w:cs="Times New Roman"/>
        </w:rPr>
        <w:t xml:space="preserve">etween batches </w:t>
      </w:r>
      <w:r w:rsidR="00027519" w:rsidRPr="00231B15">
        <w:rPr>
          <w:rFonts w:cs="Times New Roman"/>
        </w:rPr>
        <w:t>has been observed</w:t>
      </w:r>
      <w:r w:rsidR="00A74BDC" w:rsidRPr="00231B15">
        <w:rPr>
          <w:rFonts w:cs="Times New Roman"/>
        </w:rPr>
        <w:t xml:space="preserve"> and appropriate care should be taken </w:t>
      </w:r>
      <w:r w:rsidR="004230CB" w:rsidRPr="00231B15">
        <w:rPr>
          <w:rFonts w:cs="Times New Roman"/>
          <w:lang w:eastAsia="zh-CN"/>
        </w:rPr>
        <w:t>when</w:t>
      </w:r>
      <w:r w:rsidR="00A74BDC" w:rsidRPr="00231B15">
        <w:rPr>
          <w:rFonts w:cs="Times New Roman"/>
        </w:rPr>
        <w:t xml:space="preserve"> interpreting results</w:t>
      </w:r>
      <w:r w:rsidR="00E91A2C" w:rsidRPr="00231B15">
        <w:rPr>
          <w:rFonts w:cs="Times New Roman"/>
        </w:rPr>
        <w:t>.</w:t>
      </w:r>
      <w:r w:rsidR="006841E6" w:rsidRPr="006841E6">
        <w:rPr>
          <w:rFonts w:cs="Times New Roman"/>
          <w:vertAlign w:val="superscript"/>
        </w:rPr>
        <w:t>29</w:t>
      </w:r>
      <w:r w:rsidR="00E91A2C" w:rsidRPr="006841E6">
        <w:rPr>
          <w:rFonts w:cs="Times New Roman"/>
          <w:vertAlign w:val="superscript"/>
        </w:rPr>
        <w:t xml:space="preserve"> </w:t>
      </w:r>
    </w:p>
    <w:p w14:paraId="053A0707" w14:textId="2CFD6329" w:rsidR="00880BB6" w:rsidRPr="00E1336C" w:rsidRDefault="00880BB6" w:rsidP="00AA04BE">
      <w:pPr>
        <w:rPr>
          <w:rFonts w:cs="Times New Roman"/>
          <w:lang w:eastAsia="zh-CN"/>
        </w:rPr>
      </w:pPr>
      <w:r w:rsidRPr="00E1336C">
        <w:rPr>
          <w:rFonts w:cs="Times New Roman"/>
        </w:rPr>
        <w:t xml:space="preserve">In order to further investigate the </w:t>
      </w:r>
      <w:r w:rsidR="00A27802" w:rsidRPr="00E1336C">
        <w:rPr>
          <w:rFonts w:cs="Times New Roman"/>
        </w:rPr>
        <w:t xml:space="preserve">effect </w:t>
      </w:r>
      <w:r w:rsidR="00EB5C18" w:rsidRPr="00E1336C">
        <w:rPr>
          <w:rFonts w:cs="Times New Roman"/>
        </w:rPr>
        <w:t>asymmetry on</w:t>
      </w:r>
      <w:r w:rsidR="00A27802" w:rsidRPr="00E1336C">
        <w:rPr>
          <w:rFonts w:cs="Times New Roman"/>
        </w:rPr>
        <w:t xml:space="preserve"> absorption, </w:t>
      </w:r>
      <w:r w:rsidR="000773DB" w:rsidRPr="00E1336C">
        <w:rPr>
          <w:rFonts w:cs="Times New Roman"/>
        </w:rPr>
        <w:t xml:space="preserve">a pair of compounds, </w:t>
      </w:r>
      <w:r w:rsidR="000773DB" w:rsidRPr="00E1336C">
        <w:rPr>
          <w:rFonts w:cs="Times New Roman"/>
          <w:b/>
        </w:rPr>
        <w:t>14</w:t>
      </w:r>
      <w:r w:rsidR="000773DB" w:rsidRPr="00E1336C">
        <w:rPr>
          <w:rFonts w:cs="Times New Roman"/>
          <w:b/>
          <w:lang w:eastAsia="zh-CN"/>
        </w:rPr>
        <w:t>a</w:t>
      </w:r>
      <w:r w:rsidR="00A27802" w:rsidRPr="00E1336C">
        <w:rPr>
          <w:rFonts w:cs="Times New Roman"/>
        </w:rPr>
        <w:t xml:space="preserve"> and </w:t>
      </w:r>
      <w:r w:rsidR="00B0601F" w:rsidRPr="00E1336C">
        <w:rPr>
          <w:rFonts w:cs="Times New Roman"/>
          <w:b/>
        </w:rPr>
        <w:t>N205</w:t>
      </w:r>
      <w:r w:rsidR="00B0601F" w:rsidRPr="00E1336C">
        <w:rPr>
          <w:rFonts w:cs="Times New Roman"/>
        </w:rPr>
        <w:t xml:space="preserve"> that</w:t>
      </w:r>
      <w:r w:rsidR="00A27802" w:rsidRPr="00E1336C">
        <w:rPr>
          <w:rFonts w:cs="Times New Roman"/>
        </w:rPr>
        <w:t xml:space="preserve"> showed a significant difference </w:t>
      </w:r>
      <w:r w:rsidR="000773DB" w:rsidRPr="00E1336C">
        <w:rPr>
          <w:rFonts w:cs="Times New Roman"/>
          <w:lang w:eastAsia="zh-CN"/>
        </w:rPr>
        <w:t>(&gt;13</w:t>
      </w:r>
      <w:r w:rsidR="006D0B58" w:rsidRPr="00E1336C">
        <w:rPr>
          <w:rFonts w:cs="Times New Roman"/>
          <w:lang w:eastAsia="zh-CN"/>
        </w:rPr>
        <w:t xml:space="preserve"> fold</w:t>
      </w:r>
      <w:r w:rsidR="000773DB" w:rsidRPr="00E1336C">
        <w:rPr>
          <w:rFonts w:cs="Times New Roman"/>
          <w:lang w:eastAsia="zh-CN"/>
        </w:rPr>
        <w:t>s</w:t>
      </w:r>
      <w:r w:rsidR="006D0B58" w:rsidRPr="00E1336C">
        <w:rPr>
          <w:rFonts w:cs="Times New Roman"/>
          <w:lang w:eastAsia="zh-CN"/>
        </w:rPr>
        <w:t xml:space="preserve">) </w:t>
      </w:r>
      <w:r w:rsidR="00A27802" w:rsidRPr="00E1336C">
        <w:rPr>
          <w:rFonts w:cs="Times New Roman"/>
        </w:rPr>
        <w:t xml:space="preserve">in terms of FaSSIF solubility were selected to be assessed for their pharmacokinetic (PK) profiles through both IV and oral administration routes in the rat. As showed in </w:t>
      </w:r>
      <w:r w:rsidR="00B0601F" w:rsidRPr="00E1336C">
        <w:rPr>
          <w:rFonts w:cs="Times New Roman"/>
        </w:rPr>
        <w:t>Table 6, in the 10</w:t>
      </w:r>
      <w:r w:rsidR="00A27802" w:rsidRPr="00E1336C">
        <w:rPr>
          <w:rFonts w:cs="Times New Roman"/>
        </w:rPr>
        <w:t xml:space="preserve"> mg/kg s</w:t>
      </w:r>
      <w:r w:rsidR="006D0B58" w:rsidRPr="00E1336C">
        <w:rPr>
          <w:rFonts w:cs="Times New Roman"/>
        </w:rPr>
        <w:t>ingle oral dosing experiment,</w:t>
      </w:r>
      <w:r w:rsidR="006D0B58" w:rsidRPr="00E1336C">
        <w:rPr>
          <w:rFonts w:cs="Times New Roman"/>
          <w:lang w:eastAsia="zh-CN"/>
        </w:rPr>
        <w:t xml:space="preserve"> </w:t>
      </w:r>
      <w:r w:rsidR="00A27802" w:rsidRPr="00E1336C">
        <w:rPr>
          <w:rFonts w:cs="Times New Roman"/>
        </w:rPr>
        <w:t xml:space="preserve">a number of PK parameters associated with </w:t>
      </w:r>
      <w:r w:rsidR="006D0B58" w:rsidRPr="00E1336C">
        <w:rPr>
          <w:rFonts w:cs="Times New Roman"/>
          <w:lang w:eastAsia="zh-CN"/>
        </w:rPr>
        <w:t xml:space="preserve">drug </w:t>
      </w:r>
      <w:r w:rsidR="00A27802" w:rsidRPr="00E1336C">
        <w:rPr>
          <w:rFonts w:cs="Times New Roman"/>
        </w:rPr>
        <w:t>absorption</w:t>
      </w:r>
      <w:r w:rsidR="004F2EF2" w:rsidRPr="00E1336C">
        <w:rPr>
          <w:rFonts w:cs="Times New Roman"/>
        </w:rPr>
        <w:t xml:space="preserve"> were noticeably improved when comparing betw</w:t>
      </w:r>
      <w:r w:rsidR="005F1AF8" w:rsidRPr="00E1336C">
        <w:rPr>
          <w:rFonts w:cs="Times New Roman"/>
        </w:rPr>
        <w:t xml:space="preserve">een the non-linear analogues </w:t>
      </w:r>
      <w:r w:rsidR="005F1AF8" w:rsidRPr="00E1336C">
        <w:rPr>
          <w:rFonts w:cs="Times New Roman"/>
          <w:b/>
        </w:rPr>
        <w:t>14</w:t>
      </w:r>
      <w:r w:rsidR="005F1AF8" w:rsidRPr="00E1336C">
        <w:rPr>
          <w:rFonts w:cs="Times New Roman"/>
          <w:b/>
          <w:lang w:eastAsia="zh-CN"/>
        </w:rPr>
        <w:t>a</w:t>
      </w:r>
      <w:r w:rsidR="004F2EF2" w:rsidRPr="00E1336C">
        <w:rPr>
          <w:rFonts w:cs="Times New Roman"/>
        </w:rPr>
        <w:t xml:space="preserve"> and its parent </w:t>
      </w:r>
      <w:r w:rsidR="004F2EF2" w:rsidRPr="00E1336C">
        <w:rPr>
          <w:rFonts w:cs="Times New Roman"/>
          <w:b/>
        </w:rPr>
        <w:t>N205</w:t>
      </w:r>
      <w:r w:rsidR="004F2EF2" w:rsidRPr="00E1336C">
        <w:rPr>
          <w:rFonts w:cs="Times New Roman"/>
        </w:rPr>
        <w:t>. For example, the mean T</w:t>
      </w:r>
      <w:r w:rsidR="004F2EF2" w:rsidRPr="00E1336C">
        <w:rPr>
          <w:rFonts w:cs="Times New Roman"/>
          <w:vertAlign w:val="subscript"/>
        </w:rPr>
        <w:t>max</w:t>
      </w:r>
      <w:r w:rsidR="005F1AF8" w:rsidRPr="00E1336C">
        <w:rPr>
          <w:rFonts w:cs="Times New Roman"/>
        </w:rPr>
        <w:t xml:space="preserve"> of </w:t>
      </w:r>
      <w:r w:rsidR="005F1AF8" w:rsidRPr="00E1336C">
        <w:rPr>
          <w:rFonts w:cs="Times New Roman"/>
          <w:b/>
        </w:rPr>
        <w:t>14</w:t>
      </w:r>
      <w:r w:rsidR="005F1AF8" w:rsidRPr="00E1336C">
        <w:rPr>
          <w:rFonts w:cs="Times New Roman"/>
          <w:b/>
          <w:lang w:eastAsia="zh-CN"/>
        </w:rPr>
        <w:t>a</w:t>
      </w:r>
      <w:r w:rsidR="004F2EF2" w:rsidRPr="00E1336C">
        <w:rPr>
          <w:rFonts w:cs="Times New Roman"/>
        </w:rPr>
        <w:t xml:space="preserve"> was shortened to 2 hours and the mean C</w:t>
      </w:r>
      <w:r w:rsidR="004F2EF2" w:rsidRPr="00E1336C">
        <w:rPr>
          <w:rFonts w:cs="Times New Roman"/>
          <w:vertAlign w:val="subscript"/>
        </w:rPr>
        <w:t>max</w:t>
      </w:r>
      <w:r w:rsidR="004F2EF2" w:rsidRPr="00E1336C">
        <w:rPr>
          <w:rFonts w:cs="Times New Roman"/>
        </w:rPr>
        <w:t xml:space="preserve"> was increase</w:t>
      </w:r>
      <w:r w:rsidR="005F1AF8" w:rsidRPr="00E1336C">
        <w:rPr>
          <w:rFonts w:cs="Times New Roman"/>
        </w:rPr>
        <w:t xml:space="preserve">d to 410 ng/ml in the </w:t>
      </w:r>
      <w:r w:rsidR="005F1AF8" w:rsidRPr="00E1336C">
        <w:rPr>
          <w:rFonts w:cs="Times New Roman"/>
          <w:lang w:eastAsia="zh-CN"/>
        </w:rPr>
        <w:t>study</w:t>
      </w:r>
      <w:r w:rsidR="005F1AF8" w:rsidRPr="00E1336C">
        <w:rPr>
          <w:rFonts w:cs="Times New Roman"/>
        </w:rPr>
        <w:t xml:space="preserve"> dosing with </w:t>
      </w:r>
      <w:r w:rsidR="005F1AF8" w:rsidRPr="00E1336C">
        <w:rPr>
          <w:rFonts w:cs="Times New Roman"/>
          <w:b/>
        </w:rPr>
        <w:t>14</w:t>
      </w:r>
      <w:r w:rsidR="005F1AF8" w:rsidRPr="00E1336C">
        <w:rPr>
          <w:rFonts w:cs="Times New Roman"/>
          <w:b/>
          <w:lang w:eastAsia="zh-CN"/>
        </w:rPr>
        <w:t>a</w:t>
      </w:r>
      <w:r w:rsidR="004F2EF2" w:rsidRPr="00E1336C">
        <w:rPr>
          <w:rFonts w:cs="Times New Roman"/>
        </w:rPr>
        <w:t xml:space="preserve"> in comparison to 4.33 hours and 136 ng/ml for </w:t>
      </w:r>
      <w:r w:rsidR="004F2EF2" w:rsidRPr="00E1336C">
        <w:rPr>
          <w:rFonts w:cs="Times New Roman"/>
          <w:b/>
        </w:rPr>
        <w:t>N205</w:t>
      </w:r>
      <w:r w:rsidR="004F2EF2" w:rsidRPr="00E1336C">
        <w:rPr>
          <w:rFonts w:cs="Times New Roman"/>
        </w:rPr>
        <w:t xml:space="preserve"> respectively. The overall drug exposure, indicated by the mean </w:t>
      </w:r>
      <w:proofErr w:type="spellStart"/>
      <w:proofErr w:type="gramStart"/>
      <w:r w:rsidR="004F2EF2" w:rsidRPr="00E1336C">
        <w:rPr>
          <w:rFonts w:cs="Times New Roman"/>
        </w:rPr>
        <w:t>AUC</w:t>
      </w:r>
      <w:r w:rsidR="004F2EF2" w:rsidRPr="00E1336C">
        <w:rPr>
          <w:rFonts w:cs="Times New Roman"/>
          <w:vertAlign w:val="subscript"/>
        </w:rPr>
        <w:t>inf</w:t>
      </w:r>
      <w:proofErr w:type="spellEnd"/>
      <w:r w:rsidR="004F2EF2" w:rsidRPr="00E1336C">
        <w:rPr>
          <w:rFonts w:cs="Times New Roman"/>
          <w:vertAlign w:val="subscript"/>
        </w:rPr>
        <w:t>.</w:t>
      </w:r>
      <w:r w:rsidR="004F2EF2" w:rsidRPr="00E1336C">
        <w:rPr>
          <w:rFonts w:cs="Times New Roman"/>
        </w:rPr>
        <w:t>,</w:t>
      </w:r>
      <w:proofErr w:type="gramEnd"/>
      <w:r w:rsidR="004F2EF2" w:rsidRPr="00E1336C">
        <w:rPr>
          <w:rFonts w:cs="Times New Roman"/>
        </w:rPr>
        <w:t xml:space="preserve"> was also </w:t>
      </w:r>
      <w:r w:rsidR="004F2EF2" w:rsidRPr="00E1336C">
        <w:rPr>
          <w:rFonts w:cs="Times New Roman"/>
        </w:rPr>
        <w:lastRenderedPageBreak/>
        <w:t>increased from 608 hr*ng/ml (</w:t>
      </w:r>
      <w:r w:rsidR="004F2EF2" w:rsidRPr="00E1336C">
        <w:rPr>
          <w:rFonts w:cs="Times New Roman"/>
          <w:b/>
        </w:rPr>
        <w:t>N205</w:t>
      </w:r>
      <w:r w:rsidR="004F2EF2" w:rsidRPr="00E1336C">
        <w:rPr>
          <w:rFonts w:cs="Times New Roman"/>
        </w:rPr>
        <w:t xml:space="preserve">) to 1438 hr*ng/ml </w:t>
      </w:r>
      <w:r w:rsidR="005F1AF8" w:rsidRPr="00E1336C">
        <w:rPr>
          <w:rFonts w:cs="Times New Roman"/>
        </w:rPr>
        <w:t>(</w:t>
      </w:r>
      <w:r w:rsidR="005F1AF8" w:rsidRPr="00E1336C">
        <w:rPr>
          <w:rFonts w:cs="Times New Roman"/>
          <w:b/>
        </w:rPr>
        <w:t>14</w:t>
      </w:r>
      <w:r w:rsidR="005F1AF8" w:rsidRPr="00E1336C">
        <w:rPr>
          <w:rFonts w:cs="Times New Roman"/>
          <w:b/>
          <w:lang w:eastAsia="zh-CN"/>
        </w:rPr>
        <w:t>a</w:t>
      </w:r>
      <w:r w:rsidR="004F2EF2" w:rsidRPr="00E1336C">
        <w:rPr>
          <w:rFonts w:cs="Times New Roman"/>
        </w:rPr>
        <w:t xml:space="preserve">) and the oral bioavailability was improved from </w:t>
      </w:r>
      <w:r w:rsidR="00B0601F" w:rsidRPr="00E1336C">
        <w:rPr>
          <w:rFonts w:cs="Times New Roman"/>
        </w:rPr>
        <w:t xml:space="preserve">an acceptable level of </w:t>
      </w:r>
      <w:r w:rsidR="004F2EF2" w:rsidRPr="00E1336C">
        <w:rPr>
          <w:rFonts w:cs="Times New Roman"/>
        </w:rPr>
        <w:t>41.3% (</w:t>
      </w:r>
      <w:r w:rsidR="004F2EF2" w:rsidRPr="00E1336C">
        <w:rPr>
          <w:rFonts w:cs="Times New Roman"/>
          <w:b/>
        </w:rPr>
        <w:t>N205</w:t>
      </w:r>
      <w:r w:rsidR="004F2EF2" w:rsidRPr="00E1336C">
        <w:rPr>
          <w:rFonts w:cs="Times New Roman"/>
        </w:rPr>
        <w:t xml:space="preserve">) </w:t>
      </w:r>
      <w:r w:rsidR="00B0601F" w:rsidRPr="00E1336C">
        <w:rPr>
          <w:rFonts w:cs="Times New Roman"/>
        </w:rPr>
        <w:t>to 76.3%</w:t>
      </w:r>
      <w:r w:rsidR="004F2EF2" w:rsidRPr="00E1336C">
        <w:rPr>
          <w:rFonts w:cs="Times New Roman"/>
        </w:rPr>
        <w:t xml:space="preserve"> </w:t>
      </w:r>
      <w:r w:rsidR="005F1AF8" w:rsidRPr="00E1336C">
        <w:rPr>
          <w:rFonts w:cs="Times New Roman"/>
        </w:rPr>
        <w:t>(</w:t>
      </w:r>
      <w:r w:rsidR="005F1AF8" w:rsidRPr="00E1336C">
        <w:rPr>
          <w:rFonts w:cs="Times New Roman"/>
          <w:b/>
        </w:rPr>
        <w:t>14</w:t>
      </w:r>
      <w:r w:rsidR="005F1AF8" w:rsidRPr="00E1336C">
        <w:rPr>
          <w:rFonts w:cs="Times New Roman"/>
          <w:b/>
          <w:lang w:eastAsia="zh-CN"/>
        </w:rPr>
        <w:t>a</w:t>
      </w:r>
      <w:r w:rsidR="00B0601F" w:rsidRPr="00E1336C">
        <w:rPr>
          <w:rFonts w:cs="Times New Roman"/>
        </w:rPr>
        <w:t>) at 10 mg/kg oral dosage. All these</w:t>
      </w:r>
      <w:r w:rsidR="00A27802" w:rsidRPr="00E1336C">
        <w:rPr>
          <w:rFonts w:cs="Times New Roman"/>
        </w:rPr>
        <w:t xml:space="preserve"> </w:t>
      </w:r>
      <w:r w:rsidR="00456DE8" w:rsidRPr="00E1336C">
        <w:rPr>
          <w:rFonts w:cs="Times New Roman"/>
          <w:lang w:eastAsia="zh-CN"/>
        </w:rPr>
        <w:t xml:space="preserve">improved oral PK parameters strongly suggested that the enhanced FaSSIF solubility </w:t>
      </w:r>
      <w:r w:rsidR="00526AAF" w:rsidRPr="00E1336C">
        <w:rPr>
          <w:rFonts w:cs="Times New Roman"/>
          <w:lang w:eastAsia="zh-CN"/>
        </w:rPr>
        <w:t xml:space="preserve">of the non-linear analogues </w:t>
      </w:r>
      <w:r w:rsidR="00EB5C18" w:rsidRPr="00E1336C">
        <w:rPr>
          <w:rFonts w:cs="Times New Roman"/>
          <w:lang w:eastAsia="zh-CN"/>
        </w:rPr>
        <w:t xml:space="preserve">has </w:t>
      </w:r>
      <w:r w:rsidR="00526AAF" w:rsidRPr="00E1336C">
        <w:rPr>
          <w:rFonts w:cs="Times New Roman"/>
          <w:lang w:eastAsia="zh-CN"/>
        </w:rPr>
        <w:t>translate</w:t>
      </w:r>
      <w:r w:rsidR="00EB5C18" w:rsidRPr="00E1336C">
        <w:rPr>
          <w:rFonts w:cs="Times New Roman"/>
          <w:lang w:eastAsia="zh-CN"/>
        </w:rPr>
        <w:t>d</w:t>
      </w:r>
      <w:r w:rsidR="00526AAF" w:rsidRPr="00E1336C">
        <w:rPr>
          <w:rFonts w:cs="Times New Roman"/>
          <w:lang w:eastAsia="zh-CN"/>
        </w:rPr>
        <w:t xml:space="preserve"> to improved oral absorption and exposure </w:t>
      </w:r>
      <w:r w:rsidR="00526AAF" w:rsidRPr="00E1336C">
        <w:rPr>
          <w:rFonts w:cs="Times New Roman"/>
          <w:i/>
          <w:lang w:eastAsia="zh-CN"/>
        </w:rPr>
        <w:t>in vivo</w:t>
      </w:r>
      <w:r w:rsidR="00EB5C18" w:rsidRPr="00E1336C">
        <w:rPr>
          <w:rFonts w:cs="Times New Roman"/>
          <w:lang w:eastAsia="zh-CN"/>
        </w:rPr>
        <w:t xml:space="preserve"> providing solid proof of principle for this approach.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2859"/>
        <w:gridCol w:w="3001"/>
      </w:tblGrid>
      <w:tr w:rsidR="008171A9" w:rsidRPr="00E1336C" w14:paraId="3EC3BEF1" w14:textId="77777777" w:rsidTr="000408F7">
        <w:trPr>
          <w:trHeight w:val="379"/>
        </w:trPr>
        <w:tc>
          <w:tcPr>
            <w:tcW w:w="3227" w:type="dxa"/>
            <w:tcBorders>
              <w:top w:val="single" w:sz="4" w:space="0" w:color="auto"/>
              <w:bottom w:val="single" w:sz="4" w:space="0" w:color="auto"/>
            </w:tcBorders>
            <w:shd w:val="clear" w:color="auto" w:fill="auto"/>
          </w:tcPr>
          <w:p w14:paraId="41EE0923" w14:textId="1E2C4606" w:rsidR="008171A9" w:rsidRPr="00E1336C" w:rsidRDefault="008171A9" w:rsidP="00AA04BE">
            <w:pPr>
              <w:rPr>
                <w:rFonts w:cs="Times New Roman"/>
                <w:lang w:eastAsia="zh-CN"/>
              </w:rPr>
            </w:pPr>
            <w:r w:rsidRPr="00E1336C">
              <w:rPr>
                <w:rFonts w:cs="Times New Roman"/>
                <w:lang w:eastAsia="zh-CN"/>
              </w:rPr>
              <w:t>Compound</w:t>
            </w:r>
          </w:p>
        </w:tc>
        <w:tc>
          <w:tcPr>
            <w:tcW w:w="2934" w:type="dxa"/>
            <w:tcBorders>
              <w:top w:val="single" w:sz="4" w:space="0" w:color="auto"/>
              <w:bottom w:val="single" w:sz="4" w:space="0" w:color="auto"/>
            </w:tcBorders>
            <w:shd w:val="clear" w:color="auto" w:fill="auto"/>
          </w:tcPr>
          <w:p w14:paraId="63E159BB" w14:textId="738AFAE7" w:rsidR="008171A9" w:rsidRPr="00E1336C" w:rsidRDefault="000C0F30" w:rsidP="000C0F30">
            <w:pPr>
              <w:jc w:val="center"/>
              <w:rPr>
                <w:rFonts w:cs="Times New Roman"/>
                <w:b/>
                <w:lang w:eastAsia="zh-CN"/>
              </w:rPr>
            </w:pPr>
            <w:r w:rsidRPr="00E1336C">
              <w:rPr>
                <w:rFonts w:cs="Times New Roman"/>
                <w:b/>
                <w:lang w:eastAsia="zh-CN"/>
              </w:rPr>
              <w:t>14</w:t>
            </w:r>
            <w:r w:rsidR="005F1AF8" w:rsidRPr="00E1336C">
              <w:rPr>
                <w:rFonts w:cs="Times New Roman"/>
                <w:b/>
                <w:lang w:eastAsia="zh-CN"/>
              </w:rPr>
              <w:t>a</w:t>
            </w:r>
          </w:p>
        </w:tc>
        <w:tc>
          <w:tcPr>
            <w:tcW w:w="3081" w:type="dxa"/>
            <w:tcBorders>
              <w:top w:val="single" w:sz="4" w:space="0" w:color="auto"/>
              <w:bottom w:val="single" w:sz="4" w:space="0" w:color="auto"/>
            </w:tcBorders>
            <w:shd w:val="clear" w:color="auto" w:fill="auto"/>
          </w:tcPr>
          <w:p w14:paraId="573C48DA" w14:textId="4FBC068C" w:rsidR="008171A9" w:rsidRPr="00E1336C" w:rsidRDefault="000C0F30" w:rsidP="000C0F30">
            <w:pPr>
              <w:jc w:val="center"/>
              <w:rPr>
                <w:rFonts w:cs="Times New Roman"/>
                <w:b/>
                <w:lang w:eastAsia="zh-CN"/>
              </w:rPr>
            </w:pPr>
            <w:r w:rsidRPr="00E1336C">
              <w:rPr>
                <w:rFonts w:cs="Times New Roman"/>
                <w:b/>
                <w:lang w:eastAsia="zh-CN"/>
              </w:rPr>
              <w:t>N205</w:t>
            </w:r>
          </w:p>
        </w:tc>
      </w:tr>
      <w:tr w:rsidR="008171A9" w:rsidRPr="00E1336C" w14:paraId="467C433C" w14:textId="77777777" w:rsidTr="000408F7">
        <w:trPr>
          <w:trHeight w:val="380"/>
        </w:trPr>
        <w:tc>
          <w:tcPr>
            <w:tcW w:w="3227" w:type="dxa"/>
            <w:tcBorders>
              <w:top w:val="single" w:sz="4" w:space="0" w:color="auto"/>
            </w:tcBorders>
            <w:shd w:val="clear" w:color="auto" w:fill="auto"/>
          </w:tcPr>
          <w:p w14:paraId="76810508" w14:textId="17C5D10F" w:rsidR="008171A9" w:rsidRPr="00E1336C" w:rsidRDefault="008171A9" w:rsidP="00AA04BE">
            <w:pPr>
              <w:rPr>
                <w:rFonts w:cs="Times New Roman"/>
                <w:lang w:eastAsia="zh-CN"/>
              </w:rPr>
            </w:pPr>
            <w:r w:rsidRPr="00E1336C">
              <w:rPr>
                <w:rFonts w:cs="Times New Roman"/>
                <w:lang w:eastAsia="zh-CN"/>
              </w:rPr>
              <w:t xml:space="preserve">Dosage and administrative route </w:t>
            </w:r>
            <w:r w:rsidRPr="00E1336C">
              <w:rPr>
                <w:rFonts w:cs="Times New Roman"/>
                <w:vertAlign w:val="superscript"/>
                <w:lang w:eastAsia="zh-CN"/>
              </w:rPr>
              <w:t>a</w:t>
            </w:r>
          </w:p>
        </w:tc>
        <w:tc>
          <w:tcPr>
            <w:tcW w:w="2934" w:type="dxa"/>
            <w:tcBorders>
              <w:top w:val="single" w:sz="4" w:space="0" w:color="auto"/>
            </w:tcBorders>
            <w:shd w:val="clear" w:color="auto" w:fill="auto"/>
          </w:tcPr>
          <w:p w14:paraId="4EAAE9CF" w14:textId="680F32B9" w:rsidR="008171A9" w:rsidRPr="00E1336C" w:rsidRDefault="000C0F30" w:rsidP="000C0F30">
            <w:pPr>
              <w:jc w:val="center"/>
              <w:rPr>
                <w:rFonts w:cs="Times New Roman"/>
                <w:lang w:eastAsia="zh-CN"/>
              </w:rPr>
            </w:pPr>
            <w:r w:rsidRPr="00E1336C">
              <w:rPr>
                <w:rFonts w:cs="Times New Roman"/>
                <w:lang w:eastAsia="zh-CN"/>
              </w:rPr>
              <w:t>10 mg/kg, oral</w:t>
            </w:r>
          </w:p>
        </w:tc>
        <w:tc>
          <w:tcPr>
            <w:tcW w:w="3081" w:type="dxa"/>
            <w:tcBorders>
              <w:top w:val="single" w:sz="4" w:space="0" w:color="auto"/>
            </w:tcBorders>
            <w:shd w:val="clear" w:color="auto" w:fill="auto"/>
          </w:tcPr>
          <w:p w14:paraId="0DD8853E" w14:textId="07DE2CBE" w:rsidR="008171A9" w:rsidRPr="00E1336C" w:rsidRDefault="000C0F30" w:rsidP="000C0F30">
            <w:pPr>
              <w:jc w:val="center"/>
              <w:rPr>
                <w:rFonts w:cs="Times New Roman"/>
                <w:lang w:eastAsia="zh-CN"/>
              </w:rPr>
            </w:pPr>
            <w:r w:rsidRPr="00E1336C">
              <w:rPr>
                <w:rFonts w:cs="Times New Roman"/>
                <w:lang w:eastAsia="zh-CN"/>
              </w:rPr>
              <w:t>10 mg/kg, oral</w:t>
            </w:r>
          </w:p>
        </w:tc>
      </w:tr>
      <w:tr w:rsidR="008171A9" w:rsidRPr="00E1336C" w14:paraId="7EF5B8C3" w14:textId="77777777" w:rsidTr="000408F7">
        <w:trPr>
          <w:trHeight w:val="379"/>
        </w:trPr>
        <w:tc>
          <w:tcPr>
            <w:tcW w:w="3227" w:type="dxa"/>
            <w:shd w:val="clear" w:color="auto" w:fill="auto"/>
          </w:tcPr>
          <w:p w14:paraId="282C38FA" w14:textId="4CA11356" w:rsidR="008171A9" w:rsidRPr="00E1336C" w:rsidRDefault="008171A9" w:rsidP="00AA04BE">
            <w:pPr>
              <w:rPr>
                <w:rFonts w:cs="Times New Roman"/>
                <w:lang w:eastAsia="zh-CN"/>
              </w:rPr>
            </w:pPr>
            <w:r w:rsidRPr="00E1336C">
              <w:rPr>
                <w:rFonts w:cs="Times New Roman"/>
                <w:lang w:eastAsia="zh-CN"/>
              </w:rPr>
              <w:t>T</w:t>
            </w:r>
            <w:r w:rsidRPr="00E1336C">
              <w:rPr>
                <w:rFonts w:cs="Times New Roman"/>
                <w:vertAlign w:val="subscript"/>
                <w:lang w:eastAsia="zh-CN"/>
              </w:rPr>
              <w:t>max</w:t>
            </w:r>
            <w:r w:rsidRPr="00E1336C">
              <w:rPr>
                <w:rFonts w:cs="Times New Roman"/>
                <w:lang w:eastAsia="zh-CN"/>
              </w:rPr>
              <w:t xml:space="preserve"> (hr) </w:t>
            </w:r>
            <w:r w:rsidRPr="00E1336C">
              <w:rPr>
                <w:rFonts w:cs="Times New Roman"/>
                <w:vertAlign w:val="superscript"/>
                <w:lang w:eastAsia="zh-CN"/>
              </w:rPr>
              <w:t>b</w:t>
            </w:r>
          </w:p>
        </w:tc>
        <w:tc>
          <w:tcPr>
            <w:tcW w:w="2934" w:type="dxa"/>
            <w:shd w:val="clear" w:color="auto" w:fill="auto"/>
          </w:tcPr>
          <w:p w14:paraId="4392A30A" w14:textId="1A3115B1" w:rsidR="008171A9" w:rsidRPr="00E1336C" w:rsidRDefault="000C0F30" w:rsidP="000C0F30">
            <w:pPr>
              <w:jc w:val="center"/>
              <w:rPr>
                <w:rFonts w:cs="Times New Roman"/>
                <w:lang w:eastAsia="zh-CN"/>
              </w:rPr>
            </w:pPr>
            <w:r w:rsidRPr="00E1336C">
              <w:rPr>
                <w:rFonts w:cs="Times New Roman"/>
                <w:lang w:eastAsia="zh-CN"/>
              </w:rPr>
              <w:t>2.0 ± 0.0</w:t>
            </w:r>
          </w:p>
        </w:tc>
        <w:tc>
          <w:tcPr>
            <w:tcW w:w="3081" w:type="dxa"/>
            <w:shd w:val="clear" w:color="auto" w:fill="auto"/>
          </w:tcPr>
          <w:p w14:paraId="6B8596C3" w14:textId="27E541C6" w:rsidR="008171A9" w:rsidRPr="00E1336C" w:rsidRDefault="000C0F30" w:rsidP="000C0F30">
            <w:pPr>
              <w:jc w:val="center"/>
              <w:rPr>
                <w:rFonts w:cs="Times New Roman"/>
                <w:lang w:eastAsia="zh-CN"/>
              </w:rPr>
            </w:pPr>
            <w:r w:rsidRPr="00E1336C">
              <w:rPr>
                <w:rFonts w:cs="Times New Roman"/>
                <w:lang w:eastAsia="zh-CN"/>
              </w:rPr>
              <w:t>4.33 ± 1.15</w:t>
            </w:r>
          </w:p>
        </w:tc>
      </w:tr>
      <w:tr w:rsidR="008171A9" w:rsidRPr="00E1336C" w14:paraId="192DEF0F" w14:textId="77777777" w:rsidTr="000408F7">
        <w:trPr>
          <w:trHeight w:val="380"/>
        </w:trPr>
        <w:tc>
          <w:tcPr>
            <w:tcW w:w="3227" w:type="dxa"/>
            <w:shd w:val="clear" w:color="auto" w:fill="auto"/>
          </w:tcPr>
          <w:p w14:paraId="33BE0FB2" w14:textId="106B2E78" w:rsidR="008171A9" w:rsidRPr="00E1336C" w:rsidRDefault="008171A9" w:rsidP="00AA04BE">
            <w:pPr>
              <w:rPr>
                <w:rFonts w:cs="Times New Roman"/>
                <w:lang w:eastAsia="zh-CN"/>
              </w:rPr>
            </w:pPr>
            <w:r w:rsidRPr="00E1336C">
              <w:rPr>
                <w:rFonts w:cs="Times New Roman"/>
                <w:lang w:eastAsia="zh-CN"/>
              </w:rPr>
              <w:t>C</w:t>
            </w:r>
            <w:r w:rsidRPr="00E1336C">
              <w:rPr>
                <w:rFonts w:cs="Times New Roman"/>
                <w:vertAlign w:val="subscript"/>
                <w:lang w:eastAsia="zh-CN"/>
              </w:rPr>
              <w:t>max</w:t>
            </w:r>
            <w:r w:rsidRPr="00E1336C">
              <w:rPr>
                <w:rFonts w:cs="Times New Roman"/>
                <w:lang w:eastAsia="zh-CN"/>
              </w:rPr>
              <w:t xml:space="preserve"> (ng/ml) </w:t>
            </w:r>
            <w:r w:rsidRPr="00E1336C">
              <w:rPr>
                <w:rFonts w:cs="Times New Roman"/>
                <w:vertAlign w:val="superscript"/>
                <w:lang w:eastAsia="zh-CN"/>
              </w:rPr>
              <w:t>b</w:t>
            </w:r>
          </w:p>
        </w:tc>
        <w:tc>
          <w:tcPr>
            <w:tcW w:w="2934" w:type="dxa"/>
            <w:shd w:val="clear" w:color="auto" w:fill="auto"/>
          </w:tcPr>
          <w:p w14:paraId="1D6CE713" w14:textId="11EFCD93" w:rsidR="008171A9" w:rsidRPr="00E1336C" w:rsidRDefault="000C0F30" w:rsidP="000C0F30">
            <w:pPr>
              <w:jc w:val="center"/>
              <w:rPr>
                <w:rFonts w:cs="Times New Roman"/>
                <w:lang w:eastAsia="zh-CN"/>
              </w:rPr>
            </w:pPr>
            <w:r w:rsidRPr="00E1336C">
              <w:rPr>
                <w:rFonts w:cs="Times New Roman"/>
                <w:lang w:eastAsia="zh-CN"/>
              </w:rPr>
              <w:t>410 ± 14.8</w:t>
            </w:r>
          </w:p>
        </w:tc>
        <w:tc>
          <w:tcPr>
            <w:tcW w:w="3081" w:type="dxa"/>
            <w:shd w:val="clear" w:color="auto" w:fill="auto"/>
          </w:tcPr>
          <w:p w14:paraId="75E97B59" w14:textId="7BFDB63F" w:rsidR="008171A9" w:rsidRPr="00E1336C" w:rsidRDefault="000C0F30" w:rsidP="000C0F30">
            <w:pPr>
              <w:jc w:val="center"/>
              <w:rPr>
                <w:rFonts w:cs="Times New Roman"/>
                <w:lang w:eastAsia="zh-CN"/>
              </w:rPr>
            </w:pPr>
            <w:r w:rsidRPr="00E1336C">
              <w:rPr>
                <w:rFonts w:cs="Times New Roman"/>
                <w:lang w:eastAsia="zh-CN"/>
              </w:rPr>
              <w:t>136 ± 43.4</w:t>
            </w:r>
          </w:p>
        </w:tc>
      </w:tr>
      <w:tr w:rsidR="008171A9" w:rsidRPr="00E1336C" w14:paraId="3F90E00D" w14:textId="77777777" w:rsidTr="000408F7">
        <w:trPr>
          <w:trHeight w:val="379"/>
        </w:trPr>
        <w:tc>
          <w:tcPr>
            <w:tcW w:w="3227" w:type="dxa"/>
            <w:shd w:val="clear" w:color="auto" w:fill="auto"/>
          </w:tcPr>
          <w:p w14:paraId="1238D151" w14:textId="0FD1D717" w:rsidR="008171A9" w:rsidRPr="00E1336C" w:rsidRDefault="008171A9" w:rsidP="005C0D28">
            <w:pPr>
              <w:rPr>
                <w:rFonts w:cs="Times New Roman"/>
                <w:lang w:eastAsia="zh-CN"/>
              </w:rPr>
            </w:pPr>
            <w:proofErr w:type="spellStart"/>
            <w:r w:rsidRPr="00E1336C">
              <w:rPr>
                <w:rFonts w:cs="Times New Roman"/>
                <w:lang w:eastAsia="zh-CN"/>
              </w:rPr>
              <w:t>AUC</w:t>
            </w:r>
            <w:r w:rsidR="000C0F30" w:rsidRPr="00E1336C">
              <w:rPr>
                <w:rFonts w:cs="Times New Roman"/>
                <w:vertAlign w:val="subscript"/>
                <w:lang w:eastAsia="zh-CN"/>
              </w:rPr>
              <w:t>inf</w:t>
            </w:r>
            <w:proofErr w:type="spellEnd"/>
            <w:r w:rsidR="000C0F30" w:rsidRPr="00E1336C">
              <w:rPr>
                <w:rFonts w:cs="Times New Roman"/>
                <w:vertAlign w:val="subscript"/>
                <w:lang w:eastAsia="zh-CN"/>
              </w:rPr>
              <w:t>.</w:t>
            </w:r>
            <w:r w:rsidR="000C0F30" w:rsidRPr="00E1336C">
              <w:rPr>
                <w:rFonts w:cs="Times New Roman"/>
                <w:lang w:eastAsia="zh-CN"/>
              </w:rPr>
              <w:t xml:space="preserve"> (hr*ng/ml)</w:t>
            </w:r>
            <w:r w:rsidRPr="00E1336C">
              <w:rPr>
                <w:rFonts w:cs="Times New Roman"/>
                <w:lang w:eastAsia="zh-CN"/>
              </w:rPr>
              <w:t xml:space="preserve"> </w:t>
            </w:r>
            <w:r w:rsidR="000C0F30" w:rsidRPr="00E1336C">
              <w:rPr>
                <w:rFonts w:cs="Times New Roman"/>
                <w:vertAlign w:val="superscript"/>
                <w:lang w:eastAsia="zh-CN"/>
              </w:rPr>
              <w:t>b</w:t>
            </w:r>
          </w:p>
        </w:tc>
        <w:tc>
          <w:tcPr>
            <w:tcW w:w="2934" w:type="dxa"/>
            <w:shd w:val="clear" w:color="auto" w:fill="auto"/>
          </w:tcPr>
          <w:p w14:paraId="28C2D31D" w14:textId="3C4C30EF" w:rsidR="008171A9" w:rsidRPr="00E1336C" w:rsidRDefault="000C0F30" w:rsidP="000C0F30">
            <w:pPr>
              <w:jc w:val="center"/>
              <w:rPr>
                <w:rFonts w:cs="Times New Roman"/>
                <w:lang w:eastAsia="zh-CN"/>
              </w:rPr>
            </w:pPr>
            <w:r w:rsidRPr="00E1336C">
              <w:rPr>
                <w:rFonts w:cs="Times New Roman"/>
                <w:lang w:eastAsia="zh-CN"/>
              </w:rPr>
              <w:t>1438 ± 363</w:t>
            </w:r>
          </w:p>
        </w:tc>
        <w:tc>
          <w:tcPr>
            <w:tcW w:w="3081" w:type="dxa"/>
            <w:shd w:val="clear" w:color="auto" w:fill="auto"/>
          </w:tcPr>
          <w:p w14:paraId="5529CC56" w14:textId="1D074E1B" w:rsidR="008171A9" w:rsidRPr="00E1336C" w:rsidRDefault="000C0F30" w:rsidP="000C0F30">
            <w:pPr>
              <w:jc w:val="center"/>
              <w:rPr>
                <w:rFonts w:cs="Times New Roman"/>
                <w:lang w:eastAsia="zh-CN"/>
              </w:rPr>
            </w:pPr>
            <w:r w:rsidRPr="00E1336C">
              <w:rPr>
                <w:rFonts w:cs="Times New Roman"/>
                <w:lang w:eastAsia="zh-CN"/>
              </w:rPr>
              <w:t>608 ± 65.2</w:t>
            </w:r>
          </w:p>
        </w:tc>
      </w:tr>
      <w:tr w:rsidR="008171A9" w:rsidRPr="00E1336C" w14:paraId="5A7B3928" w14:textId="77777777" w:rsidTr="000408F7">
        <w:trPr>
          <w:trHeight w:val="380"/>
        </w:trPr>
        <w:tc>
          <w:tcPr>
            <w:tcW w:w="3227" w:type="dxa"/>
            <w:tcBorders>
              <w:bottom w:val="single" w:sz="4" w:space="0" w:color="auto"/>
            </w:tcBorders>
            <w:shd w:val="clear" w:color="auto" w:fill="auto"/>
          </w:tcPr>
          <w:p w14:paraId="33F02046" w14:textId="4A66BD66" w:rsidR="008171A9" w:rsidRPr="00E1336C" w:rsidRDefault="000C0F30" w:rsidP="00AA04BE">
            <w:pPr>
              <w:rPr>
                <w:rFonts w:cs="Times New Roman"/>
                <w:lang w:eastAsia="zh-CN"/>
              </w:rPr>
            </w:pPr>
            <w:r w:rsidRPr="00E1336C">
              <w:rPr>
                <w:rFonts w:cs="Times New Roman"/>
                <w:lang w:eastAsia="zh-CN"/>
              </w:rPr>
              <w:t xml:space="preserve">Bioavailability (%) </w:t>
            </w:r>
            <w:r w:rsidRPr="00E1336C">
              <w:rPr>
                <w:rFonts w:cs="Times New Roman"/>
                <w:vertAlign w:val="superscript"/>
                <w:lang w:eastAsia="zh-CN"/>
              </w:rPr>
              <w:t>b</w:t>
            </w:r>
          </w:p>
        </w:tc>
        <w:tc>
          <w:tcPr>
            <w:tcW w:w="2934" w:type="dxa"/>
            <w:tcBorders>
              <w:bottom w:val="single" w:sz="4" w:space="0" w:color="auto"/>
            </w:tcBorders>
            <w:shd w:val="clear" w:color="auto" w:fill="auto"/>
          </w:tcPr>
          <w:p w14:paraId="1E12F732" w14:textId="21BFB7EB" w:rsidR="008171A9" w:rsidRPr="00E1336C" w:rsidRDefault="000C0F30" w:rsidP="000C0F30">
            <w:pPr>
              <w:jc w:val="center"/>
              <w:rPr>
                <w:rFonts w:cs="Times New Roman"/>
                <w:lang w:eastAsia="zh-CN"/>
              </w:rPr>
            </w:pPr>
            <w:r w:rsidRPr="00E1336C">
              <w:rPr>
                <w:rFonts w:cs="Times New Roman"/>
                <w:lang w:eastAsia="zh-CN"/>
              </w:rPr>
              <w:t>76.4 ± 19.3</w:t>
            </w:r>
          </w:p>
        </w:tc>
        <w:tc>
          <w:tcPr>
            <w:tcW w:w="3081" w:type="dxa"/>
            <w:tcBorders>
              <w:bottom w:val="single" w:sz="4" w:space="0" w:color="auto"/>
            </w:tcBorders>
            <w:shd w:val="clear" w:color="auto" w:fill="auto"/>
          </w:tcPr>
          <w:p w14:paraId="58A203DE" w14:textId="1F566322" w:rsidR="008171A9" w:rsidRPr="00E1336C" w:rsidRDefault="000C0F30" w:rsidP="000C0F30">
            <w:pPr>
              <w:jc w:val="center"/>
              <w:rPr>
                <w:rFonts w:cs="Times New Roman"/>
                <w:lang w:eastAsia="zh-CN"/>
              </w:rPr>
            </w:pPr>
            <w:r w:rsidRPr="00E1336C">
              <w:rPr>
                <w:rFonts w:cs="Times New Roman"/>
                <w:lang w:eastAsia="zh-CN"/>
              </w:rPr>
              <w:t>41.3 ± 4.43</w:t>
            </w:r>
          </w:p>
        </w:tc>
      </w:tr>
    </w:tbl>
    <w:p w14:paraId="712A5CB8" w14:textId="31E86F50" w:rsidR="008171A9" w:rsidRPr="00E1336C" w:rsidRDefault="000C0F30" w:rsidP="00AA04BE">
      <w:pPr>
        <w:rPr>
          <w:rFonts w:cs="Times New Roman"/>
          <w:i/>
          <w:sz w:val="18"/>
          <w:szCs w:val="18"/>
          <w:lang w:eastAsia="zh-CN"/>
        </w:rPr>
      </w:pPr>
      <w:r w:rsidRPr="00E1336C">
        <w:rPr>
          <w:rFonts w:cs="Times New Roman"/>
          <w:i/>
          <w:sz w:val="18"/>
          <w:szCs w:val="18"/>
        </w:rPr>
        <w:t xml:space="preserve">Table </w:t>
      </w:r>
      <w:r w:rsidRPr="00E1336C">
        <w:rPr>
          <w:rFonts w:cs="Times New Roman"/>
          <w:i/>
          <w:sz w:val="18"/>
          <w:szCs w:val="18"/>
          <w:lang w:eastAsia="zh-CN"/>
        </w:rPr>
        <w:t>6</w:t>
      </w:r>
      <w:r w:rsidRPr="00E1336C">
        <w:rPr>
          <w:rFonts w:cs="Times New Roman"/>
          <w:i/>
          <w:sz w:val="18"/>
          <w:szCs w:val="18"/>
        </w:rPr>
        <w:t>:</w:t>
      </w:r>
      <w:r w:rsidRPr="00E1336C">
        <w:rPr>
          <w:rFonts w:cs="Times New Roman"/>
          <w:i/>
          <w:sz w:val="18"/>
          <w:szCs w:val="18"/>
          <w:lang w:eastAsia="zh-CN"/>
        </w:rPr>
        <w:t xml:space="preserve"> Summary of </w:t>
      </w:r>
      <w:r w:rsidR="000408F7" w:rsidRPr="00E1336C">
        <w:rPr>
          <w:rFonts w:cs="Times New Roman"/>
          <w:i/>
          <w:sz w:val="18"/>
          <w:szCs w:val="18"/>
          <w:lang w:eastAsia="zh-CN"/>
        </w:rPr>
        <w:t>selected oral PK data from PK stud</w:t>
      </w:r>
      <w:r w:rsidR="00882B24" w:rsidRPr="00E1336C">
        <w:rPr>
          <w:rFonts w:cs="Times New Roman"/>
          <w:i/>
          <w:sz w:val="18"/>
          <w:szCs w:val="18"/>
          <w:lang w:eastAsia="zh-CN"/>
        </w:rPr>
        <w:t>ies</w:t>
      </w:r>
      <w:r w:rsidR="000408F7" w:rsidRPr="00E1336C">
        <w:rPr>
          <w:rFonts w:cs="Times New Roman"/>
          <w:i/>
          <w:sz w:val="18"/>
          <w:szCs w:val="18"/>
          <w:lang w:eastAsia="zh-CN"/>
        </w:rPr>
        <w:t xml:space="preserve"> in the rat. </w:t>
      </w:r>
      <w:r w:rsidR="000408F7" w:rsidRPr="00E1336C">
        <w:rPr>
          <w:rFonts w:cs="Times New Roman"/>
          <w:i/>
          <w:sz w:val="18"/>
          <w:szCs w:val="18"/>
          <w:vertAlign w:val="superscript"/>
          <w:lang w:eastAsia="zh-CN"/>
        </w:rPr>
        <w:t>a</w:t>
      </w:r>
      <w:r w:rsidR="000408F7" w:rsidRPr="00E1336C">
        <w:rPr>
          <w:rFonts w:cs="Times New Roman"/>
          <w:i/>
          <w:sz w:val="18"/>
          <w:szCs w:val="18"/>
          <w:lang w:eastAsia="zh-CN"/>
        </w:rPr>
        <w:t xml:space="preserve"> Single oral dose using 10%DMSO +90%(5%Tween80 in 20 mM phosphate buffer (pH 3.0)) as formulation with male SD rats. </w:t>
      </w:r>
      <w:r w:rsidR="000408F7" w:rsidRPr="00E1336C">
        <w:rPr>
          <w:rFonts w:cs="Times New Roman"/>
          <w:i/>
          <w:sz w:val="18"/>
          <w:szCs w:val="18"/>
          <w:vertAlign w:val="superscript"/>
          <w:lang w:eastAsia="zh-CN"/>
        </w:rPr>
        <w:t>b</w:t>
      </w:r>
      <w:r w:rsidR="000408F7" w:rsidRPr="00E1336C">
        <w:rPr>
          <w:rFonts w:cs="Times New Roman"/>
          <w:i/>
          <w:sz w:val="18"/>
          <w:szCs w:val="18"/>
          <w:lang w:eastAsia="zh-CN"/>
        </w:rPr>
        <w:t xml:space="preserve"> Mean values ± SD, n = 3.</w:t>
      </w:r>
    </w:p>
    <w:p w14:paraId="6624D457" w14:textId="3D0328EE" w:rsidR="00E047D3" w:rsidRPr="00E1336C" w:rsidRDefault="00816F47" w:rsidP="00AA04BE">
      <w:pPr>
        <w:rPr>
          <w:rFonts w:cs="Times New Roman"/>
        </w:rPr>
      </w:pPr>
      <w:r w:rsidRPr="00E1336C">
        <w:rPr>
          <w:rFonts w:cs="Times New Roman"/>
        </w:rPr>
        <w:t>In conclusion, we have developed a methodology for the synthesis of chiral non-linear analogues of second generation tetraoxane containing antimalarials. The synthesised analogues all possessed low nanomolar activity against</w:t>
      </w:r>
      <w:r w:rsidR="00EA4A96" w:rsidRPr="00E1336C">
        <w:rPr>
          <w:rFonts w:cs="Times New Roman"/>
          <w:lang w:eastAsia="zh-CN"/>
        </w:rPr>
        <w:t xml:space="preserve"> two strains of</w:t>
      </w:r>
      <w:r w:rsidRPr="00E1336C">
        <w:rPr>
          <w:rFonts w:cs="Times New Roman"/>
        </w:rPr>
        <w:t xml:space="preserve"> </w:t>
      </w:r>
      <w:r w:rsidRPr="00E1336C">
        <w:rPr>
          <w:rFonts w:cs="Times New Roman"/>
          <w:i/>
          <w:iCs/>
        </w:rPr>
        <w:t xml:space="preserve">P. falciparum </w:t>
      </w:r>
      <w:r w:rsidRPr="00E1336C">
        <w:rPr>
          <w:rFonts w:cs="Times New Roman"/>
        </w:rPr>
        <w:t>with no significant difference</w:t>
      </w:r>
      <w:r w:rsidR="00EB5C18" w:rsidRPr="00E1336C">
        <w:rPr>
          <w:rFonts w:cs="Times New Roman"/>
        </w:rPr>
        <w:t xml:space="preserve"> in in vitro potency</w:t>
      </w:r>
      <w:r w:rsidRPr="00E1336C">
        <w:rPr>
          <w:rFonts w:cs="Times New Roman"/>
        </w:rPr>
        <w:t xml:space="preserve"> between enantiomeric pairs. </w:t>
      </w:r>
      <w:r w:rsidR="00E607B5" w:rsidRPr="00E1336C">
        <w:rPr>
          <w:rFonts w:cs="Times New Roman"/>
        </w:rPr>
        <w:t>I</w:t>
      </w:r>
      <w:r w:rsidR="00412575" w:rsidRPr="00E1336C">
        <w:rPr>
          <w:rFonts w:cs="Times New Roman"/>
        </w:rPr>
        <w:t>ntroduction of non-linearity succe</w:t>
      </w:r>
      <w:r w:rsidR="00E607B5" w:rsidRPr="00E1336C">
        <w:rPr>
          <w:rFonts w:cs="Times New Roman"/>
        </w:rPr>
        <w:t>ssfully decreased melting point</w:t>
      </w:r>
      <w:r w:rsidR="00412575" w:rsidRPr="00E1336C">
        <w:rPr>
          <w:rFonts w:cs="Times New Roman"/>
        </w:rPr>
        <w:t xml:space="preserve"> </w:t>
      </w:r>
      <w:r w:rsidR="00E607B5" w:rsidRPr="00E1336C">
        <w:rPr>
          <w:rFonts w:cs="Times New Roman"/>
        </w:rPr>
        <w:t xml:space="preserve">and displayed significant improvements in </w:t>
      </w:r>
      <w:r w:rsidR="00EA4A96" w:rsidRPr="00E1336C">
        <w:rPr>
          <w:rFonts w:cs="Times New Roman"/>
          <w:lang w:eastAsia="zh-CN"/>
        </w:rPr>
        <w:t>FaSSIF</w:t>
      </w:r>
      <w:r w:rsidR="00EA4A96" w:rsidRPr="00E1336C">
        <w:rPr>
          <w:rFonts w:cs="Times New Roman"/>
        </w:rPr>
        <w:t xml:space="preserve"> </w:t>
      </w:r>
      <w:r w:rsidR="00E607B5" w:rsidRPr="00E1336C">
        <w:rPr>
          <w:rFonts w:cs="Times New Roman"/>
        </w:rPr>
        <w:t>solubility</w:t>
      </w:r>
      <w:r w:rsidR="00412575" w:rsidRPr="00E1336C">
        <w:rPr>
          <w:rFonts w:cs="Times New Roman"/>
        </w:rPr>
        <w:t xml:space="preserve">. </w:t>
      </w:r>
      <w:r w:rsidR="00027519" w:rsidRPr="00E1336C">
        <w:rPr>
          <w:rFonts w:cs="Times New Roman"/>
        </w:rPr>
        <w:t>This effect was more profound for the N205 benzyl amine analogues examined</w:t>
      </w:r>
      <w:r w:rsidR="00CC1F2D" w:rsidRPr="00E1336C">
        <w:rPr>
          <w:rFonts w:cs="Times New Roman"/>
        </w:rPr>
        <w:t xml:space="preserve"> </w:t>
      </w:r>
      <w:r w:rsidR="00027519" w:rsidRPr="00E1336C">
        <w:rPr>
          <w:rFonts w:cs="Times New Roman"/>
        </w:rPr>
        <w:t xml:space="preserve">in this study. </w:t>
      </w:r>
      <w:r w:rsidR="00526AAF" w:rsidRPr="00E1336C">
        <w:rPr>
          <w:rFonts w:cs="Times New Roman"/>
          <w:lang w:eastAsia="zh-CN"/>
        </w:rPr>
        <w:t>Head-to-head oral PK studies in the rat between the s</w:t>
      </w:r>
      <w:r w:rsidR="005F1AF8" w:rsidRPr="00E1336C">
        <w:rPr>
          <w:rFonts w:cs="Times New Roman"/>
          <w:lang w:eastAsia="zh-CN"/>
        </w:rPr>
        <w:t xml:space="preserve">elected non-linear analogue, </w:t>
      </w:r>
      <w:r w:rsidR="005F1AF8" w:rsidRPr="00E1336C">
        <w:rPr>
          <w:rFonts w:cs="Times New Roman"/>
          <w:b/>
          <w:lang w:eastAsia="zh-CN"/>
        </w:rPr>
        <w:t>14a</w:t>
      </w:r>
      <w:r w:rsidR="00526AAF" w:rsidRPr="00E1336C">
        <w:rPr>
          <w:rFonts w:cs="Times New Roman"/>
          <w:lang w:eastAsia="zh-CN"/>
        </w:rPr>
        <w:t xml:space="preserve"> and its parent, </w:t>
      </w:r>
      <w:r w:rsidR="00526AAF" w:rsidRPr="00E1336C">
        <w:rPr>
          <w:rFonts w:cs="Times New Roman"/>
          <w:b/>
          <w:lang w:eastAsia="zh-CN"/>
        </w:rPr>
        <w:t>N205</w:t>
      </w:r>
      <w:r w:rsidR="00526AAF" w:rsidRPr="00E1336C">
        <w:rPr>
          <w:rFonts w:cs="Times New Roman"/>
          <w:lang w:eastAsia="zh-CN"/>
        </w:rPr>
        <w:t xml:space="preserve"> demonstrated the enhanced FaSSIF solubility of the non-linear analogues had positive impacts to the oral absorption and exposure </w:t>
      </w:r>
      <w:r w:rsidR="00526AAF" w:rsidRPr="00E1336C">
        <w:rPr>
          <w:rFonts w:cs="Times New Roman"/>
          <w:i/>
          <w:lang w:eastAsia="zh-CN"/>
        </w:rPr>
        <w:t>in vivo</w:t>
      </w:r>
      <w:r w:rsidR="00526AAF" w:rsidRPr="00E1336C">
        <w:rPr>
          <w:rFonts w:cs="Times New Roman"/>
          <w:lang w:eastAsia="zh-CN"/>
        </w:rPr>
        <w:t>.</w:t>
      </w:r>
      <w:r w:rsidR="00526AAF" w:rsidRPr="00E1336C">
        <w:rPr>
          <w:rFonts w:cs="Times New Roman" w:hint="eastAsia"/>
          <w:lang w:eastAsia="zh-CN"/>
        </w:rPr>
        <w:t xml:space="preserve"> </w:t>
      </w:r>
      <w:r w:rsidR="00EA4A96" w:rsidRPr="00E1336C">
        <w:rPr>
          <w:rFonts w:cs="Times New Roman"/>
        </w:rPr>
        <w:t xml:space="preserve">Further </w:t>
      </w:r>
      <w:r w:rsidR="00EA4A96" w:rsidRPr="00E1336C">
        <w:rPr>
          <w:rFonts w:cs="Times New Roman"/>
          <w:i/>
          <w:iCs/>
        </w:rPr>
        <w:t xml:space="preserve">in vivo </w:t>
      </w:r>
      <w:r w:rsidR="00EA4A96" w:rsidRPr="00E1336C">
        <w:rPr>
          <w:rFonts w:cs="Times New Roman"/>
        </w:rPr>
        <w:t xml:space="preserve">screening of the synthesised analogues is required to determine whether introduction of non-linearity to tetraoxane antimalarials would be beneficial to </w:t>
      </w:r>
      <w:r w:rsidR="00EA4A96" w:rsidRPr="00E1336C">
        <w:rPr>
          <w:rFonts w:cs="Times New Roman"/>
          <w:i/>
          <w:iCs/>
        </w:rPr>
        <w:t xml:space="preserve">in vivo </w:t>
      </w:r>
      <w:r w:rsidR="00EA4A96" w:rsidRPr="00E1336C">
        <w:rPr>
          <w:rFonts w:cs="Times New Roman"/>
        </w:rPr>
        <w:t>efficacy.</w:t>
      </w:r>
      <w:r w:rsidRPr="00E1336C">
        <w:rPr>
          <w:rFonts w:cs="Times New Roman"/>
        </w:rPr>
        <w:t xml:space="preserve"> </w:t>
      </w:r>
    </w:p>
    <w:p w14:paraId="2091E683" w14:textId="77777777" w:rsidR="00336CF2" w:rsidRPr="00E1336C" w:rsidRDefault="00336CF2" w:rsidP="00336CF2">
      <w:pPr>
        <w:pStyle w:val="TESupportingInfoTitle"/>
        <w:rPr>
          <w:rFonts w:ascii="Times New Roman" w:hAnsi="Times New Roman"/>
          <w:sz w:val="22"/>
          <w:szCs w:val="22"/>
        </w:rPr>
      </w:pPr>
      <w:r w:rsidRPr="00E1336C">
        <w:rPr>
          <w:rFonts w:ascii="Times New Roman" w:hAnsi="Times New Roman"/>
          <w:sz w:val="22"/>
          <w:szCs w:val="22"/>
        </w:rPr>
        <w:t xml:space="preserve">ASSOCIATED CONTENT </w:t>
      </w:r>
    </w:p>
    <w:p w14:paraId="1844EADC" w14:textId="77777777" w:rsidR="00336CF2" w:rsidRPr="00E1336C" w:rsidRDefault="00336CF2" w:rsidP="00336CF2">
      <w:pPr>
        <w:pStyle w:val="FAAuthorInfoSubtitle"/>
        <w:rPr>
          <w:rFonts w:ascii="Times New Roman" w:hAnsi="Times New Roman"/>
          <w:sz w:val="22"/>
          <w:szCs w:val="22"/>
          <w:lang w:eastAsia="zh-CN"/>
        </w:rPr>
      </w:pPr>
      <w:r w:rsidRPr="00E1336C">
        <w:rPr>
          <w:rFonts w:ascii="Times New Roman" w:hAnsi="Times New Roman"/>
          <w:sz w:val="22"/>
          <w:szCs w:val="22"/>
        </w:rPr>
        <w:t>Supporting Information</w:t>
      </w:r>
    </w:p>
    <w:p w14:paraId="26F2C766" w14:textId="371FFA99" w:rsidR="00336CF2" w:rsidRPr="00E1336C" w:rsidRDefault="00336CF2" w:rsidP="00336CF2">
      <w:pPr>
        <w:pStyle w:val="TESupportingInformation"/>
        <w:rPr>
          <w:rFonts w:ascii="Times New Roman" w:hAnsi="Times New Roman"/>
          <w:b/>
          <w:sz w:val="22"/>
          <w:szCs w:val="22"/>
          <w:lang w:eastAsia="zh-CN"/>
        </w:rPr>
      </w:pPr>
      <w:r w:rsidRPr="00E1336C">
        <w:rPr>
          <w:rFonts w:ascii="Times New Roman" w:hAnsi="Times New Roman"/>
          <w:sz w:val="22"/>
          <w:szCs w:val="22"/>
        </w:rPr>
        <w:t xml:space="preserve">Supporting information is provided on </w:t>
      </w:r>
      <w:r w:rsidR="00231B15" w:rsidRPr="00E1336C">
        <w:rPr>
          <w:rFonts w:ascii="Times New Roman" w:hAnsi="Times New Roman"/>
          <w:sz w:val="22"/>
          <w:szCs w:val="22"/>
        </w:rPr>
        <w:t xml:space="preserve">computational </w:t>
      </w:r>
      <w:r w:rsidR="006D137E" w:rsidRPr="00E1336C">
        <w:rPr>
          <w:rFonts w:ascii="Times New Roman" w:hAnsi="Times New Roman"/>
          <w:sz w:val="22"/>
          <w:szCs w:val="22"/>
        </w:rPr>
        <w:t>chemistry, in</w:t>
      </w:r>
      <w:r w:rsidRPr="00E1336C">
        <w:rPr>
          <w:rFonts w:ascii="Times New Roman" w:hAnsi="Times New Roman"/>
          <w:i/>
          <w:sz w:val="22"/>
          <w:szCs w:val="22"/>
        </w:rPr>
        <w:t xml:space="preserve"> vitro</w:t>
      </w:r>
      <w:r w:rsidRPr="00E1336C">
        <w:rPr>
          <w:rFonts w:ascii="Times New Roman" w:hAnsi="Times New Roman"/>
          <w:sz w:val="22"/>
          <w:szCs w:val="22"/>
        </w:rPr>
        <w:t xml:space="preserve"> biological testing, </w:t>
      </w:r>
      <w:r w:rsidR="00231B15" w:rsidRPr="00E1336C">
        <w:rPr>
          <w:rFonts w:ascii="Times New Roman" w:hAnsi="Times New Roman"/>
          <w:sz w:val="22"/>
          <w:szCs w:val="22"/>
        </w:rPr>
        <w:t>Fassif solubility measurments, synthesis and HPLC traces for key intermediates and final products,</w:t>
      </w:r>
      <w:r w:rsidRPr="00E1336C">
        <w:rPr>
          <w:rFonts w:ascii="Times New Roman" w:hAnsi="Times New Roman"/>
          <w:sz w:val="22"/>
          <w:szCs w:val="22"/>
        </w:rPr>
        <w:t xml:space="preserve"> </w:t>
      </w:r>
      <w:r w:rsidR="000408F7" w:rsidRPr="00E1336C">
        <w:rPr>
          <w:rFonts w:ascii="Times New Roman" w:hAnsi="Times New Roman" w:hint="eastAsia"/>
          <w:sz w:val="22"/>
          <w:szCs w:val="22"/>
          <w:lang w:eastAsia="zh-CN"/>
        </w:rPr>
        <w:t xml:space="preserve">and </w:t>
      </w:r>
      <w:r w:rsidR="000773DB" w:rsidRPr="00E1336C">
        <w:rPr>
          <w:rFonts w:ascii="Times New Roman" w:hAnsi="Times New Roman" w:hint="eastAsia"/>
          <w:i/>
          <w:sz w:val="22"/>
          <w:szCs w:val="22"/>
          <w:lang w:eastAsia="zh-CN"/>
        </w:rPr>
        <w:t>in vivo</w:t>
      </w:r>
      <w:r w:rsidR="000773DB" w:rsidRPr="00E1336C">
        <w:rPr>
          <w:rFonts w:ascii="Times New Roman" w:hAnsi="Times New Roman" w:hint="eastAsia"/>
          <w:sz w:val="22"/>
          <w:szCs w:val="22"/>
          <w:lang w:eastAsia="zh-CN"/>
        </w:rPr>
        <w:t xml:space="preserve"> pharmacokinetics study.</w:t>
      </w:r>
    </w:p>
    <w:p w14:paraId="4AD866DA" w14:textId="77777777" w:rsidR="00336CF2" w:rsidRPr="00E1336C" w:rsidRDefault="00336CF2" w:rsidP="00336CF2">
      <w:pPr>
        <w:pStyle w:val="TESupportingInformation"/>
        <w:rPr>
          <w:rFonts w:ascii="Times New Roman" w:hAnsi="Times New Roman"/>
          <w:sz w:val="22"/>
          <w:szCs w:val="22"/>
        </w:rPr>
      </w:pPr>
      <w:r w:rsidRPr="00E1336C">
        <w:rPr>
          <w:rFonts w:ascii="Times New Roman" w:hAnsi="Times New Roman"/>
          <w:sz w:val="22"/>
          <w:szCs w:val="22"/>
        </w:rPr>
        <w:t>The Supporting Information is available free of charge on the ACS Publications website.</w:t>
      </w:r>
    </w:p>
    <w:p w14:paraId="6AEE8805" w14:textId="77777777" w:rsidR="00336CF2" w:rsidRPr="00E1336C" w:rsidRDefault="00336CF2" w:rsidP="00336CF2">
      <w:pPr>
        <w:pStyle w:val="TESupportingInformation"/>
        <w:rPr>
          <w:rFonts w:ascii="Times New Roman" w:hAnsi="Times New Roman"/>
          <w:sz w:val="22"/>
          <w:szCs w:val="22"/>
        </w:rPr>
      </w:pPr>
    </w:p>
    <w:p w14:paraId="5BE504F3" w14:textId="77777777" w:rsidR="00336CF2" w:rsidRPr="00E1336C" w:rsidRDefault="00336CF2" w:rsidP="00336CF2">
      <w:pPr>
        <w:pStyle w:val="AuthorInformationTitle"/>
        <w:rPr>
          <w:rFonts w:ascii="Times New Roman" w:hAnsi="Times New Roman"/>
          <w:sz w:val="22"/>
          <w:szCs w:val="22"/>
        </w:rPr>
      </w:pPr>
      <w:r w:rsidRPr="00E1336C">
        <w:rPr>
          <w:rFonts w:ascii="Times New Roman" w:hAnsi="Times New Roman"/>
          <w:sz w:val="22"/>
          <w:szCs w:val="22"/>
        </w:rPr>
        <w:t>AUTHOR INFORMATION</w:t>
      </w:r>
    </w:p>
    <w:p w14:paraId="7BFBD616" w14:textId="77777777" w:rsidR="00336CF2" w:rsidRPr="00E1336C" w:rsidRDefault="00336CF2" w:rsidP="00336CF2">
      <w:pPr>
        <w:pStyle w:val="FAAuthorInfoSubtitle"/>
        <w:rPr>
          <w:rFonts w:ascii="Times New Roman" w:hAnsi="Times New Roman"/>
          <w:sz w:val="22"/>
          <w:szCs w:val="22"/>
        </w:rPr>
      </w:pPr>
      <w:r w:rsidRPr="00E1336C">
        <w:rPr>
          <w:rFonts w:ascii="Times New Roman" w:hAnsi="Times New Roman"/>
          <w:sz w:val="22"/>
          <w:szCs w:val="22"/>
        </w:rPr>
        <w:t>Corresponding Author</w:t>
      </w:r>
    </w:p>
    <w:p w14:paraId="0750F4D8" w14:textId="00452F08" w:rsidR="00336CF2" w:rsidRPr="00231B15" w:rsidRDefault="00336CF2" w:rsidP="00336CF2">
      <w:pPr>
        <w:pStyle w:val="StyleFACorrespondingAuthorFootnote7pt"/>
        <w:jc w:val="both"/>
        <w:rPr>
          <w:rFonts w:ascii="Times New Roman" w:hAnsi="Times New Roman"/>
          <w:sz w:val="22"/>
          <w:szCs w:val="22"/>
          <w:lang w:eastAsia="zh-CN"/>
        </w:rPr>
      </w:pPr>
      <w:r w:rsidRPr="00E1336C">
        <w:rPr>
          <w:rFonts w:ascii="Times New Roman" w:hAnsi="Times New Roman"/>
          <w:sz w:val="22"/>
          <w:szCs w:val="22"/>
        </w:rPr>
        <w:t xml:space="preserve">Correspondence and requests for materials should be addressed to P.M.O. (email: </w:t>
      </w:r>
      <w:hyperlink r:id="rId32" w:history="1">
        <w:r w:rsidRPr="00E1336C">
          <w:rPr>
            <w:rStyle w:val="Hyperlink"/>
            <w:rFonts w:ascii="Times New Roman" w:hAnsi="Times New Roman"/>
            <w:sz w:val="22"/>
            <w:szCs w:val="22"/>
          </w:rPr>
          <w:t>pmoneill@liverpool.ac.uk</w:t>
        </w:r>
      </w:hyperlink>
      <w:r w:rsidRPr="00E1336C">
        <w:rPr>
          <w:rFonts w:ascii="Times New Roman" w:hAnsi="Times New Roman"/>
          <w:sz w:val="22"/>
          <w:szCs w:val="22"/>
        </w:rPr>
        <w:t>)</w:t>
      </w:r>
      <w:r w:rsidRPr="00231B15">
        <w:rPr>
          <w:rFonts w:ascii="Times New Roman" w:hAnsi="Times New Roman"/>
          <w:sz w:val="22"/>
          <w:szCs w:val="22"/>
        </w:rPr>
        <w:t xml:space="preserve"> </w:t>
      </w:r>
    </w:p>
    <w:p w14:paraId="05AE8749" w14:textId="77777777" w:rsidR="00336CF2" w:rsidRPr="00231B15" w:rsidRDefault="00336CF2" w:rsidP="00336CF2">
      <w:pPr>
        <w:rPr>
          <w:rFonts w:cs="Times New Roman"/>
          <w:lang w:val="en-US"/>
        </w:rPr>
      </w:pPr>
    </w:p>
    <w:p w14:paraId="06B430B0" w14:textId="77777777" w:rsidR="005755EF" w:rsidRDefault="005755EF">
      <w:pPr>
        <w:spacing w:line="259" w:lineRule="auto"/>
        <w:jc w:val="left"/>
        <w:rPr>
          <w:rFonts w:eastAsiaTheme="minorEastAsia" w:cs="Times New Roman"/>
          <w:b/>
          <w:kern w:val="21"/>
          <w:lang w:val="en-US"/>
        </w:rPr>
      </w:pPr>
      <w:r>
        <w:br w:type="page"/>
      </w:r>
    </w:p>
    <w:p w14:paraId="39EC5509" w14:textId="3F49A10C" w:rsidR="00336CF2" w:rsidRPr="00231B15" w:rsidRDefault="00336CF2" w:rsidP="00336CF2">
      <w:pPr>
        <w:pStyle w:val="FAAuthorInfoSubtitle"/>
        <w:rPr>
          <w:rFonts w:ascii="Times New Roman" w:hAnsi="Times New Roman"/>
          <w:sz w:val="22"/>
          <w:szCs w:val="22"/>
        </w:rPr>
      </w:pPr>
      <w:r w:rsidRPr="00231B15">
        <w:rPr>
          <w:rFonts w:ascii="Times New Roman" w:hAnsi="Times New Roman"/>
          <w:sz w:val="22"/>
          <w:szCs w:val="22"/>
        </w:rPr>
        <w:lastRenderedPageBreak/>
        <w:t>Author Contributions</w:t>
      </w:r>
    </w:p>
    <w:p w14:paraId="3A870892" w14:textId="327E727A" w:rsidR="00336CF2" w:rsidRPr="00231B15" w:rsidRDefault="00336CF2" w:rsidP="00336CF2">
      <w:pPr>
        <w:pStyle w:val="StyleFACorrespondingAuthorFootnote7pt"/>
        <w:jc w:val="both"/>
        <w:rPr>
          <w:rFonts w:ascii="Times New Roman" w:hAnsi="Times New Roman"/>
          <w:sz w:val="22"/>
          <w:szCs w:val="22"/>
        </w:rPr>
      </w:pPr>
      <w:r w:rsidRPr="00231B15">
        <w:rPr>
          <w:rFonts w:ascii="Times New Roman" w:hAnsi="Times New Roman"/>
          <w:sz w:val="22"/>
          <w:szCs w:val="22"/>
        </w:rPr>
        <w:t>The manuscript was written through contributions of all authors. P.M.O.</w:t>
      </w:r>
      <w:r w:rsidR="004765FA" w:rsidRPr="00231B15">
        <w:rPr>
          <w:rFonts w:ascii="Times New Roman" w:hAnsi="Times New Roman"/>
          <w:sz w:val="22"/>
          <w:szCs w:val="22"/>
        </w:rPr>
        <w:t>, W.D.H. and CW</w:t>
      </w:r>
      <w:r w:rsidRPr="00231B15">
        <w:rPr>
          <w:rFonts w:ascii="Times New Roman" w:hAnsi="Times New Roman"/>
          <w:sz w:val="22"/>
          <w:szCs w:val="22"/>
        </w:rPr>
        <w:t xml:space="preserve"> designed research; </w:t>
      </w:r>
      <w:r w:rsidR="004765FA" w:rsidRPr="00231B15">
        <w:rPr>
          <w:rFonts w:ascii="Times New Roman" w:hAnsi="Times New Roman"/>
          <w:sz w:val="22"/>
          <w:szCs w:val="22"/>
        </w:rPr>
        <w:t>CW, NB, SP, KO, and TH</w:t>
      </w:r>
      <w:r w:rsidRPr="00231B15">
        <w:rPr>
          <w:rFonts w:ascii="Times New Roman" w:hAnsi="Times New Roman"/>
          <w:sz w:val="22"/>
          <w:szCs w:val="22"/>
        </w:rPr>
        <w:t xml:space="preserve"> performed </w:t>
      </w:r>
      <w:r w:rsidR="004765FA" w:rsidRPr="00231B15">
        <w:rPr>
          <w:rFonts w:ascii="Times New Roman" w:hAnsi="Times New Roman"/>
          <w:sz w:val="22"/>
          <w:szCs w:val="22"/>
        </w:rPr>
        <w:t xml:space="preserve">the experimental </w:t>
      </w:r>
      <w:r w:rsidRPr="00231B15">
        <w:rPr>
          <w:rFonts w:ascii="Times New Roman" w:hAnsi="Times New Roman"/>
          <w:sz w:val="22"/>
          <w:szCs w:val="22"/>
        </w:rPr>
        <w:t xml:space="preserve">research; </w:t>
      </w:r>
      <w:r w:rsidR="004765FA" w:rsidRPr="00231B15">
        <w:rPr>
          <w:rFonts w:ascii="Times New Roman" w:hAnsi="Times New Roman"/>
          <w:sz w:val="22"/>
          <w:szCs w:val="22"/>
        </w:rPr>
        <w:t xml:space="preserve">C.W., </w:t>
      </w:r>
      <w:r w:rsidRPr="00231B15">
        <w:rPr>
          <w:rFonts w:ascii="Times New Roman" w:hAnsi="Times New Roman"/>
          <w:sz w:val="22"/>
          <w:szCs w:val="22"/>
        </w:rPr>
        <w:t xml:space="preserve">W.D.H., G.L.N., </w:t>
      </w:r>
      <w:r w:rsidR="004765FA" w:rsidRPr="00231B15">
        <w:rPr>
          <w:rFonts w:ascii="Times New Roman" w:hAnsi="Times New Roman"/>
          <w:sz w:val="22"/>
          <w:szCs w:val="22"/>
        </w:rPr>
        <w:t xml:space="preserve">N.B., S.P., K.O., T.H. </w:t>
      </w:r>
      <w:r w:rsidRPr="00231B15">
        <w:rPr>
          <w:rFonts w:ascii="Times New Roman" w:hAnsi="Times New Roman"/>
          <w:sz w:val="22"/>
          <w:szCs w:val="22"/>
        </w:rPr>
        <w:t>and P.M.O. analysed data.</w:t>
      </w:r>
    </w:p>
    <w:p w14:paraId="69609BC2" w14:textId="77777777" w:rsidR="00336CF2" w:rsidRPr="00231B15" w:rsidRDefault="00336CF2" w:rsidP="00336CF2">
      <w:pPr>
        <w:pStyle w:val="StyleFACorrespondingAuthorFootnote7pt"/>
        <w:jc w:val="both"/>
        <w:rPr>
          <w:rFonts w:ascii="Times New Roman" w:hAnsi="Times New Roman"/>
          <w:sz w:val="22"/>
          <w:szCs w:val="22"/>
        </w:rPr>
      </w:pPr>
      <w:r w:rsidRPr="00231B15">
        <w:rPr>
          <w:rFonts w:ascii="Times New Roman" w:hAnsi="Times New Roman"/>
          <w:sz w:val="22"/>
          <w:szCs w:val="22"/>
        </w:rPr>
        <w:br/>
      </w:r>
      <w:r w:rsidRPr="00231B15">
        <w:rPr>
          <w:rStyle w:val="FAAuthorInfoSubtitleChar"/>
          <w:rFonts w:ascii="Times New Roman" w:hAnsi="Times New Roman"/>
          <w:sz w:val="22"/>
          <w:szCs w:val="22"/>
        </w:rPr>
        <w:t>Notes</w:t>
      </w:r>
      <w:r w:rsidRPr="00231B15">
        <w:rPr>
          <w:rStyle w:val="FAAuthorInfoSubtitleChar"/>
          <w:rFonts w:ascii="Times New Roman" w:hAnsi="Times New Roman"/>
          <w:sz w:val="22"/>
          <w:szCs w:val="22"/>
        </w:rPr>
        <w:br/>
      </w:r>
      <w:r w:rsidRPr="00231B15">
        <w:rPr>
          <w:rFonts w:ascii="Times New Roman" w:hAnsi="Times New Roman"/>
          <w:sz w:val="22"/>
          <w:szCs w:val="22"/>
        </w:rPr>
        <w:t>The authors declare no competing financial interests.</w:t>
      </w:r>
    </w:p>
    <w:p w14:paraId="3A444FB2" w14:textId="77777777" w:rsidR="00336CF2" w:rsidRPr="00231B15" w:rsidRDefault="00336CF2" w:rsidP="00336CF2">
      <w:pPr>
        <w:pStyle w:val="StyleFACorrespondingAuthorFootnote7pt"/>
        <w:rPr>
          <w:rFonts w:ascii="Times New Roman" w:hAnsi="Times New Roman"/>
          <w:sz w:val="22"/>
          <w:szCs w:val="22"/>
        </w:rPr>
      </w:pPr>
    </w:p>
    <w:p w14:paraId="69B240EB" w14:textId="77777777" w:rsidR="00336CF2" w:rsidRPr="00231B15" w:rsidRDefault="00336CF2" w:rsidP="00336CF2">
      <w:pPr>
        <w:pStyle w:val="TDAckTitle"/>
        <w:rPr>
          <w:rFonts w:ascii="Times New Roman" w:hAnsi="Times New Roman"/>
          <w:sz w:val="22"/>
          <w:szCs w:val="22"/>
        </w:rPr>
      </w:pPr>
      <w:r w:rsidRPr="00231B15">
        <w:rPr>
          <w:rFonts w:ascii="Times New Roman" w:hAnsi="Times New Roman"/>
          <w:sz w:val="22"/>
          <w:szCs w:val="22"/>
        </w:rPr>
        <w:t xml:space="preserve">ACKNOWLEDGMENT </w:t>
      </w:r>
    </w:p>
    <w:p w14:paraId="74B0B2F4" w14:textId="77777777" w:rsidR="003F5C7B" w:rsidRDefault="00336CF2" w:rsidP="00182760">
      <w:pPr>
        <w:pStyle w:val="TDAcknowledgments"/>
        <w:rPr>
          <w:rFonts w:ascii="Times New Roman" w:hAnsi="Times New Roman"/>
          <w:sz w:val="22"/>
          <w:szCs w:val="22"/>
        </w:rPr>
      </w:pPr>
      <w:r w:rsidRPr="00231B15">
        <w:rPr>
          <w:rFonts w:ascii="Times New Roman" w:hAnsi="Times New Roman"/>
          <w:sz w:val="22"/>
          <w:szCs w:val="22"/>
          <w:lang w:val="en-GB"/>
        </w:rPr>
        <w:t xml:space="preserve">The authors wish to thank </w:t>
      </w:r>
      <w:r w:rsidR="00231B15" w:rsidRPr="00231B15">
        <w:rPr>
          <w:rFonts w:ascii="Times New Roman" w:hAnsi="Times New Roman"/>
          <w:sz w:val="22"/>
          <w:szCs w:val="22"/>
        </w:rPr>
        <w:t>Global Health and Innovative Technology (GHIT) Fund (G2015-120, S.A.W., P.M.O’N., G.A.B, G.L.N.)</w:t>
      </w:r>
      <w:r w:rsidR="00CC0C1A">
        <w:rPr>
          <w:rFonts w:ascii="Times New Roman" w:hAnsi="Times New Roman"/>
          <w:sz w:val="22"/>
          <w:szCs w:val="22"/>
        </w:rPr>
        <w:t xml:space="preserve"> for financial support</w:t>
      </w:r>
      <w:r w:rsidR="00231B15" w:rsidRPr="00231B15">
        <w:rPr>
          <w:rFonts w:ascii="Times New Roman" w:hAnsi="Times New Roman"/>
          <w:sz w:val="22"/>
          <w:szCs w:val="22"/>
        </w:rPr>
        <w:t xml:space="preserve"> </w:t>
      </w:r>
      <w:r w:rsidRPr="00231B15">
        <w:rPr>
          <w:rFonts w:ascii="Times New Roman" w:hAnsi="Times New Roman"/>
          <w:sz w:val="22"/>
          <w:szCs w:val="22"/>
          <w:lang w:val="en-GB"/>
        </w:rPr>
        <w:t>and to Susan Charman</w:t>
      </w:r>
      <w:r w:rsidR="004765FA" w:rsidRPr="00231B15">
        <w:rPr>
          <w:rFonts w:ascii="Times New Roman" w:hAnsi="Times New Roman"/>
          <w:sz w:val="22"/>
          <w:szCs w:val="22"/>
          <w:lang w:val="en-GB"/>
        </w:rPr>
        <w:t xml:space="preserve"> (Monash</w:t>
      </w:r>
      <w:r w:rsidR="00E77525" w:rsidRPr="00231B15">
        <w:rPr>
          <w:rFonts w:ascii="Times New Roman" w:hAnsi="Times New Roman"/>
          <w:sz w:val="22"/>
          <w:szCs w:val="22"/>
          <w:lang w:val="en-GB"/>
        </w:rPr>
        <w:t xml:space="preserve"> University</w:t>
      </w:r>
      <w:r w:rsidR="00E84C6C" w:rsidRPr="00231B15">
        <w:rPr>
          <w:rFonts w:ascii="Times New Roman" w:hAnsi="Times New Roman"/>
          <w:sz w:val="22"/>
          <w:szCs w:val="22"/>
          <w:lang w:val="en-GB"/>
        </w:rPr>
        <w:t>, Australia</w:t>
      </w:r>
      <w:r w:rsidR="004765FA" w:rsidRPr="00231B15">
        <w:rPr>
          <w:rFonts w:ascii="Times New Roman" w:hAnsi="Times New Roman"/>
          <w:sz w:val="22"/>
          <w:szCs w:val="22"/>
          <w:lang w:val="en-GB"/>
        </w:rPr>
        <w:t>)</w:t>
      </w:r>
      <w:r w:rsidRPr="00231B15">
        <w:rPr>
          <w:rFonts w:ascii="Times New Roman" w:hAnsi="Times New Roman"/>
          <w:sz w:val="22"/>
          <w:szCs w:val="22"/>
          <w:lang w:val="en-GB"/>
        </w:rPr>
        <w:t xml:space="preserve"> for </w:t>
      </w:r>
      <w:r w:rsidR="004765FA" w:rsidRPr="00231B15">
        <w:rPr>
          <w:rFonts w:ascii="Times New Roman" w:hAnsi="Times New Roman"/>
          <w:sz w:val="22"/>
          <w:szCs w:val="22"/>
          <w:lang w:val="en-GB"/>
        </w:rPr>
        <w:t xml:space="preserve">historical </w:t>
      </w:r>
      <w:r w:rsidRPr="00231B15">
        <w:rPr>
          <w:rFonts w:ascii="Times New Roman" w:hAnsi="Times New Roman"/>
          <w:sz w:val="22"/>
          <w:szCs w:val="22"/>
          <w:lang w:val="en-GB"/>
        </w:rPr>
        <w:t xml:space="preserve">sharing </w:t>
      </w:r>
      <w:r w:rsidR="004765FA" w:rsidRPr="00231B15">
        <w:rPr>
          <w:rFonts w:ascii="Times New Roman" w:hAnsi="Times New Roman"/>
          <w:sz w:val="22"/>
          <w:szCs w:val="22"/>
          <w:lang w:val="en-GB"/>
        </w:rPr>
        <w:t xml:space="preserve">of </w:t>
      </w:r>
      <w:r w:rsidRPr="00231B15">
        <w:rPr>
          <w:rFonts w:ascii="Times New Roman" w:hAnsi="Times New Roman"/>
          <w:sz w:val="22"/>
          <w:szCs w:val="22"/>
          <w:lang w:val="en-GB"/>
        </w:rPr>
        <w:t xml:space="preserve">data </w:t>
      </w:r>
      <w:r w:rsidR="004765FA" w:rsidRPr="00231B15">
        <w:rPr>
          <w:rFonts w:ascii="Times New Roman" w:hAnsi="Times New Roman"/>
          <w:sz w:val="22"/>
          <w:szCs w:val="22"/>
          <w:lang w:val="en-GB"/>
        </w:rPr>
        <w:t xml:space="preserve">on </w:t>
      </w:r>
      <w:r w:rsidRPr="00231B15">
        <w:rPr>
          <w:rFonts w:ascii="Times New Roman" w:hAnsi="Times New Roman"/>
          <w:sz w:val="22"/>
          <w:szCs w:val="22"/>
          <w:lang w:val="en-GB"/>
        </w:rPr>
        <w:t>OZ439.</w:t>
      </w:r>
      <w:r w:rsidRPr="00231B15">
        <w:rPr>
          <w:rFonts w:ascii="Times New Roman" w:hAnsi="Times New Roman"/>
          <w:sz w:val="22"/>
          <w:szCs w:val="22"/>
          <w:vertAlign w:val="superscript"/>
          <w:lang w:val="en-GB"/>
        </w:rPr>
        <w:t>26</w:t>
      </w:r>
      <w:r w:rsidR="00182760" w:rsidRPr="00231B15">
        <w:rPr>
          <w:rFonts w:ascii="Times New Roman" w:eastAsia="Times New Roman" w:hAnsi="Times New Roman"/>
          <w:sz w:val="22"/>
          <w:szCs w:val="22"/>
          <w:lang w:eastAsia="en-GB"/>
        </w:rPr>
        <w:t xml:space="preserve"> </w:t>
      </w:r>
      <w:r w:rsidR="00182760" w:rsidRPr="00231B15">
        <w:rPr>
          <w:rFonts w:ascii="Times New Roman" w:hAnsi="Times New Roman"/>
          <w:sz w:val="22"/>
          <w:szCs w:val="22"/>
        </w:rPr>
        <w:t xml:space="preserve">We also </w:t>
      </w:r>
      <w:r w:rsidR="00231B15">
        <w:rPr>
          <w:rFonts w:ascii="Times New Roman" w:hAnsi="Times New Roman"/>
          <w:sz w:val="22"/>
          <w:szCs w:val="22"/>
        </w:rPr>
        <w:t xml:space="preserve">wish </w:t>
      </w:r>
      <w:r w:rsidR="00182760" w:rsidRPr="00231B15">
        <w:rPr>
          <w:rFonts w:ascii="Times New Roman" w:hAnsi="Times New Roman"/>
          <w:sz w:val="22"/>
          <w:szCs w:val="22"/>
        </w:rPr>
        <w:t xml:space="preserve">to thank the DMPK group in AstraZeneca U.K. for providing the </w:t>
      </w:r>
      <w:r w:rsidR="00182760" w:rsidRPr="00CC0C1A">
        <w:rPr>
          <w:rFonts w:ascii="Times New Roman" w:hAnsi="Times New Roman"/>
          <w:i/>
          <w:sz w:val="22"/>
          <w:szCs w:val="22"/>
        </w:rPr>
        <w:t>in vitro</w:t>
      </w:r>
      <w:r w:rsidR="00182760" w:rsidRPr="00231B15">
        <w:rPr>
          <w:rFonts w:ascii="Times New Roman" w:hAnsi="Times New Roman"/>
          <w:sz w:val="22"/>
          <w:szCs w:val="22"/>
        </w:rPr>
        <w:t xml:space="preserve"> measurement of DMPK properties, including aqueous solubility, human </w:t>
      </w:r>
      <w:r w:rsidR="00E84C6C" w:rsidRPr="00231B15">
        <w:rPr>
          <w:rFonts w:ascii="Times New Roman" w:hAnsi="Times New Roman"/>
          <w:sz w:val="22"/>
          <w:szCs w:val="22"/>
        </w:rPr>
        <w:t xml:space="preserve">microsomal </w:t>
      </w:r>
      <w:r w:rsidR="00182760" w:rsidRPr="00231B15">
        <w:rPr>
          <w:rFonts w:ascii="Times New Roman" w:hAnsi="Times New Roman"/>
          <w:sz w:val="22"/>
          <w:szCs w:val="22"/>
        </w:rPr>
        <w:t>and rat hepatocyte clearance described in Table 3</w:t>
      </w:r>
    </w:p>
    <w:p w14:paraId="08E5A27E" w14:textId="77777777" w:rsidR="003F5C7B" w:rsidRDefault="003F5C7B" w:rsidP="00182760">
      <w:pPr>
        <w:pStyle w:val="TDAcknowledgments"/>
        <w:rPr>
          <w:rFonts w:ascii="Times New Roman" w:hAnsi="Times New Roman"/>
          <w:sz w:val="22"/>
          <w:szCs w:val="22"/>
        </w:rPr>
      </w:pPr>
    </w:p>
    <w:p w14:paraId="5EEC9681" w14:textId="5C388F59" w:rsidR="003F5C7B" w:rsidRDefault="003F5C7B" w:rsidP="003F5C7B">
      <w:r>
        <w:rPr>
          <w:b/>
          <w:bCs/>
        </w:rPr>
        <w:t>FUNDING</w:t>
      </w:r>
    </w:p>
    <w:p w14:paraId="54420067" w14:textId="08EB4FB9" w:rsidR="00182760" w:rsidRDefault="003F5C7B" w:rsidP="003F5C7B">
      <w:r>
        <w:t>PON, GN, WDH, SAW, BG acknowledges research funding from the Global Health Innovation Fund (Japan) GHIT and Eisai Co Ltd.</w:t>
      </w:r>
      <w:r w:rsidR="00182760" w:rsidRPr="00231B15">
        <w:t xml:space="preserve"> </w:t>
      </w:r>
    </w:p>
    <w:p w14:paraId="465E11E5" w14:textId="0E33F700" w:rsidR="003F5C7B" w:rsidRDefault="003F5C7B" w:rsidP="003F5C7B">
      <w:pPr>
        <w:rPr>
          <w:b/>
        </w:rPr>
      </w:pPr>
      <w:r>
        <w:rPr>
          <w:b/>
        </w:rPr>
        <w:t>ABBREVIATIONS</w:t>
      </w:r>
    </w:p>
    <w:p w14:paraId="7A9766FB" w14:textId="474E96DA" w:rsidR="005755EF" w:rsidRPr="004A1154" w:rsidRDefault="004A1154" w:rsidP="003F5C7B">
      <w:r>
        <w:t>ACT, artemisinin combination therapy; ART, artemisinin;</w:t>
      </w:r>
      <w:r w:rsidR="00E94802">
        <w:t xml:space="preserve"> </w:t>
      </w:r>
      <w:proofErr w:type="spellStart"/>
      <w:r w:rsidR="00E94802">
        <w:t>AUC</w:t>
      </w:r>
      <w:r w:rsidR="00E94802">
        <w:rPr>
          <w:vertAlign w:val="subscript"/>
        </w:rPr>
        <w:t>inf</w:t>
      </w:r>
      <w:proofErr w:type="spellEnd"/>
      <w:r w:rsidR="00E94802">
        <w:t>, AUC from 0 to infinity; Cl</w:t>
      </w:r>
      <w:r w:rsidR="00E94802">
        <w:rPr>
          <w:vertAlign w:val="subscript"/>
        </w:rPr>
        <w:t>int</w:t>
      </w:r>
      <w:r w:rsidR="00E94802">
        <w:t xml:space="preserve">, intrinsic clearance; </w:t>
      </w:r>
      <w:proofErr w:type="spellStart"/>
      <w:r w:rsidR="00E94802">
        <w:t>C</w:t>
      </w:r>
      <w:r w:rsidR="00E94802">
        <w:rPr>
          <w:vertAlign w:val="subscript"/>
        </w:rPr>
        <w:t>max</w:t>
      </w:r>
      <w:proofErr w:type="spellEnd"/>
      <w:r w:rsidR="00E94802">
        <w:t>, maximum concentration observed; CQ, chloroquine;</w:t>
      </w:r>
      <w:r>
        <w:t xml:space="preserve"> </w:t>
      </w:r>
      <w:r w:rsidR="00E94802">
        <w:t xml:space="preserve">MLM, mouse liver </w:t>
      </w:r>
      <w:proofErr w:type="spellStart"/>
      <w:r w:rsidR="00E94802">
        <w:t>microsomes</w:t>
      </w:r>
      <w:proofErr w:type="spellEnd"/>
      <w:r w:rsidR="00E94802">
        <w:t xml:space="preserve">; </w:t>
      </w:r>
      <w:r>
        <w:t>MMV, Medicines for Malaria Venture;</w:t>
      </w:r>
      <w:r w:rsidR="00E94802">
        <w:t xml:space="preserve"> PD</w:t>
      </w:r>
      <w:r w:rsidR="00E94802">
        <w:rPr>
          <w:vertAlign w:val="subscript"/>
        </w:rPr>
        <w:t>100</w:t>
      </w:r>
      <w:r w:rsidR="00E94802">
        <w:t xml:space="preserve">, dose required for 100 % cure of </w:t>
      </w:r>
      <w:proofErr w:type="spellStart"/>
      <w:r w:rsidR="00E94802">
        <w:t>parasitaemia</w:t>
      </w:r>
      <w:proofErr w:type="spellEnd"/>
      <w:r w:rsidR="00E94802">
        <w:t>;</w:t>
      </w:r>
      <w:r>
        <w:t xml:space="preserve"> TCP1, target candidate profile 1;</w:t>
      </w:r>
      <w:r w:rsidR="00E94802">
        <w:t xml:space="preserve"> </w:t>
      </w:r>
      <w:proofErr w:type="spellStart"/>
      <w:r w:rsidR="00E94802">
        <w:t>T</w:t>
      </w:r>
      <w:r w:rsidR="00E94802">
        <w:rPr>
          <w:vertAlign w:val="subscript"/>
        </w:rPr>
        <w:t>max</w:t>
      </w:r>
      <w:proofErr w:type="spellEnd"/>
      <w:r w:rsidR="00E94802">
        <w:rPr>
          <w:vertAlign w:val="subscript"/>
        </w:rPr>
        <w:softHyphen/>
      </w:r>
      <w:r w:rsidR="00E94802">
        <w:t>, time of maximum concentration;</w:t>
      </w:r>
      <w:r>
        <w:t xml:space="preserve"> WHO, world health organisation</w:t>
      </w:r>
    </w:p>
    <w:p w14:paraId="76716EBB" w14:textId="0316478A" w:rsidR="00336CF2" w:rsidRPr="00231B15" w:rsidRDefault="00336CF2" w:rsidP="00336CF2">
      <w:pPr>
        <w:pStyle w:val="TDAcknowledgments"/>
        <w:rPr>
          <w:rFonts w:ascii="Times New Roman" w:hAnsi="Times New Roman"/>
          <w:sz w:val="22"/>
          <w:szCs w:val="22"/>
          <w:lang w:val="en-GB"/>
        </w:rPr>
      </w:pPr>
    </w:p>
    <w:p w14:paraId="174CD432" w14:textId="36E598A0" w:rsidR="00336CF2" w:rsidRPr="00487E0A" w:rsidRDefault="00487E0A" w:rsidP="00E77525">
      <w:pPr>
        <w:widowControl w:val="0"/>
        <w:autoSpaceDE w:val="0"/>
        <w:autoSpaceDN w:val="0"/>
        <w:adjustRightInd w:val="0"/>
        <w:rPr>
          <w:rFonts w:cs="Times New Roman"/>
          <w:b/>
        </w:rPr>
      </w:pPr>
      <w:r w:rsidRPr="00487E0A">
        <w:rPr>
          <w:rFonts w:cs="Times New Roman"/>
          <w:b/>
        </w:rPr>
        <w:t>REFERENCES</w:t>
      </w:r>
    </w:p>
    <w:p w14:paraId="0F2AF990" w14:textId="69AE8DDD" w:rsidR="00A26B94" w:rsidRPr="00A26B94" w:rsidRDefault="00F37573" w:rsidP="00A26B94">
      <w:pPr>
        <w:widowControl w:val="0"/>
        <w:autoSpaceDE w:val="0"/>
        <w:autoSpaceDN w:val="0"/>
        <w:adjustRightInd w:val="0"/>
        <w:ind w:left="640" w:hanging="640"/>
        <w:rPr>
          <w:rFonts w:cs="Times New Roman"/>
          <w:noProof/>
          <w:szCs w:val="24"/>
        </w:rPr>
      </w:pPr>
      <w:r w:rsidRPr="00231B15">
        <w:rPr>
          <w:rFonts w:cs="Times New Roman"/>
        </w:rPr>
        <w:fldChar w:fldCharType="begin" w:fldLock="1"/>
      </w:r>
      <w:r w:rsidRPr="00231B15">
        <w:rPr>
          <w:rFonts w:cs="Times New Roman"/>
        </w:rPr>
        <w:instrText xml:space="preserve">ADDIN Mendeley Bibliography CSL_BIBLIOGRAPHY </w:instrText>
      </w:r>
      <w:r w:rsidRPr="00231B15">
        <w:rPr>
          <w:rFonts w:cs="Times New Roman"/>
        </w:rPr>
        <w:fldChar w:fldCharType="separate"/>
      </w:r>
      <w:r w:rsidR="00A26B94" w:rsidRPr="00A26B94">
        <w:rPr>
          <w:rFonts w:cs="Times New Roman"/>
          <w:noProof/>
          <w:szCs w:val="24"/>
        </w:rPr>
        <w:t xml:space="preserve">(1) </w:t>
      </w:r>
      <w:r w:rsidR="00A26B94" w:rsidRPr="00A26B94">
        <w:rPr>
          <w:rFonts w:cs="Times New Roman"/>
          <w:noProof/>
          <w:szCs w:val="24"/>
        </w:rPr>
        <w:tab/>
        <w:t xml:space="preserve">WHO. </w:t>
      </w:r>
      <w:r w:rsidR="00A26B94" w:rsidRPr="00A26B94">
        <w:rPr>
          <w:rFonts w:cs="Times New Roman"/>
          <w:i/>
          <w:iCs/>
          <w:noProof/>
          <w:szCs w:val="24"/>
        </w:rPr>
        <w:t>Guidelines for the Treatment of Malaria, 3rd Edition</w:t>
      </w:r>
      <w:r w:rsidR="00A26B94" w:rsidRPr="00A26B94">
        <w:rPr>
          <w:rFonts w:cs="Times New Roman"/>
          <w:noProof/>
          <w:szCs w:val="24"/>
        </w:rPr>
        <w:t>; 2015.</w:t>
      </w:r>
    </w:p>
    <w:p w14:paraId="7EB4CF71" w14:textId="77777777" w:rsidR="00A26B94" w:rsidRPr="00A26B94" w:rsidRDefault="00A26B94" w:rsidP="00A26B94">
      <w:pPr>
        <w:widowControl w:val="0"/>
        <w:autoSpaceDE w:val="0"/>
        <w:autoSpaceDN w:val="0"/>
        <w:adjustRightInd w:val="0"/>
        <w:ind w:left="640" w:hanging="640"/>
        <w:rPr>
          <w:rFonts w:cs="Times New Roman"/>
          <w:noProof/>
          <w:szCs w:val="24"/>
        </w:rPr>
      </w:pPr>
      <w:r w:rsidRPr="00A26B94">
        <w:rPr>
          <w:rFonts w:cs="Times New Roman"/>
          <w:noProof/>
          <w:szCs w:val="24"/>
        </w:rPr>
        <w:t xml:space="preserve">(2) </w:t>
      </w:r>
      <w:r w:rsidRPr="00A26B94">
        <w:rPr>
          <w:rFonts w:cs="Times New Roman"/>
          <w:noProof/>
          <w:szCs w:val="24"/>
        </w:rPr>
        <w:tab/>
        <w:t xml:space="preserve">De Vries, P. J.; Dien, T. K. Clinical Pharmacology and Therapeutic Potential of Artemisinin and Its Derivatives in the Treatment of Malaria. </w:t>
      </w:r>
      <w:r w:rsidRPr="00A26B94">
        <w:rPr>
          <w:rFonts w:cs="Times New Roman"/>
          <w:i/>
          <w:iCs/>
          <w:noProof/>
          <w:szCs w:val="24"/>
        </w:rPr>
        <w:t>Drugs</w:t>
      </w:r>
      <w:r w:rsidRPr="00A26B94">
        <w:rPr>
          <w:rFonts w:cs="Times New Roman"/>
          <w:noProof/>
          <w:szCs w:val="24"/>
        </w:rPr>
        <w:t>. 1996. https://doi.org/10.2165/00003495-199652060-00004.</w:t>
      </w:r>
    </w:p>
    <w:p w14:paraId="798722D9" w14:textId="77777777" w:rsidR="00A26B94" w:rsidRPr="00A26B94" w:rsidRDefault="00A26B94" w:rsidP="00A26B94">
      <w:pPr>
        <w:widowControl w:val="0"/>
        <w:autoSpaceDE w:val="0"/>
        <w:autoSpaceDN w:val="0"/>
        <w:adjustRightInd w:val="0"/>
        <w:ind w:left="640" w:hanging="640"/>
        <w:rPr>
          <w:rFonts w:cs="Times New Roman"/>
          <w:noProof/>
          <w:szCs w:val="24"/>
        </w:rPr>
      </w:pPr>
      <w:r w:rsidRPr="00A26B94">
        <w:rPr>
          <w:rFonts w:cs="Times New Roman"/>
          <w:noProof/>
          <w:szCs w:val="24"/>
        </w:rPr>
        <w:t xml:space="preserve">(3) </w:t>
      </w:r>
      <w:r w:rsidRPr="00A26B94">
        <w:rPr>
          <w:rFonts w:cs="Times New Roman"/>
          <w:noProof/>
          <w:szCs w:val="24"/>
        </w:rPr>
        <w:tab/>
        <w:t xml:space="preserve">Burrows, J. N.; Duparc, S.; Gutteridge, W. E.; Hooft Van Huijsduijnen, R.; Kaszubska, W.; Macintyre, F.; Mazzuri, S.; Möhrle, J. J.; Wells, T. N. C. New Developments in Anti-Malarial Target Candidate and Product Profiles. </w:t>
      </w:r>
      <w:r w:rsidRPr="00A26B94">
        <w:rPr>
          <w:rFonts w:cs="Times New Roman"/>
          <w:i/>
          <w:iCs/>
          <w:noProof/>
          <w:szCs w:val="24"/>
        </w:rPr>
        <w:t>Malar. J.</w:t>
      </w:r>
      <w:r w:rsidRPr="00A26B94">
        <w:rPr>
          <w:rFonts w:cs="Times New Roman"/>
          <w:noProof/>
          <w:szCs w:val="24"/>
        </w:rPr>
        <w:t xml:space="preserve"> </w:t>
      </w:r>
      <w:r w:rsidRPr="00A26B94">
        <w:rPr>
          <w:rFonts w:cs="Times New Roman"/>
          <w:b/>
          <w:bCs/>
          <w:noProof/>
          <w:szCs w:val="24"/>
        </w:rPr>
        <w:t>2017</w:t>
      </w:r>
      <w:r w:rsidRPr="00A26B94">
        <w:rPr>
          <w:rFonts w:cs="Times New Roman"/>
          <w:noProof/>
          <w:szCs w:val="24"/>
        </w:rPr>
        <w:t xml:space="preserve">, </w:t>
      </w:r>
      <w:r w:rsidRPr="00A26B94">
        <w:rPr>
          <w:rFonts w:cs="Times New Roman"/>
          <w:i/>
          <w:iCs/>
          <w:noProof/>
          <w:szCs w:val="24"/>
        </w:rPr>
        <w:t>16</w:t>
      </w:r>
      <w:r w:rsidRPr="00A26B94">
        <w:rPr>
          <w:rFonts w:cs="Times New Roman"/>
          <w:noProof/>
          <w:szCs w:val="24"/>
        </w:rPr>
        <w:t xml:space="preserve"> (1), 26. https://doi.org/10.1186/s12936-016-1675-x.</w:t>
      </w:r>
    </w:p>
    <w:p w14:paraId="5050E853" w14:textId="77777777" w:rsidR="00A26B94" w:rsidRPr="00A26B94" w:rsidRDefault="00A26B94" w:rsidP="00A26B94">
      <w:pPr>
        <w:widowControl w:val="0"/>
        <w:autoSpaceDE w:val="0"/>
        <w:autoSpaceDN w:val="0"/>
        <w:adjustRightInd w:val="0"/>
        <w:ind w:left="640" w:hanging="640"/>
        <w:rPr>
          <w:rFonts w:cs="Times New Roman"/>
          <w:noProof/>
          <w:szCs w:val="24"/>
        </w:rPr>
      </w:pPr>
      <w:r w:rsidRPr="00A26B94">
        <w:rPr>
          <w:rFonts w:cs="Times New Roman"/>
          <w:noProof/>
          <w:szCs w:val="24"/>
        </w:rPr>
        <w:t xml:space="preserve">(4) </w:t>
      </w:r>
      <w:r w:rsidRPr="00A26B94">
        <w:rPr>
          <w:rFonts w:cs="Times New Roman"/>
          <w:noProof/>
          <w:szCs w:val="24"/>
        </w:rPr>
        <w:tab/>
        <w:t xml:space="preserve">Imwong, M.; Suwannasin, K.; Kunasol, C.; Sutawong, K.; Mayxay, M.; Rekol, H.; Smithuis, F. M.; Hlaing, T. M.; Tun, K. M.; van der Pluijm, R. W.; Tripura, R.; Miotto, O.; Menard, D.; Dhorda, M.; Day, N. P. J.; White, N. J.; Dondorp, A. M. The Spread of Artemisinin-Resistant Plasmodium Falciparum in the Greater Mekong Subregion: A Molecular Epidemiology </w:t>
      </w:r>
      <w:r w:rsidRPr="00A26B94">
        <w:rPr>
          <w:rFonts w:cs="Times New Roman"/>
          <w:noProof/>
          <w:szCs w:val="24"/>
        </w:rPr>
        <w:lastRenderedPageBreak/>
        <w:t xml:space="preserve">Observational Study. </w:t>
      </w:r>
      <w:r w:rsidRPr="00A26B94">
        <w:rPr>
          <w:rFonts w:cs="Times New Roman"/>
          <w:i/>
          <w:iCs/>
          <w:noProof/>
          <w:szCs w:val="24"/>
        </w:rPr>
        <w:t>Lancet Infect. Dis.</w:t>
      </w:r>
      <w:r w:rsidRPr="00A26B94">
        <w:rPr>
          <w:rFonts w:cs="Times New Roman"/>
          <w:noProof/>
          <w:szCs w:val="24"/>
        </w:rPr>
        <w:t xml:space="preserve"> </w:t>
      </w:r>
      <w:r w:rsidRPr="00A26B94">
        <w:rPr>
          <w:rFonts w:cs="Times New Roman"/>
          <w:b/>
          <w:bCs/>
          <w:noProof/>
          <w:szCs w:val="24"/>
        </w:rPr>
        <w:t>2017</w:t>
      </w:r>
      <w:r w:rsidRPr="00A26B94">
        <w:rPr>
          <w:rFonts w:cs="Times New Roman"/>
          <w:noProof/>
          <w:szCs w:val="24"/>
        </w:rPr>
        <w:t>. https://doi.org/10.1016/S1473-3099(17)30048-8.</w:t>
      </w:r>
    </w:p>
    <w:p w14:paraId="4AED9DFB" w14:textId="77777777" w:rsidR="00A26B94" w:rsidRPr="00A26B94" w:rsidRDefault="00A26B94" w:rsidP="00A26B94">
      <w:pPr>
        <w:widowControl w:val="0"/>
        <w:autoSpaceDE w:val="0"/>
        <w:autoSpaceDN w:val="0"/>
        <w:adjustRightInd w:val="0"/>
        <w:ind w:left="640" w:hanging="640"/>
        <w:rPr>
          <w:rFonts w:cs="Times New Roman"/>
          <w:noProof/>
          <w:szCs w:val="24"/>
        </w:rPr>
      </w:pPr>
      <w:r w:rsidRPr="00A26B94">
        <w:rPr>
          <w:rFonts w:cs="Times New Roman"/>
          <w:noProof/>
          <w:szCs w:val="24"/>
        </w:rPr>
        <w:t xml:space="preserve">(5) </w:t>
      </w:r>
      <w:r w:rsidRPr="00A26B94">
        <w:rPr>
          <w:rFonts w:cs="Times New Roman"/>
          <w:noProof/>
          <w:szCs w:val="24"/>
        </w:rPr>
        <w:tab/>
        <w:t xml:space="preserve">Thuy-Nhien, N.; Tuyen, N. K.; Tong, N. T.; Vy, N. T.; Thanh, N. V.; Van, H. T.; Huong-Thu, P.; Quang, H. H.; Boni, M. F.; Dolecek, C.; Farrar, J.; Thwaites, G. E.; Miotto, O.; White, N. J.; Hien, T. T. K13 Propeller Mutations in Plasmodium Falciparum Populations in Regions of Malaria Endemicity in Vietnam from 2009 to 2016. </w:t>
      </w:r>
      <w:r w:rsidRPr="00A26B94">
        <w:rPr>
          <w:rFonts w:cs="Times New Roman"/>
          <w:i/>
          <w:iCs/>
          <w:noProof/>
          <w:szCs w:val="24"/>
        </w:rPr>
        <w:t>Antimicrob. Agents Chemother.</w:t>
      </w:r>
      <w:r w:rsidRPr="00A26B94">
        <w:rPr>
          <w:rFonts w:cs="Times New Roman"/>
          <w:noProof/>
          <w:szCs w:val="24"/>
        </w:rPr>
        <w:t xml:space="preserve"> </w:t>
      </w:r>
      <w:r w:rsidRPr="00A26B94">
        <w:rPr>
          <w:rFonts w:cs="Times New Roman"/>
          <w:b/>
          <w:bCs/>
          <w:noProof/>
          <w:szCs w:val="24"/>
        </w:rPr>
        <w:t>2017</w:t>
      </w:r>
      <w:r w:rsidRPr="00A26B94">
        <w:rPr>
          <w:rFonts w:cs="Times New Roman"/>
          <w:noProof/>
          <w:szCs w:val="24"/>
        </w:rPr>
        <w:t>. https://doi.org/10.1128/AAC.01578-16.</w:t>
      </w:r>
    </w:p>
    <w:p w14:paraId="18D27A41" w14:textId="77777777" w:rsidR="00A26B94" w:rsidRPr="00A26B94" w:rsidRDefault="00A26B94" w:rsidP="00A26B94">
      <w:pPr>
        <w:widowControl w:val="0"/>
        <w:autoSpaceDE w:val="0"/>
        <w:autoSpaceDN w:val="0"/>
        <w:adjustRightInd w:val="0"/>
        <w:ind w:left="640" w:hanging="640"/>
        <w:rPr>
          <w:rFonts w:cs="Times New Roman"/>
          <w:noProof/>
          <w:szCs w:val="24"/>
        </w:rPr>
      </w:pPr>
      <w:r w:rsidRPr="00A26B94">
        <w:rPr>
          <w:rFonts w:cs="Times New Roman"/>
          <w:noProof/>
          <w:szCs w:val="24"/>
        </w:rPr>
        <w:t xml:space="preserve">(6) </w:t>
      </w:r>
      <w:r w:rsidRPr="00A26B94">
        <w:rPr>
          <w:rFonts w:cs="Times New Roman"/>
          <w:noProof/>
          <w:szCs w:val="24"/>
        </w:rPr>
        <w:tab/>
        <w:t xml:space="preserve">Paloque, L.; Ramadani, A. P.; Mercereau-Puijalon, O.; Augereau, J. M.; Benoit-Vical, F. Plasmodium Falciparum: Multifaceted Resistance to Artemisinins. </w:t>
      </w:r>
      <w:r w:rsidRPr="00A26B94">
        <w:rPr>
          <w:rFonts w:cs="Times New Roman"/>
          <w:i/>
          <w:iCs/>
          <w:noProof/>
          <w:szCs w:val="24"/>
        </w:rPr>
        <w:t>Malar. J.</w:t>
      </w:r>
      <w:r w:rsidRPr="00A26B94">
        <w:rPr>
          <w:rFonts w:cs="Times New Roman"/>
          <w:noProof/>
          <w:szCs w:val="24"/>
        </w:rPr>
        <w:t xml:space="preserve"> </w:t>
      </w:r>
      <w:r w:rsidRPr="00A26B94">
        <w:rPr>
          <w:rFonts w:cs="Times New Roman"/>
          <w:b/>
          <w:bCs/>
          <w:noProof/>
          <w:szCs w:val="24"/>
        </w:rPr>
        <w:t>2016</w:t>
      </w:r>
      <w:r w:rsidRPr="00A26B94">
        <w:rPr>
          <w:rFonts w:cs="Times New Roman"/>
          <w:noProof/>
          <w:szCs w:val="24"/>
        </w:rPr>
        <w:t xml:space="preserve">, </w:t>
      </w:r>
      <w:r w:rsidRPr="00A26B94">
        <w:rPr>
          <w:rFonts w:cs="Times New Roman"/>
          <w:i/>
          <w:iCs/>
          <w:noProof/>
          <w:szCs w:val="24"/>
        </w:rPr>
        <w:t>15</w:t>
      </w:r>
      <w:r w:rsidRPr="00A26B94">
        <w:rPr>
          <w:rFonts w:cs="Times New Roman"/>
          <w:noProof/>
          <w:szCs w:val="24"/>
        </w:rPr>
        <w:t>, 149. https://doi.org/10.1186/s12936-016-1206-9.</w:t>
      </w:r>
    </w:p>
    <w:p w14:paraId="5DA8E1CF" w14:textId="77777777" w:rsidR="00A26B94" w:rsidRPr="00A26B94" w:rsidRDefault="00A26B94" w:rsidP="00A26B94">
      <w:pPr>
        <w:widowControl w:val="0"/>
        <w:autoSpaceDE w:val="0"/>
        <w:autoSpaceDN w:val="0"/>
        <w:adjustRightInd w:val="0"/>
        <w:ind w:left="640" w:hanging="640"/>
        <w:rPr>
          <w:rFonts w:cs="Times New Roman"/>
          <w:noProof/>
          <w:szCs w:val="24"/>
        </w:rPr>
      </w:pPr>
      <w:r w:rsidRPr="00A26B94">
        <w:rPr>
          <w:rFonts w:cs="Times New Roman"/>
          <w:noProof/>
          <w:szCs w:val="24"/>
        </w:rPr>
        <w:t xml:space="preserve">(7) </w:t>
      </w:r>
      <w:r w:rsidRPr="00A26B94">
        <w:rPr>
          <w:rFonts w:cs="Times New Roman"/>
          <w:noProof/>
          <w:szCs w:val="24"/>
        </w:rPr>
        <w:tab/>
        <w:t xml:space="preserve">Phyo, A. P.; Jittamala, P.; Nosten, F. H.; Pukrittayakamee, S.; Imwong, M.; White, N. J.; Duparc, S.; Macintyre, F.; Baker, M.; Möhrle, J. J. Antimalarial Activity of Artefenomel (OZ439), a Novel Synthetic Antimalarial Endoperoxide, in Patients with Plasmodium Falciparum and Plasmodium Vivax Malaria: An Open-Label Phase 2 Trial. </w:t>
      </w:r>
      <w:r w:rsidRPr="00A26B94">
        <w:rPr>
          <w:rFonts w:cs="Times New Roman"/>
          <w:i/>
          <w:iCs/>
          <w:noProof/>
          <w:szCs w:val="24"/>
        </w:rPr>
        <w:t>Lancet Infect. Dis.</w:t>
      </w:r>
      <w:r w:rsidRPr="00A26B94">
        <w:rPr>
          <w:rFonts w:cs="Times New Roman"/>
          <w:noProof/>
          <w:szCs w:val="24"/>
        </w:rPr>
        <w:t xml:space="preserve"> </w:t>
      </w:r>
      <w:r w:rsidRPr="00A26B94">
        <w:rPr>
          <w:rFonts w:cs="Times New Roman"/>
          <w:b/>
          <w:bCs/>
          <w:noProof/>
          <w:szCs w:val="24"/>
        </w:rPr>
        <w:t>2016</w:t>
      </w:r>
      <w:r w:rsidRPr="00A26B94">
        <w:rPr>
          <w:rFonts w:cs="Times New Roman"/>
          <w:noProof/>
          <w:szCs w:val="24"/>
        </w:rPr>
        <w:t xml:space="preserve">, </w:t>
      </w:r>
      <w:r w:rsidRPr="00A26B94">
        <w:rPr>
          <w:rFonts w:cs="Times New Roman"/>
          <w:i/>
          <w:iCs/>
          <w:noProof/>
          <w:szCs w:val="24"/>
        </w:rPr>
        <w:t>16</w:t>
      </w:r>
      <w:r w:rsidRPr="00A26B94">
        <w:rPr>
          <w:rFonts w:cs="Times New Roman"/>
          <w:noProof/>
          <w:szCs w:val="24"/>
        </w:rPr>
        <w:t xml:space="preserve"> (1), 61–69. https://doi.org/10.1016/S1473-3099(15)00320-5.</w:t>
      </w:r>
    </w:p>
    <w:p w14:paraId="32EBA601" w14:textId="77777777" w:rsidR="00A26B94" w:rsidRPr="00A26B94" w:rsidRDefault="00A26B94" w:rsidP="00A26B94">
      <w:pPr>
        <w:widowControl w:val="0"/>
        <w:autoSpaceDE w:val="0"/>
        <w:autoSpaceDN w:val="0"/>
        <w:adjustRightInd w:val="0"/>
        <w:ind w:left="640" w:hanging="640"/>
        <w:rPr>
          <w:rFonts w:cs="Times New Roman"/>
          <w:noProof/>
          <w:szCs w:val="24"/>
        </w:rPr>
      </w:pPr>
      <w:r w:rsidRPr="00A26B94">
        <w:rPr>
          <w:rFonts w:cs="Times New Roman"/>
          <w:noProof/>
          <w:szCs w:val="24"/>
        </w:rPr>
        <w:t xml:space="preserve">(8) </w:t>
      </w:r>
      <w:r w:rsidRPr="00A26B94">
        <w:rPr>
          <w:rFonts w:cs="Times New Roman"/>
          <w:noProof/>
          <w:szCs w:val="24"/>
        </w:rPr>
        <w:tab/>
        <w:t>Study to Investigate the Clinical and Parasiticidal Activity and Pharmacokinetics of Different Doses of Artefenomel and Ferroquine in Patients With Uncomplicated Plasmodium Falciparum Malaria https://clinicaltrials.gov/ct2/show/NCT03660839 (accessed May 15, 2020).</w:t>
      </w:r>
    </w:p>
    <w:p w14:paraId="154C4C1B" w14:textId="77777777" w:rsidR="00A26B94" w:rsidRPr="00A26B94" w:rsidRDefault="00A26B94" w:rsidP="00A26B94">
      <w:pPr>
        <w:widowControl w:val="0"/>
        <w:autoSpaceDE w:val="0"/>
        <w:autoSpaceDN w:val="0"/>
        <w:adjustRightInd w:val="0"/>
        <w:ind w:left="640" w:hanging="640"/>
        <w:rPr>
          <w:rFonts w:cs="Times New Roman"/>
          <w:noProof/>
          <w:szCs w:val="24"/>
        </w:rPr>
      </w:pPr>
      <w:r w:rsidRPr="00A26B94">
        <w:rPr>
          <w:rFonts w:cs="Times New Roman"/>
          <w:noProof/>
          <w:szCs w:val="24"/>
        </w:rPr>
        <w:t xml:space="preserve">(9) </w:t>
      </w:r>
      <w:r w:rsidRPr="00A26B94">
        <w:rPr>
          <w:rFonts w:cs="Times New Roman"/>
          <w:noProof/>
          <w:szCs w:val="24"/>
        </w:rPr>
        <w:tab/>
        <w:t xml:space="preserve">Charman, S. A.; Arbe-Barnes, S.; Bathurst, I. C.; Brund, R.; Campbell, M.; Charman, W. N.; Chiu, F. C. K.; Chollet, J.; Craft, J. C.; Creek, D. J.; Don, Y.; Matile, H.; Maurer, M.; Morizzi, J.; Nguyen, T.; Papastogiannidis, P.; Scheurer, C.; Shackleford, D. M.; Sriraghavan, K.; Stingelin, L.; Tang, Y.; Urwyler, H.; Wang, X.; White, K. L.; Wittlin, S.; Zhou, L.; Vennerstrom, J. L. Synthetic Ozonide Drug Candidate OZ439 Offers New Hope for a Single-Dose Cure of Uncomplicated Malaria. </w:t>
      </w:r>
      <w:r w:rsidRPr="00A26B94">
        <w:rPr>
          <w:rFonts w:cs="Times New Roman"/>
          <w:i/>
          <w:iCs/>
          <w:noProof/>
          <w:szCs w:val="24"/>
        </w:rPr>
        <w:t>Proc. Natl. Acad. Sci. U. S. A.</w:t>
      </w:r>
      <w:r w:rsidRPr="00A26B94">
        <w:rPr>
          <w:rFonts w:cs="Times New Roman"/>
          <w:noProof/>
          <w:szCs w:val="24"/>
        </w:rPr>
        <w:t xml:space="preserve"> </w:t>
      </w:r>
      <w:r w:rsidRPr="00A26B94">
        <w:rPr>
          <w:rFonts w:cs="Times New Roman"/>
          <w:b/>
          <w:bCs/>
          <w:noProof/>
          <w:szCs w:val="24"/>
        </w:rPr>
        <w:t>2011</w:t>
      </w:r>
      <w:r w:rsidRPr="00A26B94">
        <w:rPr>
          <w:rFonts w:cs="Times New Roman"/>
          <w:noProof/>
          <w:szCs w:val="24"/>
        </w:rPr>
        <w:t>. https://doi.org/10.1073/pnas.1015762108.</w:t>
      </w:r>
    </w:p>
    <w:p w14:paraId="2B10762F" w14:textId="77777777" w:rsidR="00A26B94" w:rsidRPr="00A26B94" w:rsidRDefault="00A26B94" w:rsidP="00A26B94">
      <w:pPr>
        <w:widowControl w:val="0"/>
        <w:autoSpaceDE w:val="0"/>
        <w:autoSpaceDN w:val="0"/>
        <w:adjustRightInd w:val="0"/>
        <w:ind w:left="640" w:hanging="640"/>
        <w:rPr>
          <w:rFonts w:cs="Times New Roman"/>
          <w:noProof/>
          <w:szCs w:val="24"/>
        </w:rPr>
      </w:pPr>
      <w:r w:rsidRPr="00A26B94">
        <w:rPr>
          <w:rFonts w:cs="Times New Roman"/>
          <w:noProof/>
          <w:szCs w:val="24"/>
        </w:rPr>
        <w:t xml:space="preserve">(10) </w:t>
      </w:r>
      <w:r w:rsidRPr="00A26B94">
        <w:rPr>
          <w:rFonts w:cs="Times New Roman"/>
          <w:noProof/>
          <w:szCs w:val="24"/>
        </w:rPr>
        <w:tab/>
        <w:t xml:space="preserve">Creek, D. J.; Charman, W. N.; Chiu, F. C. K.; Prankerd, R. J.; McCullough, K. J.; Dong, Y.; Vennerstrom, J. L.; Charman, S. A. Iron-Mediated Degradation Kinetics of Substituted Dispiro-1,2,4-Trioxolane Antimalarials. </w:t>
      </w:r>
      <w:r w:rsidRPr="00A26B94">
        <w:rPr>
          <w:rFonts w:cs="Times New Roman"/>
          <w:i/>
          <w:iCs/>
          <w:noProof/>
          <w:szCs w:val="24"/>
        </w:rPr>
        <w:t>J. Pharm. Sci.</w:t>
      </w:r>
      <w:r w:rsidRPr="00A26B94">
        <w:rPr>
          <w:rFonts w:cs="Times New Roman"/>
          <w:noProof/>
          <w:szCs w:val="24"/>
        </w:rPr>
        <w:t xml:space="preserve"> </w:t>
      </w:r>
      <w:r w:rsidRPr="00A26B94">
        <w:rPr>
          <w:rFonts w:cs="Times New Roman"/>
          <w:b/>
          <w:bCs/>
          <w:noProof/>
          <w:szCs w:val="24"/>
        </w:rPr>
        <w:t>2007</w:t>
      </w:r>
      <w:r w:rsidRPr="00A26B94">
        <w:rPr>
          <w:rFonts w:cs="Times New Roman"/>
          <w:noProof/>
          <w:szCs w:val="24"/>
        </w:rPr>
        <w:t xml:space="preserve">, </w:t>
      </w:r>
      <w:r w:rsidRPr="00A26B94">
        <w:rPr>
          <w:rFonts w:cs="Times New Roman"/>
          <w:i/>
          <w:iCs/>
          <w:noProof/>
          <w:szCs w:val="24"/>
        </w:rPr>
        <w:t>96</w:t>
      </w:r>
      <w:r w:rsidRPr="00A26B94">
        <w:rPr>
          <w:rFonts w:cs="Times New Roman"/>
          <w:noProof/>
          <w:szCs w:val="24"/>
        </w:rPr>
        <w:t xml:space="preserve"> (11), 2945–2956. https://doi.org/10.1002/jps.20958.</w:t>
      </w:r>
    </w:p>
    <w:p w14:paraId="3192C2C4" w14:textId="77777777" w:rsidR="00A26B94" w:rsidRPr="00A26B94" w:rsidRDefault="00A26B94" w:rsidP="00A26B94">
      <w:pPr>
        <w:widowControl w:val="0"/>
        <w:autoSpaceDE w:val="0"/>
        <w:autoSpaceDN w:val="0"/>
        <w:adjustRightInd w:val="0"/>
        <w:ind w:left="640" w:hanging="640"/>
        <w:rPr>
          <w:rFonts w:cs="Times New Roman"/>
          <w:noProof/>
          <w:szCs w:val="24"/>
        </w:rPr>
      </w:pPr>
      <w:r w:rsidRPr="00A26B94">
        <w:rPr>
          <w:rFonts w:cs="Times New Roman"/>
          <w:noProof/>
          <w:szCs w:val="24"/>
        </w:rPr>
        <w:t xml:space="preserve">(11) </w:t>
      </w:r>
      <w:r w:rsidRPr="00A26B94">
        <w:rPr>
          <w:rFonts w:cs="Times New Roman"/>
          <w:noProof/>
          <w:szCs w:val="24"/>
        </w:rPr>
        <w:tab/>
        <w:t xml:space="preserve">Clulow, A. J.; Salim, M.; Hawley, A.; Gilbert, E. P.; Boyd, B. J. The Curious Case of the OZ439 Mesylate Salt: An Amphiphilic Antimalarial Drug with Diverse Solution and Solid State Structures. </w:t>
      </w:r>
      <w:r w:rsidRPr="00A26B94">
        <w:rPr>
          <w:rFonts w:cs="Times New Roman"/>
          <w:i/>
          <w:iCs/>
          <w:noProof/>
          <w:szCs w:val="24"/>
        </w:rPr>
        <w:t>Mol. Pharm.</w:t>
      </w:r>
      <w:r w:rsidRPr="00A26B94">
        <w:rPr>
          <w:rFonts w:cs="Times New Roman"/>
          <w:noProof/>
          <w:szCs w:val="24"/>
        </w:rPr>
        <w:t xml:space="preserve"> </w:t>
      </w:r>
      <w:r w:rsidRPr="00A26B94">
        <w:rPr>
          <w:rFonts w:cs="Times New Roman"/>
          <w:b/>
          <w:bCs/>
          <w:noProof/>
          <w:szCs w:val="24"/>
        </w:rPr>
        <w:t>2018</w:t>
      </w:r>
      <w:r w:rsidRPr="00A26B94">
        <w:rPr>
          <w:rFonts w:cs="Times New Roman"/>
          <w:noProof/>
          <w:szCs w:val="24"/>
        </w:rPr>
        <w:t xml:space="preserve">, </w:t>
      </w:r>
      <w:r w:rsidRPr="00A26B94">
        <w:rPr>
          <w:rFonts w:cs="Times New Roman"/>
          <w:i/>
          <w:iCs/>
          <w:noProof/>
          <w:szCs w:val="24"/>
        </w:rPr>
        <w:t>15</w:t>
      </w:r>
      <w:r w:rsidRPr="00A26B94">
        <w:rPr>
          <w:rFonts w:cs="Times New Roman"/>
          <w:noProof/>
          <w:szCs w:val="24"/>
        </w:rPr>
        <w:t xml:space="preserve"> (5), 2027–2035. https://doi.org/10.1021/acs.molpharmaceut.8b00173.</w:t>
      </w:r>
    </w:p>
    <w:p w14:paraId="66469CF0" w14:textId="77777777" w:rsidR="00A26B94" w:rsidRPr="00A26B94" w:rsidRDefault="00A26B94" w:rsidP="00A26B94">
      <w:pPr>
        <w:widowControl w:val="0"/>
        <w:autoSpaceDE w:val="0"/>
        <w:autoSpaceDN w:val="0"/>
        <w:adjustRightInd w:val="0"/>
        <w:ind w:left="640" w:hanging="640"/>
        <w:rPr>
          <w:rFonts w:cs="Times New Roman"/>
          <w:noProof/>
          <w:szCs w:val="24"/>
        </w:rPr>
      </w:pPr>
      <w:r w:rsidRPr="00A26B94">
        <w:rPr>
          <w:rFonts w:cs="Times New Roman"/>
          <w:noProof/>
          <w:szCs w:val="24"/>
        </w:rPr>
        <w:lastRenderedPageBreak/>
        <w:t xml:space="preserve">(12) </w:t>
      </w:r>
      <w:r w:rsidRPr="00A26B94">
        <w:rPr>
          <w:rFonts w:cs="Times New Roman"/>
          <w:noProof/>
          <w:szCs w:val="24"/>
        </w:rPr>
        <w:tab/>
        <w:t xml:space="preserve">Salim, M.; Khan, J.; Ramirez, G.; Clulow, A. J.; Hawley, A.; Ramachandruni, H.; Boyd, B. J. Interactions of Artefenomel (OZ439) with Milk during Digestion: Insights into Digestion-Driven Solubilization and Polymorphic Transformations. </w:t>
      </w:r>
      <w:r w:rsidRPr="00A26B94">
        <w:rPr>
          <w:rFonts w:cs="Times New Roman"/>
          <w:i/>
          <w:iCs/>
          <w:noProof/>
          <w:szCs w:val="24"/>
        </w:rPr>
        <w:t>Mol. Pharm.</w:t>
      </w:r>
      <w:r w:rsidRPr="00A26B94">
        <w:rPr>
          <w:rFonts w:cs="Times New Roman"/>
          <w:noProof/>
          <w:szCs w:val="24"/>
        </w:rPr>
        <w:t xml:space="preserve"> </w:t>
      </w:r>
      <w:r w:rsidRPr="00A26B94">
        <w:rPr>
          <w:rFonts w:cs="Times New Roman"/>
          <w:b/>
          <w:bCs/>
          <w:noProof/>
          <w:szCs w:val="24"/>
        </w:rPr>
        <w:t>2018</w:t>
      </w:r>
      <w:r w:rsidRPr="00A26B94">
        <w:rPr>
          <w:rFonts w:cs="Times New Roman"/>
          <w:noProof/>
          <w:szCs w:val="24"/>
        </w:rPr>
        <w:t xml:space="preserve">, </w:t>
      </w:r>
      <w:r w:rsidRPr="00A26B94">
        <w:rPr>
          <w:rFonts w:cs="Times New Roman"/>
          <w:i/>
          <w:iCs/>
          <w:noProof/>
          <w:szCs w:val="24"/>
        </w:rPr>
        <w:t>15</w:t>
      </w:r>
      <w:r w:rsidRPr="00A26B94">
        <w:rPr>
          <w:rFonts w:cs="Times New Roman"/>
          <w:noProof/>
          <w:szCs w:val="24"/>
        </w:rPr>
        <w:t xml:space="preserve"> (8), 3535–3544. https://doi.org/10.1021/acs.molpharmaceut.8b00541.</w:t>
      </w:r>
    </w:p>
    <w:p w14:paraId="3DFF84D2" w14:textId="77777777" w:rsidR="00A26B94" w:rsidRPr="00A26B94" w:rsidRDefault="00A26B94" w:rsidP="00A26B94">
      <w:pPr>
        <w:widowControl w:val="0"/>
        <w:autoSpaceDE w:val="0"/>
        <w:autoSpaceDN w:val="0"/>
        <w:adjustRightInd w:val="0"/>
        <w:ind w:left="640" w:hanging="640"/>
        <w:rPr>
          <w:rFonts w:cs="Times New Roman"/>
          <w:noProof/>
          <w:szCs w:val="24"/>
        </w:rPr>
      </w:pPr>
      <w:r w:rsidRPr="00A26B94">
        <w:rPr>
          <w:rFonts w:cs="Times New Roman"/>
          <w:noProof/>
          <w:szCs w:val="24"/>
        </w:rPr>
        <w:t xml:space="preserve">(13) </w:t>
      </w:r>
      <w:r w:rsidRPr="00A26B94">
        <w:rPr>
          <w:rFonts w:cs="Times New Roman"/>
          <w:noProof/>
          <w:szCs w:val="24"/>
        </w:rPr>
        <w:tab/>
        <w:t xml:space="preserve">Salim, M.; Khan, J.; Ramirez, G.; Murshed, M.; Clulow, A. J.; Hawley, A.; Ramachandruni, H.; Beilles, S.; Boyd, B. J. Impact of Ferroquine on the Solubilization of Artefenomel (OZ439) during in Vitro Lipolysis in Milk and Implications for Oral Combination Therapy for Malaria. </w:t>
      </w:r>
      <w:r w:rsidRPr="00A26B94">
        <w:rPr>
          <w:rFonts w:cs="Times New Roman"/>
          <w:i/>
          <w:iCs/>
          <w:noProof/>
          <w:szCs w:val="24"/>
        </w:rPr>
        <w:t>Mol. Pharm.</w:t>
      </w:r>
      <w:r w:rsidRPr="00A26B94">
        <w:rPr>
          <w:rFonts w:cs="Times New Roman"/>
          <w:noProof/>
          <w:szCs w:val="24"/>
        </w:rPr>
        <w:t xml:space="preserve"> </w:t>
      </w:r>
      <w:r w:rsidRPr="00A26B94">
        <w:rPr>
          <w:rFonts w:cs="Times New Roman"/>
          <w:b/>
          <w:bCs/>
          <w:noProof/>
          <w:szCs w:val="24"/>
        </w:rPr>
        <w:t>2019</w:t>
      </w:r>
      <w:r w:rsidRPr="00A26B94">
        <w:rPr>
          <w:rFonts w:cs="Times New Roman"/>
          <w:noProof/>
          <w:szCs w:val="24"/>
        </w:rPr>
        <w:t xml:space="preserve">, </w:t>
      </w:r>
      <w:r w:rsidRPr="00A26B94">
        <w:rPr>
          <w:rFonts w:cs="Times New Roman"/>
          <w:i/>
          <w:iCs/>
          <w:noProof/>
          <w:szCs w:val="24"/>
        </w:rPr>
        <w:t>16</w:t>
      </w:r>
      <w:r w:rsidRPr="00A26B94">
        <w:rPr>
          <w:rFonts w:cs="Times New Roman"/>
          <w:noProof/>
          <w:szCs w:val="24"/>
        </w:rPr>
        <w:t xml:space="preserve"> (4), 1658–1668. https://doi.org/10.1021/acs.molpharmaceut.8b01333.</w:t>
      </w:r>
    </w:p>
    <w:p w14:paraId="0E9739C5" w14:textId="77777777" w:rsidR="00A26B94" w:rsidRPr="00A26B94" w:rsidRDefault="00A26B94" w:rsidP="00A26B94">
      <w:pPr>
        <w:widowControl w:val="0"/>
        <w:autoSpaceDE w:val="0"/>
        <w:autoSpaceDN w:val="0"/>
        <w:adjustRightInd w:val="0"/>
        <w:ind w:left="640" w:hanging="640"/>
        <w:rPr>
          <w:rFonts w:cs="Times New Roman"/>
          <w:noProof/>
          <w:szCs w:val="24"/>
        </w:rPr>
      </w:pPr>
      <w:r w:rsidRPr="00A26B94">
        <w:rPr>
          <w:rFonts w:cs="Times New Roman"/>
          <w:noProof/>
          <w:szCs w:val="24"/>
        </w:rPr>
        <w:t xml:space="preserve">(14) </w:t>
      </w:r>
      <w:r w:rsidRPr="00A26B94">
        <w:rPr>
          <w:rFonts w:cs="Times New Roman"/>
          <w:noProof/>
          <w:szCs w:val="24"/>
        </w:rPr>
        <w:tab/>
        <w:t xml:space="preserve">Blank, B. R.; Gut, J.; Rosenthal, P. J.; Renslo, A. R. Enantioselective Synthesis and in Vivo Evaluation of Regioisomeric Analogues of the Antimalarial Arterolane. </w:t>
      </w:r>
      <w:r w:rsidRPr="00A26B94">
        <w:rPr>
          <w:rFonts w:cs="Times New Roman"/>
          <w:i/>
          <w:iCs/>
          <w:noProof/>
          <w:szCs w:val="24"/>
        </w:rPr>
        <w:t>J. Med. Chem.</w:t>
      </w:r>
      <w:r w:rsidRPr="00A26B94">
        <w:rPr>
          <w:rFonts w:cs="Times New Roman"/>
          <w:noProof/>
          <w:szCs w:val="24"/>
        </w:rPr>
        <w:t xml:space="preserve"> </w:t>
      </w:r>
      <w:r w:rsidRPr="00A26B94">
        <w:rPr>
          <w:rFonts w:cs="Times New Roman"/>
          <w:b/>
          <w:bCs/>
          <w:noProof/>
          <w:szCs w:val="24"/>
        </w:rPr>
        <w:t>2017</w:t>
      </w:r>
      <w:r w:rsidRPr="00A26B94">
        <w:rPr>
          <w:rFonts w:cs="Times New Roman"/>
          <w:noProof/>
          <w:szCs w:val="24"/>
        </w:rPr>
        <w:t xml:space="preserve">, </w:t>
      </w:r>
      <w:r w:rsidRPr="00A26B94">
        <w:rPr>
          <w:rFonts w:cs="Times New Roman"/>
          <w:i/>
          <w:iCs/>
          <w:noProof/>
          <w:szCs w:val="24"/>
        </w:rPr>
        <w:t>60</w:t>
      </w:r>
      <w:r w:rsidRPr="00A26B94">
        <w:rPr>
          <w:rFonts w:cs="Times New Roman"/>
          <w:noProof/>
          <w:szCs w:val="24"/>
        </w:rPr>
        <w:t xml:space="preserve"> (14), 6400–6407. https://doi.org/10.1021/acs.jmedchem.7b00699.</w:t>
      </w:r>
    </w:p>
    <w:p w14:paraId="5A8FE6FF" w14:textId="77777777" w:rsidR="00A26B94" w:rsidRPr="00A26B94" w:rsidRDefault="00A26B94" w:rsidP="00A26B94">
      <w:pPr>
        <w:widowControl w:val="0"/>
        <w:autoSpaceDE w:val="0"/>
        <w:autoSpaceDN w:val="0"/>
        <w:adjustRightInd w:val="0"/>
        <w:ind w:left="640" w:hanging="640"/>
        <w:rPr>
          <w:rFonts w:cs="Times New Roman"/>
          <w:noProof/>
          <w:szCs w:val="24"/>
        </w:rPr>
      </w:pPr>
      <w:r w:rsidRPr="00A26B94">
        <w:rPr>
          <w:rFonts w:cs="Times New Roman"/>
          <w:noProof/>
          <w:szCs w:val="24"/>
        </w:rPr>
        <w:t xml:space="preserve">(15) </w:t>
      </w:r>
      <w:r w:rsidRPr="00A26B94">
        <w:rPr>
          <w:rFonts w:cs="Times New Roman"/>
          <w:noProof/>
          <w:szCs w:val="24"/>
        </w:rPr>
        <w:tab/>
        <w:t xml:space="preserve">Blank, B.; Gonciarz, R.; Talukder, P.; Gut, J.; Legac, J.; Rosenthal, P. J.; Renslo, A. R. Antimalarial Trioxolanes with Superior Drug-Like Properties and In Vivo Efficacy. </w:t>
      </w:r>
      <w:r w:rsidRPr="00A26B94">
        <w:rPr>
          <w:rFonts w:cs="Times New Roman"/>
          <w:i/>
          <w:iCs/>
          <w:noProof/>
          <w:szCs w:val="24"/>
        </w:rPr>
        <w:t>ACS Infect. Dis.</w:t>
      </w:r>
      <w:r w:rsidRPr="00A26B94">
        <w:rPr>
          <w:rFonts w:cs="Times New Roman"/>
          <w:noProof/>
          <w:szCs w:val="24"/>
        </w:rPr>
        <w:t xml:space="preserve"> </w:t>
      </w:r>
      <w:r w:rsidRPr="00A26B94">
        <w:rPr>
          <w:rFonts w:cs="Times New Roman"/>
          <w:b/>
          <w:bCs/>
          <w:noProof/>
          <w:szCs w:val="24"/>
        </w:rPr>
        <w:t>2020</w:t>
      </w:r>
      <w:r w:rsidRPr="00A26B94">
        <w:rPr>
          <w:rFonts w:cs="Times New Roman"/>
          <w:noProof/>
          <w:szCs w:val="24"/>
        </w:rPr>
        <w:t>. https://doi.org/10.1021/acsinfecdis.0c00064.</w:t>
      </w:r>
    </w:p>
    <w:p w14:paraId="5D9DB9D3" w14:textId="77777777" w:rsidR="00A26B94" w:rsidRPr="00A26B94" w:rsidRDefault="00A26B94" w:rsidP="00A26B94">
      <w:pPr>
        <w:widowControl w:val="0"/>
        <w:autoSpaceDE w:val="0"/>
        <w:autoSpaceDN w:val="0"/>
        <w:adjustRightInd w:val="0"/>
        <w:ind w:left="640" w:hanging="640"/>
        <w:rPr>
          <w:rFonts w:cs="Times New Roman"/>
          <w:noProof/>
          <w:szCs w:val="24"/>
        </w:rPr>
      </w:pPr>
      <w:r w:rsidRPr="00A26B94">
        <w:rPr>
          <w:rFonts w:cs="Times New Roman"/>
          <w:noProof/>
          <w:szCs w:val="24"/>
        </w:rPr>
        <w:t xml:space="preserve">(16) </w:t>
      </w:r>
      <w:r w:rsidRPr="00A26B94">
        <w:rPr>
          <w:rFonts w:cs="Times New Roman"/>
          <w:noProof/>
          <w:szCs w:val="24"/>
        </w:rPr>
        <w:tab/>
        <w:t>Mossallam, S. F.; Amer, E. I.; El-Faham, M. H. Efficacy of Synriam</w:t>
      </w:r>
      <w:r w:rsidRPr="00A26B94">
        <w:rPr>
          <w:rFonts w:cs="Times New Roman"/>
          <w:noProof/>
          <w:szCs w:val="24"/>
          <w:vertAlign w:val="superscript"/>
        </w:rPr>
        <w:t>TM</w:t>
      </w:r>
      <w:r w:rsidRPr="00A26B94">
        <w:rPr>
          <w:rFonts w:cs="Times New Roman"/>
          <w:noProof/>
          <w:szCs w:val="24"/>
        </w:rPr>
        <w:t xml:space="preserve">, a New Antimalarial Combination of OZ277 and Piperaquine, against Different Developmental Stages of Schistosoma Mansoni. </w:t>
      </w:r>
      <w:r w:rsidRPr="00A26B94">
        <w:rPr>
          <w:rFonts w:cs="Times New Roman"/>
          <w:i/>
          <w:iCs/>
          <w:noProof/>
          <w:szCs w:val="24"/>
        </w:rPr>
        <w:t>Acta Trop.</w:t>
      </w:r>
      <w:r w:rsidRPr="00A26B94">
        <w:rPr>
          <w:rFonts w:cs="Times New Roman"/>
          <w:noProof/>
          <w:szCs w:val="24"/>
        </w:rPr>
        <w:t xml:space="preserve"> </w:t>
      </w:r>
      <w:r w:rsidRPr="00A26B94">
        <w:rPr>
          <w:rFonts w:cs="Times New Roman"/>
          <w:b/>
          <w:bCs/>
          <w:noProof/>
          <w:szCs w:val="24"/>
        </w:rPr>
        <w:t>2015</w:t>
      </w:r>
      <w:r w:rsidRPr="00A26B94">
        <w:rPr>
          <w:rFonts w:cs="Times New Roman"/>
          <w:noProof/>
          <w:szCs w:val="24"/>
        </w:rPr>
        <w:t xml:space="preserve">, </w:t>
      </w:r>
      <w:r w:rsidRPr="00A26B94">
        <w:rPr>
          <w:rFonts w:cs="Times New Roman"/>
          <w:i/>
          <w:iCs/>
          <w:noProof/>
          <w:szCs w:val="24"/>
        </w:rPr>
        <w:t>143</w:t>
      </w:r>
      <w:r w:rsidRPr="00A26B94">
        <w:rPr>
          <w:rFonts w:cs="Times New Roman"/>
          <w:noProof/>
          <w:szCs w:val="24"/>
        </w:rPr>
        <w:t>, 36–46. https://doi.org/10.1016/j.actatropica.2014.12.005.</w:t>
      </w:r>
    </w:p>
    <w:p w14:paraId="06EEB0CB" w14:textId="77777777" w:rsidR="00A26B94" w:rsidRPr="00A26B94" w:rsidRDefault="00A26B94" w:rsidP="00A26B94">
      <w:pPr>
        <w:widowControl w:val="0"/>
        <w:autoSpaceDE w:val="0"/>
        <w:autoSpaceDN w:val="0"/>
        <w:adjustRightInd w:val="0"/>
        <w:ind w:left="640" w:hanging="640"/>
        <w:rPr>
          <w:rFonts w:cs="Times New Roman"/>
          <w:noProof/>
          <w:szCs w:val="24"/>
        </w:rPr>
      </w:pPr>
      <w:r w:rsidRPr="00A26B94">
        <w:rPr>
          <w:rFonts w:cs="Times New Roman"/>
          <w:noProof/>
          <w:szCs w:val="24"/>
        </w:rPr>
        <w:t xml:space="preserve">(17) </w:t>
      </w:r>
      <w:r w:rsidRPr="00A26B94">
        <w:rPr>
          <w:rFonts w:cs="Times New Roman"/>
          <w:noProof/>
          <w:szCs w:val="24"/>
        </w:rPr>
        <w:tab/>
        <w:t xml:space="preserve">O’Neill, P. M.; Amewu, R. K.; Charman, S. A.; Sabbani, S.; Gnädig, N. F.; Straimer, J.; Fidock, D. A.; Shore, E. R.; Roberts, N. L.; Wong, M. H. L.; Hong, W. D.; Pidathala, C.; Riley, C.; Murphy, B.; Aljayyoussi, G.; Gamo, F. J.; Sanz, L.; Rodrigues, J.; Cortes, C. G.; Herreros, E.; Angulo-Barturén, I.; Jiménez-Díaz, M. B.; Bazaga, S. F.; Martínez-Martínez, M. S.; Campo, B.; Sharma, R.; Ryan, E.; Shackleford, D. M.; Campbell, S.; Smith, D. A.; Wirjanata, G.; Noviyanti, R.; Price, R. N.; Marfurt, J.; Palmer, M. J.; Copple, I. M.; Mercer, A. E.; Ruecker, A.; Delves, M. J.; Sinden, R. E.; Siegl, P.; Davies, J.; Rochford, R.; Kocken, C. H. M.; Zeeman, A. M.; Nixon, G. L.; Biagini, G. A.; Ward, S. A. A Tetraoxane-Based Antimalarial Drug Candidate That Overcomes PfK13-C580Y Dependent Artemisinin Resistance. </w:t>
      </w:r>
      <w:r w:rsidRPr="00A26B94">
        <w:rPr>
          <w:rFonts w:cs="Times New Roman"/>
          <w:i/>
          <w:iCs/>
          <w:noProof/>
          <w:szCs w:val="24"/>
        </w:rPr>
        <w:t>Nat. Commun.</w:t>
      </w:r>
      <w:r w:rsidRPr="00A26B94">
        <w:rPr>
          <w:rFonts w:cs="Times New Roman"/>
          <w:noProof/>
          <w:szCs w:val="24"/>
        </w:rPr>
        <w:t xml:space="preserve"> </w:t>
      </w:r>
      <w:r w:rsidRPr="00A26B94">
        <w:rPr>
          <w:rFonts w:cs="Times New Roman"/>
          <w:b/>
          <w:bCs/>
          <w:noProof/>
          <w:szCs w:val="24"/>
        </w:rPr>
        <w:t>2017</w:t>
      </w:r>
      <w:r w:rsidRPr="00A26B94">
        <w:rPr>
          <w:rFonts w:cs="Times New Roman"/>
          <w:noProof/>
          <w:szCs w:val="24"/>
        </w:rPr>
        <w:t xml:space="preserve">, </w:t>
      </w:r>
      <w:r w:rsidRPr="00A26B94">
        <w:rPr>
          <w:rFonts w:cs="Times New Roman"/>
          <w:i/>
          <w:iCs/>
          <w:noProof/>
          <w:szCs w:val="24"/>
        </w:rPr>
        <w:t>8</w:t>
      </w:r>
      <w:r w:rsidRPr="00A26B94">
        <w:rPr>
          <w:rFonts w:cs="Times New Roman"/>
          <w:noProof/>
          <w:szCs w:val="24"/>
        </w:rPr>
        <w:t>, 15159. https://doi.org/10.1038/ncomms15159.</w:t>
      </w:r>
    </w:p>
    <w:p w14:paraId="0E0106C2" w14:textId="77777777" w:rsidR="00A26B94" w:rsidRPr="00A26B94" w:rsidRDefault="00A26B94" w:rsidP="00A26B94">
      <w:pPr>
        <w:widowControl w:val="0"/>
        <w:autoSpaceDE w:val="0"/>
        <w:autoSpaceDN w:val="0"/>
        <w:adjustRightInd w:val="0"/>
        <w:ind w:left="640" w:hanging="640"/>
        <w:rPr>
          <w:rFonts w:cs="Times New Roman"/>
          <w:noProof/>
          <w:szCs w:val="24"/>
        </w:rPr>
      </w:pPr>
      <w:r w:rsidRPr="00A26B94">
        <w:rPr>
          <w:rFonts w:cs="Times New Roman"/>
          <w:noProof/>
          <w:szCs w:val="24"/>
        </w:rPr>
        <w:t xml:space="preserve">(18) </w:t>
      </w:r>
      <w:r w:rsidRPr="00A26B94">
        <w:rPr>
          <w:rFonts w:cs="Times New Roman"/>
          <w:noProof/>
          <w:szCs w:val="24"/>
        </w:rPr>
        <w:tab/>
        <w:t xml:space="preserve">O’ Neill, P. M.; Stocks, P. A.; Sabbani, S.; Roberts, N. L.; Amewu, R. K.; Shore, E. R.; Aljayyoussi, G.; Angulo-Barturén, I.; Belén, M.; Jiménez-Díaz; Bazaga, S. F.; Martínez, M. S.; Campo, B.; Sharma, R.; Charman, S. A.; Ryan, E.; Chen, G.; Shackleford, D. M.; Davies, J.; Nixon, G. L.; Biagini, G. A.; Ward, S. A. Synthesis and Profiling of Benzylmorpholine 1,2,4,5-Tetraoxane Analogue N205: Towards Tetraoxane Scaffolds with Potential for Single Dose Cure of Malaria. </w:t>
      </w:r>
      <w:r w:rsidRPr="00A26B94">
        <w:rPr>
          <w:rFonts w:cs="Times New Roman"/>
          <w:i/>
          <w:iCs/>
          <w:noProof/>
          <w:szCs w:val="24"/>
        </w:rPr>
        <w:t>Bioorganic Med. Chem.</w:t>
      </w:r>
      <w:r w:rsidRPr="00A26B94">
        <w:rPr>
          <w:rFonts w:cs="Times New Roman"/>
          <w:noProof/>
          <w:szCs w:val="24"/>
        </w:rPr>
        <w:t xml:space="preserve"> </w:t>
      </w:r>
      <w:r w:rsidRPr="00A26B94">
        <w:rPr>
          <w:rFonts w:cs="Times New Roman"/>
          <w:b/>
          <w:bCs/>
          <w:noProof/>
          <w:szCs w:val="24"/>
        </w:rPr>
        <w:t>2018</w:t>
      </w:r>
      <w:r w:rsidRPr="00A26B94">
        <w:rPr>
          <w:rFonts w:cs="Times New Roman"/>
          <w:noProof/>
          <w:szCs w:val="24"/>
        </w:rPr>
        <w:t xml:space="preserve">, </w:t>
      </w:r>
      <w:r w:rsidRPr="00A26B94">
        <w:rPr>
          <w:rFonts w:cs="Times New Roman"/>
          <w:i/>
          <w:iCs/>
          <w:noProof/>
          <w:szCs w:val="24"/>
        </w:rPr>
        <w:t>26</w:t>
      </w:r>
      <w:r w:rsidRPr="00A26B94">
        <w:rPr>
          <w:rFonts w:cs="Times New Roman"/>
          <w:noProof/>
          <w:szCs w:val="24"/>
        </w:rPr>
        <w:t xml:space="preserve"> (11), 2996–3005. </w:t>
      </w:r>
      <w:r w:rsidRPr="00A26B94">
        <w:rPr>
          <w:rFonts w:cs="Times New Roman"/>
          <w:noProof/>
          <w:szCs w:val="24"/>
        </w:rPr>
        <w:lastRenderedPageBreak/>
        <w:t>https://doi.org/10.1016/j.bmc.2018.05.006.</w:t>
      </w:r>
    </w:p>
    <w:p w14:paraId="586CFDFE" w14:textId="77777777" w:rsidR="00A26B94" w:rsidRPr="00A26B94" w:rsidRDefault="00A26B94" w:rsidP="00A26B94">
      <w:pPr>
        <w:widowControl w:val="0"/>
        <w:autoSpaceDE w:val="0"/>
        <w:autoSpaceDN w:val="0"/>
        <w:adjustRightInd w:val="0"/>
        <w:ind w:left="640" w:hanging="640"/>
        <w:rPr>
          <w:rFonts w:cs="Times New Roman"/>
          <w:noProof/>
          <w:szCs w:val="24"/>
        </w:rPr>
      </w:pPr>
      <w:r w:rsidRPr="00A26B94">
        <w:rPr>
          <w:rFonts w:cs="Times New Roman"/>
          <w:noProof/>
          <w:szCs w:val="24"/>
        </w:rPr>
        <w:t xml:space="preserve">(19) </w:t>
      </w:r>
      <w:r w:rsidRPr="00A26B94">
        <w:rPr>
          <w:rFonts w:cs="Times New Roman"/>
          <w:noProof/>
          <w:szCs w:val="24"/>
        </w:rPr>
        <w:tab/>
        <w:t xml:space="preserve">O’Neill, P. M.; Barton, V. E.; Ward, S. A. The Molecular Mechanism of Action of Artemisinin - The Debate Continues. </w:t>
      </w:r>
      <w:r w:rsidRPr="00A26B94">
        <w:rPr>
          <w:rFonts w:cs="Times New Roman"/>
          <w:i/>
          <w:iCs/>
          <w:noProof/>
          <w:szCs w:val="24"/>
        </w:rPr>
        <w:t>Molecules</w:t>
      </w:r>
      <w:r w:rsidRPr="00A26B94">
        <w:rPr>
          <w:rFonts w:cs="Times New Roman"/>
          <w:noProof/>
          <w:szCs w:val="24"/>
        </w:rPr>
        <w:t xml:space="preserve"> </w:t>
      </w:r>
      <w:r w:rsidRPr="00A26B94">
        <w:rPr>
          <w:rFonts w:cs="Times New Roman"/>
          <w:b/>
          <w:bCs/>
          <w:noProof/>
          <w:szCs w:val="24"/>
        </w:rPr>
        <w:t>2010</w:t>
      </w:r>
      <w:r w:rsidRPr="00A26B94">
        <w:rPr>
          <w:rFonts w:cs="Times New Roman"/>
          <w:noProof/>
          <w:szCs w:val="24"/>
        </w:rPr>
        <w:t>. https://doi.org/10.3390/molecules15031705.</w:t>
      </w:r>
    </w:p>
    <w:p w14:paraId="6858D7FB" w14:textId="77777777" w:rsidR="00A26B94" w:rsidRPr="00A26B94" w:rsidRDefault="00A26B94" w:rsidP="00A26B94">
      <w:pPr>
        <w:widowControl w:val="0"/>
        <w:autoSpaceDE w:val="0"/>
        <w:autoSpaceDN w:val="0"/>
        <w:adjustRightInd w:val="0"/>
        <w:ind w:left="640" w:hanging="640"/>
        <w:rPr>
          <w:rFonts w:cs="Times New Roman"/>
          <w:noProof/>
          <w:szCs w:val="24"/>
        </w:rPr>
      </w:pPr>
      <w:r w:rsidRPr="00A26B94">
        <w:rPr>
          <w:rFonts w:cs="Times New Roman"/>
          <w:noProof/>
          <w:szCs w:val="24"/>
        </w:rPr>
        <w:t xml:space="preserve">(20) </w:t>
      </w:r>
      <w:r w:rsidRPr="00A26B94">
        <w:rPr>
          <w:rFonts w:cs="Times New Roman"/>
          <w:noProof/>
          <w:szCs w:val="24"/>
        </w:rPr>
        <w:tab/>
        <w:t xml:space="preserve">Brown, R. J. C.; Brown, R. F. C. Melting Point and Molecular Symmetry. </w:t>
      </w:r>
      <w:r w:rsidRPr="00A26B94">
        <w:rPr>
          <w:rFonts w:cs="Times New Roman"/>
          <w:i/>
          <w:iCs/>
          <w:noProof/>
          <w:szCs w:val="24"/>
        </w:rPr>
        <w:t>J. Chem. Educ.</w:t>
      </w:r>
      <w:r w:rsidRPr="00A26B94">
        <w:rPr>
          <w:rFonts w:cs="Times New Roman"/>
          <w:noProof/>
          <w:szCs w:val="24"/>
        </w:rPr>
        <w:t xml:space="preserve"> </w:t>
      </w:r>
      <w:r w:rsidRPr="00A26B94">
        <w:rPr>
          <w:rFonts w:cs="Times New Roman"/>
          <w:b/>
          <w:bCs/>
          <w:noProof/>
          <w:szCs w:val="24"/>
        </w:rPr>
        <w:t>2000</w:t>
      </w:r>
      <w:r w:rsidRPr="00A26B94">
        <w:rPr>
          <w:rFonts w:cs="Times New Roman"/>
          <w:noProof/>
          <w:szCs w:val="24"/>
        </w:rPr>
        <w:t>. https://doi.org/10.1021/ed077p724.</w:t>
      </w:r>
    </w:p>
    <w:p w14:paraId="3362A8CD" w14:textId="77777777" w:rsidR="00A26B94" w:rsidRPr="00A26B94" w:rsidRDefault="00A26B94" w:rsidP="00A26B94">
      <w:pPr>
        <w:widowControl w:val="0"/>
        <w:autoSpaceDE w:val="0"/>
        <w:autoSpaceDN w:val="0"/>
        <w:adjustRightInd w:val="0"/>
        <w:ind w:left="640" w:hanging="640"/>
        <w:rPr>
          <w:rFonts w:cs="Times New Roman"/>
          <w:noProof/>
          <w:szCs w:val="24"/>
        </w:rPr>
      </w:pPr>
      <w:r w:rsidRPr="00A26B94">
        <w:rPr>
          <w:rFonts w:cs="Times New Roman"/>
          <w:noProof/>
          <w:szCs w:val="24"/>
        </w:rPr>
        <w:t xml:space="preserve">(21) </w:t>
      </w:r>
      <w:r w:rsidRPr="00A26B94">
        <w:rPr>
          <w:rFonts w:cs="Times New Roman"/>
          <w:noProof/>
          <w:szCs w:val="24"/>
        </w:rPr>
        <w:tab/>
        <w:t xml:space="preserve">Nordström, F. L.; Rasmuson, Å. C. Prediction of Solubility Curves and Melting Properties of Organic and Pharmaceutical Compounds. </w:t>
      </w:r>
      <w:r w:rsidRPr="00A26B94">
        <w:rPr>
          <w:rFonts w:cs="Times New Roman"/>
          <w:i/>
          <w:iCs/>
          <w:noProof/>
          <w:szCs w:val="24"/>
        </w:rPr>
        <w:t>Eur. J. Pharm. Sci.</w:t>
      </w:r>
      <w:r w:rsidRPr="00A26B94">
        <w:rPr>
          <w:rFonts w:cs="Times New Roman"/>
          <w:noProof/>
          <w:szCs w:val="24"/>
        </w:rPr>
        <w:t xml:space="preserve"> </w:t>
      </w:r>
      <w:r w:rsidRPr="00A26B94">
        <w:rPr>
          <w:rFonts w:cs="Times New Roman"/>
          <w:b/>
          <w:bCs/>
          <w:noProof/>
          <w:szCs w:val="24"/>
        </w:rPr>
        <w:t>2009</w:t>
      </w:r>
      <w:r w:rsidRPr="00A26B94">
        <w:rPr>
          <w:rFonts w:cs="Times New Roman"/>
          <w:noProof/>
          <w:szCs w:val="24"/>
        </w:rPr>
        <w:t>. https://doi.org/10.1016/j.ejps.2008.10.009.</w:t>
      </w:r>
    </w:p>
    <w:p w14:paraId="6AF29A89" w14:textId="77777777" w:rsidR="00A26B94" w:rsidRPr="00A26B94" w:rsidRDefault="00A26B94" w:rsidP="00A26B94">
      <w:pPr>
        <w:widowControl w:val="0"/>
        <w:autoSpaceDE w:val="0"/>
        <w:autoSpaceDN w:val="0"/>
        <w:adjustRightInd w:val="0"/>
        <w:ind w:left="640" w:hanging="640"/>
        <w:rPr>
          <w:rFonts w:cs="Times New Roman"/>
          <w:noProof/>
          <w:szCs w:val="24"/>
        </w:rPr>
      </w:pPr>
      <w:r w:rsidRPr="00A26B94">
        <w:rPr>
          <w:rFonts w:cs="Times New Roman"/>
          <w:noProof/>
          <w:szCs w:val="24"/>
        </w:rPr>
        <w:t xml:space="preserve">(22) </w:t>
      </w:r>
      <w:r w:rsidRPr="00A26B94">
        <w:rPr>
          <w:rFonts w:cs="Times New Roman"/>
          <w:noProof/>
          <w:szCs w:val="24"/>
        </w:rPr>
        <w:tab/>
        <w:t xml:space="preserve">Chu, K. A.; Yalkowsky, S. H. An Interesting Relationship between Drug Absorption and Melting Point. </w:t>
      </w:r>
      <w:r w:rsidRPr="00A26B94">
        <w:rPr>
          <w:rFonts w:cs="Times New Roman"/>
          <w:i/>
          <w:iCs/>
          <w:noProof/>
          <w:szCs w:val="24"/>
        </w:rPr>
        <w:t>Int. J. Pharm.</w:t>
      </w:r>
      <w:r w:rsidRPr="00A26B94">
        <w:rPr>
          <w:rFonts w:cs="Times New Roman"/>
          <w:noProof/>
          <w:szCs w:val="24"/>
        </w:rPr>
        <w:t xml:space="preserve"> </w:t>
      </w:r>
      <w:r w:rsidRPr="00A26B94">
        <w:rPr>
          <w:rFonts w:cs="Times New Roman"/>
          <w:b/>
          <w:bCs/>
          <w:noProof/>
          <w:szCs w:val="24"/>
        </w:rPr>
        <w:t>2009</w:t>
      </w:r>
      <w:r w:rsidRPr="00A26B94">
        <w:rPr>
          <w:rFonts w:cs="Times New Roman"/>
          <w:noProof/>
          <w:szCs w:val="24"/>
        </w:rPr>
        <w:t>. https://doi.org/10.1016/j.ijpharm.2009.01.026.</w:t>
      </w:r>
    </w:p>
    <w:p w14:paraId="781F6058" w14:textId="77777777" w:rsidR="00A26B94" w:rsidRPr="00A26B94" w:rsidRDefault="00A26B94" w:rsidP="00A26B94">
      <w:pPr>
        <w:widowControl w:val="0"/>
        <w:autoSpaceDE w:val="0"/>
        <w:autoSpaceDN w:val="0"/>
        <w:adjustRightInd w:val="0"/>
        <w:ind w:left="640" w:hanging="640"/>
        <w:rPr>
          <w:rFonts w:cs="Times New Roman"/>
          <w:noProof/>
          <w:szCs w:val="24"/>
        </w:rPr>
      </w:pPr>
      <w:r w:rsidRPr="00A26B94">
        <w:rPr>
          <w:rFonts w:cs="Times New Roman"/>
          <w:noProof/>
          <w:szCs w:val="24"/>
        </w:rPr>
        <w:t xml:space="preserve">(23) </w:t>
      </w:r>
      <w:r w:rsidRPr="00A26B94">
        <w:rPr>
          <w:rFonts w:cs="Times New Roman"/>
          <w:noProof/>
          <w:szCs w:val="24"/>
        </w:rPr>
        <w:tab/>
        <w:t xml:space="preserve">Hayashi, T.; Yamasaki, K. Rhodium-Catalyzed Asymmetric 1,4-Addition and Its Related Asymmetric Reactions. </w:t>
      </w:r>
      <w:r w:rsidRPr="00A26B94">
        <w:rPr>
          <w:rFonts w:cs="Times New Roman"/>
          <w:i/>
          <w:iCs/>
          <w:noProof/>
          <w:szCs w:val="24"/>
        </w:rPr>
        <w:t>Chem. Rev.</w:t>
      </w:r>
      <w:r w:rsidRPr="00A26B94">
        <w:rPr>
          <w:rFonts w:cs="Times New Roman"/>
          <w:noProof/>
          <w:szCs w:val="24"/>
        </w:rPr>
        <w:t xml:space="preserve"> </w:t>
      </w:r>
      <w:r w:rsidRPr="00A26B94">
        <w:rPr>
          <w:rFonts w:cs="Times New Roman"/>
          <w:b/>
          <w:bCs/>
          <w:noProof/>
          <w:szCs w:val="24"/>
        </w:rPr>
        <w:t>2003</w:t>
      </w:r>
      <w:r w:rsidRPr="00A26B94">
        <w:rPr>
          <w:rFonts w:cs="Times New Roman"/>
          <w:noProof/>
          <w:szCs w:val="24"/>
        </w:rPr>
        <w:t>. https://doi.org/10.1021/cr020022z.</w:t>
      </w:r>
    </w:p>
    <w:p w14:paraId="66C0036E" w14:textId="77777777" w:rsidR="00A26B94" w:rsidRPr="00A26B94" w:rsidRDefault="00A26B94" w:rsidP="00A26B94">
      <w:pPr>
        <w:widowControl w:val="0"/>
        <w:autoSpaceDE w:val="0"/>
        <w:autoSpaceDN w:val="0"/>
        <w:adjustRightInd w:val="0"/>
        <w:ind w:left="640" w:hanging="640"/>
        <w:rPr>
          <w:rFonts w:cs="Times New Roman"/>
          <w:noProof/>
          <w:szCs w:val="24"/>
        </w:rPr>
      </w:pPr>
      <w:r w:rsidRPr="00A26B94">
        <w:rPr>
          <w:rFonts w:cs="Times New Roman"/>
          <w:noProof/>
          <w:szCs w:val="24"/>
        </w:rPr>
        <w:t xml:space="preserve">(24) </w:t>
      </w:r>
      <w:r w:rsidRPr="00A26B94">
        <w:rPr>
          <w:rFonts w:cs="Times New Roman"/>
          <w:noProof/>
          <w:szCs w:val="24"/>
        </w:rPr>
        <w:tab/>
        <w:t xml:space="preserve">Sakai, M.; Hayashi, H.; Miyaura, N. Rhodium-Catalyzed Conjugate Addition of Aryl- or 1-Alkenylboronic Acids to Enones. </w:t>
      </w:r>
      <w:r w:rsidRPr="00A26B94">
        <w:rPr>
          <w:rFonts w:cs="Times New Roman"/>
          <w:i/>
          <w:iCs/>
          <w:noProof/>
          <w:szCs w:val="24"/>
        </w:rPr>
        <w:t>Organometallics</w:t>
      </w:r>
      <w:r w:rsidRPr="00A26B94">
        <w:rPr>
          <w:rFonts w:cs="Times New Roman"/>
          <w:noProof/>
          <w:szCs w:val="24"/>
        </w:rPr>
        <w:t xml:space="preserve"> </w:t>
      </w:r>
      <w:r w:rsidRPr="00A26B94">
        <w:rPr>
          <w:rFonts w:cs="Times New Roman"/>
          <w:b/>
          <w:bCs/>
          <w:noProof/>
          <w:szCs w:val="24"/>
        </w:rPr>
        <w:t>1997</w:t>
      </w:r>
      <w:r w:rsidRPr="00A26B94">
        <w:rPr>
          <w:rFonts w:cs="Times New Roman"/>
          <w:noProof/>
          <w:szCs w:val="24"/>
        </w:rPr>
        <w:t>. https://doi.org/10.1021/om9705113.</w:t>
      </w:r>
    </w:p>
    <w:p w14:paraId="6F508FB7" w14:textId="77777777" w:rsidR="00A26B94" w:rsidRPr="00A26B94" w:rsidRDefault="00A26B94" w:rsidP="00A26B94">
      <w:pPr>
        <w:widowControl w:val="0"/>
        <w:autoSpaceDE w:val="0"/>
        <w:autoSpaceDN w:val="0"/>
        <w:adjustRightInd w:val="0"/>
        <w:ind w:left="640" w:hanging="640"/>
        <w:rPr>
          <w:rFonts w:cs="Times New Roman"/>
          <w:noProof/>
          <w:szCs w:val="24"/>
        </w:rPr>
      </w:pPr>
      <w:r w:rsidRPr="00A26B94">
        <w:rPr>
          <w:rFonts w:cs="Times New Roman"/>
          <w:noProof/>
          <w:szCs w:val="24"/>
        </w:rPr>
        <w:t xml:space="preserve">(25) </w:t>
      </w:r>
      <w:r w:rsidRPr="00A26B94">
        <w:rPr>
          <w:rFonts w:cs="Times New Roman"/>
          <w:noProof/>
          <w:szCs w:val="24"/>
        </w:rPr>
        <w:tab/>
        <w:t xml:space="preserve">Ghorai, P.; Dussault, P. H. Broadly Applicable Synthesis of 1,2,4,5-Tetraoxanes. </w:t>
      </w:r>
      <w:r w:rsidRPr="00A26B94">
        <w:rPr>
          <w:rFonts w:cs="Times New Roman"/>
          <w:i/>
          <w:iCs/>
          <w:noProof/>
          <w:szCs w:val="24"/>
        </w:rPr>
        <w:t>Org. Lett.</w:t>
      </w:r>
      <w:r w:rsidRPr="00A26B94">
        <w:rPr>
          <w:rFonts w:cs="Times New Roman"/>
          <w:noProof/>
          <w:szCs w:val="24"/>
        </w:rPr>
        <w:t xml:space="preserve"> </w:t>
      </w:r>
      <w:r w:rsidRPr="00A26B94">
        <w:rPr>
          <w:rFonts w:cs="Times New Roman"/>
          <w:b/>
          <w:bCs/>
          <w:noProof/>
          <w:szCs w:val="24"/>
        </w:rPr>
        <w:t>2009</w:t>
      </w:r>
      <w:r w:rsidRPr="00A26B94">
        <w:rPr>
          <w:rFonts w:cs="Times New Roman"/>
          <w:noProof/>
          <w:szCs w:val="24"/>
        </w:rPr>
        <w:t>. https://doi.org/10.1021/ol8023874.</w:t>
      </w:r>
    </w:p>
    <w:p w14:paraId="00A649E2" w14:textId="6CD68C96" w:rsidR="00A26B94" w:rsidRDefault="00A26B94" w:rsidP="00A26B94">
      <w:pPr>
        <w:widowControl w:val="0"/>
        <w:autoSpaceDE w:val="0"/>
        <w:autoSpaceDN w:val="0"/>
        <w:adjustRightInd w:val="0"/>
        <w:ind w:left="640" w:hanging="640"/>
        <w:rPr>
          <w:rFonts w:cs="Times New Roman"/>
          <w:noProof/>
          <w:szCs w:val="24"/>
        </w:rPr>
      </w:pPr>
      <w:r w:rsidRPr="00A26B94">
        <w:rPr>
          <w:rFonts w:cs="Times New Roman"/>
          <w:noProof/>
          <w:szCs w:val="24"/>
        </w:rPr>
        <w:t xml:space="preserve">(26) </w:t>
      </w:r>
      <w:r w:rsidRPr="00A26B94">
        <w:rPr>
          <w:rFonts w:cs="Times New Roman"/>
          <w:noProof/>
          <w:szCs w:val="24"/>
        </w:rPr>
        <w:tab/>
        <w:t xml:space="preserve">O’ Neill, P. M.; Sabbani, S.; Nixon, G. L.; Schnaderbeck, M.; Roberts, N. L.; Shore, E. R.; Riley, C.; Murphy, B.; McGillan, P.; Ward, S. A.; Davies, J.; Amewu, R. K. Optimisation of the Synthesis of Second Generation 1,2,4,5 Tetraoxane Antimalarials. </w:t>
      </w:r>
      <w:r w:rsidRPr="00A26B94">
        <w:rPr>
          <w:rFonts w:cs="Times New Roman"/>
          <w:i/>
          <w:iCs/>
          <w:noProof/>
          <w:szCs w:val="24"/>
        </w:rPr>
        <w:t>Tetrahedron</w:t>
      </w:r>
      <w:r w:rsidRPr="00A26B94">
        <w:rPr>
          <w:rFonts w:cs="Times New Roman"/>
          <w:noProof/>
          <w:szCs w:val="24"/>
        </w:rPr>
        <w:t xml:space="preserve"> </w:t>
      </w:r>
      <w:r w:rsidRPr="00A26B94">
        <w:rPr>
          <w:rFonts w:cs="Times New Roman"/>
          <w:b/>
          <w:bCs/>
          <w:noProof/>
          <w:szCs w:val="24"/>
        </w:rPr>
        <w:t>2016</w:t>
      </w:r>
      <w:r w:rsidRPr="00A26B94">
        <w:rPr>
          <w:rFonts w:cs="Times New Roman"/>
          <w:noProof/>
          <w:szCs w:val="24"/>
        </w:rPr>
        <w:t xml:space="preserve">, </w:t>
      </w:r>
      <w:r w:rsidRPr="00A26B94">
        <w:rPr>
          <w:rFonts w:cs="Times New Roman"/>
          <w:i/>
          <w:iCs/>
          <w:noProof/>
          <w:szCs w:val="24"/>
        </w:rPr>
        <w:t>72</w:t>
      </w:r>
      <w:r w:rsidRPr="00A26B94">
        <w:rPr>
          <w:rFonts w:cs="Times New Roman"/>
          <w:noProof/>
          <w:szCs w:val="24"/>
        </w:rPr>
        <w:t xml:space="preserve"> (40), 6118–6126. https://doi.org/10.1016/j.tet.2016.08.043.</w:t>
      </w:r>
    </w:p>
    <w:p w14:paraId="4975C65D" w14:textId="0E1C8AD2" w:rsidR="00E25072" w:rsidRPr="005C0D28" w:rsidRDefault="00E25072" w:rsidP="006841E6">
      <w:pPr>
        <w:widowControl w:val="0"/>
        <w:autoSpaceDE w:val="0"/>
        <w:autoSpaceDN w:val="0"/>
        <w:adjustRightInd w:val="0"/>
        <w:ind w:left="640" w:hanging="640"/>
        <w:rPr>
          <w:noProof/>
        </w:rPr>
      </w:pPr>
      <w:r w:rsidRPr="005C0D28">
        <w:rPr>
          <w:rFonts w:cs="Times New Roman"/>
          <w:noProof/>
          <w:szCs w:val="24"/>
        </w:rPr>
        <w:t>(27)</w:t>
      </w:r>
      <w:r w:rsidR="006841E6" w:rsidRPr="005C0D28">
        <w:rPr>
          <w:rFonts w:cs="Times New Roman"/>
          <w:noProof/>
          <w:szCs w:val="24"/>
        </w:rPr>
        <w:tab/>
      </w:r>
      <w:r w:rsidR="006841E6" w:rsidRPr="005C0D28">
        <w:rPr>
          <w:noProof/>
        </w:rPr>
        <w:t xml:space="preserve">(a) </w:t>
      </w:r>
      <w:r w:rsidR="00B64B3C" w:rsidRPr="00B64B3C">
        <w:rPr>
          <w:noProof/>
        </w:rPr>
        <w:t>Basarab, G. S.; Hill, P. J.; Garner, C. E.; Hull, K.; Green, O.; Sherer, B. A.; Dangel, P. B.; Manchester, J. I.; Bist, S.; Hauck, S.; Zhou, F.; Uria-Nickelsen, M.; Illingworth, R.; Alm, R.; Rooney, M.; Eakin, A. E. Optimization of Pyrrolamide Topoisomerase II Inhibitors Toward Identification of an Antibacterial Clinical Candidate (AZD5099). J. Med. Chem. 2014, 57 (14), 6060–6082. https://doi.org/10.1021/jm500462x.</w:t>
      </w:r>
      <w:r w:rsidR="006841E6" w:rsidRPr="005C0D28">
        <w:rPr>
          <w:rFonts w:cs="Times New Roman"/>
          <w:noProof/>
          <w:szCs w:val="24"/>
        </w:rPr>
        <w:t xml:space="preserve"> (b) </w:t>
      </w:r>
      <w:r w:rsidR="00B64B3C" w:rsidRPr="00B64B3C">
        <w:rPr>
          <w:rFonts w:cs="Times New Roman"/>
          <w:noProof/>
          <w:szCs w:val="24"/>
        </w:rPr>
        <w:t>Doyle, K.; Lönn, H.; Käck, H.; Van de Poël, A.; Swallow, S.; Gardiner, P.; Connolly, S.; Root, J.; Wikell, C.; Dahl, G.; Stenvall, K.; Johannesson, P. Discovery of Second Generation Reversible Covalent DPP1 Inhibitors Leading to an Oxazepane Amidoacetonitrile Based Clinical Candidate (AZD7986). J. Med. Chem. 2016, 59 (20), 9457–9472. https://doi.org/10.1021/acs.jmedchem.6b01127.</w:t>
      </w:r>
    </w:p>
    <w:p w14:paraId="066D13E2" w14:textId="1D2911BD" w:rsidR="00A26B94" w:rsidRPr="00A26B94" w:rsidRDefault="00A26B94" w:rsidP="00A26B94">
      <w:pPr>
        <w:widowControl w:val="0"/>
        <w:autoSpaceDE w:val="0"/>
        <w:autoSpaceDN w:val="0"/>
        <w:adjustRightInd w:val="0"/>
        <w:ind w:left="640" w:hanging="640"/>
        <w:rPr>
          <w:rFonts w:cs="Times New Roman"/>
          <w:noProof/>
          <w:szCs w:val="24"/>
        </w:rPr>
      </w:pPr>
      <w:r w:rsidRPr="00A26B94">
        <w:rPr>
          <w:rFonts w:cs="Times New Roman"/>
          <w:noProof/>
          <w:szCs w:val="24"/>
        </w:rPr>
        <w:t>(2</w:t>
      </w:r>
      <w:r w:rsidR="00E25072">
        <w:rPr>
          <w:rFonts w:cs="Times New Roman"/>
          <w:noProof/>
          <w:szCs w:val="24"/>
        </w:rPr>
        <w:t>8</w:t>
      </w:r>
      <w:r w:rsidRPr="00A26B94">
        <w:rPr>
          <w:rFonts w:cs="Times New Roman"/>
          <w:noProof/>
          <w:szCs w:val="24"/>
        </w:rPr>
        <w:t xml:space="preserve">) </w:t>
      </w:r>
      <w:r w:rsidRPr="00A26B94">
        <w:rPr>
          <w:rFonts w:cs="Times New Roman"/>
          <w:noProof/>
          <w:szCs w:val="24"/>
        </w:rPr>
        <w:tab/>
        <w:t xml:space="preserve">Charman, S. A.; Andreu, A.; Barker, H.; Blundell, S.; Campbell, A.; Campbell, M.; Chen, G.; Chiu, F. C. K.; Crighton, E.; Katneni, K.; Morizzi, J.; Patil, R.; Pham, T.; Ryan, E.; Saunders, J.; Shackleford, D. M.; White, K. L.; Almond, L.; Dickins, M.; Smith, D. A.; Moehrle, J. J.; </w:t>
      </w:r>
      <w:r w:rsidRPr="00A26B94">
        <w:rPr>
          <w:rFonts w:cs="Times New Roman"/>
          <w:noProof/>
          <w:szCs w:val="24"/>
        </w:rPr>
        <w:lastRenderedPageBreak/>
        <w:t xml:space="preserve">Burrows, J. N.; Abla, N. An in Vitro Toolbox to Accelerate Anti-Malarial Drug Discovery and Development. </w:t>
      </w:r>
      <w:r w:rsidRPr="00A26B94">
        <w:rPr>
          <w:rFonts w:cs="Times New Roman"/>
          <w:i/>
          <w:iCs/>
          <w:noProof/>
          <w:szCs w:val="24"/>
        </w:rPr>
        <w:t>Malar. J.</w:t>
      </w:r>
      <w:r w:rsidRPr="00A26B94">
        <w:rPr>
          <w:rFonts w:cs="Times New Roman"/>
          <w:noProof/>
          <w:szCs w:val="24"/>
        </w:rPr>
        <w:t xml:space="preserve"> </w:t>
      </w:r>
      <w:r w:rsidRPr="00A26B94">
        <w:rPr>
          <w:rFonts w:cs="Times New Roman"/>
          <w:b/>
          <w:bCs/>
          <w:noProof/>
          <w:szCs w:val="24"/>
        </w:rPr>
        <w:t>2020</w:t>
      </w:r>
      <w:r w:rsidRPr="00A26B94">
        <w:rPr>
          <w:rFonts w:cs="Times New Roman"/>
          <w:noProof/>
          <w:szCs w:val="24"/>
        </w:rPr>
        <w:t xml:space="preserve">, </w:t>
      </w:r>
      <w:r w:rsidRPr="00A26B94">
        <w:rPr>
          <w:rFonts w:cs="Times New Roman"/>
          <w:i/>
          <w:iCs/>
          <w:noProof/>
          <w:szCs w:val="24"/>
        </w:rPr>
        <w:t>19</w:t>
      </w:r>
      <w:r w:rsidRPr="00A26B94">
        <w:rPr>
          <w:rFonts w:cs="Times New Roman"/>
          <w:noProof/>
          <w:szCs w:val="24"/>
        </w:rPr>
        <w:t xml:space="preserve"> (1), 1. https://doi.org/10.1186/s12936-019-3075-5.</w:t>
      </w:r>
    </w:p>
    <w:p w14:paraId="21A08219" w14:textId="4A9E0CCD" w:rsidR="00A26B94" w:rsidRPr="00A26B94" w:rsidRDefault="00A26B94" w:rsidP="00A26B94">
      <w:pPr>
        <w:widowControl w:val="0"/>
        <w:autoSpaceDE w:val="0"/>
        <w:autoSpaceDN w:val="0"/>
        <w:adjustRightInd w:val="0"/>
        <w:ind w:left="640" w:hanging="640"/>
        <w:rPr>
          <w:rFonts w:cs="Times New Roman"/>
          <w:noProof/>
        </w:rPr>
      </w:pPr>
      <w:r w:rsidRPr="00A26B94">
        <w:rPr>
          <w:rFonts w:cs="Times New Roman"/>
          <w:noProof/>
          <w:szCs w:val="24"/>
        </w:rPr>
        <w:t>(2</w:t>
      </w:r>
      <w:r w:rsidR="00E25072">
        <w:rPr>
          <w:rFonts w:cs="Times New Roman"/>
          <w:noProof/>
          <w:szCs w:val="24"/>
        </w:rPr>
        <w:t>9</w:t>
      </w:r>
      <w:r w:rsidRPr="00A26B94">
        <w:rPr>
          <w:rFonts w:cs="Times New Roman"/>
          <w:noProof/>
          <w:szCs w:val="24"/>
        </w:rPr>
        <w:t xml:space="preserve">) </w:t>
      </w:r>
      <w:r w:rsidRPr="00A26B94">
        <w:rPr>
          <w:rFonts w:cs="Times New Roman"/>
          <w:noProof/>
          <w:szCs w:val="24"/>
        </w:rPr>
        <w:tab/>
        <w:t xml:space="preserve">Di, L.; Fish, P. V; Mano, T. Bridging Solubility between Drug Discovery and Development. </w:t>
      </w:r>
      <w:r w:rsidRPr="00A26B94">
        <w:rPr>
          <w:rFonts w:cs="Times New Roman"/>
          <w:i/>
          <w:iCs/>
          <w:noProof/>
          <w:szCs w:val="24"/>
        </w:rPr>
        <w:t>Drug Discov. Today</w:t>
      </w:r>
      <w:r w:rsidRPr="00A26B94">
        <w:rPr>
          <w:rFonts w:cs="Times New Roman"/>
          <w:noProof/>
          <w:szCs w:val="24"/>
        </w:rPr>
        <w:t xml:space="preserve"> </w:t>
      </w:r>
      <w:r w:rsidRPr="00A26B94">
        <w:rPr>
          <w:rFonts w:cs="Times New Roman"/>
          <w:b/>
          <w:bCs/>
          <w:noProof/>
          <w:szCs w:val="24"/>
        </w:rPr>
        <w:t>2012</w:t>
      </w:r>
      <w:r w:rsidRPr="00A26B94">
        <w:rPr>
          <w:rFonts w:cs="Times New Roman"/>
          <w:noProof/>
          <w:szCs w:val="24"/>
        </w:rPr>
        <w:t xml:space="preserve">, </w:t>
      </w:r>
      <w:r w:rsidRPr="00A26B94">
        <w:rPr>
          <w:rFonts w:cs="Times New Roman"/>
          <w:i/>
          <w:iCs/>
          <w:noProof/>
          <w:szCs w:val="24"/>
        </w:rPr>
        <w:t>17</w:t>
      </w:r>
      <w:r w:rsidRPr="00A26B94">
        <w:rPr>
          <w:rFonts w:cs="Times New Roman"/>
          <w:noProof/>
          <w:szCs w:val="24"/>
        </w:rPr>
        <w:t xml:space="preserve"> (9), 486–495. https://doi.org/https://doi.org/10.1016/j.drudis.2011.11.007.</w:t>
      </w:r>
    </w:p>
    <w:p w14:paraId="1396B76A" w14:textId="68E10EF2" w:rsidR="00F37573" w:rsidRPr="00231B15" w:rsidRDefault="00F37573" w:rsidP="007D7727">
      <w:pPr>
        <w:widowControl w:val="0"/>
        <w:autoSpaceDE w:val="0"/>
        <w:autoSpaceDN w:val="0"/>
        <w:adjustRightInd w:val="0"/>
        <w:ind w:left="640" w:hanging="640"/>
        <w:rPr>
          <w:rFonts w:cs="Times New Roman"/>
        </w:rPr>
      </w:pPr>
      <w:r w:rsidRPr="00231B15">
        <w:rPr>
          <w:rFonts w:cs="Times New Roman"/>
        </w:rPr>
        <w:fldChar w:fldCharType="end"/>
      </w:r>
    </w:p>
    <w:sectPr w:rsidR="00F37573" w:rsidRPr="00231B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01294" w14:textId="77777777" w:rsidR="005D5C3B" w:rsidRDefault="005D5C3B" w:rsidP="00C1780B">
      <w:pPr>
        <w:spacing w:after="0" w:line="240" w:lineRule="auto"/>
      </w:pPr>
      <w:r>
        <w:separator/>
      </w:r>
    </w:p>
  </w:endnote>
  <w:endnote w:type="continuationSeparator" w:id="0">
    <w:p w14:paraId="4CFEFA76" w14:textId="77777777" w:rsidR="005D5C3B" w:rsidRDefault="005D5C3B" w:rsidP="00C17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no Pro">
    <w:altName w:val="Times New Roman"/>
    <w:charset w:val="00"/>
    <w:family w:val="roman"/>
    <w:pitch w:val="variable"/>
    <w:sig w:usb0="60000287" w:usb1="00000001" w:usb2="00000000" w:usb3="00000000" w:csb0="0000019F" w:csb1="00000000"/>
  </w:font>
  <w:font w:name="Myriad Pro Light">
    <w:altName w:val="Arial"/>
    <w:charset w:val="00"/>
    <w:family w:val="swiss"/>
    <w:pitch w:val="variable"/>
  </w:font>
  <w:font w:name="Times">
    <w:altName w:val="Times"/>
    <w:panose1 w:val="02020603050405020304"/>
    <w:charset w:val="00"/>
    <w:family w:val="roman"/>
    <w:pitch w:val="variable"/>
    <w:sig w:usb0="E0002EFF" w:usb1="C000785B" w:usb2="00000009" w:usb3="00000000" w:csb0="000001FF" w:csb1="00000000"/>
  </w:font>
  <w:font w:name="AdvOT118e7927">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58713367"/>
      <w:docPartObj>
        <w:docPartGallery w:val="Page Numbers (Bottom of Page)"/>
        <w:docPartUnique/>
      </w:docPartObj>
    </w:sdtPr>
    <w:sdtContent>
      <w:p w14:paraId="2A6CD6F6" w14:textId="77777777" w:rsidR="00F07831" w:rsidRDefault="00F07831" w:rsidP="004F3C35">
        <w:pPr>
          <w:pStyle w:val="Footer"/>
          <w:framePr w:wrap="around" w:vAnchor="text" w:hAnchor="margin" w:xAlign="right" w:y="1"/>
          <w:rPr>
            <w:rStyle w:val="PageNumber"/>
            <w:rFonts w:ascii="Times" w:hAnsi="Times" w:cs="Times New Roman"/>
            <w:sz w:val="24"/>
            <w:szCs w:val="24"/>
          </w:rPr>
        </w:pPr>
        <w:r>
          <w:rPr>
            <w:rStyle w:val="PageNumber"/>
          </w:rPr>
          <w:fldChar w:fldCharType="begin"/>
        </w:r>
        <w:r>
          <w:rPr>
            <w:rStyle w:val="PageNumber"/>
          </w:rPr>
          <w:instrText xml:space="preserve"> PAGE </w:instrText>
        </w:r>
        <w:r>
          <w:rPr>
            <w:rStyle w:val="PageNumber"/>
          </w:rPr>
          <w:fldChar w:fldCharType="end"/>
        </w:r>
      </w:p>
    </w:sdtContent>
  </w:sdt>
  <w:p w14:paraId="2C7F761B" w14:textId="77777777" w:rsidR="00F07831" w:rsidRDefault="00F07831" w:rsidP="004F3C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7AB2E" w14:textId="40036C20" w:rsidR="00F07831" w:rsidRDefault="00F07831" w:rsidP="004F3C35">
    <w:pPr>
      <w:pStyle w:val="Footer"/>
      <w:framePr w:wrap="around" w:vAnchor="text" w:hAnchor="margin" w:xAlign="right" w:y="1"/>
      <w:rPr>
        <w:rStyle w:val="PageNumber"/>
        <w:rFonts w:ascii="Times" w:hAnsi="Times" w:cs="Times New Roman"/>
        <w:sz w:val="24"/>
        <w:szCs w:val="24"/>
      </w:rPr>
    </w:pPr>
    <w:r>
      <w:rPr>
        <w:rStyle w:val="PageNumber"/>
      </w:rPr>
      <w:fldChar w:fldCharType="begin"/>
    </w:r>
    <w:r>
      <w:rPr>
        <w:rStyle w:val="PageNumber"/>
      </w:rPr>
      <w:instrText xml:space="preserve">PAGE  </w:instrText>
    </w:r>
    <w:r>
      <w:rPr>
        <w:rStyle w:val="PageNumber"/>
      </w:rPr>
      <w:fldChar w:fldCharType="separate"/>
    </w:r>
    <w:r w:rsidR="005C0D28">
      <w:rPr>
        <w:rStyle w:val="PageNumber"/>
        <w:noProof/>
      </w:rPr>
      <w:t>17</w:t>
    </w:r>
    <w:r>
      <w:rPr>
        <w:rStyle w:val="PageNumber"/>
      </w:rPr>
      <w:fldChar w:fldCharType="end"/>
    </w:r>
  </w:p>
  <w:p w14:paraId="067EB013" w14:textId="77777777" w:rsidR="00F07831" w:rsidRDefault="00F07831" w:rsidP="004F3C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CF732" w14:textId="77777777" w:rsidR="005D5C3B" w:rsidRDefault="005D5C3B" w:rsidP="00C1780B">
      <w:pPr>
        <w:spacing w:after="0" w:line="240" w:lineRule="auto"/>
      </w:pPr>
      <w:r>
        <w:separator/>
      </w:r>
    </w:p>
  </w:footnote>
  <w:footnote w:type="continuationSeparator" w:id="0">
    <w:p w14:paraId="4FEA3C35" w14:textId="77777777" w:rsidR="005D5C3B" w:rsidRDefault="005D5C3B" w:rsidP="00C178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4317"/>
    <w:multiLevelType w:val="hybridMultilevel"/>
    <w:tmpl w:val="1CE614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A57504"/>
    <w:multiLevelType w:val="hybridMultilevel"/>
    <w:tmpl w:val="EBAA8E58"/>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1A306122"/>
    <w:multiLevelType w:val="hybridMultilevel"/>
    <w:tmpl w:val="C60C335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BD572D4"/>
    <w:multiLevelType w:val="hybridMultilevel"/>
    <w:tmpl w:val="FCC24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A53E23"/>
    <w:multiLevelType w:val="hybridMultilevel"/>
    <w:tmpl w:val="4AF60FC4"/>
    <w:lvl w:ilvl="0" w:tplc="EA0ED9C0">
      <w:start w:val="5"/>
      <w:numFmt w:val="bullet"/>
      <w:lvlText w:val=""/>
      <w:lvlJc w:val="left"/>
      <w:pPr>
        <w:ind w:left="720" w:hanging="360"/>
      </w:pPr>
      <w:rPr>
        <w:rFonts w:ascii="Symbol" w:eastAsia="SimSu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F1D4E"/>
    <w:multiLevelType w:val="hybridMultilevel"/>
    <w:tmpl w:val="EE3ACCF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46630E8C"/>
    <w:multiLevelType w:val="multilevel"/>
    <w:tmpl w:val="689487E8"/>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A100636"/>
    <w:multiLevelType w:val="hybridMultilevel"/>
    <w:tmpl w:val="01B26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8C"/>
    <w:rsid w:val="00003A86"/>
    <w:rsid w:val="0001531E"/>
    <w:rsid w:val="00027519"/>
    <w:rsid w:val="00037E57"/>
    <w:rsid w:val="00040667"/>
    <w:rsid w:val="000408F7"/>
    <w:rsid w:val="00043FA8"/>
    <w:rsid w:val="000504F1"/>
    <w:rsid w:val="0005518C"/>
    <w:rsid w:val="00056D98"/>
    <w:rsid w:val="0006752C"/>
    <w:rsid w:val="00071777"/>
    <w:rsid w:val="000773DB"/>
    <w:rsid w:val="00077C42"/>
    <w:rsid w:val="00080924"/>
    <w:rsid w:val="00080D2E"/>
    <w:rsid w:val="0008301F"/>
    <w:rsid w:val="00091C3F"/>
    <w:rsid w:val="000963BB"/>
    <w:rsid w:val="00096FEB"/>
    <w:rsid w:val="000A61A8"/>
    <w:rsid w:val="000A7F75"/>
    <w:rsid w:val="000B6AC5"/>
    <w:rsid w:val="000B75D1"/>
    <w:rsid w:val="000C054E"/>
    <w:rsid w:val="000C05AC"/>
    <w:rsid w:val="000C0CB1"/>
    <w:rsid w:val="000C0F30"/>
    <w:rsid w:val="000C27BA"/>
    <w:rsid w:val="000D252A"/>
    <w:rsid w:val="000E093D"/>
    <w:rsid w:val="000E1C7A"/>
    <w:rsid w:val="000E53CF"/>
    <w:rsid w:val="000F3CAD"/>
    <w:rsid w:val="00102BAB"/>
    <w:rsid w:val="00106224"/>
    <w:rsid w:val="00115EE9"/>
    <w:rsid w:val="00120122"/>
    <w:rsid w:val="00132AF7"/>
    <w:rsid w:val="00140AD0"/>
    <w:rsid w:val="00140F2D"/>
    <w:rsid w:val="00141150"/>
    <w:rsid w:val="00166EBD"/>
    <w:rsid w:val="00175589"/>
    <w:rsid w:val="00182760"/>
    <w:rsid w:val="00190B50"/>
    <w:rsid w:val="00191EE3"/>
    <w:rsid w:val="001931B8"/>
    <w:rsid w:val="00193B9D"/>
    <w:rsid w:val="0019619A"/>
    <w:rsid w:val="001A4F65"/>
    <w:rsid w:val="001B2BDA"/>
    <w:rsid w:val="001B3881"/>
    <w:rsid w:val="001B45C7"/>
    <w:rsid w:val="001B540F"/>
    <w:rsid w:val="001B7F03"/>
    <w:rsid w:val="001C050D"/>
    <w:rsid w:val="001D65A2"/>
    <w:rsid w:val="001D752F"/>
    <w:rsid w:val="001D7D7A"/>
    <w:rsid w:val="001E5096"/>
    <w:rsid w:val="001E5E20"/>
    <w:rsid w:val="001E71D7"/>
    <w:rsid w:val="001F41DD"/>
    <w:rsid w:val="001F6EE9"/>
    <w:rsid w:val="002026E5"/>
    <w:rsid w:val="00203BA1"/>
    <w:rsid w:val="00205C4D"/>
    <w:rsid w:val="00206CE0"/>
    <w:rsid w:val="00221F24"/>
    <w:rsid w:val="00222930"/>
    <w:rsid w:val="00223371"/>
    <w:rsid w:val="002306B9"/>
    <w:rsid w:val="002311E5"/>
    <w:rsid w:val="00231B15"/>
    <w:rsid w:val="002331BC"/>
    <w:rsid w:val="00235C51"/>
    <w:rsid w:val="002451B8"/>
    <w:rsid w:val="00247571"/>
    <w:rsid w:val="0025161D"/>
    <w:rsid w:val="00252293"/>
    <w:rsid w:val="002534F7"/>
    <w:rsid w:val="00255C09"/>
    <w:rsid w:val="00255CF8"/>
    <w:rsid w:val="00260ACF"/>
    <w:rsid w:val="00261DBD"/>
    <w:rsid w:val="00266167"/>
    <w:rsid w:val="00266B39"/>
    <w:rsid w:val="002711D4"/>
    <w:rsid w:val="00276FBA"/>
    <w:rsid w:val="00281825"/>
    <w:rsid w:val="00283B3B"/>
    <w:rsid w:val="00286420"/>
    <w:rsid w:val="002C3991"/>
    <w:rsid w:val="002C4CE1"/>
    <w:rsid w:val="002C62C4"/>
    <w:rsid w:val="002D1A4C"/>
    <w:rsid w:val="002D3B8B"/>
    <w:rsid w:val="002E0407"/>
    <w:rsid w:val="002E13E0"/>
    <w:rsid w:val="002E31D4"/>
    <w:rsid w:val="002E68D8"/>
    <w:rsid w:val="002F168A"/>
    <w:rsid w:val="002F51A9"/>
    <w:rsid w:val="002F7623"/>
    <w:rsid w:val="00301FD2"/>
    <w:rsid w:val="00305D9C"/>
    <w:rsid w:val="003072C2"/>
    <w:rsid w:val="00313F75"/>
    <w:rsid w:val="00336CF2"/>
    <w:rsid w:val="00346253"/>
    <w:rsid w:val="00346C7B"/>
    <w:rsid w:val="00357A81"/>
    <w:rsid w:val="00364BA8"/>
    <w:rsid w:val="0038654F"/>
    <w:rsid w:val="00386EF5"/>
    <w:rsid w:val="003926DB"/>
    <w:rsid w:val="003A2BDF"/>
    <w:rsid w:val="003D0A70"/>
    <w:rsid w:val="003D3F08"/>
    <w:rsid w:val="003E0A4F"/>
    <w:rsid w:val="003E308B"/>
    <w:rsid w:val="003E3A97"/>
    <w:rsid w:val="003F5C7B"/>
    <w:rsid w:val="00407164"/>
    <w:rsid w:val="00411524"/>
    <w:rsid w:val="004120BD"/>
    <w:rsid w:val="00412575"/>
    <w:rsid w:val="00417B31"/>
    <w:rsid w:val="0042003A"/>
    <w:rsid w:val="00421A25"/>
    <w:rsid w:val="004230CB"/>
    <w:rsid w:val="00431387"/>
    <w:rsid w:val="0043164D"/>
    <w:rsid w:val="00435F08"/>
    <w:rsid w:val="0044277D"/>
    <w:rsid w:val="00443BAE"/>
    <w:rsid w:val="00444820"/>
    <w:rsid w:val="00456DE8"/>
    <w:rsid w:val="00464BA2"/>
    <w:rsid w:val="00464BB6"/>
    <w:rsid w:val="00472052"/>
    <w:rsid w:val="00475273"/>
    <w:rsid w:val="004765FA"/>
    <w:rsid w:val="00481E09"/>
    <w:rsid w:val="00483CF4"/>
    <w:rsid w:val="00486065"/>
    <w:rsid w:val="00487E0A"/>
    <w:rsid w:val="004922AE"/>
    <w:rsid w:val="0049645C"/>
    <w:rsid w:val="00497349"/>
    <w:rsid w:val="004A1154"/>
    <w:rsid w:val="004A2129"/>
    <w:rsid w:val="004C2A3E"/>
    <w:rsid w:val="004C2CDC"/>
    <w:rsid w:val="004C4D7C"/>
    <w:rsid w:val="004D5044"/>
    <w:rsid w:val="004D70C7"/>
    <w:rsid w:val="004F2EF2"/>
    <w:rsid w:val="004F3C35"/>
    <w:rsid w:val="004F49C2"/>
    <w:rsid w:val="004F6498"/>
    <w:rsid w:val="0050075E"/>
    <w:rsid w:val="00507C8C"/>
    <w:rsid w:val="005122B7"/>
    <w:rsid w:val="00524D10"/>
    <w:rsid w:val="00526AAF"/>
    <w:rsid w:val="00526C45"/>
    <w:rsid w:val="00527330"/>
    <w:rsid w:val="00527D0D"/>
    <w:rsid w:val="005313BA"/>
    <w:rsid w:val="00534320"/>
    <w:rsid w:val="00535593"/>
    <w:rsid w:val="00555F3C"/>
    <w:rsid w:val="00560DE1"/>
    <w:rsid w:val="005755EF"/>
    <w:rsid w:val="00575738"/>
    <w:rsid w:val="0058278A"/>
    <w:rsid w:val="00583A41"/>
    <w:rsid w:val="005859CF"/>
    <w:rsid w:val="00587D62"/>
    <w:rsid w:val="005910FB"/>
    <w:rsid w:val="005A03D0"/>
    <w:rsid w:val="005A3F52"/>
    <w:rsid w:val="005A5AB2"/>
    <w:rsid w:val="005A6377"/>
    <w:rsid w:val="005B4290"/>
    <w:rsid w:val="005C0D28"/>
    <w:rsid w:val="005C26F1"/>
    <w:rsid w:val="005C37D0"/>
    <w:rsid w:val="005C542E"/>
    <w:rsid w:val="005D17DA"/>
    <w:rsid w:val="005D1A3F"/>
    <w:rsid w:val="005D5C3B"/>
    <w:rsid w:val="005E5EC8"/>
    <w:rsid w:val="005F1AF8"/>
    <w:rsid w:val="005F4CE1"/>
    <w:rsid w:val="00602BCA"/>
    <w:rsid w:val="0060378B"/>
    <w:rsid w:val="00606F57"/>
    <w:rsid w:val="00607A33"/>
    <w:rsid w:val="0062494F"/>
    <w:rsid w:val="00626096"/>
    <w:rsid w:val="00630BF3"/>
    <w:rsid w:val="0063744C"/>
    <w:rsid w:val="00652467"/>
    <w:rsid w:val="00656834"/>
    <w:rsid w:val="00660668"/>
    <w:rsid w:val="006703CD"/>
    <w:rsid w:val="00672EA2"/>
    <w:rsid w:val="00680097"/>
    <w:rsid w:val="006841E6"/>
    <w:rsid w:val="006876DB"/>
    <w:rsid w:val="006A0CB4"/>
    <w:rsid w:val="006A59CC"/>
    <w:rsid w:val="006A7966"/>
    <w:rsid w:val="006A7AED"/>
    <w:rsid w:val="006B001C"/>
    <w:rsid w:val="006C01C3"/>
    <w:rsid w:val="006D0B58"/>
    <w:rsid w:val="006D137E"/>
    <w:rsid w:val="006D1B58"/>
    <w:rsid w:val="006D5CAD"/>
    <w:rsid w:val="006D672A"/>
    <w:rsid w:val="006E333B"/>
    <w:rsid w:val="006E35C0"/>
    <w:rsid w:val="006E39FA"/>
    <w:rsid w:val="006E3B16"/>
    <w:rsid w:val="006F1E6D"/>
    <w:rsid w:val="006F719D"/>
    <w:rsid w:val="00702AE0"/>
    <w:rsid w:val="00710F41"/>
    <w:rsid w:val="00716272"/>
    <w:rsid w:val="0072641D"/>
    <w:rsid w:val="0073657C"/>
    <w:rsid w:val="007521C9"/>
    <w:rsid w:val="00755B27"/>
    <w:rsid w:val="00766E08"/>
    <w:rsid w:val="007712EB"/>
    <w:rsid w:val="007826B3"/>
    <w:rsid w:val="007836CF"/>
    <w:rsid w:val="007916A4"/>
    <w:rsid w:val="0079386A"/>
    <w:rsid w:val="00795E54"/>
    <w:rsid w:val="007A1562"/>
    <w:rsid w:val="007A775A"/>
    <w:rsid w:val="007B0AB8"/>
    <w:rsid w:val="007C02AC"/>
    <w:rsid w:val="007C02AE"/>
    <w:rsid w:val="007C498D"/>
    <w:rsid w:val="007C4E84"/>
    <w:rsid w:val="007C767E"/>
    <w:rsid w:val="007D426A"/>
    <w:rsid w:val="007D508D"/>
    <w:rsid w:val="007D5437"/>
    <w:rsid w:val="007D738C"/>
    <w:rsid w:val="007D7727"/>
    <w:rsid w:val="007E3143"/>
    <w:rsid w:val="007F266D"/>
    <w:rsid w:val="007F5C3C"/>
    <w:rsid w:val="007F611A"/>
    <w:rsid w:val="00800B0B"/>
    <w:rsid w:val="008113FF"/>
    <w:rsid w:val="00811EFA"/>
    <w:rsid w:val="00816F47"/>
    <w:rsid w:val="008171A9"/>
    <w:rsid w:val="00821D29"/>
    <w:rsid w:val="00824E2C"/>
    <w:rsid w:val="00840731"/>
    <w:rsid w:val="00841BFE"/>
    <w:rsid w:val="008423CA"/>
    <w:rsid w:val="00842675"/>
    <w:rsid w:val="0084643D"/>
    <w:rsid w:val="00855137"/>
    <w:rsid w:val="0086063A"/>
    <w:rsid w:val="00863D88"/>
    <w:rsid w:val="008704B9"/>
    <w:rsid w:val="00873A7C"/>
    <w:rsid w:val="00875B23"/>
    <w:rsid w:val="00880B09"/>
    <w:rsid w:val="00880BB6"/>
    <w:rsid w:val="00882B24"/>
    <w:rsid w:val="0088349A"/>
    <w:rsid w:val="008965C5"/>
    <w:rsid w:val="00896C3A"/>
    <w:rsid w:val="008A1B0E"/>
    <w:rsid w:val="008A5DF0"/>
    <w:rsid w:val="008A7BBD"/>
    <w:rsid w:val="008B0554"/>
    <w:rsid w:val="008B7B26"/>
    <w:rsid w:val="008C1826"/>
    <w:rsid w:val="008D3251"/>
    <w:rsid w:val="008D5905"/>
    <w:rsid w:val="008D5C3E"/>
    <w:rsid w:val="008E173F"/>
    <w:rsid w:val="008E4125"/>
    <w:rsid w:val="008F09E6"/>
    <w:rsid w:val="008F34AC"/>
    <w:rsid w:val="009000A7"/>
    <w:rsid w:val="00901DDE"/>
    <w:rsid w:val="009053AC"/>
    <w:rsid w:val="009124C1"/>
    <w:rsid w:val="009149D8"/>
    <w:rsid w:val="00914F31"/>
    <w:rsid w:val="00924E06"/>
    <w:rsid w:val="00932A55"/>
    <w:rsid w:val="00933821"/>
    <w:rsid w:val="009339B8"/>
    <w:rsid w:val="00944FAE"/>
    <w:rsid w:val="009505C2"/>
    <w:rsid w:val="009531D1"/>
    <w:rsid w:val="00954332"/>
    <w:rsid w:val="009605FE"/>
    <w:rsid w:val="00967E51"/>
    <w:rsid w:val="0097118B"/>
    <w:rsid w:val="0097187A"/>
    <w:rsid w:val="00971B7E"/>
    <w:rsid w:val="00972BD3"/>
    <w:rsid w:val="00983EDE"/>
    <w:rsid w:val="00985F1E"/>
    <w:rsid w:val="00986073"/>
    <w:rsid w:val="009866EC"/>
    <w:rsid w:val="00991808"/>
    <w:rsid w:val="00992220"/>
    <w:rsid w:val="0099341E"/>
    <w:rsid w:val="00997D2E"/>
    <w:rsid w:val="009A738F"/>
    <w:rsid w:val="009B03D7"/>
    <w:rsid w:val="009C6414"/>
    <w:rsid w:val="009E5115"/>
    <w:rsid w:val="009E7B4A"/>
    <w:rsid w:val="009E7FFE"/>
    <w:rsid w:val="009F136C"/>
    <w:rsid w:val="009F2E5F"/>
    <w:rsid w:val="00A02861"/>
    <w:rsid w:val="00A04B1A"/>
    <w:rsid w:val="00A10C82"/>
    <w:rsid w:val="00A218A1"/>
    <w:rsid w:val="00A26B94"/>
    <w:rsid w:val="00A27802"/>
    <w:rsid w:val="00A31626"/>
    <w:rsid w:val="00A31F5C"/>
    <w:rsid w:val="00A32AC9"/>
    <w:rsid w:val="00A33845"/>
    <w:rsid w:val="00A35407"/>
    <w:rsid w:val="00A355AE"/>
    <w:rsid w:val="00A4720D"/>
    <w:rsid w:val="00A4770F"/>
    <w:rsid w:val="00A529AA"/>
    <w:rsid w:val="00A56444"/>
    <w:rsid w:val="00A56EE5"/>
    <w:rsid w:val="00A62A98"/>
    <w:rsid w:val="00A65C6F"/>
    <w:rsid w:val="00A663FA"/>
    <w:rsid w:val="00A72422"/>
    <w:rsid w:val="00A730DF"/>
    <w:rsid w:val="00A74BDC"/>
    <w:rsid w:val="00A77F38"/>
    <w:rsid w:val="00A94F1B"/>
    <w:rsid w:val="00A96B97"/>
    <w:rsid w:val="00AA04BE"/>
    <w:rsid w:val="00AA4161"/>
    <w:rsid w:val="00AA618B"/>
    <w:rsid w:val="00AB13FB"/>
    <w:rsid w:val="00AB2FE7"/>
    <w:rsid w:val="00AB62E0"/>
    <w:rsid w:val="00AC796A"/>
    <w:rsid w:val="00AD0C24"/>
    <w:rsid w:val="00AD26D6"/>
    <w:rsid w:val="00AE319B"/>
    <w:rsid w:val="00AE48E1"/>
    <w:rsid w:val="00AE6E3E"/>
    <w:rsid w:val="00AE6E9D"/>
    <w:rsid w:val="00AF6F13"/>
    <w:rsid w:val="00AF77EB"/>
    <w:rsid w:val="00B0601F"/>
    <w:rsid w:val="00B2372A"/>
    <w:rsid w:val="00B26C89"/>
    <w:rsid w:val="00B31FB3"/>
    <w:rsid w:val="00B40A42"/>
    <w:rsid w:val="00B42EE7"/>
    <w:rsid w:val="00B45288"/>
    <w:rsid w:val="00B50A61"/>
    <w:rsid w:val="00B535F2"/>
    <w:rsid w:val="00B60F81"/>
    <w:rsid w:val="00B63E96"/>
    <w:rsid w:val="00B64B3C"/>
    <w:rsid w:val="00B720DD"/>
    <w:rsid w:val="00B77E80"/>
    <w:rsid w:val="00B86271"/>
    <w:rsid w:val="00B93018"/>
    <w:rsid w:val="00B97DCD"/>
    <w:rsid w:val="00B97E72"/>
    <w:rsid w:val="00BA0E96"/>
    <w:rsid w:val="00BA3593"/>
    <w:rsid w:val="00BA3916"/>
    <w:rsid w:val="00BA7950"/>
    <w:rsid w:val="00BB1FA6"/>
    <w:rsid w:val="00BB2389"/>
    <w:rsid w:val="00BB57FE"/>
    <w:rsid w:val="00BB74C0"/>
    <w:rsid w:val="00BC52BB"/>
    <w:rsid w:val="00BD1FC4"/>
    <w:rsid w:val="00BD4EDA"/>
    <w:rsid w:val="00BE0BE3"/>
    <w:rsid w:val="00BE17B9"/>
    <w:rsid w:val="00BE55D3"/>
    <w:rsid w:val="00BE7936"/>
    <w:rsid w:val="00BF0D75"/>
    <w:rsid w:val="00BF4419"/>
    <w:rsid w:val="00BF48E2"/>
    <w:rsid w:val="00BF6D1D"/>
    <w:rsid w:val="00C07054"/>
    <w:rsid w:val="00C07B11"/>
    <w:rsid w:val="00C11E60"/>
    <w:rsid w:val="00C15115"/>
    <w:rsid w:val="00C1780B"/>
    <w:rsid w:val="00C24767"/>
    <w:rsid w:val="00C306E1"/>
    <w:rsid w:val="00C463DC"/>
    <w:rsid w:val="00C610A6"/>
    <w:rsid w:val="00C62841"/>
    <w:rsid w:val="00C65C2F"/>
    <w:rsid w:val="00C65C5E"/>
    <w:rsid w:val="00C81AA6"/>
    <w:rsid w:val="00C85D30"/>
    <w:rsid w:val="00C87005"/>
    <w:rsid w:val="00C95D1A"/>
    <w:rsid w:val="00CB0860"/>
    <w:rsid w:val="00CB0D24"/>
    <w:rsid w:val="00CB1660"/>
    <w:rsid w:val="00CB4935"/>
    <w:rsid w:val="00CC09D6"/>
    <w:rsid w:val="00CC0C1A"/>
    <w:rsid w:val="00CC1F2D"/>
    <w:rsid w:val="00CC4E1B"/>
    <w:rsid w:val="00CC5449"/>
    <w:rsid w:val="00CC5A66"/>
    <w:rsid w:val="00CC7839"/>
    <w:rsid w:val="00CD25DA"/>
    <w:rsid w:val="00CD33DB"/>
    <w:rsid w:val="00CF06C5"/>
    <w:rsid w:val="00CF2C1C"/>
    <w:rsid w:val="00CF36A7"/>
    <w:rsid w:val="00CF49D5"/>
    <w:rsid w:val="00CF50F5"/>
    <w:rsid w:val="00D00DBF"/>
    <w:rsid w:val="00D05439"/>
    <w:rsid w:val="00D05B67"/>
    <w:rsid w:val="00D13303"/>
    <w:rsid w:val="00D44BA2"/>
    <w:rsid w:val="00D574B1"/>
    <w:rsid w:val="00D60085"/>
    <w:rsid w:val="00D61EC4"/>
    <w:rsid w:val="00D65F36"/>
    <w:rsid w:val="00D75F89"/>
    <w:rsid w:val="00D824D7"/>
    <w:rsid w:val="00D92151"/>
    <w:rsid w:val="00D950A4"/>
    <w:rsid w:val="00D9564D"/>
    <w:rsid w:val="00DA5117"/>
    <w:rsid w:val="00DC3CB6"/>
    <w:rsid w:val="00DE63D6"/>
    <w:rsid w:val="00DF6C9E"/>
    <w:rsid w:val="00E02345"/>
    <w:rsid w:val="00E02AD7"/>
    <w:rsid w:val="00E0355D"/>
    <w:rsid w:val="00E04094"/>
    <w:rsid w:val="00E047D3"/>
    <w:rsid w:val="00E06A32"/>
    <w:rsid w:val="00E13016"/>
    <w:rsid w:val="00E1336C"/>
    <w:rsid w:val="00E2393D"/>
    <w:rsid w:val="00E25072"/>
    <w:rsid w:val="00E26468"/>
    <w:rsid w:val="00E32325"/>
    <w:rsid w:val="00E359E3"/>
    <w:rsid w:val="00E40635"/>
    <w:rsid w:val="00E4132E"/>
    <w:rsid w:val="00E607B5"/>
    <w:rsid w:val="00E70DA2"/>
    <w:rsid w:val="00E77525"/>
    <w:rsid w:val="00E8041B"/>
    <w:rsid w:val="00E83377"/>
    <w:rsid w:val="00E83D22"/>
    <w:rsid w:val="00E846E9"/>
    <w:rsid w:val="00E84C6C"/>
    <w:rsid w:val="00E91A2C"/>
    <w:rsid w:val="00E94802"/>
    <w:rsid w:val="00EA389F"/>
    <w:rsid w:val="00EA4A96"/>
    <w:rsid w:val="00EB1127"/>
    <w:rsid w:val="00EB3BEA"/>
    <w:rsid w:val="00EB5C18"/>
    <w:rsid w:val="00EC2669"/>
    <w:rsid w:val="00EC3083"/>
    <w:rsid w:val="00EC58A8"/>
    <w:rsid w:val="00ED437B"/>
    <w:rsid w:val="00ED5C67"/>
    <w:rsid w:val="00EE5474"/>
    <w:rsid w:val="00EF0664"/>
    <w:rsid w:val="00EF0F03"/>
    <w:rsid w:val="00EF1122"/>
    <w:rsid w:val="00EF2163"/>
    <w:rsid w:val="00EF2CC8"/>
    <w:rsid w:val="00F05D81"/>
    <w:rsid w:val="00F07831"/>
    <w:rsid w:val="00F148BB"/>
    <w:rsid w:val="00F17531"/>
    <w:rsid w:val="00F205A3"/>
    <w:rsid w:val="00F37573"/>
    <w:rsid w:val="00F37E67"/>
    <w:rsid w:val="00F4554F"/>
    <w:rsid w:val="00F54710"/>
    <w:rsid w:val="00F7270B"/>
    <w:rsid w:val="00F84FBB"/>
    <w:rsid w:val="00F94F17"/>
    <w:rsid w:val="00F965D1"/>
    <w:rsid w:val="00F9663D"/>
    <w:rsid w:val="00FA144D"/>
    <w:rsid w:val="00FA4602"/>
    <w:rsid w:val="00FA53BB"/>
    <w:rsid w:val="00FA6DD5"/>
    <w:rsid w:val="00FB1E86"/>
    <w:rsid w:val="00FB3469"/>
    <w:rsid w:val="00FC2972"/>
    <w:rsid w:val="00FC31D6"/>
    <w:rsid w:val="00FC3B7A"/>
    <w:rsid w:val="00FC5A83"/>
    <w:rsid w:val="00FD628A"/>
    <w:rsid w:val="00FE194D"/>
    <w:rsid w:val="00FE465A"/>
    <w:rsid w:val="00FF0F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EA21C"/>
  <w15:docId w15:val="{7CCE4D4A-A220-4999-B973-1C899C3E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4BE"/>
    <w:pPr>
      <w:spacing w:line="360" w:lineRule="auto"/>
      <w:jc w:val="both"/>
    </w:pPr>
    <w:rPr>
      <w:rFonts w:ascii="Times New Roman" w:hAnsi="Times New Roman"/>
    </w:rPr>
  </w:style>
  <w:style w:type="paragraph" w:styleId="Heading1">
    <w:name w:val="heading 1"/>
    <w:basedOn w:val="Normal"/>
    <w:next w:val="Normal"/>
    <w:link w:val="Heading1Char"/>
    <w:uiPriority w:val="9"/>
    <w:qFormat/>
    <w:rsid w:val="00507C8C"/>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507C8C"/>
    <w:pPr>
      <w:keepNext/>
      <w:keepLines/>
      <w:spacing w:before="40" w:after="0"/>
      <w:outlineLvl w:val="1"/>
    </w:pPr>
    <w:rPr>
      <w:rFonts w:eastAsiaTheme="majorEastAsia" w:cstheme="majorBidi"/>
      <w:sz w:val="26"/>
      <w:szCs w:val="26"/>
    </w:rPr>
  </w:style>
  <w:style w:type="paragraph" w:styleId="Heading3">
    <w:name w:val="heading 3"/>
    <w:basedOn w:val="Normal"/>
    <w:next w:val="Normal"/>
    <w:link w:val="Heading3Char"/>
    <w:uiPriority w:val="9"/>
    <w:semiHidden/>
    <w:unhideWhenUsed/>
    <w:qFormat/>
    <w:rsid w:val="00507C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07C8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07C8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07C8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07C8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07C8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7C8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C8C"/>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507C8C"/>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semiHidden/>
    <w:rsid w:val="00507C8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07C8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07C8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07C8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07C8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07C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7C8C"/>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6E3B16"/>
    <w:pPr>
      <w:spacing w:after="200" w:line="240" w:lineRule="auto"/>
    </w:pPr>
    <w:rPr>
      <w:i/>
      <w:iCs/>
      <w:sz w:val="18"/>
      <w:szCs w:val="18"/>
    </w:rPr>
  </w:style>
  <w:style w:type="paragraph" w:styleId="Title">
    <w:name w:val="Title"/>
    <w:basedOn w:val="Normal"/>
    <w:next w:val="Normal"/>
    <w:link w:val="TitleChar"/>
    <w:uiPriority w:val="10"/>
    <w:qFormat/>
    <w:rsid w:val="00507C8C"/>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07C8C"/>
    <w:rPr>
      <w:rFonts w:ascii="Times New Roman" w:eastAsiaTheme="majorEastAsia" w:hAnsi="Times New Roman" w:cstheme="majorBidi"/>
      <w:spacing w:val="-10"/>
      <w:kern w:val="28"/>
      <w:sz w:val="56"/>
      <w:szCs w:val="56"/>
    </w:rPr>
  </w:style>
  <w:style w:type="paragraph" w:styleId="Subtitle">
    <w:name w:val="Subtitle"/>
    <w:basedOn w:val="Normal"/>
    <w:next w:val="Normal"/>
    <w:link w:val="SubtitleChar"/>
    <w:uiPriority w:val="11"/>
    <w:qFormat/>
    <w:rsid w:val="00507C8C"/>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507C8C"/>
    <w:rPr>
      <w:rFonts w:eastAsiaTheme="minorEastAsia"/>
      <w:color w:val="5A5A5A" w:themeColor="text1" w:themeTint="A5"/>
      <w:spacing w:val="15"/>
    </w:rPr>
  </w:style>
  <w:style w:type="character" w:styleId="Strong">
    <w:name w:val="Strong"/>
    <w:basedOn w:val="DefaultParagraphFont"/>
    <w:uiPriority w:val="22"/>
    <w:qFormat/>
    <w:rsid w:val="00507C8C"/>
    <w:rPr>
      <w:b/>
      <w:bCs/>
    </w:rPr>
  </w:style>
  <w:style w:type="character" w:styleId="Emphasis">
    <w:name w:val="Emphasis"/>
    <w:basedOn w:val="DefaultParagraphFont"/>
    <w:uiPriority w:val="20"/>
    <w:qFormat/>
    <w:rsid w:val="00507C8C"/>
    <w:rPr>
      <w:i/>
      <w:iCs/>
    </w:rPr>
  </w:style>
  <w:style w:type="paragraph" w:styleId="NoSpacing">
    <w:name w:val="No Spacing"/>
    <w:uiPriority w:val="1"/>
    <w:qFormat/>
    <w:rsid w:val="00507C8C"/>
    <w:pPr>
      <w:spacing w:after="0" w:line="240" w:lineRule="auto"/>
    </w:pPr>
  </w:style>
  <w:style w:type="paragraph" w:styleId="Quote">
    <w:name w:val="Quote"/>
    <w:basedOn w:val="Normal"/>
    <w:next w:val="Normal"/>
    <w:link w:val="QuoteChar"/>
    <w:uiPriority w:val="29"/>
    <w:qFormat/>
    <w:rsid w:val="00507C8C"/>
    <w:pPr>
      <w:spacing w:before="200"/>
      <w:ind w:left="864" w:right="864"/>
      <w:jc w:val="center"/>
    </w:pPr>
    <w:rPr>
      <w:rFonts w:asciiTheme="minorHAnsi" w:hAnsiTheme="minorHAnsi"/>
      <w:i/>
      <w:iCs/>
      <w:color w:val="404040" w:themeColor="text1" w:themeTint="BF"/>
    </w:rPr>
  </w:style>
  <w:style w:type="character" w:customStyle="1" w:styleId="QuoteChar">
    <w:name w:val="Quote Char"/>
    <w:basedOn w:val="DefaultParagraphFont"/>
    <w:link w:val="Quote"/>
    <w:uiPriority w:val="29"/>
    <w:rsid w:val="00507C8C"/>
    <w:rPr>
      <w:i/>
      <w:iCs/>
      <w:color w:val="404040" w:themeColor="text1" w:themeTint="BF"/>
    </w:rPr>
  </w:style>
  <w:style w:type="paragraph" w:styleId="IntenseQuote">
    <w:name w:val="Intense Quote"/>
    <w:basedOn w:val="Normal"/>
    <w:next w:val="Normal"/>
    <w:link w:val="IntenseQuoteChar"/>
    <w:uiPriority w:val="30"/>
    <w:qFormat/>
    <w:rsid w:val="00507C8C"/>
    <w:pPr>
      <w:pBdr>
        <w:top w:val="single" w:sz="4" w:space="10" w:color="5B9BD5" w:themeColor="accent1"/>
        <w:bottom w:val="single" w:sz="4" w:space="10" w:color="5B9BD5" w:themeColor="accent1"/>
      </w:pBdr>
      <w:spacing w:before="360" w:after="360"/>
      <w:ind w:left="864" w:right="864"/>
      <w:jc w:val="center"/>
    </w:pPr>
    <w:rPr>
      <w:rFonts w:asciiTheme="minorHAnsi" w:hAnsiTheme="minorHAnsi"/>
      <w:i/>
      <w:iCs/>
      <w:color w:val="5B9BD5" w:themeColor="accent1"/>
    </w:rPr>
  </w:style>
  <w:style w:type="character" w:customStyle="1" w:styleId="IntenseQuoteChar">
    <w:name w:val="Intense Quote Char"/>
    <w:basedOn w:val="DefaultParagraphFont"/>
    <w:link w:val="IntenseQuote"/>
    <w:uiPriority w:val="30"/>
    <w:rsid w:val="00507C8C"/>
    <w:rPr>
      <w:i/>
      <w:iCs/>
      <w:color w:val="5B9BD5" w:themeColor="accent1"/>
    </w:rPr>
  </w:style>
  <w:style w:type="character" w:styleId="SubtleEmphasis">
    <w:name w:val="Subtle Emphasis"/>
    <w:basedOn w:val="DefaultParagraphFont"/>
    <w:uiPriority w:val="19"/>
    <w:qFormat/>
    <w:rsid w:val="00507C8C"/>
    <w:rPr>
      <w:i/>
      <w:iCs/>
      <w:color w:val="404040" w:themeColor="text1" w:themeTint="BF"/>
    </w:rPr>
  </w:style>
  <w:style w:type="character" w:styleId="IntenseEmphasis">
    <w:name w:val="Intense Emphasis"/>
    <w:basedOn w:val="DefaultParagraphFont"/>
    <w:uiPriority w:val="21"/>
    <w:qFormat/>
    <w:rsid w:val="00507C8C"/>
    <w:rPr>
      <w:i/>
      <w:iCs/>
      <w:color w:val="5B9BD5" w:themeColor="accent1"/>
    </w:rPr>
  </w:style>
  <w:style w:type="character" w:styleId="SubtleReference">
    <w:name w:val="Subtle Reference"/>
    <w:basedOn w:val="DefaultParagraphFont"/>
    <w:uiPriority w:val="31"/>
    <w:qFormat/>
    <w:rsid w:val="00507C8C"/>
    <w:rPr>
      <w:smallCaps/>
      <w:color w:val="5A5A5A" w:themeColor="text1" w:themeTint="A5"/>
    </w:rPr>
  </w:style>
  <w:style w:type="character" w:styleId="IntenseReference">
    <w:name w:val="Intense Reference"/>
    <w:basedOn w:val="DefaultParagraphFont"/>
    <w:uiPriority w:val="32"/>
    <w:qFormat/>
    <w:rsid w:val="00507C8C"/>
    <w:rPr>
      <w:b/>
      <w:bCs/>
      <w:smallCaps/>
      <w:color w:val="5B9BD5" w:themeColor="accent1"/>
      <w:spacing w:val="5"/>
    </w:rPr>
  </w:style>
  <w:style w:type="character" w:styleId="BookTitle">
    <w:name w:val="Book Title"/>
    <w:basedOn w:val="DefaultParagraphFont"/>
    <w:uiPriority w:val="33"/>
    <w:qFormat/>
    <w:rsid w:val="00507C8C"/>
    <w:rPr>
      <w:b/>
      <w:bCs/>
      <w:i/>
      <w:iCs/>
      <w:spacing w:val="5"/>
    </w:rPr>
  </w:style>
  <w:style w:type="paragraph" w:styleId="TOCHeading">
    <w:name w:val="TOC Heading"/>
    <w:basedOn w:val="Heading1"/>
    <w:next w:val="Normal"/>
    <w:uiPriority w:val="39"/>
    <w:semiHidden/>
    <w:unhideWhenUsed/>
    <w:qFormat/>
    <w:rsid w:val="00507C8C"/>
    <w:pPr>
      <w:outlineLvl w:val="9"/>
    </w:pPr>
  </w:style>
  <w:style w:type="paragraph" w:styleId="ListParagraph">
    <w:name w:val="List Paragraph"/>
    <w:basedOn w:val="Normal"/>
    <w:uiPriority w:val="34"/>
    <w:qFormat/>
    <w:rsid w:val="00507C8C"/>
    <w:pPr>
      <w:ind w:left="720"/>
      <w:contextualSpacing/>
    </w:pPr>
  </w:style>
  <w:style w:type="paragraph" w:styleId="Header">
    <w:name w:val="header"/>
    <w:basedOn w:val="Normal"/>
    <w:link w:val="HeaderChar"/>
    <w:uiPriority w:val="99"/>
    <w:unhideWhenUsed/>
    <w:rsid w:val="00C17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80B"/>
    <w:rPr>
      <w:rFonts w:ascii="Times New Roman" w:hAnsi="Times New Roman"/>
    </w:rPr>
  </w:style>
  <w:style w:type="paragraph" w:styleId="Footer">
    <w:name w:val="footer"/>
    <w:basedOn w:val="Normal"/>
    <w:link w:val="FooterChar"/>
    <w:uiPriority w:val="99"/>
    <w:unhideWhenUsed/>
    <w:rsid w:val="00C17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80B"/>
    <w:rPr>
      <w:rFonts w:ascii="Times New Roman" w:hAnsi="Times New Roman"/>
    </w:rPr>
  </w:style>
  <w:style w:type="table" w:styleId="TableGrid">
    <w:name w:val="Table Grid"/>
    <w:basedOn w:val="TableNormal"/>
    <w:uiPriority w:val="39"/>
    <w:rsid w:val="00E40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16A4"/>
    <w:rPr>
      <w:color w:val="0563C1" w:themeColor="hyperlink"/>
      <w:u w:val="single"/>
    </w:rPr>
  </w:style>
  <w:style w:type="character" w:customStyle="1" w:styleId="UnresolvedMention1">
    <w:name w:val="Unresolved Mention1"/>
    <w:basedOn w:val="DefaultParagraphFont"/>
    <w:uiPriority w:val="99"/>
    <w:semiHidden/>
    <w:unhideWhenUsed/>
    <w:rsid w:val="007916A4"/>
    <w:rPr>
      <w:color w:val="605E5C"/>
      <w:shd w:val="clear" w:color="auto" w:fill="E1DFDD"/>
    </w:rPr>
  </w:style>
  <w:style w:type="paragraph" w:styleId="BalloonText">
    <w:name w:val="Balloon Text"/>
    <w:basedOn w:val="Normal"/>
    <w:link w:val="BalloonTextChar"/>
    <w:uiPriority w:val="99"/>
    <w:semiHidden/>
    <w:unhideWhenUsed/>
    <w:rsid w:val="00443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BAE"/>
    <w:rPr>
      <w:rFonts w:ascii="Segoe UI" w:hAnsi="Segoe UI" w:cs="Segoe UI"/>
      <w:sz w:val="18"/>
      <w:szCs w:val="18"/>
    </w:rPr>
  </w:style>
  <w:style w:type="character" w:styleId="FollowedHyperlink">
    <w:name w:val="FollowedHyperlink"/>
    <w:basedOn w:val="DefaultParagraphFont"/>
    <w:uiPriority w:val="99"/>
    <w:semiHidden/>
    <w:unhideWhenUsed/>
    <w:rsid w:val="005D17DA"/>
    <w:rPr>
      <w:color w:val="954F72" w:themeColor="followedHyperlink"/>
      <w:u w:val="single"/>
    </w:rPr>
  </w:style>
  <w:style w:type="character" w:styleId="PlaceholderText">
    <w:name w:val="Placeholder Text"/>
    <w:basedOn w:val="DefaultParagraphFont"/>
    <w:uiPriority w:val="99"/>
    <w:semiHidden/>
    <w:rsid w:val="007D508D"/>
    <w:rPr>
      <w:color w:val="808080"/>
    </w:rPr>
  </w:style>
  <w:style w:type="character" w:styleId="CommentReference">
    <w:name w:val="annotation reference"/>
    <w:basedOn w:val="DefaultParagraphFont"/>
    <w:semiHidden/>
    <w:unhideWhenUsed/>
    <w:rsid w:val="0038654F"/>
    <w:rPr>
      <w:sz w:val="16"/>
      <w:szCs w:val="16"/>
    </w:rPr>
  </w:style>
  <w:style w:type="paragraph" w:styleId="CommentText">
    <w:name w:val="annotation text"/>
    <w:basedOn w:val="Normal"/>
    <w:link w:val="CommentTextChar"/>
    <w:semiHidden/>
    <w:unhideWhenUsed/>
    <w:rsid w:val="0038654F"/>
    <w:pPr>
      <w:spacing w:line="240" w:lineRule="auto"/>
    </w:pPr>
    <w:rPr>
      <w:sz w:val="20"/>
      <w:szCs w:val="20"/>
    </w:rPr>
  </w:style>
  <w:style w:type="character" w:customStyle="1" w:styleId="CommentTextChar">
    <w:name w:val="Comment Text Char"/>
    <w:basedOn w:val="DefaultParagraphFont"/>
    <w:link w:val="CommentText"/>
    <w:semiHidden/>
    <w:rsid w:val="0038654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8654F"/>
    <w:rPr>
      <w:b/>
      <w:bCs/>
    </w:rPr>
  </w:style>
  <w:style w:type="character" w:customStyle="1" w:styleId="CommentSubjectChar">
    <w:name w:val="Comment Subject Char"/>
    <w:basedOn w:val="CommentTextChar"/>
    <w:link w:val="CommentSubject"/>
    <w:uiPriority w:val="99"/>
    <w:semiHidden/>
    <w:rsid w:val="0038654F"/>
    <w:rPr>
      <w:rFonts w:ascii="Times New Roman" w:hAnsi="Times New Roman"/>
      <w:b/>
      <w:bCs/>
      <w:sz w:val="20"/>
      <w:szCs w:val="20"/>
    </w:rPr>
  </w:style>
  <w:style w:type="paragraph" w:styleId="Revision">
    <w:name w:val="Revision"/>
    <w:hidden/>
    <w:uiPriority w:val="99"/>
    <w:semiHidden/>
    <w:rsid w:val="00BA3593"/>
    <w:pPr>
      <w:spacing w:after="0" w:line="240" w:lineRule="auto"/>
    </w:pPr>
    <w:rPr>
      <w:rFonts w:ascii="Times New Roman" w:hAnsi="Times New Roman"/>
    </w:rPr>
  </w:style>
  <w:style w:type="character" w:customStyle="1" w:styleId="st">
    <w:name w:val="st"/>
    <w:basedOn w:val="DefaultParagraphFont"/>
    <w:rsid w:val="004F3C35"/>
  </w:style>
  <w:style w:type="character" w:styleId="PageNumber">
    <w:name w:val="page number"/>
    <w:basedOn w:val="DefaultParagraphFont"/>
    <w:uiPriority w:val="99"/>
    <w:semiHidden/>
    <w:unhideWhenUsed/>
    <w:rsid w:val="004F3C35"/>
  </w:style>
  <w:style w:type="paragraph" w:customStyle="1" w:styleId="TDAcknowledgments">
    <w:name w:val="TD_Acknowledgments"/>
    <w:basedOn w:val="Normal"/>
    <w:next w:val="Normal"/>
    <w:link w:val="TDAcknowledgmentsChar"/>
    <w:autoRedefine/>
    <w:rsid w:val="00336CF2"/>
    <w:pPr>
      <w:spacing w:after="0" w:line="240" w:lineRule="auto"/>
    </w:pPr>
    <w:rPr>
      <w:rFonts w:ascii="Arno Pro" w:eastAsiaTheme="minorEastAsia" w:hAnsi="Arno Pro" w:cs="Times New Roman"/>
      <w:kern w:val="20"/>
      <w:sz w:val="18"/>
      <w:szCs w:val="20"/>
      <w:lang w:val="en-US"/>
    </w:rPr>
  </w:style>
  <w:style w:type="paragraph" w:customStyle="1" w:styleId="TESupportingInformation">
    <w:name w:val="TE_Supporting_Information"/>
    <w:basedOn w:val="Normal"/>
    <w:next w:val="Normal"/>
    <w:autoRedefine/>
    <w:rsid w:val="00336CF2"/>
    <w:pPr>
      <w:spacing w:after="0" w:line="240" w:lineRule="auto"/>
    </w:pPr>
    <w:rPr>
      <w:rFonts w:ascii="Arno Pro" w:eastAsiaTheme="minorEastAsia" w:hAnsi="Arno Pro" w:cs="Times New Roman"/>
      <w:kern w:val="20"/>
      <w:sz w:val="18"/>
      <w:szCs w:val="20"/>
      <w:lang w:val="en-US"/>
    </w:rPr>
  </w:style>
  <w:style w:type="paragraph" w:customStyle="1" w:styleId="StyleFACorrespondingAuthorFootnote7pt">
    <w:name w:val="Style FA_Corresponding_Author_Footnote + 7 pt"/>
    <w:basedOn w:val="Normal"/>
    <w:next w:val="Normal"/>
    <w:link w:val="StyleFACorrespondingAuthorFootnote7ptChar"/>
    <w:autoRedefine/>
    <w:rsid w:val="00336CF2"/>
    <w:pPr>
      <w:spacing w:after="0" w:line="240" w:lineRule="auto"/>
      <w:jc w:val="left"/>
    </w:pPr>
    <w:rPr>
      <w:rFonts w:ascii="Arno Pro" w:eastAsiaTheme="minorEastAsia" w:hAnsi="Arno Pro" w:cs="Times New Roman"/>
      <w:kern w:val="20"/>
      <w:sz w:val="18"/>
      <w:szCs w:val="20"/>
      <w:lang w:val="en-US"/>
    </w:rPr>
  </w:style>
  <w:style w:type="character" w:customStyle="1" w:styleId="StyleFACorrespondingAuthorFootnote7ptChar">
    <w:name w:val="Style FA_Corresponding_Author_Footnote + 7 pt Char"/>
    <w:link w:val="StyleFACorrespondingAuthorFootnote7pt"/>
    <w:rsid w:val="00336CF2"/>
    <w:rPr>
      <w:rFonts w:ascii="Arno Pro" w:eastAsiaTheme="minorEastAsia" w:hAnsi="Arno Pro" w:cs="Times New Roman"/>
      <w:kern w:val="20"/>
      <w:sz w:val="18"/>
      <w:szCs w:val="20"/>
      <w:lang w:val="en-US"/>
    </w:rPr>
  </w:style>
  <w:style w:type="paragraph" w:customStyle="1" w:styleId="TDAckTitle">
    <w:name w:val="TD_Ack_Title"/>
    <w:basedOn w:val="TDAcknowledgments"/>
    <w:link w:val="TDAckTitleChar"/>
    <w:rsid w:val="00336CF2"/>
    <w:pPr>
      <w:spacing w:before="180" w:after="60"/>
    </w:pPr>
    <w:rPr>
      <w:rFonts w:ascii="Myriad Pro Light" w:hAnsi="Myriad Pro Light"/>
      <w:b/>
      <w:kern w:val="23"/>
      <w:sz w:val="21"/>
    </w:rPr>
  </w:style>
  <w:style w:type="character" w:customStyle="1" w:styleId="TDAcknowledgmentsChar">
    <w:name w:val="TD_Acknowledgments Char"/>
    <w:link w:val="TDAcknowledgments"/>
    <w:rsid w:val="00336CF2"/>
    <w:rPr>
      <w:rFonts w:ascii="Arno Pro" w:eastAsiaTheme="minorEastAsia" w:hAnsi="Arno Pro" w:cs="Times New Roman"/>
      <w:kern w:val="20"/>
      <w:sz w:val="18"/>
      <w:szCs w:val="20"/>
      <w:lang w:val="en-US"/>
    </w:rPr>
  </w:style>
  <w:style w:type="character" w:customStyle="1" w:styleId="TDAckTitleChar">
    <w:name w:val="TD_Ack_Title Char"/>
    <w:link w:val="TDAckTitle"/>
    <w:rsid w:val="00336CF2"/>
    <w:rPr>
      <w:rFonts w:ascii="Myriad Pro Light" w:eastAsiaTheme="minorEastAsia" w:hAnsi="Myriad Pro Light" w:cs="Times New Roman"/>
      <w:b/>
      <w:kern w:val="23"/>
      <w:sz w:val="21"/>
      <w:szCs w:val="20"/>
      <w:lang w:val="en-US"/>
    </w:rPr>
  </w:style>
  <w:style w:type="paragraph" w:customStyle="1" w:styleId="TESupportingInfoTitle">
    <w:name w:val="TE_Supporting_Info_Title"/>
    <w:basedOn w:val="TESupportingInformation"/>
    <w:autoRedefine/>
    <w:rsid w:val="00336CF2"/>
    <w:pPr>
      <w:spacing w:before="180" w:after="60"/>
    </w:pPr>
    <w:rPr>
      <w:rFonts w:ascii="Myriad Pro Light" w:hAnsi="Myriad Pro Light"/>
      <w:b/>
      <w:caps/>
      <w:sz w:val="21"/>
      <w:szCs w:val="18"/>
    </w:rPr>
  </w:style>
  <w:style w:type="paragraph" w:customStyle="1" w:styleId="AuthorInformationTitle">
    <w:name w:val="Author_Information_Title"/>
    <w:basedOn w:val="TDAckTitle"/>
    <w:rsid w:val="00336CF2"/>
  </w:style>
  <w:style w:type="paragraph" w:customStyle="1" w:styleId="FAAuthorInfoSubtitle">
    <w:name w:val="FA_Author_Info_Subtitle"/>
    <w:basedOn w:val="Normal"/>
    <w:link w:val="FAAuthorInfoSubtitleChar"/>
    <w:autoRedefine/>
    <w:rsid w:val="00336CF2"/>
    <w:pPr>
      <w:spacing w:before="120" w:after="60" w:line="240" w:lineRule="auto"/>
      <w:jc w:val="left"/>
    </w:pPr>
    <w:rPr>
      <w:rFonts w:ascii="Myriad Pro Light" w:eastAsiaTheme="minorEastAsia" w:hAnsi="Myriad Pro Light" w:cs="Times New Roman"/>
      <w:b/>
      <w:kern w:val="21"/>
      <w:sz w:val="19"/>
      <w:szCs w:val="14"/>
      <w:lang w:val="en-US"/>
    </w:rPr>
  </w:style>
  <w:style w:type="character" w:customStyle="1" w:styleId="FAAuthorInfoSubtitleChar">
    <w:name w:val="FA_Author_Info_Subtitle Char"/>
    <w:link w:val="FAAuthorInfoSubtitle"/>
    <w:rsid w:val="00336CF2"/>
    <w:rPr>
      <w:rFonts w:ascii="Myriad Pro Light" w:eastAsiaTheme="minorEastAsia" w:hAnsi="Myriad Pro Light" w:cs="Times New Roman"/>
      <w:b/>
      <w:kern w:val="21"/>
      <w:sz w:val="19"/>
      <w:szCs w:val="14"/>
      <w:lang w:val="en-US"/>
    </w:rPr>
  </w:style>
  <w:style w:type="paragraph" w:styleId="NormalWeb">
    <w:name w:val="Normal (Web)"/>
    <w:basedOn w:val="Normal"/>
    <w:uiPriority w:val="99"/>
    <w:semiHidden/>
    <w:unhideWhenUsed/>
    <w:rsid w:val="00182760"/>
    <w:pPr>
      <w:spacing w:before="100" w:beforeAutospacing="1" w:after="100" w:afterAutospacing="1" w:line="240" w:lineRule="auto"/>
      <w:jc w:val="left"/>
    </w:pPr>
    <w:rPr>
      <w:rFonts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2067">
      <w:bodyDiv w:val="1"/>
      <w:marLeft w:val="0"/>
      <w:marRight w:val="0"/>
      <w:marTop w:val="0"/>
      <w:marBottom w:val="0"/>
      <w:divBdr>
        <w:top w:val="none" w:sz="0" w:space="0" w:color="auto"/>
        <w:left w:val="none" w:sz="0" w:space="0" w:color="auto"/>
        <w:bottom w:val="none" w:sz="0" w:space="0" w:color="auto"/>
        <w:right w:val="none" w:sz="0" w:space="0" w:color="auto"/>
      </w:divBdr>
    </w:div>
    <w:div w:id="154415034">
      <w:bodyDiv w:val="1"/>
      <w:marLeft w:val="0"/>
      <w:marRight w:val="0"/>
      <w:marTop w:val="0"/>
      <w:marBottom w:val="0"/>
      <w:divBdr>
        <w:top w:val="none" w:sz="0" w:space="0" w:color="auto"/>
        <w:left w:val="none" w:sz="0" w:space="0" w:color="auto"/>
        <w:bottom w:val="none" w:sz="0" w:space="0" w:color="auto"/>
        <w:right w:val="none" w:sz="0" w:space="0" w:color="auto"/>
      </w:divBdr>
    </w:div>
    <w:div w:id="182406918">
      <w:bodyDiv w:val="1"/>
      <w:marLeft w:val="0"/>
      <w:marRight w:val="0"/>
      <w:marTop w:val="0"/>
      <w:marBottom w:val="0"/>
      <w:divBdr>
        <w:top w:val="none" w:sz="0" w:space="0" w:color="auto"/>
        <w:left w:val="none" w:sz="0" w:space="0" w:color="auto"/>
        <w:bottom w:val="none" w:sz="0" w:space="0" w:color="auto"/>
        <w:right w:val="none" w:sz="0" w:space="0" w:color="auto"/>
      </w:divBdr>
    </w:div>
    <w:div w:id="205874132">
      <w:bodyDiv w:val="1"/>
      <w:marLeft w:val="0"/>
      <w:marRight w:val="0"/>
      <w:marTop w:val="0"/>
      <w:marBottom w:val="0"/>
      <w:divBdr>
        <w:top w:val="none" w:sz="0" w:space="0" w:color="auto"/>
        <w:left w:val="none" w:sz="0" w:space="0" w:color="auto"/>
        <w:bottom w:val="none" w:sz="0" w:space="0" w:color="auto"/>
        <w:right w:val="none" w:sz="0" w:space="0" w:color="auto"/>
      </w:divBdr>
    </w:div>
    <w:div w:id="318116628">
      <w:bodyDiv w:val="1"/>
      <w:marLeft w:val="0"/>
      <w:marRight w:val="0"/>
      <w:marTop w:val="0"/>
      <w:marBottom w:val="0"/>
      <w:divBdr>
        <w:top w:val="none" w:sz="0" w:space="0" w:color="auto"/>
        <w:left w:val="none" w:sz="0" w:space="0" w:color="auto"/>
        <w:bottom w:val="none" w:sz="0" w:space="0" w:color="auto"/>
        <w:right w:val="none" w:sz="0" w:space="0" w:color="auto"/>
      </w:divBdr>
      <w:divsChild>
        <w:div w:id="795492524">
          <w:marLeft w:val="0"/>
          <w:marRight w:val="0"/>
          <w:marTop w:val="0"/>
          <w:marBottom w:val="0"/>
          <w:divBdr>
            <w:top w:val="none" w:sz="0" w:space="0" w:color="auto"/>
            <w:left w:val="none" w:sz="0" w:space="0" w:color="auto"/>
            <w:bottom w:val="none" w:sz="0" w:space="0" w:color="auto"/>
            <w:right w:val="none" w:sz="0" w:space="0" w:color="auto"/>
          </w:divBdr>
          <w:divsChild>
            <w:div w:id="1689335062">
              <w:marLeft w:val="0"/>
              <w:marRight w:val="0"/>
              <w:marTop w:val="0"/>
              <w:marBottom w:val="0"/>
              <w:divBdr>
                <w:top w:val="none" w:sz="0" w:space="0" w:color="auto"/>
                <w:left w:val="none" w:sz="0" w:space="0" w:color="auto"/>
                <w:bottom w:val="none" w:sz="0" w:space="0" w:color="auto"/>
                <w:right w:val="none" w:sz="0" w:space="0" w:color="auto"/>
              </w:divBdr>
              <w:divsChild>
                <w:div w:id="762190375">
                  <w:marLeft w:val="0"/>
                  <w:marRight w:val="0"/>
                  <w:marTop w:val="0"/>
                  <w:marBottom w:val="0"/>
                  <w:divBdr>
                    <w:top w:val="none" w:sz="0" w:space="0" w:color="auto"/>
                    <w:left w:val="none" w:sz="0" w:space="0" w:color="auto"/>
                    <w:bottom w:val="none" w:sz="0" w:space="0" w:color="auto"/>
                    <w:right w:val="none" w:sz="0" w:space="0" w:color="auto"/>
                  </w:divBdr>
                  <w:divsChild>
                    <w:div w:id="203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769749">
      <w:bodyDiv w:val="1"/>
      <w:marLeft w:val="0"/>
      <w:marRight w:val="0"/>
      <w:marTop w:val="0"/>
      <w:marBottom w:val="0"/>
      <w:divBdr>
        <w:top w:val="none" w:sz="0" w:space="0" w:color="auto"/>
        <w:left w:val="none" w:sz="0" w:space="0" w:color="auto"/>
        <w:bottom w:val="none" w:sz="0" w:space="0" w:color="auto"/>
        <w:right w:val="none" w:sz="0" w:space="0" w:color="auto"/>
      </w:divBdr>
    </w:div>
    <w:div w:id="631642961">
      <w:bodyDiv w:val="1"/>
      <w:marLeft w:val="0"/>
      <w:marRight w:val="0"/>
      <w:marTop w:val="0"/>
      <w:marBottom w:val="0"/>
      <w:divBdr>
        <w:top w:val="none" w:sz="0" w:space="0" w:color="auto"/>
        <w:left w:val="none" w:sz="0" w:space="0" w:color="auto"/>
        <w:bottom w:val="none" w:sz="0" w:space="0" w:color="auto"/>
        <w:right w:val="none" w:sz="0" w:space="0" w:color="auto"/>
      </w:divBdr>
      <w:divsChild>
        <w:div w:id="470291695">
          <w:marLeft w:val="0"/>
          <w:marRight w:val="0"/>
          <w:marTop w:val="0"/>
          <w:marBottom w:val="0"/>
          <w:divBdr>
            <w:top w:val="none" w:sz="0" w:space="0" w:color="auto"/>
            <w:left w:val="none" w:sz="0" w:space="0" w:color="auto"/>
            <w:bottom w:val="none" w:sz="0" w:space="0" w:color="auto"/>
            <w:right w:val="none" w:sz="0" w:space="0" w:color="auto"/>
          </w:divBdr>
          <w:divsChild>
            <w:div w:id="99763369">
              <w:marLeft w:val="0"/>
              <w:marRight w:val="0"/>
              <w:marTop w:val="0"/>
              <w:marBottom w:val="0"/>
              <w:divBdr>
                <w:top w:val="none" w:sz="0" w:space="0" w:color="auto"/>
                <w:left w:val="none" w:sz="0" w:space="0" w:color="auto"/>
                <w:bottom w:val="none" w:sz="0" w:space="0" w:color="auto"/>
                <w:right w:val="none" w:sz="0" w:space="0" w:color="auto"/>
              </w:divBdr>
              <w:divsChild>
                <w:div w:id="20804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65921">
      <w:bodyDiv w:val="1"/>
      <w:marLeft w:val="0"/>
      <w:marRight w:val="0"/>
      <w:marTop w:val="0"/>
      <w:marBottom w:val="0"/>
      <w:divBdr>
        <w:top w:val="none" w:sz="0" w:space="0" w:color="auto"/>
        <w:left w:val="none" w:sz="0" w:space="0" w:color="auto"/>
        <w:bottom w:val="none" w:sz="0" w:space="0" w:color="auto"/>
        <w:right w:val="none" w:sz="0" w:space="0" w:color="auto"/>
      </w:divBdr>
      <w:divsChild>
        <w:div w:id="1007755220">
          <w:marLeft w:val="0"/>
          <w:marRight w:val="0"/>
          <w:marTop w:val="0"/>
          <w:marBottom w:val="0"/>
          <w:divBdr>
            <w:top w:val="none" w:sz="0" w:space="0" w:color="auto"/>
            <w:left w:val="none" w:sz="0" w:space="0" w:color="auto"/>
            <w:bottom w:val="none" w:sz="0" w:space="0" w:color="auto"/>
            <w:right w:val="none" w:sz="0" w:space="0" w:color="auto"/>
          </w:divBdr>
          <w:divsChild>
            <w:div w:id="544220347">
              <w:marLeft w:val="0"/>
              <w:marRight w:val="0"/>
              <w:marTop w:val="0"/>
              <w:marBottom w:val="0"/>
              <w:divBdr>
                <w:top w:val="none" w:sz="0" w:space="0" w:color="auto"/>
                <w:left w:val="none" w:sz="0" w:space="0" w:color="auto"/>
                <w:bottom w:val="none" w:sz="0" w:space="0" w:color="auto"/>
                <w:right w:val="none" w:sz="0" w:space="0" w:color="auto"/>
              </w:divBdr>
              <w:divsChild>
                <w:div w:id="1985037965">
                  <w:marLeft w:val="0"/>
                  <w:marRight w:val="0"/>
                  <w:marTop w:val="0"/>
                  <w:marBottom w:val="0"/>
                  <w:divBdr>
                    <w:top w:val="none" w:sz="0" w:space="0" w:color="auto"/>
                    <w:left w:val="none" w:sz="0" w:space="0" w:color="auto"/>
                    <w:bottom w:val="none" w:sz="0" w:space="0" w:color="auto"/>
                    <w:right w:val="none" w:sz="0" w:space="0" w:color="auto"/>
                  </w:divBdr>
                  <w:divsChild>
                    <w:div w:id="172552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41799">
      <w:bodyDiv w:val="1"/>
      <w:marLeft w:val="0"/>
      <w:marRight w:val="0"/>
      <w:marTop w:val="0"/>
      <w:marBottom w:val="0"/>
      <w:divBdr>
        <w:top w:val="none" w:sz="0" w:space="0" w:color="auto"/>
        <w:left w:val="none" w:sz="0" w:space="0" w:color="auto"/>
        <w:bottom w:val="none" w:sz="0" w:space="0" w:color="auto"/>
        <w:right w:val="none" w:sz="0" w:space="0" w:color="auto"/>
      </w:divBdr>
    </w:div>
    <w:div w:id="735471687">
      <w:bodyDiv w:val="1"/>
      <w:marLeft w:val="0"/>
      <w:marRight w:val="0"/>
      <w:marTop w:val="0"/>
      <w:marBottom w:val="0"/>
      <w:divBdr>
        <w:top w:val="none" w:sz="0" w:space="0" w:color="auto"/>
        <w:left w:val="none" w:sz="0" w:space="0" w:color="auto"/>
        <w:bottom w:val="none" w:sz="0" w:space="0" w:color="auto"/>
        <w:right w:val="none" w:sz="0" w:space="0" w:color="auto"/>
      </w:divBdr>
      <w:divsChild>
        <w:div w:id="1702828071">
          <w:marLeft w:val="0"/>
          <w:marRight w:val="0"/>
          <w:marTop w:val="0"/>
          <w:marBottom w:val="0"/>
          <w:divBdr>
            <w:top w:val="none" w:sz="0" w:space="0" w:color="auto"/>
            <w:left w:val="none" w:sz="0" w:space="0" w:color="auto"/>
            <w:bottom w:val="none" w:sz="0" w:space="0" w:color="auto"/>
            <w:right w:val="none" w:sz="0" w:space="0" w:color="auto"/>
          </w:divBdr>
          <w:divsChild>
            <w:div w:id="1544637965">
              <w:marLeft w:val="0"/>
              <w:marRight w:val="0"/>
              <w:marTop w:val="0"/>
              <w:marBottom w:val="0"/>
              <w:divBdr>
                <w:top w:val="none" w:sz="0" w:space="0" w:color="auto"/>
                <w:left w:val="none" w:sz="0" w:space="0" w:color="auto"/>
                <w:bottom w:val="none" w:sz="0" w:space="0" w:color="auto"/>
                <w:right w:val="none" w:sz="0" w:space="0" w:color="auto"/>
              </w:divBdr>
              <w:divsChild>
                <w:div w:id="5359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43116">
      <w:bodyDiv w:val="1"/>
      <w:marLeft w:val="0"/>
      <w:marRight w:val="0"/>
      <w:marTop w:val="0"/>
      <w:marBottom w:val="0"/>
      <w:divBdr>
        <w:top w:val="none" w:sz="0" w:space="0" w:color="auto"/>
        <w:left w:val="none" w:sz="0" w:space="0" w:color="auto"/>
        <w:bottom w:val="none" w:sz="0" w:space="0" w:color="auto"/>
        <w:right w:val="none" w:sz="0" w:space="0" w:color="auto"/>
      </w:divBdr>
      <w:divsChild>
        <w:div w:id="456337248">
          <w:marLeft w:val="0"/>
          <w:marRight w:val="0"/>
          <w:marTop w:val="0"/>
          <w:marBottom w:val="0"/>
          <w:divBdr>
            <w:top w:val="none" w:sz="0" w:space="0" w:color="auto"/>
            <w:left w:val="none" w:sz="0" w:space="0" w:color="auto"/>
            <w:bottom w:val="none" w:sz="0" w:space="0" w:color="auto"/>
            <w:right w:val="none" w:sz="0" w:space="0" w:color="auto"/>
          </w:divBdr>
          <w:divsChild>
            <w:div w:id="1932813153">
              <w:marLeft w:val="0"/>
              <w:marRight w:val="0"/>
              <w:marTop w:val="0"/>
              <w:marBottom w:val="0"/>
              <w:divBdr>
                <w:top w:val="none" w:sz="0" w:space="0" w:color="auto"/>
                <w:left w:val="none" w:sz="0" w:space="0" w:color="auto"/>
                <w:bottom w:val="none" w:sz="0" w:space="0" w:color="auto"/>
                <w:right w:val="none" w:sz="0" w:space="0" w:color="auto"/>
              </w:divBdr>
              <w:divsChild>
                <w:div w:id="3990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8024">
      <w:bodyDiv w:val="1"/>
      <w:marLeft w:val="0"/>
      <w:marRight w:val="0"/>
      <w:marTop w:val="0"/>
      <w:marBottom w:val="0"/>
      <w:divBdr>
        <w:top w:val="none" w:sz="0" w:space="0" w:color="auto"/>
        <w:left w:val="none" w:sz="0" w:space="0" w:color="auto"/>
        <w:bottom w:val="none" w:sz="0" w:space="0" w:color="auto"/>
        <w:right w:val="none" w:sz="0" w:space="0" w:color="auto"/>
      </w:divBdr>
      <w:divsChild>
        <w:div w:id="1531334149">
          <w:marLeft w:val="0"/>
          <w:marRight w:val="0"/>
          <w:marTop w:val="0"/>
          <w:marBottom w:val="0"/>
          <w:divBdr>
            <w:top w:val="none" w:sz="0" w:space="0" w:color="auto"/>
            <w:left w:val="none" w:sz="0" w:space="0" w:color="auto"/>
            <w:bottom w:val="none" w:sz="0" w:space="0" w:color="auto"/>
            <w:right w:val="none" w:sz="0" w:space="0" w:color="auto"/>
          </w:divBdr>
          <w:divsChild>
            <w:div w:id="913583089">
              <w:marLeft w:val="0"/>
              <w:marRight w:val="0"/>
              <w:marTop w:val="0"/>
              <w:marBottom w:val="0"/>
              <w:divBdr>
                <w:top w:val="none" w:sz="0" w:space="0" w:color="auto"/>
                <w:left w:val="none" w:sz="0" w:space="0" w:color="auto"/>
                <w:bottom w:val="none" w:sz="0" w:space="0" w:color="auto"/>
                <w:right w:val="none" w:sz="0" w:space="0" w:color="auto"/>
              </w:divBdr>
              <w:divsChild>
                <w:div w:id="19279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80461">
      <w:bodyDiv w:val="1"/>
      <w:marLeft w:val="0"/>
      <w:marRight w:val="0"/>
      <w:marTop w:val="0"/>
      <w:marBottom w:val="0"/>
      <w:divBdr>
        <w:top w:val="none" w:sz="0" w:space="0" w:color="auto"/>
        <w:left w:val="none" w:sz="0" w:space="0" w:color="auto"/>
        <w:bottom w:val="none" w:sz="0" w:space="0" w:color="auto"/>
        <w:right w:val="none" w:sz="0" w:space="0" w:color="auto"/>
      </w:divBdr>
    </w:div>
    <w:div w:id="1458253230">
      <w:bodyDiv w:val="1"/>
      <w:marLeft w:val="0"/>
      <w:marRight w:val="0"/>
      <w:marTop w:val="0"/>
      <w:marBottom w:val="0"/>
      <w:divBdr>
        <w:top w:val="none" w:sz="0" w:space="0" w:color="auto"/>
        <w:left w:val="none" w:sz="0" w:space="0" w:color="auto"/>
        <w:bottom w:val="none" w:sz="0" w:space="0" w:color="auto"/>
        <w:right w:val="none" w:sz="0" w:space="0" w:color="auto"/>
      </w:divBdr>
    </w:div>
    <w:div w:id="1525703161">
      <w:bodyDiv w:val="1"/>
      <w:marLeft w:val="0"/>
      <w:marRight w:val="0"/>
      <w:marTop w:val="0"/>
      <w:marBottom w:val="0"/>
      <w:divBdr>
        <w:top w:val="none" w:sz="0" w:space="0" w:color="auto"/>
        <w:left w:val="none" w:sz="0" w:space="0" w:color="auto"/>
        <w:bottom w:val="none" w:sz="0" w:space="0" w:color="auto"/>
        <w:right w:val="none" w:sz="0" w:space="0" w:color="auto"/>
      </w:divBdr>
    </w:div>
    <w:div w:id="1844782744">
      <w:bodyDiv w:val="1"/>
      <w:marLeft w:val="0"/>
      <w:marRight w:val="0"/>
      <w:marTop w:val="0"/>
      <w:marBottom w:val="0"/>
      <w:divBdr>
        <w:top w:val="none" w:sz="0" w:space="0" w:color="auto"/>
        <w:left w:val="none" w:sz="0" w:space="0" w:color="auto"/>
        <w:bottom w:val="none" w:sz="0" w:space="0" w:color="auto"/>
        <w:right w:val="none" w:sz="0" w:space="0" w:color="auto"/>
      </w:divBdr>
    </w:div>
    <w:div w:id="2032105192">
      <w:bodyDiv w:val="1"/>
      <w:marLeft w:val="0"/>
      <w:marRight w:val="0"/>
      <w:marTop w:val="0"/>
      <w:marBottom w:val="0"/>
      <w:divBdr>
        <w:top w:val="none" w:sz="0" w:space="0" w:color="auto"/>
        <w:left w:val="none" w:sz="0" w:space="0" w:color="auto"/>
        <w:bottom w:val="none" w:sz="0" w:space="0" w:color="auto"/>
        <w:right w:val="none" w:sz="0" w:space="0" w:color="auto"/>
      </w:divBdr>
      <w:divsChild>
        <w:div w:id="724527378">
          <w:marLeft w:val="0"/>
          <w:marRight w:val="0"/>
          <w:marTop w:val="0"/>
          <w:marBottom w:val="0"/>
          <w:divBdr>
            <w:top w:val="none" w:sz="0" w:space="0" w:color="auto"/>
            <w:left w:val="none" w:sz="0" w:space="0" w:color="auto"/>
            <w:bottom w:val="none" w:sz="0" w:space="0" w:color="auto"/>
            <w:right w:val="none" w:sz="0" w:space="0" w:color="auto"/>
          </w:divBdr>
          <w:divsChild>
            <w:div w:id="1229614269">
              <w:marLeft w:val="0"/>
              <w:marRight w:val="0"/>
              <w:marTop w:val="0"/>
              <w:marBottom w:val="0"/>
              <w:divBdr>
                <w:top w:val="none" w:sz="0" w:space="0" w:color="auto"/>
                <w:left w:val="none" w:sz="0" w:space="0" w:color="auto"/>
                <w:bottom w:val="none" w:sz="0" w:space="0" w:color="auto"/>
                <w:right w:val="none" w:sz="0" w:space="0" w:color="auto"/>
              </w:divBdr>
              <w:divsChild>
                <w:div w:id="1451977724">
                  <w:marLeft w:val="0"/>
                  <w:marRight w:val="0"/>
                  <w:marTop w:val="0"/>
                  <w:marBottom w:val="0"/>
                  <w:divBdr>
                    <w:top w:val="none" w:sz="0" w:space="0" w:color="auto"/>
                    <w:left w:val="none" w:sz="0" w:space="0" w:color="auto"/>
                    <w:bottom w:val="none" w:sz="0" w:space="0" w:color="auto"/>
                    <w:right w:val="none" w:sz="0" w:space="0" w:color="auto"/>
                  </w:divBdr>
                  <w:divsChild>
                    <w:div w:id="45652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8.wmf"/><Relationship Id="rId32" Type="http://schemas.openxmlformats.org/officeDocument/2006/relationships/hyperlink" Target="mailto:pmoneill@liverpool.ac.uk"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emf"/><Relationship Id="rId10" Type="http://schemas.openxmlformats.org/officeDocument/2006/relationships/hyperlink" Target="mailto:pmoneill@liverpool.ac.uk" TargetMode="External"/><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oleObject8.bin"/><Relationship Id="rId30" Type="http://schemas.openxmlformats.org/officeDocument/2006/relationships/image" Target="media/image11.emf"/><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6CBEC-59C8-4F27-9D0A-D4D4D076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26445</Words>
  <Characters>150742</Characters>
  <Application>Microsoft Office Word</Application>
  <DocSecurity>0</DocSecurity>
  <Lines>1256</Lines>
  <Paragraphs>353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176834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Woodley, Christopher</dc:creator>
  <cp:lastModifiedBy>Woodley, Christopher</cp:lastModifiedBy>
  <cp:revision>3</cp:revision>
  <cp:lastPrinted>2021-05-21T13:15:00Z</cp:lastPrinted>
  <dcterms:created xsi:type="dcterms:W3CDTF">2021-06-10T17:19:00Z</dcterms:created>
  <dcterms:modified xsi:type="dcterms:W3CDTF">2021-06-10T17:19:00Z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http://www.zotero.org/styles/journal-of-the-american-chemical-society</vt:lpwstr>
  </property>
  <property fmtid="{D5CDD505-2E9C-101B-9397-08002B2CF9AE}" pid="15" name="Mendeley Recent Style Name 6_1">
    <vt:lpwstr>Journal of the American Chemical Society</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b45cc854-3c8c-35e7-9690-5fd098789d4d</vt:lpwstr>
  </property>
  <property fmtid="{D5CDD505-2E9C-101B-9397-08002B2CF9AE}" pid="24" name="Mendeley Citation Style_1">
    <vt:lpwstr>http://www.zotero.org/styles/journal-of-the-american-chemical-society</vt:lpwstr>
  </property>
</Properties>
</file>