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E0AA" w14:textId="1C0CFBC4" w:rsidR="00824882" w:rsidRPr="00477697" w:rsidRDefault="00C87C95" w:rsidP="00021919">
      <w:pPr>
        <w:pStyle w:val="Default"/>
        <w:spacing w:line="480" w:lineRule="auto"/>
        <w:jc w:val="center"/>
        <w:rPr>
          <w:rFonts w:ascii="Arial" w:hAnsi="Arial" w:cs="Arial"/>
          <w:b/>
          <w:bCs/>
          <w:color w:val="auto"/>
          <w:sz w:val="22"/>
          <w:szCs w:val="22"/>
        </w:rPr>
      </w:pPr>
      <w:r w:rsidRPr="00B90440">
        <w:rPr>
          <w:rFonts w:ascii="Arial" w:hAnsi="Arial" w:cs="Arial"/>
          <w:b/>
          <w:bCs/>
          <w:color w:val="auto"/>
          <w:sz w:val="22"/>
          <w:szCs w:val="22"/>
        </w:rPr>
        <w:t xml:space="preserve">Optimal dose and safety of </w:t>
      </w:r>
      <w:r w:rsidR="00AF74BD" w:rsidRPr="00477697">
        <w:rPr>
          <w:rFonts w:ascii="Arial" w:hAnsi="Arial" w:cs="Arial"/>
          <w:b/>
          <w:bCs/>
          <w:color w:val="auto"/>
          <w:sz w:val="22"/>
          <w:szCs w:val="22"/>
        </w:rPr>
        <w:t>molnupiravir</w:t>
      </w:r>
      <w:r w:rsidRPr="00477697">
        <w:rPr>
          <w:rFonts w:ascii="Arial" w:hAnsi="Arial" w:cs="Arial"/>
          <w:b/>
          <w:bCs/>
          <w:color w:val="auto"/>
          <w:sz w:val="22"/>
          <w:szCs w:val="22"/>
        </w:rPr>
        <w:t xml:space="preserve"> in patients </w:t>
      </w:r>
      <w:r w:rsidR="00824882" w:rsidRPr="00477697">
        <w:rPr>
          <w:rFonts w:ascii="Arial" w:hAnsi="Arial" w:cs="Arial"/>
          <w:b/>
          <w:bCs/>
          <w:color w:val="auto"/>
          <w:sz w:val="22"/>
          <w:szCs w:val="22"/>
        </w:rPr>
        <w:t>w</w:t>
      </w:r>
      <w:r w:rsidRPr="00477697">
        <w:rPr>
          <w:rFonts w:ascii="Arial" w:hAnsi="Arial" w:cs="Arial"/>
          <w:b/>
          <w:bCs/>
          <w:color w:val="auto"/>
          <w:sz w:val="22"/>
          <w:szCs w:val="22"/>
        </w:rPr>
        <w:t xml:space="preserve">ith early </w:t>
      </w:r>
      <w:r w:rsidR="00F83408" w:rsidRPr="00477697">
        <w:rPr>
          <w:rFonts w:ascii="Arial" w:hAnsi="Arial" w:cs="Arial"/>
          <w:b/>
          <w:bCs/>
          <w:color w:val="auto"/>
          <w:sz w:val="22"/>
          <w:szCs w:val="22"/>
        </w:rPr>
        <w:t>SARS-CoV-2</w:t>
      </w:r>
      <w:r w:rsidRPr="00477697">
        <w:rPr>
          <w:rFonts w:ascii="Arial" w:hAnsi="Arial" w:cs="Arial"/>
          <w:b/>
          <w:bCs/>
          <w:color w:val="auto"/>
          <w:sz w:val="22"/>
          <w:szCs w:val="22"/>
        </w:rPr>
        <w:t xml:space="preserve">: a phase 1, </w:t>
      </w:r>
      <w:r w:rsidR="00351C7D">
        <w:rPr>
          <w:rFonts w:ascii="Arial" w:hAnsi="Arial" w:cs="Arial"/>
          <w:b/>
          <w:bCs/>
          <w:color w:val="auto"/>
          <w:sz w:val="22"/>
          <w:szCs w:val="22"/>
        </w:rPr>
        <w:t xml:space="preserve">open-label, </w:t>
      </w:r>
      <w:r w:rsidRPr="00477697">
        <w:rPr>
          <w:rFonts w:ascii="Arial" w:hAnsi="Arial" w:cs="Arial"/>
          <w:b/>
          <w:bCs/>
          <w:color w:val="auto"/>
          <w:sz w:val="22"/>
          <w:szCs w:val="22"/>
        </w:rPr>
        <w:t>dose-escalating, randomised controlled study</w:t>
      </w:r>
    </w:p>
    <w:p w14:paraId="4EAA55FF" w14:textId="77B1FA64" w:rsidR="00AD2763" w:rsidRPr="00477697" w:rsidRDefault="00AD2763" w:rsidP="00477697">
      <w:pPr>
        <w:pStyle w:val="Default"/>
        <w:spacing w:line="480" w:lineRule="auto"/>
        <w:jc w:val="center"/>
        <w:rPr>
          <w:rFonts w:ascii="Arial" w:hAnsi="Arial" w:cs="Arial"/>
          <w:b/>
          <w:bCs/>
          <w:color w:val="auto"/>
          <w:sz w:val="22"/>
          <w:szCs w:val="22"/>
        </w:rPr>
      </w:pPr>
    </w:p>
    <w:p w14:paraId="01DFB79B" w14:textId="310FA18E" w:rsidR="00AD2763" w:rsidRPr="00477697" w:rsidRDefault="00AD2763" w:rsidP="00477697">
      <w:pPr>
        <w:pStyle w:val="Default"/>
        <w:spacing w:line="480" w:lineRule="auto"/>
        <w:jc w:val="center"/>
        <w:rPr>
          <w:rFonts w:ascii="Arial" w:hAnsi="Arial" w:cs="Arial"/>
          <w:color w:val="auto"/>
          <w:sz w:val="22"/>
          <w:szCs w:val="22"/>
        </w:rPr>
      </w:pPr>
      <w:r w:rsidRPr="00477697">
        <w:rPr>
          <w:rFonts w:ascii="Arial" w:hAnsi="Arial" w:cs="Arial"/>
          <w:b/>
          <w:bCs/>
          <w:color w:val="auto"/>
          <w:sz w:val="22"/>
          <w:szCs w:val="22"/>
        </w:rPr>
        <w:t>Short Title: Optimal Dose and Safety of Molnupiravir</w:t>
      </w:r>
    </w:p>
    <w:p w14:paraId="1FBB99C0" w14:textId="13F1C6A0" w:rsidR="00C87C95" w:rsidRPr="00477697" w:rsidRDefault="00C87C95" w:rsidP="00477697">
      <w:pPr>
        <w:pStyle w:val="Default"/>
        <w:spacing w:line="480" w:lineRule="auto"/>
        <w:rPr>
          <w:rFonts w:ascii="Arial" w:hAnsi="Arial" w:cs="Arial"/>
          <w:color w:val="auto"/>
          <w:sz w:val="22"/>
          <w:szCs w:val="22"/>
        </w:rPr>
      </w:pPr>
    </w:p>
    <w:p w14:paraId="02902474" w14:textId="137792C3" w:rsidR="00E2024C" w:rsidRPr="00477697" w:rsidRDefault="00E2024C" w:rsidP="00477697">
      <w:pPr>
        <w:spacing w:after="0" w:line="480" w:lineRule="auto"/>
        <w:jc w:val="both"/>
        <w:rPr>
          <w:rFonts w:ascii="Arial" w:hAnsi="Arial" w:cs="Arial"/>
          <w:color w:val="000000" w:themeColor="text1"/>
        </w:rPr>
      </w:pPr>
      <w:bookmarkStart w:id="0" w:name="_Hlk67252621"/>
      <w:bookmarkStart w:id="1" w:name="_Hlk62981173"/>
      <w:bookmarkStart w:id="2" w:name="_Hlk63716285"/>
      <w:r w:rsidRPr="00477697">
        <w:rPr>
          <w:rFonts w:ascii="Arial" w:hAnsi="Arial" w:cs="Arial"/>
          <w:color w:val="000000" w:themeColor="text1"/>
        </w:rPr>
        <w:t xml:space="preserve">Saye </w:t>
      </w:r>
      <w:r w:rsidR="00911AE4" w:rsidRPr="00477697">
        <w:rPr>
          <w:rFonts w:ascii="Arial" w:hAnsi="Arial" w:cs="Arial"/>
          <w:color w:val="000000" w:themeColor="text1"/>
        </w:rPr>
        <w:t xml:space="preserve">H </w:t>
      </w:r>
      <w:r w:rsidR="00C31712" w:rsidRPr="00477697">
        <w:rPr>
          <w:rFonts w:ascii="Arial" w:hAnsi="Arial" w:cs="Arial"/>
          <w:color w:val="000000" w:themeColor="text1"/>
        </w:rPr>
        <w:t xml:space="preserve">KHOO </w:t>
      </w:r>
      <w:r w:rsidRPr="00477697">
        <w:rPr>
          <w:rFonts w:ascii="Arial" w:hAnsi="Arial" w:cs="Arial"/>
          <w:color w:val="000000" w:themeColor="text1"/>
        </w:rPr>
        <w:t>†*</w:t>
      </w:r>
      <w:r w:rsidRPr="00477697">
        <w:rPr>
          <w:rFonts w:ascii="Arial" w:hAnsi="Arial" w:cs="Arial"/>
          <w:color w:val="000000" w:themeColor="text1"/>
          <w:vertAlign w:val="superscript"/>
        </w:rPr>
        <w:t>1,2</w:t>
      </w:r>
      <w:r w:rsidRPr="00477697">
        <w:rPr>
          <w:rFonts w:ascii="Arial" w:hAnsi="Arial" w:cs="Arial"/>
          <w:color w:val="000000" w:themeColor="text1"/>
        </w:rPr>
        <w:t xml:space="preserve">, Richard </w:t>
      </w:r>
      <w:r w:rsidR="00C31712" w:rsidRPr="00477697">
        <w:rPr>
          <w:rFonts w:ascii="Arial" w:hAnsi="Arial" w:cs="Arial"/>
          <w:color w:val="000000" w:themeColor="text1"/>
        </w:rPr>
        <w:t>FITZGERALD</w:t>
      </w:r>
      <w:r w:rsidRPr="00477697">
        <w:rPr>
          <w:rFonts w:ascii="Arial" w:hAnsi="Arial" w:cs="Arial"/>
          <w:color w:val="000000" w:themeColor="text1"/>
        </w:rPr>
        <w:t>†</w:t>
      </w:r>
      <w:r w:rsidRPr="00477697">
        <w:rPr>
          <w:rFonts w:ascii="Arial" w:hAnsi="Arial" w:cs="Arial"/>
          <w:color w:val="000000" w:themeColor="text1"/>
          <w:vertAlign w:val="superscript"/>
        </w:rPr>
        <w:t>2</w:t>
      </w:r>
      <w:r w:rsidRPr="00477697">
        <w:rPr>
          <w:rFonts w:ascii="Arial" w:hAnsi="Arial" w:cs="Arial"/>
          <w:color w:val="000000" w:themeColor="text1"/>
        </w:rPr>
        <w:t xml:space="preserve">, Thomas </w:t>
      </w:r>
      <w:r w:rsidR="00C31712" w:rsidRPr="00477697">
        <w:rPr>
          <w:rFonts w:ascii="Arial" w:hAnsi="Arial" w:cs="Arial"/>
          <w:color w:val="000000" w:themeColor="text1"/>
        </w:rPr>
        <w:t>FLETCHER</w:t>
      </w:r>
      <w:r w:rsidR="00C31712" w:rsidRPr="00477697">
        <w:rPr>
          <w:rFonts w:ascii="Arial" w:hAnsi="Arial" w:cs="Arial"/>
          <w:color w:val="000000" w:themeColor="text1"/>
          <w:vertAlign w:val="superscript"/>
        </w:rPr>
        <w:t>2</w:t>
      </w:r>
      <w:r w:rsidRPr="00477697">
        <w:rPr>
          <w:rFonts w:ascii="Arial" w:hAnsi="Arial" w:cs="Arial"/>
          <w:color w:val="000000" w:themeColor="text1"/>
          <w:vertAlign w:val="superscript"/>
        </w:rPr>
        <w:t>,3</w:t>
      </w:r>
      <w:r w:rsidRPr="00477697">
        <w:rPr>
          <w:rFonts w:ascii="Arial" w:hAnsi="Arial" w:cs="Arial"/>
          <w:color w:val="000000" w:themeColor="text1"/>
        </w:rPr>
        <w:t xml:space="preserve">, Sean </w:t>
      </w:r>
      <w:r w:rsidR="00C31712" w:rsidRPr="00477697">
        <w:rPr>
          <w:rFonts w:ascii="Arial" w:hAnsi="Arial" w:cs="Arial"/>
          <w:color w:val="000000" w:themeColor="text1"/>
        </w:rPr>
        <w:t>EWINGS</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Thomas </w:t>
      </w:r>
      <w:r w:rsidR="00C31712" w:rsidRPr="00477697">
        <w:rPr>
          <w:rFonts w:ascii="Arial" w:hAnsi="Arial" w:cs="Arial"/>
          <w:color w:val="000000" w:themeColor="text1"/>
        </w:rPr>
        <w:t>JAKI</w:t>
      </w:r>
      <w:r w:rsidR="00C31712" w:rsidRPr="00477697">
        <w:rPr>
          <w:rFonts w:ascii="Arial" w:hAnsi="Arial" w:cs="Arial"/>
          <w:color w:val="000000" w:themeColor="text1"/>
          <w:vertAlign w:val="superscript"/>
        </w:rPr>
        <w:t>5</w:t>
      </w:r>
      <w:r w:rsidR="002F6A9B" w:rsidRPr="00477697">
        <w:rPr>
          <w:rFonts w:ascii="Arial" w:hAnsi="Arial" w:cs="Arial"/>
          <w:color w:val="000000" w:themeColor="text1"/>
          <w:vertAlign w:val="superscript"/>
        </w:rPr>
        <w:t>,6</w:t>
      </w:r>
      <w:r w:rsidRPr="00477697">
        <w:rPr>
          <w:rFonts w:ascii="Arial" w:hAnsi="Arial" w:cs="Arial"/>
          <w:color w:val="000000" w:themeColor="text1"/>
        </w:rPr>
        <w:t xml:space="preserve">, Rebecca </w:t>
      </w:r>
      <w:r w:rsidR="00C31712" w:rsidRPr="00477697">
        <w:rPr>
          <w:rFonts w:ascii="Arial" w:hAnsi="Arial" w:cs="Arial"/>
          <w:color w:val="000000" w:themeColor="text1"/>
        </w:rPr>
        <w:t>LYON</w:t>
      </w:r>
      <w:r w:rsidR="00C31712" w:rsidRPr="00477697">
        <w:rPr>
          <w:rFonts w:ascii="Arial" w:hAnsi="Arial" w:cs="Arial"/>
          <w:color w:val="000000" w:themeColor="text1"/>
          <w:vertAlign w:val="superscript"/>
        </w:rPr>
        <w:t>2</w:t>
      </w:r>
      <w:r w:rsidRPr="00477697">
        <w:rPr>
          <w:rFonts w:ascii="Arial" w:hAnsi="Arial" w:cs="Arial"/>
          <w:color w:val="000000" w:themeColor="text1"/>
        </w:rPr>
        <w:t xml:space="preserve">, </w:t>
      </w:r>
      <w:r w:rsidR="006A0311" w:rsidRPr="00477697">
        <w:rPr>
          <w:rFonts w:ascii="Arial" w:hAnsi="Arial" w:cs="Arial"/>
          <w:color w:val="000000" w:themeColor="text1"/>
        </w:rPr>
        <w:t xml:space="preserve">Nichola </w:t>
      </w:r>
      <w:r w:rsidR="00C31712" w:rsidRPr="00477697">
        <w:rPr>
          <w:rFonts w:ascii="Arial" w:hAnsi="Arial" w:cs="Arial"/>
          <w:color w:val="000000" w:themeColor="text1"/>
        </w:rPr>
        <w:t>DOWNS</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Lauren </w:t>
      </w:r>
      <w:r w:rsidR="00C31712" w:rsidRPr="00477697">
        <w:rPr>
          <w:rFonts w:ascii="Arial" w:hAnsi="Arial" w:cs="Arial"/>
          <w:color w:val="000000" w:themeColor="text1"/>
        </w:rPr>
        <w:t>WALKER</w:t>
      </w:r>
      <w:r w:rsidR="00C31712" w:rsidRPr="00B84718">
        <w:rPr>
          <w:rFonts w:ascii="Arial" w:hAnsi="Arial" w:cs="Arial"/>
          <w:color w:val="000000" w:themeColor="text1"/>
          <w:vertAlign w:val="superscript"/>
        </w:rPr>
        <w:t>1</w:t>
      </w:r>
      <w:r w:rsidR="00B84718" w:rsidRPr="00B84718">
        <w:rPr>
          <w:rFonts w:ascii="Arial" w:hAnsi="Arial" w:cs="Arial"/>
          <w:color w:val="000000" w:themeColor="text1"/>
          <w:vertAlign w:val="superscript"/>
        </w:rPr>
        <w:t>,</w:t>
      </w:r>
      <w:r w:rsidRPr="00477697">
        <w:rPr>
          <w:rFonts w:ascii="Arial" w:hAnsi="Arial" w:cs="Arial"/>
          <w:color w:val="000000" w:themeColor="text1"/>
          <w:vertAlign w:val="superscript"/>
        </w:rPr>
        <w:t>2</w:t>
      </w:r>
      <w:r w:rsidRPr="00477697">
        <w:rPr>
          <w:rFonts w:ascii="Arial" w:hAnsi="Arial" w:cs="Arial"/>
          <w:color w:val="000000" w:themeColor="text1"/>
        </w:rPr>
        <w:t xml:space="preserve">, </w:t>
      </w:r>
      <w:proofErr w:type="spellStart"/>
      <w:r w:rsidRPr="00477697">
        <w:rPr>
          <w:rFonts w:ascii="Arial" w:hAnsi="Arial" w:cs="Arial"/>
          <w:color w:val="000000" w:themeColor="text1"/>
        </w:rPr>
        <w:t>Olana</w:t>
      </w:r>
      <w:proofErr w:type="spellEnd"/>
      <w:r w:rsidRPr="00477697">
        <w:rPr>
          <w:rFonts w:ascii="Arial" w:hAnsi="Arial" w:cs="Arial"/>
          <w:color w:val="000000" w:themeColor="text1"/>
        </w:rPr>
        <w:t xml:space="preserve"> </w:t>
      </w:r>
      <w:r w:rsidR="00C31712" w:rsidRPr="00477697">
        <w:rPr>
          <w:rFonts w:ascii="Arial" w:hAnsi="Arial" w:cs="Arial"/>
          <w:color w:val="000000" w:themeColor="text1"/>
        </w:rPr>
        <w:t>TANSLEY-HANCOCK</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w:t>
      </w:r>
      <w:r w:rsidR="006A0311" w:rsidRPr="00477697">
        <w:rPr>
          <w:rFonts w:ascii="Arial" w:hAnsi="Arial" w:cs="Arial"/>
          <w:color w:val="000000" w:themeColor="text1"/>
        </w:rPr>
        <w:t xml:space="preserve">William </w:t>
      </w:r>
      <w:r w:rsidR="00C31712" w:rsidRPr="00477697">
        <w:rPr>
          <w:rFonts w:ascii="Arial" w:hAnsi="Arial" w:cs="Arial"/>
          <w:color w:val="000000" w:themeColor="text1"/>
        </w:rPr>
        <w:t>GREENHALF</w:t>
      </w:r>
      <w:r w:rsidR="00C31712" w:rsidRPr="00477697">
        <w:rPr>
          <w:rFonts w:ascii="Arial" w:hAnsi="Arial" w:cs="Arial"/>
          <w:color w:val="000000" w:themeColor="text1"/>
          <w:vertAlign w:val="superscript"/>
        </w:rPr>
        <w:t>1</w:t>
      </w:r>
      <w:r w:rsidRPr="00477697">
        <w:rPr>
          <w:rFonts w:ascii="Arial" w:hAnsi="Arial" w:cs="Arial"/>
          <w:color w:val="000000" w:themeColor="text1"/>
        </w:rPr>
        <w:t xml:space="preserve">, Christie </w:t>
      </w:r>
      <w:r w:rsidR="00C31712" w:rsidRPr="00477697">
        <w:rPr>
          <w:rFonts w:ascii="Arial" w:hAnsi="Arial" w:cs="Arial"/>
          <w:color w:val="000000" w:themeColor="text1"/>
        </w:rPr>
        <w:t>WOODS</w:t>
      </w:r>
      <w:r w:rsidR="00C31712" w:rsidRPr="00477697">
        <w:rPr>
          <w:rFonts w:ascii="Arial" w:hAnsi="Arial" w:cs="Arial"/>
          <w:color w:val="000000" w:themeColor="text1"/>
          <w:vertAlign w:val="superscript"/>
        </w:rPr>
        <w:t>2</w:t>
      </w:r>
      <w:r w:rsidRPr="00477697">
        <w:rPr>
          <w:rFonts w:ascii="Arial" w:hAnsi="Arial" w:cs="Arial"/>
          <w:color w:val="000000" w:themeColor="text1"/>
        </w:rPr>
        <w:t xml:space="preserve">, Helen </w:t>
      </w:r>
      <w:r w:rsidR="00C31712" w:rsidRPr="00477697">
        <w:rPr>
          <w:rFonts w:ascii="Arial" w:hAnsi="Arial" w:cs="Arial"/>
          <w:color w:val="000000" w:themeColor="text1"/>
        </w:rPr>
        <w:t>REYNOLDS</w:t>
      </w:r>
      <w:r w:rsidR="00C31712" w:rsidRPr="00477697">
        <w:rPr>
          <w:rFonts w:ascii="Arial" w:hAnsi="Arial" w:cs="Arial"/>
          <w:color w:val="000000" w:themeColor="text1"/>
          <w:vertAlign w:val="superscript"/>
        </w:rPr>
        <w:t>1</w:t>
      </w:r>
      <w:r w:rsidRPr="00477697">
        <w:rPr>
          <w:rFonts w:ascii="Arial" w:hAnsi="Arial" w:cs="Arial"/>
          <w:color w:val="000000" w:themeColor="text1"/>
        </w:rPr>
        <w:t xml:space="preserve">, Ellice </w:t>
      </w:r>
      <w:r w:rsidR="00C31712" w:rsidRPr="00477697">
        <w:rPr>
          <w:rFonts w:ascii="Arial" w:hAnsi="Arial" w:cs="Arial"/>
          <w:color w:val="000000" w:themeColor="text1"/>
        </w:rPr>
        <w:t>MARWOOD</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Pavel </w:t>
      </w:r>
      <w:r w:rsidR="00C31712" w:rsidRPr="00477697">
        <w:rPr>
          <w:rFonts w:ascii="Arial" w:hAnsi="Arial" w:cs="Arial"/>
          <w:color w:val="000000" w:themeColor="text1"/>
        </w:rPr>
        <w:t>MOZGUNOV</w:t>
      </w:r>
      <w:r w:rsidR="00C31712" w:rsidRPr="00477697">
        <w:rPr>
          <w:rFonts w:ascii="Arial" w:hAnsi="Arial" w:cs="Arial"/>
          <w:color w:val="000000" w:themeColor="text1"/>
          <w:vertAlign w:val="superscript"/>
        </w:rPr>
        <w:t>5</w:t>
      </w:r>
      <w:r w:rsidRPr="00477697">
        <w:rPr>
          <w:rFonts w:ascii="Arial" w:hAnsi="Arial" w:cs="Arial"/>
          <w:color w:val="000000" w:themeColor="text1"/>
        </w:rPr>
        <w:t xml:space="preserve">, Emily </w:t>
      </w:r>
      <w:r w:rsidR="00C31712" w:rsidRPr="00477697">
        <w:rPr>
          <w:rFonts w:ascii="Arial" w:hAnsi="Arial" w:cs="Arial"/>
          <w:color w:val="000000" w:themeColor="text1"/>
        </w:rPr>
        <w:t>ADAMS</w:t>
      </w:r>
      <w:r w:rsidR="00C31712" w:rsidRPr="00477697">
        <w:rPr>
          <w:rFonts w:ascii="Arial" w:hAnsi="Arial" w:cs="Arial"/>
          <w:color w:val="000000" w:themeColor="text1"/>
          <w:vertAlign w:val="superscript"/>
        </w:rPr>
        <w:t>3</w:t>
      </w:r>
      <w:r w:rsidRPr="00477697">
        <w:rPr>
          <w:rFonts w:ascii="Arial" w:hAnsi="Arial" w:cs="Arial"/>
          <w:color w:val="000000" w:themeColor="text1"/>
        </w:rPr>
        <w:t xml:space="preserve">, </w:t>
      </w:r>
      <w:r w:rsidR="00946AF8" w:rsidRPr="00477697">
        <w:rPr>
          <w:rFonts w:ascii="Arial" w:hAnsi="Arial" w:cs="Arial"/>
          <w:color w:val="000000" w:themeColor="text1"/>
        </w:rPr>
        <w:t xml:space="preserve">Katie </w:t>
      </w:r>
      <w:r w:rsidR="00C31712" w:rsidRPr="00477697">
        <w:rPr>
          <w:rFonts w:ascii="Arial" w:hAnsi="Arial" w:cs="Arial"/>
          <w:color w:val="000000" w:themeColor="text1"/>
        </w:rPr>
        <w:t>BULLOCK</w:t>
      </w:r>
      <w:r w:rsidR="00C31712" w:rsidRPr="00477697">
        <w:rPr>
          <w:rFonts w:ascii="Arial" w:hAnsi="Arial" w:cs="Arial"/>
          <w:color w:val="000000" w:themeColor="text1"/>
          <w:vertAlign w:val="superscript"/>
        </w:rPr>
        <w:t>1</w:t>
      </w:r>
      <w:r w:rsidR="00946AF8" w:rsidRPr="00477697">
        <w:rPr>
          <w:rFonts w:ascii="Arial" w:hAnsi="Arial" w:cs="Arial"/>
          <w:color w:val="000000" w:themeColor="text1"/>
        </w:rPr>
        <w:t xml:space="preserve">, </w:t>
      </w:r>
      <w:r w:rsidR="00C81196" w:rsidRPr="00477697">
        <w:rPr>
          <w:rFonts w:ascii="Arial" w:hAnsi="Arial" w:cs="Arial"/>
          <w:color w:val="000000" w:themeColor="text1"/>
        </w:rPr>
        <w:t xml:space="preserve">Wayne </w:t>
      </w:r>
      <w:r w:rsidR="00C31712" w:rsidRPr="00477697">
        <w:rPr>
          <w:rFonts w:ascii="Arial" w:hAnsi="Arial" w:cs="Arial"/>
          <w:color w:val="000000" w:themeColor="text1"/>
        </w:rPr>
        <w:t>HOLMAN</w:t>
      </w:r>
      <w:r w:rsidR="00C31712" w:rsidRPr="00477697">
        <w:rPr>
          <w:rFonts w:ascii="Arial" w:hAnsi="Arial" w:cs="Arial"/>
          <w:color w:val="000000" w:themeColor="text1"/>
          <w:vertAlign w:val="superscript"/>
        </w:rPr>
        <w:t>7</w:t>
      </w:r>
      <w:r w:rsidR="00C81196" w:rsidRPr="00477697">
        <w:rPr>
          <w:rFonts w:ascii="Arial" w:hAnsi="Arial" w:cs="Arial"/>
          <w:color w:val="000000" w:themeColor="text1"/>
        </w:rPr>
        <w:t xml:space="preserve">, </w:t>
      </w:r>
      <w:r w:rsidR="00174506" w:rsidRPr="00477697">
        <w:rPr>
          <w:rFonts w:ascii="Arial" w:hAnsi="Arial" w:cs="Arial"/>
          <w:color w:val="000000" w:themeColor="text1"/>
        </w:rPr>
        <w:t xml:space="preserve">Marcin D </w:t>
      </w:r>
      <w:r w:rsidR="00C31712" w:rsidRPr="00477697">
        <w:rPr>
          <w:rFonts w:ascii="Arial" w:hAnsi="Arial" w:cs="Arial"/>
          <w:color w:val="000000" w:themeColor="text1"/>
        </w:rPr>
        <w:t>BULA</w:t>
      </w:r>
      <w:r w:rsidR="00C31712" w:rsidRPr="00477697">
        <w:rPr>
          <w:rFonts w:ascii="Arial" w:hAnsi="Arial" w:cs="Arial"/>
          <w:color w:val="000000" w:themeColor="text1"/>
          <w:vertAlign w:val="superscript"/>
        </w:rPr>
        <w:t>4</w:t>
      </w:r>
      <w:r w:rsidR="00174506" w:rsidRPr="00477697">
        <w:rPr>
          <w:rFonts w:ascii="Arial" w:hAnsi="Arial" w:cs="Arial"/>
          <w:color w:val="000000" w:themeColor="text1"/>
        </w:rPr>
        <w:t xml:space="preserve">, Jennifer L </w:t>
      </w:r>
      <w:r w:rsidR="00C31712" w:rsidRPr="00477697">
        <w:rPr>
          <w:rFonts w:ascii="Arial" w:hAnsi="Arial" w:cs="Arial"/>
          <w:color w:val="000000" w:themeColor="text1"/>
        </w:rPr>
        <w:t>GIBNEY</w:t>
      </w:r>
      <w:r w:rsidR="00C31712" w:rsidRPr="00477697">
        <w:rPr>
          <w:rFonts w:ascii="Arial" w:hAnsi="Arial" w:cs="Arial"/>
          <w:color w:val="000000" w:themeColor="text1"/>
          <w:vertAlign w:val="superscript"/>
        </w:rPr>
        <w:t>2</w:t>
      </w:r>
      <w:r w:rsidR="00174506" w:rsidRPr="00477697">
        <w:rPr>
          <w:rFonts w:ascii="Arial" w:hAnsi="Arial" w:cs="Arial"/>
          <w:color w:val="000000" w:themeColor="text1"/>
        </w:rPr>
        <w:t>, Geoff</w:t>
      </w:r>
      <w:r w:rsidR="006A0311" w:rsidRPr="00477697">
        <w:rPr>
          <w:rFonts w:ascii="Arial" w:hAnsi="Arial" w:cs="Arial"/>
          <w:color w:val="000000" w:themeColor="text1"/>
        </w:rPr>
        <w:t>rey</w:t>
      </w:r>
      <w:r w:rsidR="00174506" w:rsidRPr="00477697">
        <w:rPr>
          <w:rFonts w:ascii="Arial" w:hAnsi="Arial" w:cs="Arial"/>
          <w:color w:val="000000" w:themeColor="text1"/>
        </w:rPr>
        <w:t xml:space="preserve"> </w:t>
      </w:r>
      <w:r w:rsidR="00C31712" w:rsidRPr="00477697">
        <w:rPr>
          <w:rFonts w:ascii="Arial" w:hAnsi="Arial" w:cs="Arial"/>
          <w:color w:val="000000" w:themeColor="text1"/>
        </w:rPr>
        <w:t>SAUNDERS</w:t>
      </w:r>
      <w:r w:rsidR="00C31712" w:rsidRPr="00477697">
        <w:rPr>
          <w:rFonts w:ascii="Arial" w:hAnsi="Arial" w:cs="Arial"/>
          <w:color w:val="000000" w:themeColor="text1"/>
          <w:vertAlign w:val="superscript"/>
        </w:rPr>
        <w:t>4</w:t>
      </w:r>
      <w:r w:rsidR="00174506" w:rsidRPr="00477697">
        <w:rPr>
          <w:rFonts w:ascii="Arial" w:hAnsi="Arial" w:cs="Arial"/>
          <w:color w:val="000000" w:themeColor="text1"/>
        </w:rPr>
        <w:t xml:space="preserve">, </w:t>
      </w:r>
      <w:r w:rsidRPr="00477697">
        <w:rPr>
          <w:rFonts w:ascii="Arial" w:hAnsi="Arial" w:cs="Arial"/>
          <w:color w:val="000000" w:themeColor="text1"/>
        </w:rPr>
        <w:t xml:space="preserve">Andrea </w:t>
      </w:r>
      <w:r w:rsidR="00C31712" w:rsidRPr="00477697">
        <w:rPr>
          <w:rFonts w:ascii="Arial" w:hAnsi="Arial" w:cs="Arial"/>
          <w:color w:val="000000" w:themeColor="text1"/>
        </w:rPr>
        <w:t>CORKHILL</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w:t>
      </w:r>
      <w:r w:rsidR="00174506" w:rsidRPr="00477697">
        <w:rPr>
          <w:rFonts w:ascii="Arial" w:hAnsi="Arial" w:cs="Arial"/>
          <w:color w:val="000000" w:themeColor="text1"/>
        </w:rPr>
        <w:t xml:space="preserve">Colin </w:t>
      </w:r>
      <w:r w:rsidR="00C31712" w:rsidRPr="00477697">
        <w:rPr>
          <w:rFonts w:ascii="Arial" w:hAnsi="Arial" w:cs="Arial"/>
          <w:color w:val="000000" w:themeColor="text1"/>
        </w:rPr>
        <w:t>HALE</w:t>
      </w:r>
      <w:r w:rsidR="00C31712" w:rsidRPr="00477697">
        <w:rPr>
          <w:rFonts w:ascii="Arial" w:hAnsi="Arial" w:cs="Arial"/>
          <w:color w:val="000000" w:themeColor="text1"/>
          <w:vertAlign w:val="superscript"/>
        </w:rPr>
        <w:t>2</w:t>
      </w:r>
      <w:r w:rsidR="00174506" w:rsidRPr="00477697">
        <w:rPr>
          <w:rFonts w:ascii="Arial" w:hAnsi="Arial" w:cs="Arial"/>
          <w:color w:val="000000" w:themeColor="text1"/>
        </w:rPr>
        <w:t xml:space="preserve">, </w:t>
      </w:r>
      <w:r w:rsidRPr="00477697">
        <w:rPr>
          <w:rFonts w:ascii="Arial" w:hAnsi="Arial" w:cs="Arial"/>
          <w:color w:val="000000" w:themeColor="text1"/>
        </w:rPr>
        <w:t xml:space="preserve">Kerensa </w:t>
      </w:r>
      <w:r w:rsidR="00C31712" w:rsidRPr="00477697">
        <w:rPr>
          <w:rFonts w:ascii="Arial" w:hAnsi="Arial" w:cs="Arial"/>
          <w:color w:val="000000" w:themeColor="text1"/>
        </w:rPr>
        <w:t>THORNE</w:t>
      </w:r>
      <w:r w:rsidR="00C31712" w:rsidRPr="00477697">
        <w:rPr>
          <w:rFonts w:ascii="Arial" w:hAnsi="Arial" w:cs="Arial"/>
          <w:color w:val="000000" w:themeColor="text1"/>
          <w:vertAlign w:val="superscript"/>
        </w:rPr>
        <w:t>4</w:t>
      </w:r>
      <w:r w:rsidR="00174506" w:rsidRPr="00477697">
        <w:rPr>
          <w:rFonts w:ascii="Arial" w:hAnsi="Arial" w:cs="Arial"/>
          <w:color w:val="000000" w:themeColor="text1"/>
        </w:rPr>
        <w:t xml:space="preserve">, </w:t>
      </w:r>
      <w:r w:rsidR="00C81196" w:rsidRPr="00477697">
        <w:rPr>
          <w:rFonts w:ascii="Arial" w:hAnsi="Arial" w:cs="Arial"/>
          <w:color w:val="000000" w:themeColor="text1"/>
        </w:rPr>
        <w:t xml:space="preserve">Justin </w:t>
      </w:r>
      <w:r w:rsidR="00C31712" w:rsidRPr="00477697">
        <w:rPr>
          <w:rFonts w:ascii="Arial" w:hAnsi="Arial" w:cs="Arial"/>
          <w:color w:val="000000" w:themeColor="text1"/>
        </w:rPr>
        <w:t>CHIONG</w:t>
      </w:r>
      <w:r w:rsidR="00C31712" w:rsidRPr="00477697">
        <w:rPr>
          <w:rFonts w:ascii="Arial" w:hAnsi="Arial" w:cs="Arial"/>
          <w:color w:val="000000" w:themeColor="text1"/>
          <w:vertAlign w:val="superscript"/>
        </w:rPr>
        <w:t>1</w:t>
      </w:r>
      <w:r w:rsidR="00C81196" w:rsidRPr="00477697">
        <w:rPr>
          <w:rFonts w:ascii="Arial" w:hAnsi="Arial" w:cs="Arial"/>
          <w:color w:val="000000" w:themeColor="text1"/>
        </w:rPr>
        <w:t xml:space="preserve">, </w:t>
      </w:r>
      <w:r w:rsidR="00174506" w:rsidRPr="00477697">
        <w:rPr>
          <w:rFonts w:ascii="Arial" w:hAnsi="Arial" w:cs="Arial"/>
          <w:color w:val="000000" w:themeColor="text1"/>
        </w:rPr>
        <w:t>S</w:t>
      </w:r>
      <w:r w:rsidRPr="00477697">
        <w:rPr>
          <w:rFonts w:ascii="Arial" w:hAnsi="Arial" w:cs="Arial"/>
          <w:color w:val="000000" w:themeColor="text1"/>
        </w:rPr>
        <w:t xml:space="preserve">usannah </w:t>
      </w:r>
      <w:r w:rsidR="00C31712" w:rsidRPr="00477697">
        <w:rPr>
          <w:rFonts w:ascii="Arial" w:hAnsi="Arial" w:cs="Arial"/>
          <w:color w:val="000000" w:themeColor="text1"/>
        </w:rPr>
        <w:t>CONDIE</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w:t>
      </w:r>
      <w:r w:rsidR="00C81196" w:rsidRPr="00477697">
        <w:rPr>
          <w:rFonts w:ascii="Arial" w:hAnsi="Arial" w:cs="Arial"/>
          <w:color w:val="000000" w:themeColor="text1"/>
        </w:rPr>
        <w:t xml:space="preserve">Henry </w:t>
      </w:r>
      <w:r w:rsidR="00C31712" w:rsidRPr="00477697">
        <w:rPr>
          <w:rFonts w:ascii="Arial" w:hAnsi="Arial" w:cs="Arial"/>
          <w:color w:val="000000" w:themeColor="text1"/>
        </w:rPr>
        <w:t>PERTINEZ</w:t>
      </w:r>
      <w:r w:rsidR="00C31712" w:rsidRPr="00477697">
        <w:rPr>
          <w:rFonts w:ascii="Arial" w:hAnsi="Arial" w:cs="Arial"/>
          <w:color w:val="000000" w:themeColor="text1"/>
          <w:vertAlign w:val="superscript"/>
        </w:rPr>
        <w:t>1</w:t>
      </w:r>
      <w:r w:rsidR="00C81196" w:rsidRPr="00477697">
        <w:rPr>
          <w:rFonts w:ascii="Arial" w:hAnsi="Arial" w:cs="Arial"/>
          <w:color w:val="000000" w:themeColor="text1"/>
        </w:rPr>
        <w:t xml:space="preserve">, Wendy </w:t>
      </w:r>
      <w:r w:rsidR="00C31712" w:rsidRPr="00477697">
        <w:rPr>
          <w:rFonts w:ascii="Arial" w:hAnsi="Arial" w:cs="Arial"/>
          <w:color w:val="000000" w:themeColor="text1"/>
        </w:rPr>
        <w:t>PAINTER</w:t>
      </w:r>
      <w:r w:rsidR="00C31712" w:rsidRPr="00477697">
        <w:rPr>
          <w:rFonts w:ascii="Arial" w:hAnsi="Arial" w:cs="Arial"/>
          <w:color w:val="000000" w:themeColor="text1"/>
          <w:vertAlign w:val="superscript"/>
        </w:rPr>
        <w:t>7</w:t>
      </w:r>
      <w:r w:rsidR="00C81196" w:rsidRPr="00477697">
        <w:rPr>
          <w:rFonts w:ascii="Arial" w:hAnsi="Arial" w:cs="Arial"/>
          <w:color w:val="000000" w:themeColor="text1"/>
        </w:rPr>
        <w:t xml:space="preserve">, </w:t>
      </w:r>
      <w:r w:rsidRPr="00477697">
        <w:rPr>
          <w:rFonts w:ascii="Arial" w:hAnsi="Arial" w:cs="Arial"/>
          <w:color w:val="000000" w:themeColor="text1"/>
        </w:rPr>
        <w:t xml:space="preserve">Emma </w:t>
      </w:r>
      <w:r w:rsidR="00C31712" w:rsidRPr="00477697">
        <w:rPr>
          <w:rFonts w:ascii="Arial" w:hAnsi="Arial" w:cs="Arial"/>
          <w:color w:val="000000" w:themeColor="text1"/>
        </w:rPr>
        <w:t>WRIXON</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Lucy </w:t>
      </w:r>
      <w:r w:rsidR="00C31712" w:rsidRPr="00477697">
        <w:rPr>
          <w:rFonts w:ascii="Arial" w:hAnsi="Arial" w:cs="Arial"/>
          <w:color w:val="000000" w:themeColor="text1"/>
        </w:rPr>
        <w:t>JOHNSON</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Sara </w:t>
      </w:r>
      <w:r w:rsidR="00C31712" w:rsidRPr="00477697">
        <w:rPr>
          <w:rFonts w:ascii="Arial" w:hAnsi="Arial" w:cs="Arial"/>
          <w:color w:val="000000" w:themeColor="text1"/>
        </w:rPr>
        <w:t>YEATS</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Kim </w:t>
      </w:r>
      <w:r w:rsidR="00C31712" w:rsidRPr="00477697">
        <w:rPr>
          <w:rFonts w:ascii="Arial" w:hAnsi="Arial" w:cs="Arial"/>
          <w:color w:val="000000" w:themeColor="text1"/>
        </w:rPr>
        <w:t>MALLARD</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Mike </w:t>
      </w:r>
      <w:r w:rsidR="00C31712" w:rsidRPr="00477697">
        <w:rPr>
          <w:rFonts w:ascii="Arial" w:hAnsi="Arial" w:cs="Arial"/>
          <w:color w:val="000000" w:themeColor="text1"/>
        </w:rPr>
        <w:t>RADFORD</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w:t>
      </w:r>
      <w:r w:rsidR="006A0311" w:rsidRPr="00477697">
        <w:rPr>
          <w:rFonts w:ascii="Arial" w:hAnsi="Arial" w:cs="Arial"/>
          <w:color w:val="000000" w:themeColor="text1"/>
        </w:rPr>
        <w:t xml:space="preserve">Keira </w:t>
      </w:r>
      <w:r w:rsidR="00C31712" w:rsidRPr="00477697">
        <w:rPr>
          <w:rFonts w:ascii="Arial" w:hAnsi="Arial" w:cs="Arial"/>
          <w:color w:val="000000" w:themeColor="text1"/>
        </w:rPr>
        <w:t>FINES</w:t>
      </w:r>
      <w:r w:rsidR="00C31712" w:rsidRPr="00477697">
        <w:rPr>
          <w:rFonts w:ascii="Arial" w:hAnsi="Arial" w:cs="Arial"/>
          <w:color w:val="000000" w:themeColor="text1"/>
          <w:vertAlign w:val="superscript"/>
        </w:rPr>
        <w:t>4</w:t>
      </w:r>
      <w:r w:rsidRPr="00477697">
        <w:rPr>
          <w:rFonts w:ascii="Arial" w:hAnsi="Arial" w:cs="Arial"/>
          <w:color w:val="000000" w:themeColor="text1"/>
        </w:rPr>
        <w:t xml:space="preserve">, Victoria </w:t>
      </w:r>
      <w:r w:rsidR="00C31712" w:rsidRPr="00477697">
        <w:rPr>
          <w:rFonts w:ascii="Arial" w:hAnsi="Arial" w:cs="Arial"/>
          <w:color w:val="000000" w:themeColor="text1"/>
        </w:rPr>
        <w:t>SHAW</w:t>
      </w:r>
      <w:r w:rsidR="00C31712" w:rsidRPr="00477697">
        <w:rPr>
          <w:rFonts w:ascii="Arial" w:hAnsi="Arial" w:cs="Arial"/>
          <w:color w:val="000000" w:themeColor="text1"/>
          <w:vertAlign w:val="superscript"/>
        </w:rPr>
        <w:t>1</w:t>
      </w:r>
      <w:r w:rsidRPr="00477697">
        <w:rPr>
          <w:rFonts w:ascii="Arial" w:hAnsi="Arial" w:cs="Arial"/>
          <w:color w:val="000000" w:themeColor="text1"/>
        </w:rPr>
        <w:t xml:space="preserve">, Andrew </w:t>
      </w:r>
      <w:r w:rsidR="00C31712" w:rsidRPr="00477697">
        <w:rPr>
          <w:rFonts w:ascii="Arial" w:hAnsi="Arial" w:cs="Arial"/>
          <w:color w:val="000000" w:themeColor="text1"/>
        </w:rPr>
        <w:t>OWEN</w:t>
      </w:r>
      <w:r w:rsidR="00C31712" w:rsidRPr="00477697">
        <w:rPr>
          <w:rFonts w:ascii="Arial" w:hAnsi="Arial" w:cs="Arial"/>
          <w:color w:val="000000" w:themeColor="text1"/>
          <w:vertAlign w:val="superscript"/>
        </w:rPr>
        <w:t>1</w:t>
      </w:r>
      <w:r w:rsidRPr="00477697">
        <w:rPr>
          <w:rFonts w:ascii="Arial" w:hAnsi="Arial" w:cs="Arial"/>
          <w:color w:val="000000" w:themeColor="text1"/>
        </w:rPr>
        <w:t xml:space="preserve">, David </w:t>
      </w:r>
      <w:r w:rsidR="00AF5723" w:rsidRPr="00477697">
        <w:rPr>
          <w:rFonts w:ascii="Arial" w:hAnsi="Arial" w:cs="Arial"/>
          <w:color w:val="000000" w:themeColor="text1"/>
        </w:rPr>
        <w:t xml:space="preserve">G </w:t>
      </w:r>
      <w:r w:rsidR="00C31712" w:rsidRPr="00477697">
        <w:rPr>
          <w:rFonts w:ascii="Arial" w:hAnsi="Arial" w:cs="Arial"/>
          <w:color w:val="000000" w:themeColor="text1"/>
        </w:rPr>
        <w:t>LALLOO</w:t>
      </w:r>
      <w:r w:rsidR="00C31712" w:rsidRPr="00477697">
        <w:rPr>
          <w:rFonts w:ascii="Arial" w:hAnsi="Arial" w:cs="Arial"/>
          <w:color w:val="000000" w:themeColor="text1"/>
          <w:vertAlign w:val="superscript"/>
        </w:rPr>
        <w:t>3</w:t>
      </w:r>
      <w:r w:rsidRPr="00477697">
        <w:rPr>
          <w:rFonts w:ascii="Arial" w:hAnsi="Arial" w:cs="Arial"/>
          <w:color w:val="000000" w:themeColor="text1"/>
        </w:rPr>
        <w:t xml:space="preserve">, </w:t>
      </w:r>
      <w:r w:rsidR="00C81196" w:rsidRPr="00477697">
        <w:rPr>
          <w:rFonts w:ascii="Arial" w:hAnsi="Arial" w:cs="Arial"/>
          <w:color w:val="000000" w:themeColor="text1"/>
        </w:rPr>
        <w:t xml:space="preserve">Michael </w:t>
      </w:r>
      <w:r w:rsidR="00C31712" w:rsidRPr="00477697">
        <w:rPr>
          <w:rFonts w:ascii="Arial" w:hAnsi="Arial" w:cs="Arial"/>
          <w:color w:val="000000" w:themeColor="text1"/>
        </w:rPr>
        <w:t>JACOBS</w:t>
      </w:r>
      <w:r w:rsidR="00C31712" w:rsidRPr="00477697">
        <w:rPr>
          <w:rFonts w:ascii="Arial" w:hAnsi="Arial" w:cs="Arial"/>
          <w:color w:val="000000" w:themeColor="text1"/>
          <w:vertAlign w:val="superscript"/>
        </w:rPr>
        <w:t>8</w:t>
      </w:r>
      <w:r w:rsidRPr="00477697">
        <w:rPr>
          <w:rFonts w:ascii="Arial" w:hAnsi="Arial" w:cs="Arial"/>
          <w:color w:val="000000" w:themeColor="text1"/>
        </w:rPr>
        <w:t xml:space="preserve">, Gareth </w:t>
      </w:r>
      <w:r w:rsidR="00C31712" w:rsidRPr="00477697">
        <w:rPr>
          <w:rFonts w:ascii="Arial" w:hAnsi="Arial" w:cs="Arial"/>
          <w:color w:val="000000" w:themeColor="text1"/>
        </w:rPr>
        <w:t>GRIFFITHS</w:t>
      </w:r>
      <w:r w:rsidR="00C31712" w:rsidRPr="00477697">
        <w:rPr>
          <w:rFonts w:ascii="Arial" w:hAnsi="Arial" w:cs="Arial"/>
          <w:color w:val="000000" w:themeColor="text1"/>
          <w:vertAlign w:val="superscript"/>
        </w:rPr>
        <w:t>4</w:t>
      </w:r>
      <w:bookmarkEnd w:id="0"/>
      <w:r w:rsidR="00C81196" w:rsidRPr="00477697">
        <w:rPr>
          <w:rFonts w:ascii="Arial" w:hAnsi="Arial" w:cs="Arial"/>
          <w:color w:val="000000" w:themeColor="text1"/>
        </w:rPr>
        <w:t>.</w:t>
      </w:r>
    </w:p>
    <w:bookmarkEnd w:id="1"/>
    <w:p w14:paraId="6ED32651" w14:textId="77777777" w:rsidR="00E2024C" w:rsidRPr="00477697" w:rsidRDefault="00E2024C" w:rsidP="00477697">
      <w:pPr>
        <w:spacing w:after="0" w:line="480" w:lineRule="auto"/>
        <w:rPr>
          <w:rFonts w:ascii="Arial" w:hAnsi="Arial" w:cs="Arial"/>
        </w:rPr>
      </w:pPr>
    </w:p>
    <w:p w14:paraId="6E21C3D1" w14:textId="53E02CEF" w:rsidR="00E2024C" w:rsidRPr="00477697" w:rsidRDefault="00E2024C" w:rsidP="00477697">
      <w:pPr>
        <w:spacing w:after="0" w:line="480" w:lineRule="auto"/>
        <w:rPr>
          <w:rFonts w:ascii="Arial" w:hAnsi="Arial" w:cs="Arial"/>
        </w:rPr>
      </w:pPr>
      <w:r w:rsidRPr="00477697">
        <w:rPr>
          <w:rFonts w:ascii="Arial" w:hAnsi="Arial" w:cs="Arial"/>
        </w:rPr>
        <w:t>1</w:t>
      </w:r>
      <w:r w:rsidRPr="00477697">
        <w:rPr>
          <w:rFonts w:ascii="Arial" w:hAnsi="Arial" w:cs="Arial"/>
        </w:rPr>
        <w:tab/>
        <w:t xml:space="preserve">University of Liverpool, </w:t>
      </w:r>
      <w:r w:rsidR="00C31712">
        <w:rPr>
          <w:rFonts w:ascii="Arial" w:hAnsi="Arial" w:cs="Arial"/>
        </w:rPr>
        <w:t xml:space="preserve">70 Pembroke Place, Liverpool, </w:t>
      </w:r>
      <w:r w:rsidRPr="00477697">
        <w:rPr>
          <w:rFonts w:ascii="Arial" w:hAnsi="Arial" w:cs="Arial"/>
        </w:rPr>
        <w:t>UK</w:t>
      </w:r>
    </w:p>
    <w:p w14:paraId="20620AEF" w14:textId="11A36BEA" w:rsidR="00E2024C" w:rsidRPr="00477697" w:rsidRDefault="00E2024C" w:rsidP="00477697">
      <w:pPr>
        <w:spacing w:after="0" w:line="480" w:lineRule="auto"/>
        <w:rPr>
          <w:rFonts w:ascii="Arial" w:hAnsi="Arial" w:cs="Arial"/>
        </w:rPr>
      </w:pPr>
      <w:r w:rsidRPr="00477697">
        <w:rPr>
          <w:rFonts w:ascii="Arial" w:hAnsi="Arial" w:cs="Arial"/>
        </w:rPr>
        <w:t>2</w:t>
      </w:r>
      <w:r w:rsidRPr="00477697">
        <w:rPr>
          <w:rFonts w:ascii="Arial" w:hAnsi="Arial" w:cs="Arial"/>
        </w:rPr>
        <w:tab/>
        <w:t>Liverpool University Hospital NHS Foundation Trust,</w:t>
      </w:r>
      <w:r w:rsidR="00C31712">
        <w:rPr>
          <w:rFonts w:ascii="Arial" w:hAnsi="Arial" w:cs="Arial"/>
        </w:rPr>
        <w:t xml:space="preserve"> Prescot Road, Liverpool,</w:t>
      </w:r>
      <w:r w:rsidRPr="00477697">
        <w:rPr>
          <w:rFonts w:ascii="Arial" w:hAnsi="Arial" w:cs="Arial"/>
        </w:rPr>
        <w:t xml:space="preserve"> UK</w:t>
      </w:r>
    </w:p>
    <w:p w14:paraId="6C4A3CC7" w14:textId="30B33181" w:rsidR="00E2024C" w:rsidRPr="00477697" w:rsidRDefault="00E2024C" w:rsidP="00477697">
      <w:pPr>
        <w:spacing w:after="0" w:line="480" w:lineRule="auto"/>
        <w:rPr>
          <w:rFonts w:ascii="Arial" w:hAnsi="Arial" w:cs="Arial"/>
        </w:rPr>
      </w:pPr>
      <w:r w:rsidRPr="00477697">
        <w:rPr>
          <w:rFonts w:ascii="Arial" w:hAnsi="Arial" w:cs="Arial"/>
        </w:rPr>
        <w:t>3</w:t>
      </w:r>
      <w:r w:rsidRPr="00477697">
        <w:rPr>
          <w:rFonts w:ascii="Arial" w:hAnsi="Arial" w:cs="Arial"/>
        </w:rPr>
        <w:tab/>
        <w:t xml:space="preserve">Liverpool School of Tropical Medicine, </w:t>
      </w:r>
      <w:r w:rsidR="00C31712">
        <w:rPr>
          <w:rFonts w:ascii="Arial" w:hAnsi="Arial" w:cs="Arial"/>
        </w:rPr>
        <w:t xml:space="preserve">Pembroke Place, Liverpool, </w:t>
      </w:r>
      <w:r w:rsidRPr="00477697">
        <w:rPr>
          <w:rFonts w:ascii="Arial" w:hAnsi="Arial" w:cs="Arial"/>
        </w:rPr>
        <w:t>UK</w:t>
      </w:r>
    </w:p>
    <w:p w14:paraId="770A82D8" w14:textId="179FFCC9" w:rsidR="00E2024C" w:rsidRPr="00477697" w:rsidRDefault="00E2024C" w:rsidP="00477697">
      <w:pPr>
        <w:spacing w:after="0" w:line="480" w:lineRule="auto"/>
        <w:rPr>
          <w:rFonts w:ascii="Arial" w:hAnsi="Arial" w:cs="Arial"/>
        </w:rPr>
      </w:pPr>
      <w:r w:rsidRPr="00477697">
        <w:rPr>
          <w:rFonts w:ascii="Arial" w:hAnsi="Arial" w:cs="Arial"/>
        </w:rPr>
        <w:t>4</w:t>
      </w:r>
      <w:r w:rsidRPr="00477697">
        <w:rPr>
          <w:rFonts w:ascii="Arial" w:hAnsi="Arial" w:cs="Arial"/>
        </w:rPr>
        <w:tab/>
        <w:t>Southampton Clinical Trials Unit,</w:t>
      </w:r>
      <w:r w:rsidR="00C31712">
        <w:rPr>
          <w:rFonts w:ascii="Arial" w:hAnsi="Arial" w:cs="Arial"/>
        </w:rPr>
        <w:t xml:space="preserve"> University Road, Southampton,</w:t>
      </w:r>
      <w:r w:rsidRPr="00477697">
        <w:rPr>
          <w:rFonts w:ascii="Arial" w:hAnsi="Arial" w:cs="Arial"/>
        </w:rPr>
        <w:t xml:space="preserve"> UK</w:t>
      </w:r>
    </w:p>
    <w:p w14:paraId="694A8FAD" w14:textId="668CD3BA" w:rsidR="00E2024C" w:rsidRPr="00477697" w:rsidRDefault="00E2024C" w:rsidP="00477697">
      <w:pPr>
        <w:spacing w:after="0" w:line="480" w:lineRule="auto"/>
        <w:rPr>
          <w:rFonts w:ascii="Arial" w:hAnsi="Arial" w:cs="Arial"/>
        </w:rPr>
      </w:pPr>
      <w:r w:rsidRPr="00477697">
        <w:rPr>
          <w:rFonts w:ascii="Arial" w:hAnsi="Arial" w:cs="Arial"/>
        </w:rPr>
        <w:t>5</w:t>
      </w:r>
      <w:r w:rsidRPr="00477697">
        <w:rPr>
          <w:rFonts w:ascii="Arial" w:hAnsi="Arial" w:cs="Arial"/>
        </w:rPr>
        <w:tab/>
        <w:t xml:space="preserve">University of Lancaster, </w:t>
      </w:r>
      <w:proofErr w:type="spellStart"/>
      <w:r w:rsidR="00C31712">
        <w:rPr>
          <w:rFonts w:ascii="Arial" w:hAnsi="Arial" w:cs="Arial"/>
        </w:rPr>
        <w:t>Bailrigg</w:t>
      </w:r>
      <w:proofErr w:type="spellEnd"/>
      <w:r w:rsidR="00C31712">
        <w:rPr>
          <w:rFonts w:ascii="Arial" w:hAnsi="Arial" w:cs="Arial"/>
        </w:rPr>
        <w:t xml:space="preserve">, Lancaster, </w:t>
      </w:r>
      <w:r w:rsidRPr="00477697">
        <w:rPr>
          <w:rFonts w:ascii="Arial" w:hAnsi="Arial" w:cs="Arial"/>
        </w:rPr>
        <w:t>UK</w:t>
      </w:r>
    </w:p>
    <w:p w14:paraId="666826E5" w14:textId="4E5CFA35" w:rsidR="002F6A9B" w:rsidRPr="00477697" w:rsidRDefault="002F6A9B" w:rsidP="00477697">
      <w:pPr>
        <w:spacing w:after="0" w:line="480" w:lineRule="auto"/>
        <w:rPr>
          <w:rFonts w:ascii="Arial" w:hAnsi="Arial" w:cs="Arial"/>
        </w:rPr>
      </w:pPr>
      <w:r w:rsidRPr="00477697">
        <w:rPr>
          <w:rFonts w:ascii="Arial" w:hAnsi="Arial" w:cs="Arial"/>
        </w:rPr>
        <w:t>6</w:t>
      </w:r>
      <w:r w:rsidRPr="00477697">
        <w:rPr>
          <w:rFonts w:ascii="Arial" w:hAnsi="Arial" w:cs="Arial"/>
        </w:rPr>
        <w:tab/>
        <w:t xml:space="preserve">MRC Biostatistics Unit, University of Cambridge, </w:t>
      </w:r>
      <w:r w:rsidR="00C31712">
        <w:rPr>
          <w:rFonts w:ascii="Arial" w:hAnsi="Arial" w:cs="Arial"/>
        </w:rPr>
        <w:t xml:space="preserve">Cambridge, </w:t>
      </w:r>
      <w:r w:rsidRPr="00477697">
        <w:rPr>
          <w:rFonts w:ascii="Arial" w:hAnsi="Arial" w:cs="Arial"/>
        </w:rPr>
        <w:t>UK</w:t>
      </w:r>
    </w:p>
    <w:p w14:paraId="26734BA4" w14:textId="62528EB5" w:rsidR="00C81196" w:rsidRPr="00477697" w:rsidRDefault="002F6A9B" w:rsidP="00477697">
      <w:pPr>
        <w:spacing w:after="0" w:line="480" w:lineRule="auto"/>
        <w:rPr>
          <w:rFonts w:ascii="Arial" w:hAnsi="Arial" w:cs="Arial"/>
        </w:rPr>
      </w:pPr>
      <w:r w:rsidRPr="00477697">
        <w:rPr>
          <w:rFonts w:ascii="Arial" w:hAnsi="Arial" w:cs="Arial"/>
        </w:rPr>
        <w:t>7</w:t>
      </w:r>
      <w:r w:rsidR="00E2024C" w:rsidRPr="00477697">
        <w:rPr>
          <w:rFonts w:ascii="Arial" w:hAnsi="Arial" w:cs="Arial"/>
        </w:rPr>
        <w:tab/>
      </w:r>
      <w:r w:rsidR="00C81196" w:rsidRPr="00477697">
        <w:rPr>
          <w:rFonts w:ascii="Arial" w:hAnsi="Arial" w:cs="Arial"/>
        </w:rPr>
        <w:t>Ridgeback Biotherapeutics</w:t>
      </w:r>
      <w:r w:rsidR="00946AF8" w:rsidRPr="00477697">
        <w:rPr>
          <w:rFonts w:ascii="Arial" w:hAnsi="Arial" w:cs="Arial"/>
        </w:rPr>
        <w:t xml:space="preserve">, </w:t>
      </w:r>
      <w:r w:rsidR="00C31712">
        <w:rPr>
          <w:rFonts w:ascii="Arial" w:hAnsi="Arial" w:cs="Arial"/>
        </w:rPr>
        <w:t xml:space="preserve">3480 Main Highway, </w:t>
      </w:r>
      <w:r w:rsidR="00946AF8" w:rsidRPr="00477697">
        <w:rPr>
          <w:rFonts w:ascii="Arial" w:hAnsi="Arial" w:cs="Arial"/>
        </w:rPr>
        <w:t xml:space="preserve">Miami, </w:t>
      </w:r>
      <w:r w:rsidR="00C31712">
        <w:rPr>
          <w:rFonts w:ascii="Arial" w:hAnsi="Arial" w:cs="Arial"/>
        </w:rPr>
        <w:t xml:space="preserve">Florida, </w:t>
      </w:r>
      <w:r w:rsidR="00946AF8" w:rsidRPr="00477697">
        <w:rPr>
          <w:rFonts w:ascii="Arial" w:hAnsi="Arial" w:cs="Arial"/>
        </w:rPr>
        <w:t>USA</w:t>
      </w:r>
    </w:p>
    <w:p w14:paraId="6C76DFBF" w14:textId="53F6B82A" w:rsidR="00E2024C" w:rsidRPr="00477697" w:rsidRDefault="002F6A9B" w:rsidP="00477697">
      <w:pPr>
        <w:spacing w:after="0" w:line="480" w:lineRule="auto"/>
        <w:rPr>
          <w:rFonts w:ascii="Arial" w:hAnsi="Arial" w:cs="Arial"/>
        </w:rPr>
      </w:pPr>
      <w:r w:rsidRPr="00477697">
        <w:rPr>
          <w:rFonts w:ascii="Arial" w:hAnsi="Arial" w:cs="Arial"/>
        </w:rPr>
        <w:t>8</w:t>
      </w:r>
      <w:r w:rsidR="00C81196" w:rsidRPr="00477697">
        <w:rPr>
          <w:rFonts w:ascii="Arial" w:hAnsi="Arial" w:cs="Arial"/>
        </w:rPr>
        <w:tab/>
      </w:r>
      <w:r w:rsidR="00E2024C" w:rsidRPr="00477697">
        <w:rPr>
          <w:rFonts w:ascii="Arial" w:hAnsi="Arial" w:cs="Arial"/>
        </w:rPr>
        <w:t xml:space="preserve">Royal Free </w:t>
      </w:r>
      <w:r w:rsidR="005E5677" w:rsidRPr="00477697">
        <w:rPr>
          <w:rFonts w:ascii="Arial" w:hAnsi="Arial" w:cs="Arial"/>
        </w:rPr>
        <w:t>London NHS Foundation Trust</w:t>
      </w:r>
      <w:r w:rsidR="00E2024C" w:rsidRPr="00477697">
        <w:rPr>
          <w:rFonts w:ascii="Arial" w:hAnsi="Arial" w:cs="Arial"/>
        </w:rPr>
        <w:t>,</w:t>
      </w:r>
      <w:r w:rsidR="00C31712">
        <w:rPr>
          <w:rFonts w:ascii="Arial" w:hAnsi="Arial" w:cs="Arial"/>
        </w:rPr>
        <w:t xml:space="preserve"> Pond Street, London,</w:t>
      </w:r>
      <w:r w:rsidR="00E2024C" w:rsidRPr="00477697">
        <w:rPr>
          <w:rFonts w:ascii="Arial" w:hAnsi="Arial" w:cs="Arial"/>
        </w:rPr>
        <w:t xml:space="preserve"> UK</w:t>
      </w:r>
    </w:p>
    <w:bookmarkEnd w:id="2"/>
    <w:p w14:paraId="2772A4EA" w14:textId="77777777" w:rsidR="00E2024C" w:rsidRPr="00477697" w:rsidRDefault="00E2024C" w:rsidP="00477697">
      <w:pPr>
        <w:spacing w:after="0" w:line="480" w:lineRule="auto"/>
        <w:rPr>
          <w:rFonts w:ascii="Arial" w:hAnsi="Arial" w:cs="Arial"/>
        </w:rPr>
      </w:pPr>
    </w:p>
    <w:p w14:paraId="742D68AA" w14:textId="015728C3" w:rsidR="00E2024C" w:rsidRPr="00477697" w:rsidRDefault="00E2024C" w:rsidP="00477697">
      <w:pPr>
        <w:spacing w:after="0" w:line="480" w:lineRule="auto"/>
        <w:rPr>
          <w:rFonts w:ascii="Arial" w:hAnsi="Arial" w:cs="Arial"/>
        </w:rPr>
      </w:pPr>
      <w:r w:rsidRPr="00477697">
        <w:rPr>
          <w:rFonts w:ascii="Arial" w:hAnsi="Arial" w:cs="Arial"/>
        </w:rPr>
        <w:t>†</w:t>
      </w:r>
      <w:r w:rsidRPr="00477697">
        <w:rPr>
          <w:rFonts w:ascii="Arial" w:hAnsi="Arial" w:cs="Arial"/>
        </w:rPr>
        <w:tab/>
        <w:t>Contributed equally</w:t>
      </w:r>
    </w:p>
    <w:p w14:paraId="334D9863" w14:textId="77777777" w:rsidR="00021919" w:rsidRPr="00477697" w:rsidRDefault="00021919" w:rsidP="00477697">
      <w:pPr>
        <w:spacing w:after="0" w:line="480" w:lineRule="auto"/>
        <w:rPr>
          <w:rFonts w:ascii="Arial" w:hAnsi="Arial" w:cs="Arial"/>
          <w:lang w:val="en-US"/>
        </w:rPr>
      </w:pPr>
      <w:r w:rsidRPr="008D457C">
        <w:rPr>
          <w:rFonts w:ascii="Arial" w:hAnsi="Arial" w:cs="Arial"/>
          <w:lang w:val="en-US"/>
        </w:rPr>
        <w:t>Corresponding Author:</w:t>
      </w:r>
    </w:p>
    <w:p w14:paraId="4E00372B" w14:textId="77777777" w:rsidR="00021919" w:rsidRPr="00477697" w:rsidRDefault="00021919" w:rsidP="00477697">
      <w:pPr>
        <w:spacing w:after="0" w:line="480" w:lineRule="auto"/>
        <w:rPr>
          <w:rFonts w:ascii="Arial" w:hAnsi="Arial" w:cs="Arial"/>
          <w:spacing w:val="-2"/>
        </w:rPr>
      </w:pPr>
      <w:r w:rsidRPr="00477697">
        <w:rPr>
          <w:rFonts w:ascii="Arial" w:hAnsi="Arial" w:cs="Arial"/>
          <w:spacing w:val="-2"/>
        </w:rPr>
        <w:t xml:space="preserve">Professor S.H. Khoo </w:t>
      </w:r>
    </w:p>
    <w:p w14:paraId="6684A610" w14:textId="77777777" w:rsidR="00021919" w:rsidRPr="00477697" w:rsidRDefault="00021919" w:rsidP="00477697">
      <w:pPr>
        <w:spacing w:after="0" w:line="480" w:lineRule="auto"/>
        <w:rPr>
          <w:rFonts w:ascii="Arial" w:hAnsi="Arial" w:cs="Arial"/>
          <w:spacing w:val="-2"/>
        </w:rPr>
      </w:pPr>
      <w:r w:rsidRPr="00477697">
        <w:rPr>
          <w:rFonts w:ascii="Arial" w:hAnsi="Arial" w:cs="Arial"/>
          <w:spacing w:val="-2"/>
        </w:rPr>
        <w:t>khoo@liverpool.ac.uk</w:t>
      </w:r>
    </w:p>
    <w:p w14:paraId="31C20BB0" w14:textId="77777777" w:rsidR="00021919" w:rsidRPr="00477697" w:rsidRDefault="00021919" w:rsidP="006D0A5D">
      <w:pPr>
        <w:spacing w:after="0" w:line="480" w:lineRule="auto"/>
        <w:jc w:val="both"/>
        <w:rPr>
          <w:rFonts w:ascii="Arial" w:hAnsi="Arial" w:cs="Arial"/>
          <w:color w:val="000000" w:themeColor="text1"/>
        </w:rPr>
      </w:pPr>
      <w:r w:rsidRPr="00477697">
        <w:rPr>
          <w:rFonts w:ascii="Arial" w:hAnsi="Arial" w:cs="Arial"/>
        </w:rPr>
        <w:t>University of Liverpool, 70 Pembroke Place, Liverpool L69 3GF, UK</w:t>
      </w:r>
      <w:r w:rsidRPr="00477697">
        <w:rPr>
          <w:rFonts w:ascii="Arial" w:hAnsi="Arial" w:cs="Arial"/>
          <w:color w:val="000000" w:themeColor="text1"/>
        </w:rPr>
        <w:t xml:space="preserve"> </w:t>
      </w:r>
    </w:p>
    <w:p w14:paraId="31CBE886" w14:textId="2ED0FB2E" w:rsidR="00964F8C" w:rsidRPr="00477697" w:rsidRDefault="00021919" w:rsidP="007920C6">
      <w:pPr>
        <w:spacing w:after="0" w:line="480" w:lineRule="auto"/>
        <w:rPr>
          <w:rFonts w:ascii="Arial" w:hAnsi="Arial" w:cs="Arial"/>
          <w:b/>
        </w:rPr>
      </w:pPr>
      <w:r w:rsidRPr="00477697">
        <w:rPr>
          <w:rFonts w:ascii="Arial" w:hAnsi="Arial" w:cs="Arial"/>
          <w:color w:val="000000" w:themeColor="text1"/>
        </w:rPr>
        <w:t>T  +44151 794 5560 F  +44151 794 5656</w:t>
      </w:r>
      <w:r w:rsidR="00964F8C" w:rsidRPr="00477697">
        <w:rPr>
          <w:rFonts w:ascii="Arial" w:hAnsi="Arial" w:cs="Arial"/>
          <w:b/>
        </w:rPr>
        <w:br w:type="page"/>
      </w:r>
    </w:p>
    <w:p w14:paraId="0622157D" w14:textId="2240E709" w:rsidR="00426D6B" w:rsidRPr="00477697" w:rsidRDefault="00B90440" w:rsidP="00477697">
      <w:pPr>
        <w:pStyle w:val="Default"/>
        <w:spacing w:line="480" w:lineRule="auto"/>
        <w:jc w:val="both"/>
        <w:rPr>
          <w:rFonts w:ascii="Arial" w:hAnsi="Arial" w:cs="Arial"/>
          <w:b/>
          <w:color w:val="auto"/>
          <w:sz w:val="22"/>
          <w:szCs w:val="22"/>
        </w:rPr>
      </w:pPr>
      <w:r>
        <w:rPr>
          <w:rFonts w:ascii="Arial" w:hAnsi="Arial" w:cs="Arial"/>
          <w:b/>
          <w:color w:val="auto"/>
          <w:sz w:val="22"/>
          <w:szCs w:val="22"/>
        </w:rPr>
        <w:lastRenderedPageBreak/>
        <w:t>Synopsis</w:t>
      </w:r>
    </w:p>
    <w:p w14:paraId="649F1F65" w14:textId="2EEBF726" w:rsidR="00C87C95" w:rsidRPr="00477697" w:rsidRDefault="00B90440"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Objectives</w:t>
      </w:r>
    </w:p>
    <w:p w14:paraId="47844E5E" w14:textId="23E9CF07" w:rsidR="00B00E86" w:rsidRPr="00477697" w:rsidRDefault="00B06A4B" w:rsidP="00477697">
      <w:pPr>
        <w:pStyle w:val="Default"/>
        <w:spacing w:line="480" w:lineRule="auto"/>
        <w:jc w:val="both"/>
        <w:rPr>
          <w:rFonts w:ascii="Arial" w:hAnsi="Arial" w:cs="Arial"/>
          <w:sz w:val="22"/>
          <w:szCs w:val="22"/>
        </w:rPr>
      </w:pPr>
      <w:r w:rsidRPr="00477697">
        <w:rPr>
          <w:rFonts w:ascii="Arial" w:hAnsi="Arial" w:cs="Arial"/>
          <w:sz w:val="22"/>
          <w:szCs w:val="22"/>
        </w:rPr>
        <w:t xml:space="preserve">AGILE </w:t>
      </w:r>
      <w:r w:rsidR="00EA105A" w:rsidRPr="00477697">
        <w:rPr>
          <w:rFonts w:ascii="Arial" w:hAnsi="Arial" w:cs="Arial"/>
          <w:sz w:val="22"/>
          <w:szCs w:val="22"/>
        </w:rPr>
        <w:t>is</w:t>
      </w:r>
      <w:r w:rsidRPr="00477697">
        <w:rPr>
          <w:rFonts w:ascii="Arial" w:hAnsi="Arial" w:cs="Arial"/>
          <w:sz w:val="22"/>
          <w:szCs w:val="22"/>
        </w:rPr>
        <w:t xml:space="preserve"> a phase </w:t>
      </w:r>
      <w:proofErr w:type="spellStart"/>
      <w:r w:rsidR="00EA105A" w:rsidRPr="00477697">
        <w:rPr>
          <w:rFonts w:ascii="Arial" w:hAnsi="Arial" w:cs="Arial"/>
          <w:sz w:val="22"/>
          <w:szCs w:val="22"/>
        </w:rPr>
        <w:t>Ib</w:t>
      </w:r>
      <w:proofErr w:type="spellEnd"/>
      <w:r w:rsidR="00EA105A" w:rsidRPr="00477697">
        <w:rPr>
          <w:rFonts w:ascii="Arial" w:hAnsi="Arial" w:cs="Arial"/>
          <w:sz w:val="22"/>
          <w:szCs w:val="22"/>
        </w:rPr>
        <w:t>/</w:t>
      </w:r>
      <w:proofErr w:type="spellStart"/>
      <w:r w:rsidR="00EA105A" w:rsidRPr="00477697">
        <w:rPr>
          <w:rFonts w:ascii="Arial" w:hAnsi="Arial" w:cs="Arial"/>
          <w:sz w:val="22"/>
          <w:szCs w:val="22"/>
        </w:rPr>
        <w:t>IIa</w:t>
      </w:r>
      <w:proofErr w:type="spellEnd"/>
      <w:r w:rsidRPr="00477697">
        <w:rPr>
          <w:rFonts w:ascii="Arial" w:hAnsi="Arial" w:cs="Arial"/>
          <w:sz w:val="22"/>
          <w:szCs w:val="22"/>
        </w:rPr>
        <w:t xml:space="preserve"> platform for rapid</w:t>
      </w:r>
      <w:r w:rsidR="005144F4" w:rsidRPr="00477697">
        <w:rPr>
          <w:rFonts w:ascii="Arial" w:hAnsi="Arial" w:cs="Arial"/>
          <w:sz w:val="22"/>
          <w:szCs w:val="22"/>
        </w:rPr>
        <w:t>ly</w:t>
      </w:r>
      <w:r w:rsidRPr="00477697">
        <w:rPr>
          <w:rFonts w:ascii="Arial" w:hAnsi="Arial" w:cs="Arial"/>
          <w:sz w:val="22"/>
          <w:szCs w:val="22"/>
        </w:rPr>
        <w:t xml:space="preserve"> evaluati</w:t>
      </w:r>
      <w:r w:rsidR="005144F4" w:rsidRPr="00477697">
        <w:rPr>
          <w:rFonts w:ascii="Arial" w:hAnsi="Arial" w:cs="Arial"/>
          <w:sz w:val="22"/>
          <w:szCs w:val="22"/>
        </w:rPr>
        <w:t>ng</w:t>
      </w:r>
      <w:r w:rsidRPr="00477697">
        <w:rPr>
          <w:rFonts w:ascii="Arial" w:hAnsi="Arial" w:cs="Arial"/>
          <w:sz w:val="22"/>
          <w:szCs w:val="22"/>
        </w:rPr>
        <w:t xml:space="preserve"> COVID-19</w:t>
      </w:r>
      <w:r w:rsidR="005144F4" w:rsidRPr="00477697">
        <w:rPr>
          <w:rFonts w:ascii="Arial" w:hAnsi="Arial" w:cs="Arial"/>
          <w:sz w:val="22"/>
          <w:szCs w:val="22"/>
        </w:rPr>
        <w:t xml:space="preserve"> treatments</w:t>
      </w:r>
      <w:r w:rsidRPr="00477697">
        <w:rPr>
          <w:rFonts w:ascii="Arial" w:hAnsi="Arial" w:cs="Arial"/>
          <w:sz w:val="22"/>
          <w:szCs w:val="22"/>
        </w:rPr>
        <w:t xml:space="preserve">. </w:t>
      </w:r>
      <w:r w:rsidR="00EA105A" w:rsidRPr="00477697">
        <w:rPr>
          <w:rFonts w:ascii="Arial" w:hAnsi="Arial" w:cs="Arial"/>
          <w:sz w:val="22"/>
          <w:szCs w:val="22"/>
        </w:rPr>
        <w:t>In this trial (</w:t>
      </w:r>
      <w:r w:rsidR="00302962" w:rsidRPr="00477697">
        <w:rPr>
          <w:rFonts w:ascii="Arial" w:hAnsi="Arial" w:cs="Arial"/>
          <w:sz w:val="22"/>
          <w:szCs w:val="22"/>
        </w:rPr>
        <w:t>NCT04746183</w:t>
      </w:r>
      <w:r w:rsidR="00EA105A" w:rsidRPr="00477697">
        <w:rPr>
          <w:rFonts w:ascii="Arial" w:hAnsi="Arial" w:cs="Arial"/>
          <w:sz w:val="22"/>
          <w:szCs w:val="22"/>
        </w:rPr>
        <w:t xml:space="preserve">) we </w:t>
      </w:r>
      <w:r w:rsidR="005144F4" w:rsidRPr="00477697">
        <w:rPr>
          <w:rFonts w:ascii="Arial" w:hAnsi="Arial" w:cs="Arial"/>
          <w:sz w:val="22"/>
          <w:szCs w:val="22"/>
        </w:rPr>
        <w:t>evaluated</w:t>
      </w:r>
      <w:r w:rsidR="004F5DE9" w:rsidRPr="00477697">
        <w:rPr>
          <w:rFonts w:ascii="Arial" w:hAnsi="Arial" w:cs="Arial"/>
          <w:sz w:val="22"/>
          <w:szCs w:val="22"/>
        </w:rPr>
        <w:t xml:space="preserve"> </w:t>
      </w:r>
      <w:r w:rsidR="0078759A" w:rsidRPr="00477697">
        <w:rPr>
          <w:rFonts w:ascii="Arial" w:hAnsi="Arial" w:cs="Arial"/>
          <w:sz w:val="22"/>
          <w:szCs w:val="22"/>
        </w:rPr>
        <w:t xml:space="preserve">the safety and optimal dose </w:t>
      </w:r>
      <w:r w:rsidR="008B2718" w:rsidRPr="00477697">
        <w:rPr>
          <w:rFonts w:ascii="Arial" w:hAnsi="Arial" w:cs="Arial"/>
          <w:sz w:val="22"/>
          <w:szCs w:val="22"/>
        </w:rPr>
        <w:t xml:space="preserve">of </w:t>
      </w:r>
      <w:r w:rsidR="00EA105A" w:rsidRPr="00477697">
        <w:rPr>
          <w:rFonts w:ascii="Arial" w:hAnsi="Arial" w:cs="Arial"/>
          <w:sz w:val="22"/>
          <w:szCs w:val="22"/>
        </w:rPr>
        <w:t>m</w:t>
      </w:r>
      <w:r w:rsidR="004F5DE9" w:rsidRPr="00477697">
        <w:rPr>
          <w:rFonts w:ascii="Arial" w:hAnsi="Arial" w:cs="Arial"/>
          <w:sz w:val="22"/>
          <w:szCs w:val="22"/>
        </w:rPr>
        <w:t>olnupir</w:t>
      </w:r>
      <w:r w:rsidR="00894EE7" w:rsidRPr="00477697">
        <w:rPr>
          <w:rFonts w:ascii="Arial" w:hAnsi="Arial" w:cs="Arial"/>
          <w:sz w:val="22"/>
          <w:szCs w:val="22"/>
        </w:rPr>
        <w:t>a</w:t>
      </w:r>
      <w:r w:rsidR="004F5DE9" w:rsidRPr="00477697">
        <w:rPr>
          <w:rFonts w:ascii="Arial" w:hAnsi="Arial" w:cs="Arial"/>
          <w:sz w:val="22"/>
          <w:szCs w:val="22"/>
        </w:rPr>
        <w:t xml:space="preserve">vir in </w:t>
      </w:r>
      <w:r w:rsidR="00EA105A" w:rsidRPr="00477697">
        <w:rPr>
          <w:rFonts w:ascii="Arial" w:hAnsi="Arial" w:cs="Arial"/>
          <w:sz w:val="22"/>
          <w:szCs w:val="22"/>
        </w:rPr>
        <w:t xml:space="preserve">participants with </w:t>
      </w:r>
      <w:r w:rsidR="00C81196" w:rsidRPr="00477697">
        <w:rPr>
          <w:rFonts w:ascii="Arial" w:hAnsi="Arial" w:cs="Arial"/>
          <w:sz w:val="22"/>
          <w:szCs w:val="22"/>
        </w:rPr>
        <w:t xml:space="preserve">early </w:t>
      </w:r>
      <w:r w:rsidR="00804711" w:rsidRPr="00477697">
        <w:rPr>
          <w:rFonts w:ascii="Arial" w:hAnsi="Arial" w:cs="Arial"/>
          <w:sz w:val="22"/>
          <w:szCs w:val="22"/>
        </w:rPr>
        <w:t>symptomatic</w:t>
      </w:r>
      <w:r w:rsidR="00EA105A" w:rsidRPr="00477697">
        <w:rPr>
          <w:rFonts w:ascii="Arial" w:hAnsi="Arial" w:cs="Arial"/>
          <w:sz w:val="22"/>
          <w:szCs w:val="22"/>
        </w:rPr>
        <w:t xml:space="preserve"> infection</w:t>
      </w:r>
      <w:r w:rsidR="004F5DE9" w:rsidRPr="00477697">
        <w:rPr>
          <w:rFonts w:ascii="Arial" w:hAnsi="Arial" w:cs="Arial"/>
          <w:sz w:val="22"/>
          <w:szCs w:val="22"/>
        </w:rPr>
        <w:t>.</w:t>
      </w:r>
    </w:p>
    <w:p w14:paraId="39BF3C79" w14:textId="77777777" w:rsidR="008B2718" w:rsidRPr="00477697" w:rsidRDefault="008B2718" w:rsidP="00477697">
      <w:pPr>
        <w:pStyle w:val="Default"/>
        <w:spacing w:line="480" w:lineRule="auto"/>
        <w:jc w:val="both"/>
        <w:rPr>
          <w:rFonts w:ascii="Arial" w:hAnsi="Arial" w:cs="Arial"/>
          <w:sz w:val="22"/>
          <w:szCs w:val="22"/>
        </w:rPr>
      </w:pPr>
    </w:p>
    <w:p w14:paraId="787FBD01" w14:textId="77777777"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Methods</w:t>
      </w:r>
    </w:p>
    <w:p w14:paraId="5782C167" w14:textId="22861160" w:rsidR="008B2718" w:rsidRPr="00477697" w:rsidRDefault="008B2718" w:rsidP="00477697">
      <w:pPr>
        <w:pStyle w:val="Default"/>
        <w:spacing w:line="480" w:lineRule="auto"/>
        <w:jc w:val="both"/>
        <w:rPr>
          <w:rFonts w:ascii="Arial" w:hAnsi="Arial" w:cs="Arial"/>
          <w:sz w:val="22"/>
          <w:szCs w:val="22"/>
        </w:rPr>
      </w:pPr>
      <w:r w:rsidRPr="00477697">
        <w:rPr>
          <w:rFonts w:ascii="Arial" w:hAnsi="Arial" w:cs="Arial"/>
          <w:sz w:val="22"/>
          <w:szCs w:val="22"/>
        </w:rPr>
        <w:t xml:space="preserve">We </w:t>
      </w:r>
      <w:r w:rsidR="00332F4D" w:rsidRPr="00477697">
        <w:rPr>
          <w:rFonts w:ascii="Arial" w:hAnsi="Arial" w:cs="Arial"/>
          <w:sz w:val="22"/>
          <w:szCs w:val="22"/>
        </w:rPr>
        <w:t>undertook</w:t>
      </w:r>
      <w:r w:rsidRPr="00477697">
        <w:rPr>
          <w:rFonts w:ascii="Arial" w:hAnsi="Arial" w:cs="Arial"/>
          <w:sz w:val="22"/>
          <w:szCs w:val="22"/>
        </w:rPr>
        <w:t xml:space="preserve"> a dose-escalating, open-label, randomised</w:t>
      </w:r>
      <w:r w:rsidR="00D348EE" w:rsidRPr="00477697">
        <w:rPr>
          <w:rFonts w:ascii="Arial" w:hAnsi="Arial" w:cs="Arial"/>
          <w:sz w:val="22"/>
          <w:szCs w:val="22"/>
        </w:rPr>
        <w:t>-</w:t>
      </w:r>
      <w:r w:rsidRPr="00477697">
        <w:rPr>
          <w:rFonts w:ascii="Arial" w:hAnsi="Arial" w:cs="Arial"/>
          <w:sz w:val="22"/>
          <w:szCs w:val="22"/>
        </w:rPr>
        <w:t>controlled</w:t>
      </w:r>
      <w:r w:rsidR="00D348EE" w:rsidRPr="00477697">
        <w:rPr>
          <w:rFonts w:ascii="Arial" w:hAnsi="Arial" w:cs="Arial"/>
          <w:sz w:val="22"/>
          <w:szCs w:val="22"/>
        </w:rPr>
        <w:t xml:space="preserve"> (standard-of-care)</w:t>
      </w:r>
      <w:r w:rsidRPr="00477697">
        <w:rPr>
          <w:rFonts w:ascii="Arial" w:hAnsi="Arial" w:cs="Arial"/>
          <w:sz w:val="22"/>
          <w:szCs w:val="22"/>
        </w:rPr>
        <w:t xml:space="preserve"> </w:t>
      </w:r>
      <w:r w:rsidR="00E264BB" w:rsidRPr="00477697">
        <w:rPr>
          <w:rFonts w:ascii="Arial" w:hAnsi="Arial" w:cs="Arial"/>
          <w:sz w:val="22"/>
          <w:szCs w:val="22"/>
        </w:rPr>
        <w:t xml:space="preserve">Bayesian adaptive </w:t>
      </w:r>
      <w:r w:rsidRPr="00477697">
        <w:rPr>
          <w:rFonts w:ascii="Arial" w:hAnsi="Arial" w:cs="Arial"/>
          <w:sz w:val="22"/>
          <w:szCs w:val="22"/>
        </w:rPr>
        <w:t xml:space="preserve">phase I trial at the Royal Liverpool and Broadgreen Clinical Research Facility. Participants </w:t>
      </w:r>
      <w:r w:rsidR="00C37676" w:rsidRPr="00477697">
        <w:rPr>
          <w:rFonts w:ascii="Arial" w:hAnsi="Arial" w:cs="Arial"/>
          <w:sz w:val="22"/>
          <w:szCs w:val="22"/>
        </w:rPr>
        <w:t>(</w:t>
      </w:r>
      <w:r w:rsidRPr="00477697">
        <w:rPr>
          <w:rFonts w:ascii="Arial" w:hAnsi="Arial" w:cs="Arial"/>
          <w:sz w:val="22"/>
          <w:szCs w:val="22"/>
        </w:rPr>
        <w:t xml:space="preserve">adult outpatients with </w:t>
      </w:r>
      <w:r w:rsidR="00E57B9F" w:rsidRPr="00477697">
        <w:rPr>
          <w:rFonts w:ascii="Arial" w:hAnsi="Arial" w:cs="Arial"/>
          <w:sz w:val="22"/>
          <w:szCs w:val="22"/>
        </w:rPr>
        <w:t>PCR</w:t>
      </w:r>
      <w:r w:rsidR="00804711" w:rsidRPr="00477697">
        <w:rPr>
          <w:rFonts w:ascii="Arial" w:hAnsi="Arial" w:cs="Arial"/>
          <w:sz w:val="22"/>
          <w:szCs w:val="22"/>
        </w:rPr>
        <w:t>-</w:t>
      </w:r>
      <w:r w:rsidRPr="00477697">
        <w:rPr>
          <w:rFonts w:ascii="Arial" w:hAnsi="Arial" w:cs="Arial"/>
          <w:sz w:val="22"/>
          <w:szCs w:val="22"/>
        </w:rPr>
        <w:t xml:space="preserve">confirmed </w:t>
      </w:r>
      <w:r w:rsidR="00894EE7" w:rsidRPr="00477697">
        <w:rPr>
          <w:rFonts w:ascii="Arial" w:hAnsi="Arial" w:cs="Arial"/>
          <w:sz w:val="22"/>
          <w:szCs w:val="22"/>
        </w:rPr>
        <w:t>SARS-CoV-2 infection</w:t>
      </w:r>
      <w:r w:rsidRPr="00477697">
        <w:rPr>
          <w:rFonts w:ascii="Arial" w:hAnsi="Arial" w:cs="Arial"/>
          <w:sz w:val="22"/>
          <w:szCs w:val="22"/>
        </w:rPr>
        <w:t xml:space="preserve"> within 5 days of </w:t>
      </w:r>
      <w:r w:rsidR="00C81196" w:rsidRPr="00477697">
        <w:rPr>
          <w:rFonts w:ascii="Arial" w:hAnsi="Arial" w:cs="Arial"/>
          <w:sz w:val="22"/>
          <w:szCs w:val="22"/>
        </w:rPr>
        <w:t>symptom onset</w:t>
      </w:r>
      <w:r w:rsidR="00C37676" w:rsidRPr="00477697">
        <w:rPr>
          <w:rFonts w:ascii="Arial" w:hAnsi="Arial" w:cs="Arial"/>
          <w:sz w:val="22"/>
          <w:szCs w:val="22"/>
        </w:rPr>
        <w:t xml:space="preserve">) were randomised </w:t>
      </w:r>
      <w:r w:rsidR="00BD5FDC" w:rsidRPr="00477697">
        <w:rPr>
          <w:rFonts w:ascii="Arial" w:hAnsi="Arial" w:cs="Arial"/>
          <w:sz w:val="22"/>
          <w:szCs w:val="22"/>
        </w:rPr>
        <w:t xml:space="preserve">2:1 in groups of 6 participants to 300mg, 600mg and 800mg doses of </w:t>
      </w:r>
      <w:r w:rsidR="00BD5FDC" w:rsidRPr="00477697">
        <w:rPr>
          <w:rFonts w:ascii="Arial" w:hAnsi="Arial" w:cs="Arial"/>
          <w:bCs/>
          <w:color w:val="auto"/>
          <w:sz w:val="22"/>
          <w:szCs w:val="22"/>
        </w:rPr>
        <w:t xml:space="preserve">molnupiravir </w:t>
      </w:r>
      <w:r w:rsidR="00BD5FDC" w:rsidRPr="00477697">
        <w:rPr>
          <w:rFonts w:ascii="Arial" w:hAnsi="Arial" w:cs="Arial"/>
          <w:sz w:val="22"/>
          <w:szCs w:val="22"/>
        </w:rPr>
        <w:t>orally, twice daily for 5 days</w:t>
      </w:r>
      <w:r w:rsidR="00C37676" w:rsidRPr="00477697">
        <w:rPr>
          <w:rFonts w:ascii="Arial" w:hAnsi="Arial" w:cs="Arial"/>
          <w:sz w:val="22"/>
          <w:szCs w:val="22"/>
        </w:rPr>
        <w:t xml:space="preserve"> or control</w:t>
      </w:r>
      <w:r w:rsidRPr="00477697">
        <w:rPr>
          <w:rFonts w:ascii="Arial" w:hAnsi="Arial" w:cs="Arial"/>
          <w:sz w:val="22"/>
          <w:szCs w:val="22"/>
        </w:rPr>
        <w:t xml:space="preserve">. </w:t>
      </w:r>
      <w:r w:rsidR="00BD5FDC" w:rsidRPr="00477697">
        <w:rPr>
          <w:rFonts w:ascii="Arial" w:hAnsi="Arial" w:cs="Arial"/>
          <w:sz w:val="22"/>
          <w:szCs w:val="22"/>
        </w:rPr>
        <w:t xml:space="preserve">A </w:t>
      </w:r>
      <w:r w:rsidR="00C37676" w:rsidRPr="00477697">
        <w:rPr>
          <w:rFonts w:ascii="Arial" w:hAnsi="Arial" w:cs="Arial"/>
          <w:sz w:val="22"/>
          <w:szCs w:val="22"/>
        </w:rPr>
        <w:t>dose</w:t>
      </w:r>
      <w:r w:rsidR="00BD5FDC" w:rsidRPr="00477697">
        <w:rPr>
          <w:rFonts w:ascii="Arial" w:hAnsi="Arial" w:cs="Arial"/>
          <w:sz w:val="22"/>
          <w:szCs w:val="22"/>
        </w:rPr>
        <w:t xml:space="preserve"> was judged unsafe if the probability of 30%</w:t>
      </w:r>
      <w:r w:rsidR="00D348EE" w:rsidRPr="00477697">
        <w:rPr>
          <w:rFonts w:ascii="Arial" w:hAnsi="Arial" w:cs="Arial"/>
          <w:sz w:val="22"/>
          <w:szCs w:val="22"/>
        </w:rPr>
        <w:t xml:space="preserve"> or greater</w:t>
      </w:r>
      <w:r w:rsidR="00BD5FDC" w:rsidRPr="00477697">
        <w:rPr>
          <w:rFonts w:ascii="Arial" w:hAnsi="Arial" w:cs="Arial"/>
          <w:sz w:val="22"/>
          <w:szCs w:val="22"/>
        </w:rPr>
        <w:t xml:space="preserve"> dose-limiting toxicity (the primary outcome) over </w:t>
      </w:r>
      <w:r w:rsidR="00D348EE" w:rsidRPr="00477697">
        <w:rPr>
          <w:rFonts w:ascii="Arial" w:hAnsi="Arial" w:cs="Arial"/>
          <w:sz w:val="22"/>
          <w:szCs w:val="22"/>
        </w:rPr>
        <w:t>controls</w:t>
      </w:r>
      <w:r w:rsidR="00BD5FDC" w:rsidRPr="00477697">
        <w:rPr>
          <w:rFonts w:ascii="Arial" w:hAnsi="Arial" w:cs="Arial"/>
          <w:sz w:val="22"/>
          <w:szCs w:val="22"/>
        </w:rPr>
        <w:t xml:space="preserve"> was </w:t>
      </w:r>
      <w:r w:rsidR="00D348EE" w:rsidRPr="00477697">
        <w:rPr>
          <w:rFonts w:ascii="Arial" w:hAnsi="Arial" w:cs="Arial"/>
          <w:sz w:val="22"/>
          <w:szCs w:val="22"/>
        </w:rPr>
        <w:t>higher than</w:t>
      </w:r>
      <w:r w:rsidR="00BD5FDC" w:rsidRPr="00477697">
        <w:rPr>
          <w:rFonts w:ascii="Arial" w:hAnsi="Arial" w:cs="Arial"/>
          <w:sz w:val="22"/>
          <w:szCs w:val="22"/>
        </w:rPr>
        <w:t xml:space="preserve"> 25%</w:t>
      </w:r>
      <w:r w:rsidR="00D348EE" w:rsidRPr="00477697">
        <w:rPr>
          <w:rFonts w:ascii="Arial" w:hAnsi="Arial" w:cs="Arial"/>
          <w:sz w:val="22"/>
          <w:szCs w:val="22"/>
        </w:rPr>
        <w:t xml:space="preserve">. </w:t>
      </w:r>
      <w:r w:rsidR="009C743D" w:rsidRPr="00477697">
        <w:rPr>
          <w:rFonts w:ascii="Arial" w:hAnsi="Arial" w:cs="Arial"/>
          <w:sz w:val="22"/>
          <w:szCs w:val="22"/>
        </w:rPr>
        <w:t xml:space="preserve"> S</w:t>
      </w:r>
      <w:r w:rsidRPr="00477697">
        <w:rPr>
          <w:rFonts w:ascii="Arial" w:hAnsi="Arial" w:cs="Arial"/>
          <w:sz w:val="22"/>
          <w:szCs w:val="22"/>
        </w:rPr>
        <w:t xml:space="preserve">econdary outcomes </w:t>
      </w:r>
      <w:r w:rsidR="00A91AE5" w:rsidRPr="00477697">
        <w:rPr>
          <w:rFonts w:ascii="Arial" w:hAnsi="Arial" w:cs="Arial"/>
          <w:sz w:val="22"/>
          <w:szCs w:val="22"/>
        </w:rPr>
        <w:t xml:space="preserve">included </w:t>
      </w:r>
      <w:r w:rsidR="00EA1ABB" w:rsidRPr="00477697">
        <w:rPr>
          <w:rFonts w:ascii="Arial" w:hAnsi="Arial" w:cs="Arial"/>
          <w:sz w:val="22"/>
          <w:szCs w:val="22"/>
        </w:rPr>
        <w:t>safety, clinical progression, pharm</w:t>
      </w:r>
      <w:r w:rsidR="005144F4" w:rsidRPr="00477697">
        <w:rPr>
          <w:rFonts w:ascii="Arial" w:hAnsi="Arial" w:cs="Arial"/>
          <w:sz w:val="22"/>
          <w:szCs w:val="22"/>
        </w:rPr>
        <w:t>acokinetics and virologic responses</w:t>
      </w:r>
      <w:r w:rsidR="00E264BB" w:rsidRPr="00477697">
        <w:rPr>
          <w:rFonts w:ascii="Arial" w:hAnsi="Arial" w:cs="Arial"/>
          <w:sz w:val="22"/>
          <w:szCs w:val="22"/>
        </w:rPr>
        <w:t xml:space="preserve">. </w:t>
      </w:r>
    </w:p>
    <w:p w14:paraId="4E4277F1" w14:textId="77777777" w:rsidR="00186875" w:rsidRPr="00477697" w:rsidRDefault="00186875" w:rsidP="00477697">
      <w:pPr>
        <w:pStyle w:val="Default"/>
        <w:spacing w:line="480" w:lineRule="auto"/>
        <w:jc w:val="both"/>
        <w:rPr>
          <w:rFonts w:ascii="Arial" w:hAnsi="Arial" w:cs="Arial"/>
          <w:sz w:val="22"/>
          <w:szCs w:val="22"/>
        </w:rPr>
      </w:pPr>
    </w:p>
    <w:p w14:paraId="67002520" w14:textId="581DD865" w:rsidR="00426D6B" w:rsidRPr="00477697" w:rsidRDefault="009D669C"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Results</w:t>
      </w:r>
    </w:p>
    <w:p w14:paraId="0B9D2EE5" w14:textId="034FC5B8" w:rsidR="00200719" w:rsidRPr="00477697" w:rsidRDefault="00186875" w:rsidP="00477697">
      <w:pPr>
        <w:pStyle w:val="Default"/>
        <w:spacing w:line="480" w:lineRule="auto"/>
        <w:jc w:val="both"/>
        <w:rPr>
          <w:rFonts w:ascii="Arial" w:hAnsi="Arial" w:cs="Arial"/>
          <w:sz w:val="22"/>
          <w:szCs w:val="22"/>
        </w:rPr>
      </w:pPr>
      <w:r w:rsidRPr="00477697">
        <w:rPr>
          <w:rFonts w:ascii="Arial" w:hAnsi="Arial" w:cs="Arial"/>
          <w:sz w:val="22"/>
          <w:szCs w:val="22"/>
        </w:rPr>
        <w:t xml:space="preserve">Of </w:t>
      </w:r>
      <w:r w:rsidR="00324CA9" w:rsidRPr="00477697">
        <w:rPr>
          <w:rFonts w:ascii="Arial" w:hAnsi="Arial" w:cs="Arial"/>
          <w:sz w:val="22"/>
          <w:szCs w:val="22"/>
        </w:rPr>
        <w:t xml:space="preserve">103 </w:t>
      </w:r>
      <w:r w:rsidR="000575CD">
        <w:rPr>
          <w:rFonts w:ascii="Arial" w:hAnsi="Arial" w:cs="Arial"/>
          <w:sz w:val="22"/>
          <w:szCs w:val="22"/>
        </w:rPr>
        <w:t>participants</w:t>
      </w:r>
      <w:r w:rsidR="000575CD" w:rsidRPr="00477697">
        <w:rPr>
          <w:rFonts w:ascii="Arial" w:hAnsi="Arial" w:cs="Arial"/>
          <w:sz w:val="22"/>
          <w:szCs w:val="22"/>
        </w:rPr>
        <w:t xml:space="preserve"> </w:t>
      </w:r>
      <w:r w:rsidR="00CC2168" w:rsidRPr="00477697">
        <w:rPr>
          <w:rFonts w:ascii="Arial" w:hAnsi="Arial" w:cs="Arial"/>
          <w:sz w:val="22"/>
          <w:szCs w:val="22"/>
        </w:rPr>
        <w:t>screened, 18</w:t>
      </w:r>
      <w:r w:rsidRPr="00477697">
        <w:rPr>
          <w:rFonts w:ascii="Arial" w:hAnsi="Arial" w:cs="Arial"/>
          <w:sz w:val="22"/>
          <w:szCs w:val="22"/>
        </w:rPr>
        <w:t xml:space="preserve"> participants were enrolled between </w:t>
      </w:r>
      <w:r w:rsidR="00CC2168" w:rsidRPr="00477697">
        <w:rPr>
          <w:rFonts w:ascii="Arial" w:hAnsi="Arial" w:cs="Arial"/>
          <w:sz w:val="22"/>
          <w:szCs w:val="22"/>
        </w:rPr>
        <w:t>17 July</w:t>
      </w:r>
      <w:r w:rsidRPr="00477697">
        <w:rPr>
          <w:rFonts w:ascii="Arial" w:hAnsi="Arial" w:cs="Arial"/>
          <w:sz w:val="22"/>
          <w:szCs w:val="22"/>
        </w:rPr>
        <w:t xml:space="preserve"> and </w:t>
      </w:r>
      <w:r w:rsidR="00CC2168" w:rsidRPr="00477697">
        <w:rPr>
          <w:rFonts w:ascii="Arial" w:hAnsi="Arial" w:cs="Arial"/>
          <w:sz w:val="22"/>
          <w:szCs w:val="22"/>
        </w:rPr>
        <w:t>30 October</w:t>
      </w:r>
      <w:r w:rsidRPr="00477697">
        <w:rPr>
          <w:rFonts w:ascii="Arial" w:hAnsi="Arial" w:cs="Arial"/>
          <w:sz w:val="22"/>
          <w:szCs w:val="22"/>
        </w:rPr>
        <w:t xml:space="preserve"> 2020</w:t>
      </w:r>
      <w:r w:rsidR="00200719" w:rsidRPr="00477697">
        <w:rPr>
          <w:rFonts w:ascii="Arial" w:hAnsi="Arial" w:cs="Arial"/>
          <w:sz w:val="22"/>
          <w:szCs w:val="22"/>
        </w:rPr>
        <w:t xml:space="preserve">. </w:t>
      </w:r>
      <w:r w:rsidR="00AF74BD" w:rsidRPr="00477697">
        <w:rPr>
          <w:rFonts w:ascii="Arial" w:hAnsi="Arial" w:cs="Arial"/>
          <w:bCs/>
          <w:color w:val="auto"/>
          <w:sz w:val="22"/>
          <w:szCs w:val="22"/>
        </w:rPr>
        <w:t>Molnupiravir</w:t>
      </w:r>
      <w:r w:rsidRPr="00477697">
        <w:rPr>
          <w:rFonts w:ascii="Arial" w:hAnsi="Arial" w:cs="Arial"/>
          <w:sz w:val="22"/>
          <w:szCs w:val="22"/>
        </w:rPr>
        <w:t xml:space="preserve"> </w:t>
      </w:r>
      <w:r w:rsidR="00200719" w:rsidRPr="00477697">
        <w:rPr>
          <w:rFonts w:ascii="Arial" w:hAnsi="Arial" w:cs="Arial"/>
          <w:sz w:val="22"/>
          <w:szCs w:val="22"/>
        </w:rPr>
        <w:t>was well tolerated at 400, 600 or 800mg</w:t>
      </w:r>
      <w:r w:rsidR="00F4769B" w:rsidRPr="00477697">
        <w:rPr>
          <w:rFonts w:ascii="Arial" w:hAnsi="Arial" w:cs="Arial"/>
          <w:sz w:val="22"/>
          <w:szCs w:val="22"/>
        </w:rPr>
        <w:t xml:space="preserve"> doses</w:t>
      </w:r>
      <w:r w:rsidR="005144F4" w:rsidRPr="00477697">
        <w:rPr>
          <w:rFonts w:ascii="Arial" w:hAnsi="Arial" w:cs="Arial"/>
          <w:sz w:val="22"/>
          <w:szCs w:val="22"/>
        </w:rPr>
        <w:t xml:space="preserve"> with n</w:t>
      </w:r>
      <w:r w:rsidR="00CC2168" w:rsidRPr="00477697">
        <w:rPr>
          <w:rFonts w:ascii="Arial" w:hAnsi="Arial" w:cs="Arial"/>
          <w:sz w:val="22"/>
          <w:szCs w:val="22"/>
        </w:rPr>
        <w:t>o</w:t>
      </w:r>
      <w:r w:rsidRPr="00477697">
        <w:rPr>
          <w:rFonts w:ascii="Arial" w:hAnsi="Arial" w:cs="Arial"/>
          <w:sz w:val="22"/>
          <w:szCs w:val="22"/>
        </w:rPr>
        <w:t xml:space="preserve"> serious or severe adverse events. Overall, </w:t>
      </w:r>
      <w:r w:rsidR="00CC2168" w:rsidRPr="00477697">
        <w:rPr>
          <w:rFonts w:ascii="Arial" w:hAnsi="Arial" w:cs="Arial"/>
          <w:sz w:val="22"/>
          <w:szCs w:val="22"/>
        </w:rPr>
        <w:t>4</w:t>
      </w:r>
      <w:r w:rsidR="00200719" w:rsidRPr="00477697">
        <w:rPr>
          <w:rFonts w:ascii="Arial" w:hAnsi="Arial" w:cs="Arial"/>
          <w:sz w:val="22"/>
          <w:szCs w:val="22"/>
        </w:rPr>
        <w:t xml:space="preserve"> </w:t>
      </w:r>
      <w:r w:rsidR="00CC2168" w:rsidRPr="00477697">
        <w:rPr>
          <w:rFonts w:ascii="Arial" w:hAnsi="Arial" w:cs="Arial"/>
          <w:sz w:val="22"/>
          <w:szCs w:val="22"/>
        </w:rPr>
        <w:t>of 4</w:t>
      </w:r>
      <w:r w:rsidR="00200719" w:rsidRPr="00477697">
        <w:rPr>
          <w:rFonts w:ascii="Arial" w:hAnsi="Arial" w:cs="Arial"/>
          <w:sz w:val="22"/>
          <w:szCs w:val="22"/>
        </w:rPr>
        <w:t xml:space="preserve"> </w:t>
      </w:r>
      <w:r w:rsidR="00CC2168" w:rsidRPr="00477697">
        <w:rPr>
          <w:rFonts w:ascii="Arial" w:hAnsi="Arial" w:cs="Arial"/>
          <w:sz w:val="22"/>
          <w:szCs w:val="22"/>
        </w:rPr>
        <w:t>(100%), 4 of 4</w:t>
      </w:r>
      <w:r w:rsidR="00200719" w:rsidRPr="00477697">
        <w:rPr>
          <w:rFonts w:ascii="Arial" w:hAnsi="Arial" w:cs="Arial"/>
          <w:sz w:val="22"/>
          <w:szCs w:val="22"/>
        </w:rPr>
        <w:t xml:space="preserve"> </w:t>
      </w:r>
      <w:r w:rsidR="00CC2168" w:rsidRPr="00477697">
        <w:rPr>
          <w:rFonts w:ascii="Arial" w:hAnsi="Arial" w:cs="Arial"/>
          <w:sz w:val="22"/>
          <w:szCs w:val="22"/>
        </w:rPr>
        <w:t>(100</w:t>
      </w:r>
      <w:r w:rsidR="00200719" w:rsidRPr="00477697">
        <w:rPr>
          <w:rFonts w:ascii="Arial" w:hAnsi="Arial" w:cs="Arial"/>
          <w:sz w:val="22"/>
          <w:szCs w:val="22"/>
        </w:rPr>
        <w:t xml:space="preserve">%) and </w:t>
      </w:r>
      <w:r w:rsidR="00CC2168" w:rsidRPr="00477697">
        <w:rPr>
          <w:rFonts w:ascii="Arial" w:hAnsi="Arial" w:cs="Arial"/>
          <w:sz w:val="22"/>
          <w:szCs w:val="22"/>
        </w:rPr>
        <w:t>1 of 4</w:t>
      </w:r>
      <w:r w:rsidR="00200719" w:rsidRPr="00477697">
        <w:rPr>
          <w:rFonts w:ascii="Arial" w:hAnsi="Arial" w:cs="Arial"/>
          <w:sz w:val="22"/>
          <w:szCs w:val="22"/>
        </w:rPr>
        <w:t xml:space="preserve"> </w:t>
      </w:r>
      <w:r w:rsidR="00CC2168" w:rsidRPr="00477697">
        <w:rPr>
          <w:rFonts w:ascii="Arial" w:hAnsi="Arial" w:cs="Arial"/>
          <w:sz w:val="22"/>
          <w:szCs w:val="22"/>
        </w:rPr>
        <w:t>(25</w:t>
      </w:r>
      <w:r w:rsidR="00200719" w:rsidRPr="00477697">
        <w:rPr>
          <w:rFonts w:ascii="Arial" w:hAnsi="Arial" w:cs="Arial"/>
          <w:sz w:val="22"/>
          <w:szCs w:val="22"/>
        </w:rPr>
        <w:t>%)</w:t>
      </w:r>
      <w:r w:rsidR="00CC2168" w:rsidRPr="00477697">
        <w:rPr>
          <w:rFonts w:ascii="Arial" w:hAnsi="Arial" w:cs="Arial"/>
          <w:sz w:val="22"/>
          <w:szCs w:val="22"/>
        </w:rPr>
        <w:t xml:space="preserve"> of the participants receiving 3</w:t>
      </w:r>
      <w:r w:rsidR="00200719" w:rsidRPr="00477697">
        <w:rPr>
          <w:rFonts w:ascii="Arial" w:hAnsi="Arial" w:cs="Arial"/>
          <w:sz w:val="22"/>
          <w:szCs w:val="22"/>
        </w:rPr>
        <w:t>00, 600 and 800mg</w:t>
      </w:r>
      <w:r w:rsidR="00CC2168" w:rsidRPr="00477697">
        <w:rPr>
          <w:rFonts w:ascii="Arial" w:hAnsi="Arial" w:cs="Arial"/>
          <w:sz w:val="22"/>
          <w:szCs w:val="22"/>
        </w:rPr>
        <w:t xml:space="preserve"> </w:t>
      </w:r>
      <w:r w:rsidR="00AF74BD" w:rsidRPr="00477697">
        <w:rPr>
          <w:rFonts w:ascii="Arial" w:hAnsi="Arial" w:cs="Arial"/>
          <w:bCs/>
          <w:color w:val="auto"/>
          <w:sz w:val="22"/>
          <w:szCs w:val="22"/>
        </w:rPr>
        <w:t>molnupiravir</w:t>
      </w:r>
      <w:r w:rsidR="00032430" w:rsidRPr="00477697">
        <w:rPr>
          <w:rFonts w:ascii="Arial" w:hAnsi="Arial" w:cs="Arial"/>
          <w:bCs/>
          <w:color w:val="auto"/>
          <w:sz w:val="22"/>
          <w:szCs w:val="22"/>
        </w:rPr>
        <w:t xml:space="preserve"> respectively</w:t>
      </w:r>
      <w:r w:rsidR="00200719" w:rsidRPr="00477697">
        <w:rPr>
          <w:rFonts w:ascii="Arial" w:hAnsi="Arial" w:cs="Arial"/>
          <w:sz w:val="22"/>
          <w:szCs w:val="22"/>
        </w:rPr>
        <w:t xml:space="preserve">, and </w:t>
      </w:r>
      <w:r w:rsidR="00CC2168" w:rsidRPr="00477697">
        <w:rPr>
          <w:rFonts w:ascii="Arial" w:hAnsi="Arial" w:cs="Arial"/>
          <w:sz w:val="22"/>
          <w:szCs w:val="22"/>
        </w:rPr>
        <w:t xml:space="preserve">5 </w:t>
      </w:r>
      <w:r w:rsidR="00200719" w:rsidRPr="00477697">
        <w:rPr>
          <w:rFonts w:ascii="Arial" w:hAnsi="Arial" w:cs="Arial"/>
          <w:sz w:val="22"/>
          <w:szCs w:val="22"/>
        </w:rPr>
        <w:t xml:space="preserve">of 6 </w:t>
      </w:r>
      <w:r w:rsidR="00CC2168" w:rsidRPr="00477697">
        <w:rPr>
          <w:rFonts w:ascii="Arial" w:hAnsi="Arial" w:cs="Arial"/>
          <w:sz w:val="22"/>
          <w:szCs w:val="22"/>
        </w:rPr>
        <w:t>(83%</w:t>
      </w:r>
      <w:r w:rsidR="00200719" w:rsidRPr="00477697">
        <w:rPr>
          <w:rFonts w:ascii="Arial" w:hAnsi="Arial" w:cs="Arial"/>
          <w:sz w:val="22"/>
          <w:szCs w:val="22"/>
        </w:rPr>
        <w:t xml:space="preserve">) </w:t>
      </w:r>
      <w:r w:rsidR="00D348EE" w:rsidRPr="00477697">
        <w:rPr>
          <w:rFonts w:ascii="Arial" w:hAnsi="Arial" w:cs="Arial"/>
          <w:sz w:val="22"/>
          <w:szCs w:val="22"/>
        </w:rPr>
        <w:t>controls</w:t>
      </w:r>
      <w:r w:rsidR="00E02684" w:rsidRPr="00477697">
        <w:rPr>
          <w:rFonts w:ascii="Arial" w:hAnsi="Arial" w:cs="Arial"/>
          <w:sz w:val="22"/>
          <w:szCs w:val="22"/>
        </w:rPr>
        <w:t>,</w:t>
      </w:r>
      <w:r w:rsidR="00200719" w:rsidRPr="00477697">
        <w:rPr>
          <w:rFonts w:ascii="Arial" w:hAnsi="Arial" w:cs="Arial"/>
          <w:sz w:val="22"/>
          <w:szCs w:val="22"/>
        </w:rPr>
        <w:t xml:space="preserve"> </w:t>
      </w:r>
      <w:r w:rsidRPr="00477697">
        <w:rPr>
          <w:rFonts w:ascii="Arial" w:hAnsi="Arial" w:cs="Arial"/>
          <w:sz w:val="22"/>
          <w:szCs w:val="22"/>
        </w:rPr>
        <w:t xml:space="preserve">had </w:t>
      </w:r>
      <w:r w:rsidR="00CC2168" w:rsidRPr="00477697">
        <w:rPr>
          <w:rFonts w:ascii="Arial" w:hAnsi="Arial" w:cs="Arial"/>
          <w:sz w:val="22"/>
          <w:szCs w:val="22"/>
        </w:rPr>
        <w:t xml:space="preserve">at least </w:t>
      </w:r>
      <w:r w:rsidRPr="00477697">
        <w:rPr>
          <w:rFonts w:ascii="Arial" w:hAnsi="Arial" w:cs="Arial"/>
          <w:sz w:val="22"/>
          <w:szCs w:val="22"/>
        </w:rPr>
        <w:t>one adverse event</w:t>
      </w:r>
      <w:r w:rsidR="00E02684" w:rsidRPr="00477697">
        <w:rPr>
          <w:rFonts w:ascii="Arial" w:hAnsi="Arial" w:cs="Arial"/>
          <w:sz w:val="22"/>
          <w:szCs w:val="22"/>
        </w:rPr>
        <w:t>,</w:t>
      </w:r>
      <w:r w:rsidRPr="00477697">
        <w:rPr>
          <w:rFonts w:ascii="Arial" w:hAnsi="Arial" w:cs="Arial"/>
          <w:sz w:val="22"/>
          <w:szCs w:val="22"/>
        </w:rPr>
        <w:t xml:space="preserve"> </w:t>
      </w:r>
      <w:r w:rsidR="00E02684" w:rsidRPr="00477697">
        <w:rPr>
          <w:rFonts w:ascii="Arial" w:hAnsi="Arial" w:cs="Arial"/>
          <w:sz w:val="22"/>
          <w:szCs w:val="22"/>
        </w:rPr>
        <w:t>all of which were mild (</w:t>
      </w:r>
      <w:r w:rsidR="00A91AE5" w:rsidRPr="00477697">
        <w:rPr>
          <w:rFonts w:ascii="Arial" w:hAnsi="Arial" w:cs="Arial"/>
          <w:sz w:val="22"/>
          <w:szCs w:val="22"/>
        </w:rPr>
        <w:t>≤</w:t>
      </w:r>
      <w:r w:rsidR="00E02684" w:rsidRPr="00477697">
        <w:rPr>
          <w:rFonts w:ascii="Arial" w:hAnsi="Arial" w:cs="Arial"/>
          <w:sz w:val="22"/>
          <w:szCs w:val="22"/>
        </w:rPr>
        <w:t xml:space="preserve">grade 2). </w:t>
      </w:r>
      <w:r w:rsidR="0078759A" w:rsidRPr="00477697">
        <w:rPr>
          <w:rFonts w:ascii="Arial" w:hAnsi="Arial" w:cs="Arial"/>
          <w:color w:val="auto"/>
          <w:sz w:val="22"/>
          <w:szCs w:val="22"/>
        </w:rPr>
        <w:t xml:space="preserve">The probability of </w:t>
      </w:r>
      <w:r w:rsidR="00E0676B" w:rsidRPr="00477697">
        <w:rPr>
          <w:rFonts w:ascii="Arial" w:hAnsi="Arial" w:cs="Arial"/>
          <w:color w:val="auto"/>
          <w:sz w:val="22"/>
          <w:szCs w:val="22"/>
        </w:rPr>
        <w:t>≥30%</w:t>
      </w:r>
      <w:r w:rsidR="00BC4ACE" w:rsidRPr="00477697">
        <w:rPr>
          <w:rFonts w:ascii="Arial" w:hAnsi="Arial" w:cs="Arial"/>
          <w:color w:val="auto"/>
          <w:sz w:val="22"/>
          <w:szCs w:val="22"/>
        </w:rPr>
        <w:t xml:space="preserve"> excess toxicity</w:t>
      </w:r>
      <w:r w:rsidR="00E0676B" w:rsidRPr="00477697">
        <w:rPr>
          <w:rFonts w:ascii="Arial" w:hAnsi="Arial" w:cs="Arial"/>
          <w:color w:val="auto"/>
          <w:sz w:val="22"/>
          <w:szCs w:val="22"/>
        </w:rPr>
        <w:t xml:space="preserve"> </w:t>
      </w:r>
      <w:r w:rsidR="0078759A" w:rsidRPr="00477697">
        <w:rPr>
          <w:rFonts w:ascii="Arial" w:hAnsi="Arial" w:cs="Arial"/>
          <w:color w:val="auto"/>
          <w:sz w:val="22"/>
          <w:szCs w:val="22"/>
        </w:rPr>
        <w:t xml:space="preserve">over </w:t>
      </w:r>
      <w:r w:rsidR="00D348EE" w:rsidRPr="00477697">
        <w:rPr>
          <w:rFonts w:ascii="Arial" w:hAnsi="Arial" w:cs="Arial"/>
          <w:color w:val="auto"/>
          <w:sz w:val="22"/>
          <w:szCs w:val="22"/>
        </w:rPr>
        <w:t>controls</w:t>
      </w:r>
      <w:r w:rsidR="0078759A" w:rsidRPr="00477697">
        <w:rPr>
          <w:rFonts w:ascii="Arial" w:hAnsi="Arial" w:cs="Arial"/>
          <w:color w:val="auto"/>
          <w:sz w:val="22"/>
          <w:szCs w:val="22"/>
        </w:rPr>
        <w:t xml:space="preserve"> at 800mg was</w:t>
      </w:r>
      <w:r w:rsidR="001C230E" w:rsidRPr="00477697">
        <w:rPr>
          <w:rFonts w:ascii="Arial" w:hAnsi="Arial" w:cs="Arial"/>
          <w:color w:val="auto"/>
          <w:sz w:val="22"/>
          <w:szCs w:val="22"/>
        </w:rPr>
        <w:t xml:space="preserve"> estimated at </w:t>
      </w:r>
      <w:r w:rsidR="0078759A" w:rsidRPr="00477697">
        <w:rPr>
          <w:rFonts w:ascii="Arial" w:hAnsi="Arial" w:cs="Arial"/>
          <w:color w:val="auto"/>
          <w:sz w:val="22"/>
          <w:szCs w:val="22"/>
        </w:rPr>
        <w:t xml:space="preserve">0.9%. </w:t>
      </w:r>
    </w:p>
    <w:p w14:paraId="16774387" w14:textId="77777777" w:rsidR="005144F4" w:rsidRPr="00477697" w:rsidRDefault="005144F4" w:rsidP="00477697">
      <w:pPr>
        <w:pStyle w:val="Default"/>
        <w:spacing w:line="480" w:lineRule="auto"/>
        <w:jc w:val="both"/>
        <w:rPr>
          <w:rFonts w:ascii="Arial" w:hAnsi="Arial" w:cs="Arial"/>
          <w:sz w:val="22"/>
          <w:szCs w:val="22"/>
        </w:rPr>
      </w:pPr>
    </w:p>
    <w:p w14:paraId="281CBABE" w14:textId="0C0373DC" w:rsidR="00426D6B" w:rsidRPr="00477697" w:rsidRDefault="009D669C"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Conclusion</w:t>
      </w:r>
    </w:p>
    <w:p w14:paraId="7134E3A9" w14:textId="17A1D96E" w:rsidR="00EC4D42" w:rsidRPr="00477697" w:rsidRDefault="00AF74BD" w:rsidP="00477697">
      <w:pPr>
        <w:pStyle w:val="Default"/>
        <w:spacing w:line="480" w:lineRule="auto"/>
        <w:jc w:val="both"/>
        <w:rPr>
          <w:rFonts w:ascii="Arial" w:hAnsi="Arial" w:cs="Arial"/>
          <w:sz w:val="22"/>
          <w:szCs w:val="22"/>
        </w:rPr>
      </w:pPr>
      <w:r w:rsidRPr="00477697">
        <w:rPr>
          <w:rFonts w:ascii="Arial" w:hAnsi="Arial" w:cs="Arial"/>
          <w:bCs/>
          <w:color w:val="auto"/>
          <w:sz w:val="22"/>
          <w:szCs w:val="22"/>
        </w:rPr>
        <w:t>Molnupiravir</w:t>
      </w:r>
      <w:r w:rsidR="00EC4D42" w:rsidRPr="00477697">
        <w:rPr>
          <w:rFonts w:ascii="Arial" w:hAnsi="Arial" w:cs="Arial"/>
          <w:sz w:val="22"/>
          <w:szCs w:val="22"/>
        </w:rPr>
        <w:t xml:space="preserve"> was safe and well tolerated</w:t>
      </w:r>
      <w:r w:rsidR="00D348EE" w:rsidRPr="00477697">
        <w:rPr>
          <w:rFonts w:ascii="Arial" w:hAnsi="Arial" w:cs="Arial"/>
          <w:sz w:val="22"/>
          <w:szCs w:val="22"/>
        </w:rPr>
        <w:t xml:space="preserve">; </w:t>
      </w:r>
      <w:r w:rsidR="007F28F9" w:rsidRPr="00477697">
        <w:rPr>
          <w:rFonts w:ascii="Arial" w:hAnsi="Arial" w:cs="Arial"/>
          <w:sz w:val="22"/>
          <w:szCs w:val="22"/>
        </w:rPr>
        <w:t>a dose of</w:t>
      </w:r>
      <w:r w:rsidR="00894EE7" w:rsidRPr="00477697">
        <w:rPr>
          <w:rFonts w:ascii="Arial" w:hAnsi="Arial" w:cs="Arial"/>
          <w:sz w:val="22"/>
          <w:szCs w:val="22"/>
        </w:rPr>
        <w:t xml:space="preserve"> </w:t>
      </w:r>
      <w:r w:rsidR="00E95F1D" w:rsidRPr="00477697">
        <w:rPr>
          <w:rFonts w:ascii="Arial" w:hAnsi="Arial" w:cs="Arial"/>
          <w:sz w:val="22"/>
          <w:szCs w:val="22"/>
        </w:rPr>
        <w:t xml:space="preserve">800mg </w:t>
      </w:r>
      <w:r w:rsidR="00D348EE" w:rsidRPr="00477697">
        <w:rPr>
          <w:rFonts w:ascii="Arial" w:hAnsi="Arial" w:cs="Arial"/>
          <w:sz w:val="22"/>
          <w:szCs w:val="22"/>
        </w:rPr>
        <w:t>twice-daily for 5 days</w:t>
      </w:r>
      <w:r w:rsidR="00EC4D42" w:rsidRPr="00477697">
        <w:rPr>
          <w:rFonts w:ascii="Arial" w:hAnsi="Arial" w:cs="Arial"/>
          <w:sz w:val="22"/>
          <w:szCs w:val="22"/>
        </w:rPr>
        <w:t xml:space="preserve"> was </w:t>
      </w:r>
      <w:r w:rsidR="00D348EE" w:rsidRPr="00477697">
        <w:rPr>
          <w:rFonts w:ascii="Arial" w:hAnsi="Arial" w:cs="Arial"/>
          <w:sz w:val="22"/>
          <w:szCs w:val="22"/>
        </w:rPr>
        <w:t>recommended for Phase II</w:t>
      </w:r>
      <w:r w:rsidR="00EC4D42" w:rsidRPr="00477697">
        <w:rPr>
          <w:rFonts w:ascii="Arial" w:hAnsi="Arial" w:cs="Arial"/>
          <w:sz w:val="22"/>
          <w:szCs w:val="22"/>
        </w:rPr>
        <w:t xml:space="preserve"> </w:t>
      </w:r>
      <w:r w:rsidR="007F28F9" w:rsidRPr="00477697">
        <w:rPr>
          <w:rFonts w:ascii="Arial" w:hAnsi="Arial" w:cs="Arial"/>
          <w:sz w:val="22"/>
          <w:szCs w:val="22"/>
        </w:rPr>
        <w:t>evaluation</w:t>
      </w:r>
      <w:r w:rsidR="00EC4D42" w:rsidRPr="00477697">
        <w:rPr>
          <w:rFonts w:ascii="Arial" w:hAnsi="Arial" w:cs="Arial"/>
          <w:sz w:val="22"/>
          <w:szCs w:val="22"/>
        </w:rPr>
        <w:t xml:space="preserve">. </w:t>
      </w:r>
    </w:p>
    <w:p w14:paraId="059FDB57" w14:textId="77777777" w:rsidR="005144F4" w:rsidRPr="00477697" w:rsidRDefault="005144F4" w:rsidP="00477697">
      <w:pPr>
        <w:pStyle w:val="Default"/>
        <w:spacing w:line="480" w:lineRule="auto"/>
        <w:jc w:val="both"/>
        <w:rPr>
          <w:rFonts w:ascii="Arial" w:hAnsi="Arial" w:cs="Arial"/>
          <w:sz w:val="22"/>
          <w:szCs w:val="22"/>
        </w:rPr>
      </w:pPr>
    </w:p>
    <w:p w14:paraId="769DB8A2" w14:textId="2660C8B6" w:rsidR="00F22F63" w:rsidRPr="007A1107" w:rsidRDefault="00F22F63" w:rsidP="007A1107">
      <w:pPr>
        <w:pStyle w:val="Default"/>
        <w:spacing w:line="480" w:lineRule="auto"/>
        <w:jc w:val="both"/>
        <w:rPr>
          <w:rFonts w:ascii="Arial" w:hAnsi="Arial" w:cs="Arial"/>
          <w:sz w:val="22"/>
          <w:szCs w:val="22"/>
        </w:rPr>
      </w:pPr>
      <w:r w:rsidRPr="007A1107">
        <w:rPr>
          <w:rFonts w:ascii="Arial" w:hAnsi="Arial" w:cs="Arial"/>
          <w:sz w:val="22"/>
          <w:szCs w:val="22"/>
        </w:rPr>
        <w:t xml:space="preserve">Abstract </w:t>
      </w:r>
      <w:r w:rsidR="001C3FA8" w:rsidRPr="007A1107">
        <w:rPr>
          <w:rFonts w:ascii="Arial" w:hAnsi="Arial" w:cs="Arial"/>
          <w:sz w:val="22"/>
          <w:szCs w:val="22"/>
        </w:rPr>
        <w:t>23</w:t>
      </w:r>
      <w:r w:rsidR="001C3FA8">
        <w:rPr>
          <w:rFonts w:ascii="Arial" w:hAnsi="Arial" w:cs="Arial"/>
          <w:sz w:val="22"/>
          <w:szCs w:val="22"/>
        </w:rPr>
        <w:t>5</w:t>
      </w:r>
      <w:r w:rsidR="001C3FA8" w:rsidRPr="007A1107">
        <w:rPr>
          <w:rFonts w:ascii="Arial" w:hAnsi="Arial" w:cs="Arial"/>
          <w:sz w:val="22"/>
          <w:szCs w:val="22"/>
        </w:rPr>
        <w:t xml:space="preserve"> </w:t>
      </w:r>
      <w:r w:rsidR="00746AEE" w:rsidRPr="007A1107">
        <w:rPr>
          <w:rFonts w:ascii="Arial" w:hAnsi="Arial" w:cs="Arial"/>
          <w:sz w:val="22"/>
          <w:szCs w:val="22"/>
        </w:rPr>
        <w:t>words</w:t>
      </w:r>
    </w:p>
    <w:p w14:paraId="09377028" w14:textId="6A00AFAE" w:rsidR="00426D6B" w:rsidRPr="00477697" w:rsidRDefault="00F22F63" w:rsidP="00477697">
      <w:pPr>
        <w:spacing w:after="0" w:line="480" w:lineRule="auto"/>
        <w:jc w:val="both"/>
        <w:rPr>
          <w:rFonts w:ascii="Arial" w:hAnsi="Arial" w:cs="Arial"/>
        </w:rPr>
      </w:pPr>
      <w:r w:rsidRPr="00477697">
        <w:rPr>
          <w:rFonts w:ascii="Arial" w:hAnsi="Arial" w:cs="Arial"/>
        </w:rPr>
        <w:lastRenderedPageBreak/>
        <w:t xml:space="preserve">Main text </w:t>
      </w:r>
      <w:r w:rsidR="005B56D6">
        <w:rPr>
          <w:rFonts w:ascii="Arial" w:hAnsi="Arial" w:cs="Arial"/>
        </w:rPr>
        <w:t>3134</w:t>
      </w:r>
      <w:r w:rsidR="005B56D6" w:rsidRPr="00477697">
        <w:rPr>
          <w:rFonts w:ascii="Arial" w:hAnsi="Arial" w:cs="Arial"/>
        </w:rPr>
        <w:t xml:space="preserve"> </w:t>
      </w:r>
      <w:r w:rsidRPr="00477697">
        <w:rPr>
          <w:rFonts w:ascii="Arial" w:hAnsi="Arial" w:cs="Arial"/>
        </w:rPr>
        <w:t>words</w:t>
      </w:r>
      <w:r w:rsidR="00426D6B" w:rsidRPr="00477697">
        <w:rPr>
          <w:rFonts w:ascii="Arial" w:hAnsi="Arial" w:cs="Arial"/>
        </w:rPr>
        <w:br w:type="page"/>
      </w:r>
    </w:p>
    <w:p w14:paraId="2ED6533F" w14:textId="77777777" w:rsidR="00C572EC"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lastRenderedPageBreak/>
        <w:t>INTRODUCTION</w:t>
      </w:r>
    </w:p>
    <w:p w14:paraId="2FD17DFC" w14:textId="0CEC474D" w:rsidR="00CE0591" w:rsidRPr="00477697" w:rsidRDefault="00003F7F" w:rsidP="00477697">
      <w:pPr>
        <w:autoSpaceDE w:val="0"/>
        <w:autoSpaceDN w:val="0"/>
        <w:adjustRightInd w:val="0"/>
        <w:spacing w:after="0" w:line="480" w:lineRule="auto"/>
        <w:jc w:val="both"/>
        <w:rPr>
          <w:rFonts w:ascii="Arial" w:hAnsi="Arial" w:cs="Arial"/>
        </w:rPr>
      </w:pPr>
      <w:r w:rsidRPr="00477697">
        <w:rPr>
          <w:rFonts w:ascii="Arial" w:hAnsi="Arial" w:cs="Arial"/>
        </w:rPr>
        <w:t>In addition to life-saving therapies for COVID-19, there is an urgent need for effective antivirals</w:t>
      </w:r>
      <w:r w:rsidR="00351C7D">
        <w:rPr>
          <w:rFonts w:ascii="Arial" w:hAnsi="Arial" w:cs="Arial"/>
        </w:rPr>
        <w:t xml:space="preserve"> </w:t>
      </w:r>
      <w:r w:rsidRPr="00477697">
        <w:rPr>
          <w:rFonts w:ascii="Arial" w:hAnsi="Arial" w:cs="Arial"/>
        </w:rPr>
        <w:t xml:space="preserve">in order to </w:t>
      </w:r>
      <w:r w:rsidR="006F3E89" w:rsidRPr="00477697">
        <w:rPr>
          <w:rFonts w:ascii="Arial" w:hAnsi="Arial" w:cs="Arial"/>
        </w:rPr>
        <w:t xml:space="preserve">reduce disease burden, </w:t>
      </w:r>
      <w:r w:rsidRPr="00477697">
        <w:rPr>
          <w:rFonts w:ascii="Arial" w:hAnsi="Arial" w:cs="Arial"/>
        </w:rPr>
        <w:t>prevent hospitalisation</w:t>
      </w:r>
      <w:r w:rsidR="008F5743" w:rsidRPr="00477697">
        <w:rPr>
          <w:rFonts w:ascii="Arial" w:hAnsi="Arial" w:cs="Arial"/>
        </w:rPr>
        <w:t xml:space="preserve"> and death</w:t>
      </w:r>
      <w:r w:rsidRPr="00477697">
        <w:rPr>
          <w:rFonts w:ascii="Arial" w:hAnsi="Arial" w:cs="Arial"/>
        </w:rPr>
        <w:t xml:space="preserve"> and potentially decrease transmission of SARS-CoV-2. </w:t>
      </w:r>
      <w:r w:rsidR="00351C7D">
        <w:rPr>
          <w:rFonts w:ascii="Arial" w:hAnsi="Arial" w:cs="Arial"/>
        </w:rPr>
        <w:t>Since the natural history of infection is characterised by an early peak in viral load (within the first 5 days of infection),</w:t>
      </w:r>
      <w:r w:rsidR="00733AF4" w:rsidRPr="00733AF4">
        <w:rPr>
          <w:rFonts w:ascii="Arial" w:hAnsi="Arial" w:cs="Arial"/>
          <w:vertAlign w:val="superscript"/>
        </w:rPr>
        <w:t>1</w:t>
      </w:r>
      <w:r w:rsidR="00351C7D">
        <w:rPr>
          <w:rFonts w:ascii="Arial" w:hAnsi="Arial" w:cs="Arial"/>
        </w:rPr>
        <w:t xml:space="preserve"> any antiviral would be expected to exert most effect when given early in the course of infection. </w:t>
      </w:r>
      <w:r w:rsidRPr="00477697">
        <w:rPr>
          <w:rFonts w:ascii="Arial" w:hAnsi="Arial" w:cs="Arial"/>
        </w:rPr>
        <w:t xml:space="preserve">AGILE </w:t>
      </w:r>
      <w:r w:rsidR="00CE0591" w:rsidRPr="00477697">
        <w:rPr>
          <w:rFonts w:ascii="Arial" w:hAnsi="Arial" w:cs="Arial"/>
        </w:rPr>
        <w:t xml:space="preserve">is a </w:t>
      </w:r>
      <w:r w:rsidR="0086687A" w:rsidRPr="00477697">
        <w:rPr>
          <w:rFonts w:ascii="Arial" w:hAnsi="Arial" w:cs="Arial"/>
        </w:rPr>
        <w:t>randomised</w:t>
      </w:r>
      <w:r w:rsidR="00CE0591" w:rsidRPr="00477697">
        <w:rPr>
          <w:rFonts w:ascii="Arial" w:hAnsi="Arial" w:cs="Arial"/>
        </w:rPr>
        <w:t xml:space="preserve"> multi-arm, m</w:t>
      </w:r>
      <w:r w:rsidR="0086687A" w:rsidRPr="00477697">
        <w:rPr>
          <w:rFonts w:ascii="Arial" w:hAnsi="Arial" w:cs="Arial"/>
        </w:rPr>
        <w:t xml:space="preserve">ulti-dose, phase </w:t>
      </w:r>
      <w:proofErr w:type="spellStart"/>
      <w:r w:rsidR="0086687A" w:rsidRPr="00477697">
        <w:rPr>
          <w:rFonts w:ascii="Arial" w:hAnsi="Arial" w:cs="Arial"/>
        </w:rPr>
        <w:t>I</w:t>
      </w:r>
      <w:r w:rsidRPr="00477697">
        <w:rPr>
          <w:rFonts w:ascii="Arial" w:hAnsi="Arial" w:cs="Arial"/>
        </w:rPr>
        <w:t>b</w:t>
      </w:r>
      <w:proofErr w:type="spellEnd"/>
      <w:r w:rsidR="0086687A" w:rsidRPr="00477697">
        <w:rPr>
          <w:rFonts w:ascii="Arial" w:hAnsi="Arial" w:cs="Arial"/>
        </w:rPr>
        <w:t>/</w:t>
      </w:r>
      <w:proofErr w:type="spellStart"/>
      <w:r w:rsidR="0086687A" w:rsidRPr="00477697">
        <w:rPr>
          <w:rFonts w:ascii="Arial" w:hAnsi="Arial" w:cs="Arial"/>
        </w:rPr>
        <w:t>II</w:t>
      </w:r>
      <w:r w:rsidRPr="00477697">
        <w:rPr>
          <w:rFonts w:ascii="Arial" w:hAnsi="Arial" w:cs="Arial"/>
        </w:rPr>
        <w:t>a</w:t>
      </w:r>
      <w:proofErr w:type="spellEnd"/>
      <w:r w:rsidRPr="00477697">
        <w:rPr>
          <w:rFonts w:ascii="Arial" w:hAnsi="Arial" w:cs="Arial"/>
        </w:rPr>
        <w:t xml:space="preserve"> platform in the UK using a seamless </w:t>
      </w:r>
      <w:r w:rsidR="0086687A" w:rsidRPr="00477697">
        <w:rPr>
          <w:rFonts w:ascii="Arial" w:hAnsi="Arial" w:cs="Arial"/>
        </w:rPr>
        <w:t>Bayesian</w:t>
      </w:r>
      <w:r w:rsidR="00166DD4" w:rsidRPr="00477697">
        <w:rPr>
          <w:rFonts w:ascii="Arial" w:hAnsi="Arial" w:cs="Arial"/>
        </w:rPr>
        <w:t xml:space="preserve"> adaptive</w:t>
      </w:r>
      <w:r w:rsidR="0086687A" w:rsidRPr="00477697">
        <w:rPr>
          <w:rFonts w:ascii="Arial" w:hAnsi="Arial" w:cs="Arial"/>
        </w:rPr>
        <w:t xml:space="preserve"> </w:t>
      </w:r>
      <w:r w:rsidRPr="00477697">
        <w:rPr>
          <w:rFonts w:ascii="Arial" w:hAnsi="Arial" w:cs="Arial"/>
        </w:rPr>
        <w:t xml:space="preserve">design </w:t>
      </w:r>
      <w:r w:rsidR="00733AF4" w:rsidRPr="00733AF4">
        <w:rPr>
          <w:rFonts w:ascii="Arial" w:hAnsi="Arial" w:cs="Arial"/>
          <w:vertAlign w:val="superscript"/>
        </w:rPr>
        <w:t>2</w:t>
      </w:r>
      <w:r w:rsidR="00733AF4" w:rsidRPr="00477697">
        <w:rPr>
          <w:rFonts w:ascii="Arial" w:hAnsi="Arial" w:cs="Arial"/>
        </w:rPr>
        <w:t xml:space="preserve"> </w:t>
      </w:r>
      <w:r w:rsidR="00CE0591" w:rsidRPr="00477697">
        <w:rPr>
          <w:rFonts w:ascii="Arial" w:hAnsi="Arial" w:cs="Arial"/>
        </w:rPr>
        <w:t xml:space="preserve">to determine the </w:t>
      </w:r>
      <w:r w:rsidR="0086687A" w:rsidRPr="00477697">
        <w:rPr>
          <w:rFonts w:ascii="Arial" w:hAnsi="Arial" w:cs="Arial"/>
        </w:rPr>
        <w:t xml:space="preserve">safety, activity and </w:t>
      </w:r>
      <w:r w:rsidR="00CE0591" w:rsidRPr="00477697">
        <w:rPr>
          <w:rFonts w:ascii="Arial" w:hAnsi="Arial" w:cs="Arial"/>
        </w:rPr>
        <w:t>optimal dose</w:t>
      </w:r>
      <w:r w:rsidR="0086687A" w:rsidRPr="00477697">
        <w:rPr>
          <w:rFonts w:ascii="Arial" w:hAnsi="Arial" w:cs="Arial"/>
          <w:b/>
          <w:bCs/>
        </w:rPr>
        <w:t xml:space="preserve"> </w:t>
      </w:r>
      <w:r w:rsidR="00CE0591" w:rsidRPr="00477697">
        <w:rPr>
          <w:rFonts w:ascii="Arial" w:hAnsi="Arial" w:cs="Arial"/>
        </w:rPr>
        <w:t xml:space="preserve">of multiple </w:t>
      </w:r>
      <w:r w:rsidR="00894EE7" w:rsidRPr="00477697">
        <w:rPr>
          <w:rFonts w:ascii="Arial" w:hAnsi="Arial" w:cs="Arial"/>
        </w:rPr>
        <w:t>SARS-CoV-2 candidate therapeutics</w:t>
      </w:r>
      <w:r w:rsidR="0086687A" w:rsidRPr="00477697">
        <w:rPr>
          <w:rFonts w:ascii="Arial" w:hAnsi="Arial" w:cs="Arial"/>
        </w:rPr>
        <w:t>.</w:t>
      </w:r>
      <w:r w:rsidR="00CE0591" w:rsidRPr="00477697">
        <w:rPr>
          <w:rFonts w:ascii="Arial" w:hAnsi="Arial" w:cs="Arial"/>
        </w:rPr>
        <w:t xml:space="preserve"> </w:t>
      </w:r>
      <w:r w:rsidRPr="00477697">
        <w:rPr>
          <w:rFonts w:ascii="Arial" w:hAnsi="Arial" w:cs="Arial"/>
        </w:rPr>
        <w:t xml:space="preserve">Several </w:t>
      </w:r>
      <w:r w:rsidR="00CE0591" w:rsidRPr="00477697">
        <w:rPr>
          <w:rFonts w:ascii="Arial" w:hAnsi="Arial" w:cs="Arial"/>
        </w:rPr>
        <w:t>candidates can be tested simultaneously (potentially sharing control group data)</w:t>
      </w:r>
      <w:r w:rsidRPr="00477697">
        <w:rPr>
          <w:rFonts w:ascii="Arial" w:hAnsi="Arial" w:cs="Arial"/>
        </w:rPr>
        <w:t xml:space="preserve"> </w:t>
      </w:r>
      <w:r w:rsidR="00CE0591" w:rsidRPr="00477697">
        <w:rPr>
          <w:rFonts w:ascii="Arial" w:hAnsi="Arial" w:cs="Arial"/>
        </w:rPr>
        <w:t xml:space="preserve">to increase efficiency. </w:t>
      </w:r>
    </w:p>
    <w:p w14:paraId="0228EDD9" w14:textId="77777777" w:rsidR="00105A93" w:rsidRPr="00477697" w:rsidRDefault="00105A93" w:rsidP="00477697">
      <w:pPr>
        <w:autoSpaceDE w:val="0"/>
        <w:autoSpaceDN w:val="0"/>
        <w:adjustRightInd w:val="0"/>
        <w:spacing w:after="0" w:line="480" w:lineRule="auto"/>
        <w:jc w:val="both"/>
        <w:rPr>
          <w:rFonts w:ascii="Arial" w:hAnsi="Arial" w:cs="Arial"/>
        </w:rPr>
      </w:pPr>
    </w:p>
    <w:p w14:paraId="359AFA20" w14:textId="50967FFB" w:rsidR="002D590B" w:rsidRPr="00477697" w:rsidRDefault="00003F7F" w:rsidP="00DD390A">
      <w:pPr>
        <w:pStyle w:val="Default"/>
        <w:spacing w:line="480" w:lineRule="auto"/>
        <w:jc w:val="both"/>
        <w:rPr>
          <w:rFonts w:ascii="Arial" w:hAnsi="Arial" w:cs="Arial"/>
          <w:color w:val="auto"/>
          <w:sz w:val="22"/>
          <w:szCs w:val="22"/>
        </w:rPr>
      </w:pPr>
      <w:bookmarkStart w:id="3" w:name="_Hlk77865752"/>
      <w:r w:rsidRPr="00477697">
        <w:rPr>
          <w:rFonts w:ascii="Arial" w:hAnsi="Arial" w:cs="Arial"/>
          <w:sz w:val="22"/>
          <w:szCs w:val="22"/>
        </w:rPr>
        <w:t>We</w:t>
      </w:r>
      <w:r w:rsidR="00CE0591" w:rsidRPr="00477697">
        <w:rPr>
          <w:rFonts w:ascii="Arial" w:hAnsi="Arial" w:cs="Arial"/>
          <w:sz w:val="22"/>
          <w:szCs w:val="22"/>
        </w:rPr>
        <w:t xml:space="preserve"> </w:t>
      </w:r>
      <w:r w:rsidR="002D590B" w:rsidRPr="00477697">
        <w:rPr>
          <w:rFonts w:ascii="Arial" w:hAnsi="Arial" w:cs="Arial"/>
          <w:sz w:val="22"/>
          <w:szCs w:val="22"/>
        </w:rPr>
        <w:t>evaluated</w:t>
      </w:r>
      <w:r w:rsidR="00855CFB" w:rsidRPr="00477697">
        <w:rPr>
          <w:rFonts w:ascii="Arial" w:hAnsi="Arial" w:cs="Arial"/>
          <w:sz w:val="22"/>
          <w:szCs w:val="22"/>
        </w:rPr>
        <w:t xml:space="preserve"> </w:t>
      </w:r>
      <w:r w:rsidR="00AF74BD" w:rsidRPr="00477697">
        <w:rPr>
          <w:rFonts w:ascii="Arial" w:hAnsi="Arial" w:cs="Arial"/>
          <w:color w:val="auto"/>
          <w:sz w:val="22"/>
          <w:szCs w:val="22"/>
        </w:rPr>
        <w:t>molnupiravir</w:t>
      </w:r>
      <w:r w:rsidR="00855CFB" w:rsidRPr="00477697">
        <w:rPr>
          <w:rFonts w:ascii="Arial" w:hAnsi="Arial" w:cs="Arial"/>
          <w:color w:val="auto"/>
          <w:sz w:val="22"/>
          <w:szCs w:val="22"/>
        </w:rPr>
        <w:t xml:space="preserve"> (</w:t>
      </w:r>
      <w:r w:rsidR="00CE0591" w:rsidRPr="00477697">
        <w:rPr>
          <w:rFonts w:ascii="Arial" w:hAnsi="Arial" w:cs="Arial"/>
          <w:sz w:val="22"/>
          <w:szCs w:val="22"/>
        </w:rPr>
        <w:t>EIDD-2801</w:t>
      </w:r>
      <w:r w:rsidR="00450F4B" w:rsidRPr="00477697">
        <w:rPr>
          <w:rFonts w:ascii="Arial" w:hAnsi="Arial" w:cs="Arial"/>
          <w:sz w:val="22"/>
          <w:szCs w:val="22"/>
        </w:rPr>
        <w:t>/MK-4482</w:t>
      </w:r>
      <w:r w:rsidR="00855CFB" w:rsidRPr="00477697">
        <w:rPr>
          <w:rFonts w:ascii="Arial" w:hAnsi="Arial" w:cs="Arial"/>
          <w:sz w:val="22"/>
          <w:szCs w:val="22"/>
        </w:rPr>
        <w:t>)</w:t>
      </w:r>
      <w:r w:rsidR="00450F4B" w:rsidRPr="00477697">
        <w:rPr>
          <w:rFonts w:ascii="Arial" w:hAnsi="Arial" w:cs="Arial"/>
          <w:sz w:val="22"/>
          <w:szCs w:val="22"/>
        </w:rPr>
        <w:t>,</w:t>
      </w:r>
      <w:r w:rsidR="00CE0591" w:rsidRPr="00477697">
        <w:rPr>
          <w:rFonts w:ascii="Arial" w:hAnsi="Arial" w:cs="Arial"/>
          <w:sz w:val="22"/>
          <w:szCs w:val="22"/>
        </w:rPr>
        <w:t xml:space="preserve"> for the treatment of COVID-19 in a </w:t>
      </w:r>
      <w:r w:rsidR="00FF24E0" w:rsidRPr="00477697">
        <w:rPr>
          <w:rFonts w:ascii="Arial" w:hAnsi="Arial" w:cs="Arial"/>
          <w:sz w:val="22"/>
          <w:szCs w:val="22"/>
        </w:rPr>
        <w:t xml:space="preserve">seamless phase I/II trial. </w:t>
      </w:r>
      <w:r w:rsidR="00AF74BD" w:rsidRPr="00477697">
        <w:rPr>
          <w:rFonts w:ascii="Arial" w:hAnsi="Arial" w:cs="Arial"/>
          <w:color w:val="auto"/>
          <w:sz w:val="22"/>
          <w:szCs w:val="22"/>
        </w:rPr>
        <w:t>Molnupiravir</w:t>
      </w:r>
      <w:r w:rsidR="00450F4B" w:rsidRPr="00477697">
        <w:rPr>
          <w:rFonts w:ascii="Arial" w:hAnsi="Arial" w:cs="Arial"/>
          <w:color w:val="auto"/>
          <w:sz w:val="22"/>
          <w:szCs w:val="22"/>
        </w:rPr>
        <w:t xml:space="preserve"> </w:t>
      </w:r>
      <w:r w:rsidR="00097B0F">
        <w:rPr>
          <w:rFonts w:ascii="Arial" w:hAnsi="Arial" w:cs="Arial"/>
          <w:color w:val="auto"/>
          <w:sz w:val="22"/>
          <w:szCs w:val="22"/>
        </w:rPr>
        <w:t xml:space="preserve">is </w:t>
      </w:r>
      <w:r w:rsidR="00DD390A">
        <w:rPr>
          <w:rFonts w:ascii="Arial" w:hAnsi="Arial" w:cs="Arial"/>
          <w:color w:val="auto"/>
          <w:sz w:val="22"/>
          <w:szCs w:val="22"/>
        </w:rPr>
        <w:t xml:space="preserve">rapidly and extensively converted (via host </w:t>
      </w:r>
      <w:proofErr w:type="spellStart"/>
      <w:r w:rsidR="00DD390A">
        <w:rPr>
          <w:rFonts w:ascii="Arial" w:hAnsi="Arial" w:cs="Arial"/>
          <w:color w:val="auto"/>
          <w:sz w:val="22"/>
          <w:szCs w:val="22"/>
        </w:rPr>
        <w:t>esterases</w:t>
      </w:r>
      <w:proofErr w:type="spellEnd"/>
      <w:r w:rsidR="00DD390A">
        <w:rPr>
          <w:rFonts w:ascii="Arial" w:hAnsi="Arial" w:cs="Arial"/>
          <w:color w:val="auto"/>
          <w:sz w:val="22"/>
          <w:szCs w:val="22"/>
        </w:rPr>
        <w:t>) to the</w:t>
      </w:r>
      <w:r w:rsidR="00097B0F">
        <w:rPr>
          <w:rFonts w:ascii="Arial" w:hAnsi="Arial" w:cs="Arial"/>
          <w:color w:val="auto"/>
          <w:sz w:val="22"/>
          <w:szCs w:val="22"/>
        </w:rPr>
        <w:t xml:space="preserve"> active</w:t>
      </w:r>
      <w:r w:rsidR="00450F4B" w:rsidRPr="00477697">
        <w:rPr>
          <w:rFonts w:ascii="Arial" w:hAnsi="Arial" w:cs="Arial"/>
          <w:color w:val="auto"/>
          <w:sz w:val="22"/>
          <w:szCs w:val="22"/>
        </w:rPr>
        <w:t xml:space="preserve"> ribonucleoside analog</w:t>
      </w:r>
      <w:r w:rsidR="002D590B" w:rsidRPr="00477697">
        <w:rPr>
          <w:rFonts w:ascii="Arial" w:hAnsi="Arial" w:cs="Arial"/>
          <w:color w:val="auto"/>
          <w:sz w:val="22"/>
          <w:szCs w:val="22"/>
        </w:rPr>
        <w:t>ue</w:t>
      </w:r>
      <w:r w:rsidR="00450F4B" w:rsidRPr="00477697">
        <w:rPr>
          <w:rFonts w:ascii="Arial" w:hAnsi="Arial" w:cs="Arial"/>
          <w:color w:val="auto"/>
          <w:sz w:val="22"/>
          <w:szCs w:val="22"/>
        </w:rPr>
        <w:t xml:space="preserve"> 14 ß-d-N4-hydroxycytidine (NHC</w:t>
      </w:r>
      <w:r w:rsidR="00FF24E0" w:rsidRPr="00477697">
        <w:rPr>
          <w:rFonts w:ascii="Arial" w:hAnsi="Arial" w:cs="Arial"/>
          <w:color w:val="auto"/>
          <w:sz w:val="22"/>
          <w:szCs w:val="22"/>
        </w:rPr>
        <w:t>; EIDD-1931)</w:t>
      </w:r>
      <w:r w:rsidR="00DD390A">
        <w:rPr>
          <w:rFonts w:ascii="Arial" w:hAnsi="Arial" w:cs="Arial"/>
          <w:color w:val="auto"/>
          <w:sz w:val="22"/>
          <w:szCs w:val="22"/>
        </w:rPr>
        <w:t>;  cytochrome P450 enzyme</w:t>
      </w:r>
      <w:r w:rsidR="00DC788B">
        <w:rPr>
          <w:rFonts w:ascii="Arial" w:hAnsi="Arial" w:cs="Arial"/>
          <w:color w:val="auto"/>
          <w:sz w:val="22"/>
          <w:szCs w:val="22"/>
        </w:rPr>
        <w:t>s are not a major route in the metabolism of molnupiravir, and are not affected</w:t>
      </w:r>
      <w:r w:rsidR="00DD390A">
        <w:rPr>
          <w:rFonts w:ascii="Arial" w:hAnsi="Arial" w:cs="Arial"/>
          <w:color w:val="auto"/>
          <w:sz w:val="22"/>
          <w:szCs w:val="22"/>
        </w:rPr>
        <w:t xml:space="preserve"> by the drug through enzyme induction or inhibition. </w:t>
      </w:r>
      <w:r w:rsidR="002D590B" w:rsidRPr="00477697">
        <w:rPr>
          <w:rFonts w:ascii="Arial" w:hAnsi="Arial" w:cs="Arial"/>
          <w:color w:val="auto"/>
          <w:sz w:val="22"/>
          <w:szCs w:val="22"/>
        </w:rPr>
        <w:t xml:space="preserve">Despite differences in model systems, activity of molnupiravir has consistently been demonstrated </w:t>
      </w:r>
      <w:r w:rsidR="002D590B" w:rsidRPr="00477697">
        <w:rPr>
          <w:rFonts w:ascii="Arial" w:hAnsi="Arial" w:cs="Arial"/>
          <w:i/>
          <w:iCs/>
          <w:color w:val="auto"/>
          <w:sz w:val="22"/>
          <w:szCs w:val="22"/>
        </w:rPr>
        <w:t>in-vitro</w:t>
      </w:r>
      <w:r w:rsidR="002D590B" w:rsidRPr="00477697">
        <w:rPr>
          <w:rFonts w:ascii="Arial" w:hAnsi="Arial" w:cs="Arial"/>
          <w:color w:val="auto"/>
          <w:sz w:val="22"/>
          <w:szCs w:val="22"/>
        </w:rPr>
        <w:t xml:space="preserve"> and in animal models. In mice implanted with authentic human lung tissue, a prophylactic dose of 500 mg/kg given 12h prior to inoculation with SARS-CoV-2 and every 12h thereafter dramatically reduced viral plaque forming units at 2 days post inoculation.</w:t>
      </w:r>
      <w:r w:rsidR="00733AF4">
        <w:rPr>
          <w:rFonts w:ascii="Arial" w:hAnsi="Arial" w:cs="Arial"/>
          <w:color w:val="auto"/>
          <w:sz w:val="22"/>
          <w:szCs w:val="22"/>
          <w:vertAlign w:val="superscript"/>
        </w:rPr>
        <w:t>3</w:t>
      </w:r>
      <w:r w:rsidR="00733AF4" w:rsidRPr="00477697">
        <w:rPr>
          <w:rFonts w:ascii="Arial" w:hAnsi="Arial" w:cs="Arial"/>
          <w:color w:val="auto"/>
          <w:sz w:val="22"/>
          <w:szCs w:val="22"/>
        </w:rPr>
        <w:t xml:space="preserve"> </w:t>
      </w:r>
      <w:r w:rsidR="002D590B" w:rsidRPr="00477697">
        <w:rPr>
          <w:rFonts w:ascii="Arial" w:hAnsi="Arial" w:cs="Arial"/>
          <w:color w:val="auto"/>
          <w:sz w:val="22"/>
          <w:szCs w:val="22"/>
        </w:rPr>
        <w:t>Furthermore, a twice daily 200mg/kg dose (but not 75mg/kg) was also able to reduce pulmonary viral RNA and improve lung histopathology in Syrian Golden Hamsters when initiated at the time of inoculation but with much lower efficacy if initiated ≥24h after infection.</w:t>
      </w:r>
      <w:r w:rsidR="00733AF4">
        <w:rPr>
          <w:rFonts w:ascii="Arial" w:hAnsi="Arial" w:cs="Arial"/>
          <w:color w:val="auto"/>
          <w:sz w:val="22"/>
          <w:szCs w:val="22"/>
          <w:vertAlign w:val="superscript"/>
        </w:rPr>
        <w:t>4</w:t>
      </w:r>
      <w:r w:rsidR="00733AF4" w:rsidRPr="00477697">
        <w:rPr>
          <w:rFonts w:ascii="Arial" w:hAnsi="Arial" w:cs="Arial"/>
          <w:color w:val="auto"/>
          <w:sz w:val="22"/>
          <w:szCs w:val="22"/>
        </w:rPr>
        <w:t xml:space="preserve"> </w:t>
      </w:r>
      <w:r w:rsidR="002D590B" w:rsidRPr="00477697">
        <w:rPr>
          <w:rFonts w:ascii="Arial" w:hAnsi="Arial" w:cs="Arial"/>
          <w:color w:val="auto"/>
          <w:sz w:val="22"/>
          <w:szCs w:val="22"/>
        </w:rPr>
        <w:t>Finally, molnupiravir significantly reduced viral titres in the nasal swabs and turbinate 4 days after infection in ferrets when given at 5mg/kg twice daily initiated 12h after inoculation or 15mg/kg initiated 36h after inoculation,</w:t>
      </w:r>
      <w:r w:rsidR="00733AF4">
        <w:rPr>
          <w:rFonts w:ascii="Arial" w:hAnsi="Arial" w:cs="Arial"/>
          <w:color w:val="auto"/>
          <w:sz w:val="22"/>
          <w:szCs w:val="22"/>
          <w:vertAlign w:val="superscript"/>
        </w:rPr>
        <w:t>5</w:t>
      </w:r>
      <w:r w:rsidR="00733AF4" w:rsidRPr="00477697">
        <w:rPr>
          <w:rFonts w:ascii="Arial" w:hAnsi="Arial" w:cs="Arial"/>
          <w:color w:val="auto"/>
          <w:sz w:val="22"/>
          <w:szCs w:val="22"/>
        </w:rPr>
        <w:t xml:space="preserve"> </w:t>
      </w:r>
      <w:r w:rsidR="002D590B" w:rsidRPr="00477697">
        <w:rPr>
          <w:rFonts w:ascii="Arial" w:hAnsi="Arial" w:cs="Arial"/>
          <w:color w:val="auto"/>
          <w:sz w:val="22"/>
          <w:szCs w:val="22"/>
        </w:rPr>
        <w:t>and was able to block transmission between ferrets. Current data warrant investigation of molnupiravir in human patients including studies to define the appropriate dose for a human SARS-CoV-2 antiviral indication</w:t>
      </w:r>
      <w:bookmarkEnd w:id="3"/>
      <w:r w:rsidR="002D590B" w:rsidRPr="00477697">
        <w:rPr>
          <w:rFonts w:ascii="Arial" w:hAnsi="Arial" w:cs="Arial"/>
          <w:color w:val="auto"/>
          <w:sz w:val="22"/>
          <w:szCs w:val="22"/>
        </w:rPr>
        <w:t>.</w:t>
      </w:r>
    </w:p>
    <w:p w14:paraId="207334F9" w14:textId="77777777" w:rsidR="007871E0" w:rsidRPr="00477697" w:rsidRDefault="007871E0" w:rsidP="00477697">
      <w:pPr>
        <w:pStyle w:val="Default"/>
        <w:spacing w:line="480" w:lineRule="auto"/>
        <w:jc w:val="both"/>
        <w:rPr>
          <w:rFonts w:ascii="Arial" w:hAnsi="Arial" w:cs="Arial"/>
          <w:color w:val="auto"/>
          <w:sz w:val="22"/>
          <w:szCs w:val="22"/>
        </w:rPr>
      </w:pPr>
    </w:p>
    <w:p w14:paraId="7EC40740" w14:textId="6FF6F0B6" w:rsidR="007871E0" w:rsidRPr="00477697" w:rsidRDefault="007871E0" w:rsidP="00477697">
      <w:pPr>
        <w:pStyle w:val="Default"/>
        <w:spacing w:line="480" w:lineRule="auto"/>
        <w:jc w:val="both"/>
        <w:rPr>
          <w:rFonts w:ascii="Arial" w:hAnsi="Arial" w:cs="Arial"/>
          <w:color w:val="auto"/>
          <w:sz w:val="22"/>
          <w:szCs w:val="22"/>
        </w:rPr>
      </w:pPr>
      <w:r w:rsidRPr="00477697">
        <w:rPr>
          <w:rFonts w:ascii="Arial" w:hAnsi="Arial" w:cs="Arial"/>
          <w:color w:val="auto"/>
          <w:sz w:val="22"/>
          <w:szCs w:val="22"/>
        </w:rPr>
        <w:lastRenderedPageBreak/>
        <w:t>Molnupiravir</w:t>
      </w:r>
      <w:r w:rsidR="005205A3" w:rsidRPr="00477697">
        <w:rPr>
          <w:rFonts w:ascii="Arial" w:hAnsi="Arial" w:cs="Arial"/>
          <w:color w:val="auto"/>
          <w:sz w:val="22"/>
          <w:szCs w:val="22"/>
        </w:rPr>
        <w:t xml:space="preserve"> has been evaluated in healthy volunteers in single (50-1600mg) and multiple (50-800mg for 5.5 days) </w:t>
      </w:r>
      <w:r w:rsidR="00964F8C" w:rsidRPr="00477697">
        <w:rPr>
          <w:rFonts w:ascii="Arial" w:hAnsi="Arial" w:cs="Arial"/>
          <w:color w:val="auto"/>
          <w:sz w:val="22"/>
          <w:szCs w:val="22"/>
        </w:rPr>
        <w:t>ascending oral doses</w:t>
      </w:r>
      <w:r w:rsidR="005205A3" w:rsidRPr="00477697">
        <w:rPr>
          <w:rFonts w:ascii="Arial" w:hAnsi="Arial" w:cs="Arial"/>
          <w:color w:val="auto"/>
          <w:sz w:val="22"/>
          <w:szCs w:val="22"/>
        </w:rPr>
        <w:t>, and was found to be well-tolerated.</w:t>
      </w:r>
      <w:r w:rsidR="00733AF4">
        <w:rPr>
          <w:rFonts w:ascii="Arial" w:hAnsi="Arial" w:cs="Arial"/>
          <w:color w:val="auto"/>
          <w:sz w:val="22"/>
          <w:szCs w:val="22"/>
          <w:vertAlign w:val="superscript"/>
        </w:rPr>
        <w:t>6</w:t>
      </w:r>
      <w:r w:rsidR="005205A3" w:rsidRPr="00477697">
        <w:rPr>
          <w:rFonts w:ascii="Arial" w:hAnsi="Arial" w:cs="Arial"/>
          <w:color w:val="auto"/>
          <w:sz w:val="22"/>
          <w:szCs w:val="22"/>
        </w:rPr>
        <w:t xml:space="preserve"> Preliminary data </w:t>
      </w:r>
      <w:r w:rsidR="00884D16" w:rsidRPr="00477697">
        <w:rPr>
          <w:rFonts w:ascii="Arial" w:hAnsi="Arial" w:cs="Arial"/>
          <w:color w:val="auto"/>
          <w:sz w:val="22"/>
          <w:szCs w:val="22"/>
        </w:rPr>
        <w:t xml:space="preserve">have </w:t>
      </w:r>
      <w:r w:rsidR="00964F8C" w:rsidRPr="00477697">
        <w:rPr>
          <w:rFonts w:ascii="Arial" w:hAnsi="Arial" w:cs="Arial"/>
          <w:color w:val="auto"/>
          <w:sz w:val="22"/>
          <w:szCs w:val="22"/>
        </w:rPr>
        <w:t xml:space="preserve">also </w:t>
      </w:r>
      <w:r w:rsidR="00884D16" w:rsidRPr="00477697">
        <w:rPr>
          <w:rFonts w:ascii="Arial" w:hAnsi="Arial" w:cs="Arial"/>
          <w:color w:val="auto"/>
          <w:sz w:val="22"/>
          <w:szCs w:val="22"/>
        </w:rPr>
        <w:t xml:space="preserve">been presented </w:t>
      </w:r>
      <w:r w:rsidR="005205A3" w:rsidRPr="00477697">
        <w:rPr>
          <w:rFonts w:ascii="Arial" w:hAnsi="Arial" w:cs="Arial"/>
          <w:color w:val="auto"/>
          <w:sz w:val="22"/>
          <w:szCs w:val="22"/>
        </w:rPr>
        <w:t>from a study in patients with mild-to-moderate SARS CoV2 infection who received 200mg, 400mg or 800mg of molnupiravir twice daily for 5 days</w:t>
      </w:r>
      <w:r w:rsidR="00884D16" w:rsidRPr="00477697">
        <w:rPr>
          <w:rFonts w:ascii="Arial" w:hAnsi="Arial" w:cs="Arial"/>
          <w:color w:val="auto"/>
          <w:sz w:val="22"/>
          <w:szCs w:val="22"/>
        </w:rPr>
        <w:t xml:space="preserve"> or placebo.</w:t>
      </w:r>
      <w:r w:rsidR="00733AF4">
        <w:rPr>
          <w:rFonts w:ascii="Arial" w:hAnsi="Arial" w:cs="Arial"/>
          <w:color w:val="auto"/>
          <w:sz w:val="22"/>
          <w:szCs w:val="22"/>
          <w:vertAlign w:val="superscript"/>
        </w:rPr>
        <w:t>7</w:t>
      </w:r>
      <w:r w:rsidR="005205A3" w:rsidRPr="00477697">
        <w:rPr>
          <w:rFonts w:ascii="Arial" w:hAnsi="Arial" w:cs="Arial"/>
          <w:color w:val="auto"/>
          <w:sz w:val="22"/>
          <w:szCs w:val="22"/>
        </w:rPr>
        <w:t xml:space="preserve"> </w:t>
      </w:r>
      <w:r w:rsidR="00884D16" w:rsidRPr="00477697">
        <w:rPr>
          <w:rFonts w:ascii="Arial" w:hAnsi="Arial" w:cs="Arial"/>
          <w:color w:val="auto"/>
          <w:sz w:val="22"/>
          <w:szCs w:val="22"/>
        </w:rPr>
        <w:t>Virus was cultured from nasopharyngeal swabs in only 4</w:t>
      </w:r>
      <w:r w:rsidR="00964F8C" w:rsidRPr="00477697">
        <w:rPr>
          <w:rFonts w:ascii="Arial" w:hAnsi="Arial" w:cs="Arial"/>
          <w:color w:val="auto"/>
          <w:sz w:val="22"/>
          <w:szCs w:val="22"/>
        </w:rPr>
        <w:t>2.9</w:t>
      </w:r>
      <w:r w:rsidR="00884D16" w:rsidRPr="00477697">
        <w:rPr>
          <w:rFonts w:ascii="Arial" w:hAnsi="Arial" w:cs="Arial"/>
          <w:color w:val="auto"/>
          <w:sz w:val="22"/>
          <w:szCs w:val="22"/>
        </w:rPr>
        <w:t xml:space="preserve">% of all PCR-positive patients at baseline and of these, culture-negativity was seen in all </w:t>
      </w:r>
      <w:r w:rsidR="00964F8C" w:rsidRPr="00477697">
        <w:rPr>
          <w:rFonts w:ascii="Arial" w:hAnsi="Arial" w:cs="Arial"/>
          <w:color w:val="auto"/>
          <w:sz w:val="22"/>
          <w:szCs w:val="22"/>
        </w:rPr>
        <w:t xml:space="preserve">47 evaluable </w:t>
      </w:r>
      <w:r w:rsidR="00884D16" w:rsidRPr="00477697">
        <w:rPr>
          <w:rFonts w:ascii="Arial" w:hAnsi="Arial" w:cs="Arial"/>
          <w:color w:val="auto"/>
          <w:sz w:val="22"/>
          <w:szCs w:val="22"/>
        </w:rPr>
        <w:t>subjects receiving molnupiravir (regardless of dose) versus 24% subjects allocated to placebo.</w:t>
      </w:r>
      <w:r w:rsidR="00097B0F">
        <w:rPr>
          <w:rFonts w:ascii="Arial" w:hAnsi="Arial" w:cs="Arial"/>
          <w:color w:val="auto"/>
          <w:sz w:val="22"/>
          <w:szCs w:val="22"/>
        </w:rPr>
        <w:t xml:space="preserve"> </w:t>
      </w:r>
    </w:p>
    <w:p w14:paraId="139F806D" w14:textId="77777777" w:rsidR="002D590B" w:rsidRPr="00477697" w:rsidRDefault="002D590B" w:rsidP="00477697">
      <w:pPr>
        <w:pStyle w:val="Default"/>
        <w:spacing w:line="480" w:lineRule="auto"/>
        <w:jc w:val="both"/>
        <w:rPr>
          <w:rFonts w:ascii="Arial" w:hAnsi="Arial" w:cs="Arial"/>
          <w:color w:val="auto"/>
          <w:sz w:val="22"/>
          <w:szCs w:val="22"/>
        </w:rPr>
      </w:pPr>
    </w:p>
    <w:p w14:paraId="1278AC4A" w14:textId="74900D1B" w:rsidR="00052EB6" w:rsidRPr="00477697" w:rsidRDefault="00746AEE" w:rsidP="00477697">
      <w:pPr>
        <w:spacing w:after="0" w:line="480" w:lineRule="auto"/>
        <w:jc w:val="both"/>
        <w:rPr>
          <w:rFonts w:ascii="Arial" w:hAnsi="Arial" w:cs="Arial"/>
        </w:rPr>
      </w:pPr>
      <w:r w:rsidRPr="00477697">
        <w:rPr>
          <w:rFonts w:ascii="Arial" w:hAnsi="Arial" w:cs="Arial"/>
        </w:rPr>
        <w:t xml:space="preserve">Here we report phase </w:t>
      </w:r>
      <w:proofErr w:type="spellStart"/>
      <w:r w:rsidRPr="00477697">
        <w:rPr>
          <w:rFonts w:ascii="Arial" w:hAnsi="Arial" w:cs="Arial"/>
        </w:rPr>
        <w:t>Ib</w:t>
      </w:r>
      <w:proofErr w:type="spellEnd"/>
      <w:r w:rsidRPr="00477697">
        <w:rPr>
          <w:rFonts w:ascii="Arial" w:hAnsi="Arial" w:cs="Arial"/>
        </w:rPr>
        <w:t xml:space="preserve"> results where we sought </w:t>
      </w:r>
      <w:r w:rsidR="00052EB6" w:rsidRPr="00477697">
        <w:rPr>
          <w:rFonts w:ascii="Arial" w:hAnsi="Arial" w:cs="Arial"/>
        </w:rPr>
        <w:t xml:space="preserve">to determine the safety and tolerability of multiple ascending doses of </w:t>
      </w:r>
      <w:r w:rsidR="00AF74BD" w:rsidRPr="00477697">
        <w:rPr>
          <w:rFonts w:ascii="Arial" w:hAnsi="Arial" w:cs="Arial"/>
        </w:rPr>
        <w:t>molnupiravir</w:t>
      </w:r>
      <w:r w:rsidR="00052EB6" w:rsidRPr="00477697">
        <w:rPr>
          <w:rFonts w:ascii="Arial" w:hAnsi="Arial" w:cs="Arial"/>
        </w:rPr>
        <w:t xml:space="preserve"> </w:t>
      </w:r>
      <w:r w:rsidR="006357D7" w:rsidRPr="00477697">
        <w:rPr>
          <w:rFonts w:ascii="Arial" w:hAnsi="Arial" w:cs="Arial"/>
        </w:rPr>
        <w:t xml:space="preserve">in </w:t>
      </w:r>
      <w:r w:rsidR="00003F7F" w:rsidRPr="00477697">
        <w:rPr>
          <w:rFonts w:ascii="Arial" w:hAnsi="Arial" w:cs="Arial"/>
        </w:rPr>
        <w:t xml:space="preserve">participants with </w:t>
      </w:r>
      <w:r w:rsidR="00351C7D">
        <w:rPr>
          <w:rFonts w:ascii="Arial" w:hAnsi="Arial" w:cs="Arial"/>
        </w:rPr>
        <w:t xml:space="preserve">PCR-confirmed SARS-CoV-2 infection who had symptoms within the preceding 5 days </w:t>
      </w:r>
      <w:r w:rsidR="0071474A">
        <w:rPr>
          <w:rFonts w:ascii="Arial" w:hAnsi="Arial" w:cs="Arial"/>
        </w:rPr>
        <w:t>which did not require hospitalisation</w:t>
      </w:r>
      <w:r w:rsidR="00351C7D">
        <w:rPr>
          <w:rFonts w:ascii="Arial" w:hAnsi="Arial" w:cs="Arial"/>
        </w:rPr>
        <w:t xml:space="preserve">, </w:t>
      </w:r>
      <w:r w:rsidR="00052EB6" w:rsidRPr="00477697">
        <w:rPr>
          <w:rFonts w:ascii="Arial" w:hAnsi="Arial" w:cs="Arial"/>
        </w:rPr>
        <w:t xml:space="preserve">to recommend a dose for phase II. Secondary objectives included </w:t>
      </w:r>
      <w:r w:rsidR="00855CFB" w:rsidRPr="00477697">
        <w:rPr>
          <w:rFonts w:ascii="Arial" w:hAnsi="Arial" w:cs="Arial"/>
        </w:rPr>
        <w:t xml:space="preserve">characterising </w:t>
      </w:r>
      <w:r w:rsidR="00052EB6" w:rsidRPr="00477697">
        <w:rPr>
          <w:rFonts w:ascii="Arial" w:hAnsi="Arial" w:cs="Arial"/>
        </w:rPr>
        <w:t>adverse events (AEs), serious adverse events (SAEs),</w:t>
      </w:r>
      <w:r w:rsidR="004D0286" w:rsidRPr="00477697">
        <w:rPr>
          <w:rFonts w:ascii="Arial" w:hAnsi="Arial" w:cs="Arial"/>
        </w:rPr>
        <w:t xml:space="preserve"> cl</w:t>
      </w:r>
      <w:r w:rsidR="004D0286" w:rsidRPr="00477697">
        <w:rPr>
          <w:rFonts w:ascii="Arial" w:hAnsi="Arial" w:cs="Arial"/>
          <w:bCs/>
        </w:rPr>
        <w:t>inical outcomes (</w:t>
      </w:r>
      <w:r w:rsidR="004D0286" w:rsidRPr="00477697">
        <w:rPr>
          <w:rFonts w:ascii="Arial" w:hAnsi="Arial" w:cs="Arial"/>
        </w:rPr>
        <w:t xml:space="preserve">FLU-PRO, WHO </w:t>
      </w:r>
      <w:r w:rsidR="00B06A4B" w:rsidRPr="00477697">
        <w:rPr>
          <w:rFonts w:ascii="Arial" w:hAnsi="Arial" w:cs="Arial"/>
        </w:rPr>
        <w:t xml:space="preserve">Ordinal </w:t>
      </w:r>
      <w:r w:rsidR="004D0286" w:rsidRPr="00477697">
        <w:rPr>
          <w:rFonts w:ascii="Arial" w:hAnsi="Arial" w:cs="Arial"/>
        </w:rPr>
        <w:t>Scale, NEWS2 and mortality)</w:t>
      </w:r>
      <w:r w:rsidR="00043C0C" w:rsidRPr="00477697">
        <w:rPr>
          <w:rFonts w:ascii="Arial" w:hAnsi="Arial" w:cs="Arial"/>
        </w:rPr>
        <w:t xml:space="preserve"> as well as the</w:t>
      </w:r>
      <w:r w:rsidR="004D0286" w:rsidRPr="00477697">
        <w:rPr>
          <w:rFonts w:ascii="Arial" w:hAnsi="Arial" w:cs="Arial"/>
        </w:rPr>
        <w:t xml:space="preserve"> </w:t>
      </w:r>
      <w:r w:rsidR="00E01EEF" w:rsidRPr="00477697">
        <w:rPr>
          <w:rFonts w:ascii="Arial" w:hAnsi="Arial" w:cs="Arial"/>
        </w:rPr>
        <w:t xml:space="preserve">pharmacokinetics </w:t>
      </w:r>
      <w:r w:rsidR="00052EB6" w:rsidRPr="00477697">
        <w:rPr>
          <w:rFonts w:ascii="Arial" w:hAnsi="Arial" w:cs="Arial"/>
        </w:rPr>
        <w:t xml:space="preserve">of </w:t>
      </w:r>
      <w:r w:rsidR="00AF74BD" w:rsidRPr="00477697">
        <w:rPr>
          <w:rFonts w:ascii="Arial" w:hAnsi="Arial" w:cs="Arial"/>
        </w:rPr>
        <w:t>molnupiravir</w:t>
      </w:r>
      <w:r w:rsidR="009F059A" w:rsidRPr="00477697">
        <w:rPr>
          <w:rFonts w:ascii="Arial" w:hAnsi="Arial" w:cs="Arial"/>
        </w:rPr>
        <w:t xml:space="preserve"> and </w:t>
      </w:r>
      <w:r w:rsidR="00855CFB" w:rsidRPr="00477697">
        <w:rPr>
          <w:rFonts w:ascii="Arial" w:hAnsi="Arial" w:cs="Arial"/>
        </w:rPr>
        <w:t xml:space="preserve">its major metabolite </w:t>
      </w:r>
      <w:r w:rsidR="008F5743" w:rsidRPr="00477697">
        <w:rPr>
          <w:rFonts w:ascii="Arial" w:hAnsi="Arial" w:cs="Arial"/>
        </w:rPr>
        <w:t>EIDD-1931</w:t>
      </w:r>
      <w:r w:rsidR="00052EB6" w:rsidRPr="00477697">
        <w:rPr>
          <w:rFonts w:ascii="Arial" w:hAnsi="Arial" w:cs="Arial"/>
        </w:rPr>
        <w:t xml:space="preserve">. </w:t>
      </w:r>
    </w:p>
    <w:p w14:paraId="6B6A26F6" w14:textId="77777777" w:rsidR="00105A93" w:rsidRPr="00477697" w:rsidRDefault="00105A93" w:rsidP="007920C6">
      <w:pPr>
        <w:spacing w:after="0" w:line="480" w:lineRule="auto"/>
        <w:rPr>
          <w:rFonts w:ascii="Arial" w:hAnsi="Arial" w:cs="Arial"/>
          <w:b/>
        </w:rPr>
      </w:pPr>
      <w:r w:rsidRPr="00477697">
        <w:rPr>
          <w:rFonts w:ascii="Arial" w:hAnsi="Arial" w:cs="Arial"/>
          <w:b/>
        </w:rPr>
        <w:br w:type="page"/>
      </w:r>
    </w:p>
    <w:p w14:paraId="450BAB67" w14:textId="64FAA4F1"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lastRenderedPageBreak/>
        <w:t>METHODS</w:t>
      </w:r>
    </w:p>
    <w:p w14:paraId="6BBB5632" w14:textId="5553ADB5"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Study design</w:t>
      </w:r>
      <w:r w:rsidR="008F5367">
        <w:rPr>
          <w:rFonts w:ascii="Arial" w:hAnsi="Arial" w:cs="Arial"/>
          <w:b/>
          <w:color w:val="auto"/>
          <w:sz w:val="22"/>
          <w:szCs w:val="22"/>
        </w:rPr>
        <w:t>,</w:t>
      </w:r>
      <w:r w:rsidR="00762E2F" w:rsidRPr="00477697">
        <w:rPr>
          <w:rFonts w:ascii="Arial" w:hAnsi="Arial" w:cs="Arial"/>
          <w:b/>
          <w:color w:val="auto"/>
          <w:sz w:val="22"/>
          <w:szCs w:val="22"/>
        </w:rPr>
        <w:t xml:space="preserve"> Participants</w:t>
      </w:r>
      <w:r w:rsidR="008F5367">
        <w:rPr>
          <w:rFonts w:ascii="Arial" w:hAnsi="Arial" w:cs="Arial"/>
          <w:b/>
          <w:color w:val="auto"/>
          <w:sz w:val="22"/>
          <w:szCs w:val="22"/>
        </w:rPr>
        <w:t xml:space="preserve"> and Ethics</w:t>
      </w:r>
      <w:r w:rsidRPr="00477697">
        <w:rPr>
          <w:rFonts w:ascii="Arial" w:hAnsi="Arial" w:cs="Arial"/>
          <w:b/>
          <w:color w:val="auto"/>
          <w:sz w:val="22"/>
          <w:szCs w:val="22"/>
        </w:rPr>
        <w:t xml:space="preserve"> </w:t>
      </w:r>
    </w:p>
    <w:p w14:paraId="0AE6731F" w14:textId="3CA35B6D" w:rsidR="00762E2F" w:rsidRPr="00477697" w:rsidRDefault="00762E2F" w:rsidP="00477697">
      <w:pPr>
        <w:pStyle w:val="Default"/>
        <w:spacing w:line="480" w:lineRule="auto"/>
        <w:jc w:val="both"/>
        <w:rPr>
          <w:rFonts w:ascii="Arial" w:hAnsi="Arial" w:cs="Arial"/>
          <w:b/>
          <w:color w:val="auto"/>
          <w:sz w:val="22"/>
          <w:szCs w:val="22"/>
        </w:rPr>
      </w:pPr>
      <w:r w:rsidRPr="00477697">
        <w:rPr>
          <w:rFonts w:ascii="Arial" w:hAnsi="Arial" w:cs="Arial"/>
          <w:color w:val="221E1F"/>
          <w:sz w:val="22"/>
          <w:szCs w:val="22"/>
        </w:rPr>
        <w:t xml:space="preserve">This dose-escalation phase I study </w:t>
      </w:r>
      <w:r w:rsidR="0054457E" w:rsidRPr="00477697">
        <w:rPr>
          <w:rFonts w:ascii="Arial" w:hAnsi="Arial" w:cs="Arial"/>
          <w:sz w:val="22"/>
          <w:szCs w:val="22"/>
        </w:rPr>
        <w:t>(</w:t>
      </w:r>
      <w:r w:rsidR="007A1107">
        <w:rPr>
          <w:rFonts w:ascii="Arial" w:hAnsi="Arial" w:cs="Arial"/>
          <w:sz w:val="22"/>
          <w:szCs w:val="22"/>
        </w:rPr>
        <w:t xml:space="preserve">clinicaltrials.gov registration number </w:t>
      </w:r>
      <w:r w:rsidR="00302962" w:rsidRPr="00477697">
        <w:rPr>
          <w:rFonts w:ascii="Arial" w:hAnsi="Arial" w:cs="Arial"/>
          <w:sz w:val="22"/>
          <w:szCs w:val="22"/>
        </w:rPr>
        <w:t>NCT04746183</w:t>
      </w:r>
      <w:r w:rsidR="0054457E" w:rsidRPr="00477697">
        <w:rPr>
          <w:rFonts w:ascii="Arial" w:hAnsi="Arial" w:cs="Arial"/>
          <w:sz w:val="22"/>
          <w:szCs w:val="22"/>
        </w:rPr>
        <w:t xml:space="preserve">) </w:t>
      </w:r>
      <w:r w:rsidRPr="00477697">
        <w:rPr>
          <w:rFonts w:ascii="Arial" w:hAnsi="Arial" w:cs="Arial"/>
          <w:color w:val="221E1F"/>
          <w:sz w:val="22"/>
          <w:szCs w:val="22"/>
        </w:rPr>
        <w:t xml:space="preserve">was designed as an open label, randomised, controlled </w:t>
      </w:r>
      <w:r w:rsidR="00515E64" w:rsidRPr="00477697">
        <w:rPr>
          <w:rFonts w:ascii="Arial" w:hAnsi="Arial" w:cs="Arial"/>
          <w:color w:val="221E1F"/>
          <w:sz w:val="22"/>
          <w:szCs w:val="22"/>
        </w:rPr>
        <w:t xml:space="preserve">Bayesian adaptive </w:t>
      </w:r>
      <w:r w:rsidRPr="00477697">
        <w:rPr>
          <w:rFonts w:ascii="Arial" w:hAnsi="Arial" w:cs="Arial"/>
          <w:color w:val="221E1F"/>
          <w:sz w:val="22"/>
          <w:szCs w:val="22"/>
        </w:rPr>
        <w:t xml:space="preserve">trial in adult early </w:t>
      </w:r>
      <w:r w:rsidR="00894EE7" w:rsidRPr="00477697">
        <w:rPr>
          <w:rFonts w:ascii="Arial" w:hAnsi="Arial" w:cs="Arial"/>
          <w:color w:val="221E1F"/>
          <w:sz w:val="22"/>
          <w:szCs w:val="22"/>
        </w:rPr>
        <w:t>infection</w:t>
      </w:r>
      <w:r w:rsidRPr="00477697">
        <w:rPr>
          <w:rFonts w:ascii="Arial" w:hAnsi="Arial" w:cs="Arial"/>
          <w:color w:val="221E1F"/>
          <w:sz w:val="22"/>
          <w:szCs w:val="22"/>
        </w:rPr>
        <w:t xml:space="preserve"> in the community, </w:t>
      </w:r>
      <w:r w:rsidR="0040031D" w:rsidRPr="00477697">
        <w:rPr>
          <w:rFonts w:ascii="Arial" w:hAnsi="Arial" w:cs="Arial"/>
          <w:color w:val="221E1F"/>
          <w:sz w:val="22"/>
          <w:szCs w:val="22"/>
        </w:rPr>
        <w:t xml:space="preserve">coordinated by the </w:t>
      </w:r>
      <w:r w:rsidR="0040031D" w:rsidRPr="00477697">
        <w:rPr>
          <w:rFonts w:ascii="Arial" w:hAnsi="Arial" w:cs="Arial"/>
          <w:sz w:val="22"/>
          <w:szCs w:val="22"/>
        </w:rPr>
        <w:t>National Institute for Health Research (N</w:t>
      </w:r>
      <w:r w:rsidR="00C91314" w:rsidRPr="00477697">
        <w:rPr>
          <w:rFonts w:ascii="Arial" w:hAnsi="Arial" w:cs="Arial"/>
          <w:sz w:val="22"/>
          <w:szCs w:val="22"/>
        </w:rPr>
        <w:t>I</w:t>
      </w:r>
      <w:r w:rsidR="0040031D" w:rsidRPr="00477697">
        <w:rPr>
          <w:rFonts w:ascii="Arial" w:hAnsi="Arial" w:cs="Arial"/>
          <w:sz w:val="22"/>
          <w:szCs w:val="22"/>
        </w:rPr>
        <w:t xml:space="preserve">HR) Southampton Clinical Trials Unit with participants recruited into the NIHR Royal Liverpool and Broadgreen Clinical Research Facility (UK). </w:t>
      </w:r>
      <w:r w:rsidRPr="00477697">
        <w:rPr>
          <w:rFonts w:ascii="Arial" w:hAnsi="Arial" w:cs="Arial"/>
          <w:color w:val="221E1F"/>
          <w:sz w:val="22"/>
          <w:szCs w:val="22"/>
        </w:rPr>
        <w:t xml:space="preserve">Eligible participants were men and women aged </w:t>
      </w:r>
      <w:r w:rsidR="005548C2" w:rsidRPr="00477697">
        <w:rPr>
          <w:rFonts w:ascii="Arial" w:hAnsi="Arial" w:cs="Arial"/>
          <w:color w:val="221E1F"/>
          <w:sz w:val="22"/>
          <w:szCs w:val="22"/>
        </w:rPr>
        <w:t>≥</w:t>
      </w:r>
      <w:r w:rsidR="0040031D" w:rsidRPr="00477697">
        <w:rPr>
          <w:rFonts w:ascii="Arial" w:hAnsi="Arial" w:cs="Arial"/>
          <w:color w:val="221E1F"/>
          <w:sz w:val="22"/>
          <w:szCs w:val="22"/>
        </w:rPr>
        <w:t xml:space="preserve">18 </w:t>
      </w:r>
      <w:r w:rsidRPr="00477697">
        <w:rPr>
          <w:rFonts w:ascii="Arial" w:hAnsi="Arial" w:cs="Arial"/>
          <w:color w:val="221E1F"/>
          <w:sz w:val="22"/>
          <w:szCs w:val="22"/>
        </w:rPr>
        <w:t xml:space="preserve">years </w:t>
      </w:r>
      <w:r w:rsidR="0040031D" w:rsidRPr="00477697">
        <w:rPr>
          <w:rFonts w:ascii="Arial" w:hAnsi="Arial" w:cs="Arial"/>
          <w:sz w:val="22"/>
          <w:szCs w:val="22"/>
        </w:rPr>
        <w:t xml:space="preserve">with </w:t>
      </w:r>
      <w:r w:rsidR="000F5AE3" w:rsidRPr="00477697">
        <w:rPr>
          <w:rFonts w:ascii="Arial" w:hAnsi="Arial" w:cs="Arial"/>
          <w:sz w:val="22"/>
          <w:szCs w:val="22"/>
        </w:rPr>
        <w:t>PCR</w:t>
      </w:r>
      <w:r w:rsidR="0040031D" w:rsidRPr="00477697">
        <w:rPr>
          <w:rFonts w:ascii="Arial" w:hAnsi="Arial" w:cs="Arial"/>
          <w:sz w:val="22"/>
          <w:szCs w:val="22"/>
        </w:rPr>
        <w:t>-confir</w:t>
      </w:r>
      <w:r w:rsidR="00032430" w:rsidRPr="00477697">
        <w:rPr>
          <w:rFonts w:ascii="Arial" w:hAnsi="Arial" w:cs="Arial"/>
          <w:sz w:val="22"/>
          <w:szCs w:val="22"/>
        </w:rPr>
        <w:t>med SARS-CoV-2 infection who were</w:t>
      </w:r>
      <w:r w:rsidR="0040031D" w:rsidRPr="00477697">
        <w:rPr>
          <w:rFonts w:ascii="Arial" w:hAnsi="Arial" w:cs="Arial"/>
          <w:sz w:val="22"/>
          <w:szCs w:val="22"/>
        </w:rPr>
        <w:t xml:space="preserve"> within 5 days of symptom onset</w:t>
      </w:r>
      <w:r w:rsidR="00474C39" w:rsidRPr="00477697">
        <w:rPr>
          <w:rFonts w:ascii="Arial" w:hAnsi="Arial" w:cs="Arial"/>
          <w:sz w:val="22"/>
          <w:szCs w:val="22"/>
        </w:rPr>
        <w:t>,</w:t>
      </w:r>
      <w:r w:rsidR="0040031D" w:rsidRPr="00477697">
        <w:rPr>
          <w:rFonts w:ascii="Arial" w:hAnsi="Arial" w:cs="Arial"/>
          <w:sz w:val="22"/>
          <w:szCs w:val="22"/>
        </w:rPr>
        <w:t xml:space="preserve"> free of uncontrolled chronic conditions</w:t>
      </w:r>
      <w:r w:rsidR="00474C39" w:rsidRPr="00477697">
        <w:rPr>
          <w:rFonts w:ascii="Arial" w:hAnsi="Arial" w:cs="Arial"/>
          <w:sz w:val="22"/>
          <w:szCs w:val="22"/>
        </w:rPr>
        <w:t>, and ambulant in the community with mild or moderate disease</w:t>
      </w:r>
      <w:r w:rsidR="0071474A">
        <w:rPr>
          <w:rFonts w:ascii="Arial" w:hAnsi="Arial" w:cs="Arial"/>
          <w:sz w:val="22"/>
          <w:szCs w:val="22"/>
        </w:rPr>
        <w:t xml:space="preserve"> (see eligibility below)</w:t>
      </w:r>
      <w:r w:rsidR="0040031D" w:rsidRPr="00477697">
        <w:rPr>
          <w:rFonts w:ascii="Arial" w:hAnsi="Arial" w:cs="Arial"/>
          <w:sz w:val="22"/>
          <w:szCs w:val="22"/>
        </w:rPr>
        <w:t xml:space="preserve">. </w:t>
      </w:r>
      <w:r w:rsidR="00C91314" w:rsidRPr="00477697">
        <w:rPr>
          <w:rFonts w:ascii="Arial" w:hAnsi="Arial" w:cs="Arial"/>
          <w:sz w:val="22"/>
          <w:szCs w:val="22"/>
        </w:rPr>
        <w:t xml:space="preserve">Women of childbearing potential and </w:t>
      </w:r>
      <w:r w:rsidR="00B40B74" w:rsidRPr="00477697">
        <w:rPr>
          <w:rFonts w:ascii="Arial" w:hAnsi="Arial" w:cs="Arial"/>
          <w:sz w:val="22"/>
          <w:szCs w:val="22"/>
        </w:rPr>
        <w:t xml:space="preserve">men </w:t>
      </w:r>
      <w:r w:rsidR="006A246F" w:rsidRPr="00477697">
        <w:rPr>
          <w:rFonts w:ascii="Arial" w:hAnsi="Arial" w:cs="Arial"/>
          <w:sz w:val="22"/>
          <w:szCs w:val="22"/>
        </w:rPr>
        <w:t xml:space="preserve">were required </w:t>
      </w:r>
      <w:r w:rsidR="00C91314" w:rsidRPr="00477697">
        <w:rPr>
          <w:rFonts w:ascii="Arial" w:hAnsi="Arial" w:cs="Arial"/>
          <w:sz w:val="22"/>
          <w:szCs w:val="22"/>
        </w:rPr>
        <w:t xml:space="preserve">to use two effective methods of contraception, one of which should be highly effective, throughout the study </w:t>
      </w:r>
      <w:r w:rsidR="006A246F" w:rsidRPr="00477697">
        <w:rPr>
          <w:rFonts w:ascii="Arial" w:hAnsi="Arial" w:cs="Arial"/>
          <w:sz w:val="22"/>
          <w:szCs w:val="22"/>
        </w:rPr>
        <w:t xml:space="preserve">and for </w:t>
      </w:r>
      <w:r w:rsidR="00C6044D" w:rsidRPr="00477697">
        <w:rPr>
          <w:rFonts w:ascii="Arial" w:hAnsi="Arial" w:cs="Arial"/>
          <w:sz w:val="22"/>
          <w:szCs w:val="22"/>
        </w:rPr>
        <w:t xml:space="preserve">50 days and </w:t>
      </w:r>
      <w:r w:rsidR="006A246F" w:rsidRPr="00477697">
        <w:rPr>
          <w:rFonts w:ascii="Arial" w:hAnsi="Arial" w:cs="Arial"/>
          <w:sz w:val="22"/>
          <w:szCs w:val="22"/>
        </w:rPr>
        <w:t>100 days thereafter</w:t>
      </w:r>
      <w:r w:rsidR="00C6044D" w:rsidRPr="00477697">
        <w:rPr>
          <w:rFonts w:ascii="Arial" w:hAnsi="Arial" w:cs="Arial"/>
          <w:sz w:val="22"/>
          <w:szCs w:val="22"/>
        </w:rPr>
        <w:t xml:space="preserve"> respectively</w:t>
      </w:r>
      <w:r w:rsidR="00C91314" w:rsidRPr="00477697">
        <w:rPr>
          <w:rFonts w:ascii="Arial" w:hAnsi="Arial" w:cs="Arial"/>
          <w:sz w:val="22"/>
          <w:szCs w:val="22"/>
        </w:rPr>
        <w:t xml:space="preserve">. </w:t>
      </w:r>
      <w:r w:rsidRPr="00477697">
        <w:rPr>
          <w:rFonts w:ascii="Arial" w:hAnsi="Arial" w:cs="Arial"/>
          <w:color w:val="221E1F"/>
          <w:sz w:val="22"/>
          <w:szCs w:val="22"/>
        </w:rPr>
        <w:t xml:space="preserve">Any of the following criteria excluded participants from </w:t>
      </w:r>
      <w:r w:rsidR="00EC4812" w:rsidRPr="00477697">
        <w:rPr>
          <w:rFonts w:ascii="Arial" w:hAnsi="Arial" w:cs="Arial"/>
          <w:color w:val="221E1F"/>
          <w:sz w:val="22"/>
          <w:szCs w:val="22"/>
        </w:rPr>
        <w:t xml:space="preserve">the study: pregnant or breast feeding </w:t>
      </w:r>
      <w:r w:rsidRPr="00477697">
        <w:rPr>
          <w:rFonts w:ascii="Arial" w:hAnsi="Arial" w:cs="Arial"/>
          <w:color w:val="221E1F"/>
          <w:sz w:val="22"/>
          <w:szCs w:val="22"/>
        </w:rPr>
        <w:t xml:space="preserve">women, </w:t>
      </w:r>
      <w:r w:rsidR="004F1DB9" w:rsidRPr="00477697">
        <w:rPr>
          <w:rFonts w:ascii="Arial" w:hAnsi="Arial" w:cs="Arial"/>
          <w:color w:val="221E1F"/>
          <w:sz w:val="22"/>
          <w:szCs w:val="22"/>
        </w:rPr>
        <w:t>stage 4 (severe) chronic kidney disease, clinically significant liver dysfunction, SpO2 &lt;95% by oximetry or lung disease requiring supplementary oxygen, ALT and/or AST &gt; 5 times upper limit of normal</w:t>
      </w:r>
      <w:r w:rsidR="004F1DB9" w:rsidRPr="00477697" w:rsidDel="004F1DB9">
        <w:rPr>
          <w:rFonts w:ascii="Arial" w:hAnsi="Arial" w:cs="Arial"/>
          <w:color w:val="221E1F"/>
          <w:sz w:val="22"/>
          <w:szCs w:val="22"/>
        </w:rPr>
        <w:t xml:space="preserve"> </w:t>
      </w:r>
      <w:r w:rsidR="00EC4812" w:rsidRPr="00477697">
        <w:rPr>
          <w:rFonts w:ascii="Arial" w:hAnsi="Arial" w:cs="Arial"/>
          <w:color w:val="221E1F"/>
          <w:sz w:val="22"/>
          <w:szCs w:val="22"/>
        </w:rPr>
        <w:t>, plat</w:t>
      </w:r>
      <w:r w:rsidR="005A118A" w:rsidRPr="00477697">
        <w:rPr>
          <w:rFonts w:ascii="Arial" w:hAnsi="Arial" w:cs="Arial"/>
          <w:color w:val="221E1F"/>
          <w:sz w:val="22"/>
          <w:szCs w:val="22"/>
        </w:rPr>
        <w:t>e</w:t>
      </w:r>
      <w:r w:rsidR="00EC4812" w:rsidRPr="00477697">
        <w:rPr>
          <w:rFonts w:ascii="Arial" w:hAnsi="Arial" w:cs="Arial"/>
          <w:color w:val="221E1F"/>
          <w:sz w:val="22"/>
          <w:szCs w:val="22"/>
        </w:rPr>
        <w:t>lets &lt;50x10</w:t>
      </w:r>
      <w:r w:rsidR="00EC4812" w:rsidRPr="00477697">
        <w:rPr>
          <w:rFonts w:ascii="Arial" w:hAnsi="Arial" w:cs="Arial"/>
          <w:color w:val="221E1F"/>
          <w:sz w:val="22"/>
          <w:szCs w:val="22"/>
        </w:rPr>
        <w:noBreakHyphen/>
        <w:t xml:space="preserve">9/L, experiencing any &gt;= Grade 3 </w:t>
      </w:r>
      <w:r w:rsidR="00235A9C">
        <w:rPr>
          <w:rFonts w:ascii="Arial" w:hAnsi="Arial" w:cs="Arial"/>
          <w:color w:val="221E1F"/>
          <w:sz w:val="22"/>
          <w:szCs w:val="22"/>
        </w:rPr>
        <w:t>Common Terminology Criteria for Adverse Events (</w:t>
      </w:r>
      <w:r w:rsidR="00EC4812" w:rsidRPr="00477697">
        <w:rPr>
          <w:rFonts w:ascii="Arial" w:hAnsi="Arial" w:cs="Arial"/>
          <w:color w:val="221E1F"/>
          <w:sz w:val="22"/>
          <w:szCs w:val="22"/>
        </w:rPr>
        <w:t>CTCAE v5</w:t>
      </w:r>
      <w:r w:rsidR="00235A9C">
        <w:rPr>
          <w:rFonts w:ascii="Arial" w:hAnsi="Arial" w:cs="Arial"/>
          <w:color w:val="221E1F"/>
          <w:sz w:val="22"/>
          <w:szCs w:val="22"/>
        </w:rPr>
        <w:t>)</w:t>
      </w:r>
      <w:r w:rsidR="00EC4812" w:rsidRPr="00477697">
        <w:rPr>
          <w:rFonts w:ascii="Arial" w:hAnsi="Arial" w:cs="Arial"/>
          <w:color w:val="221E1F"/>
          <w:sz w:val="22"/>
          <w:szCs w:val="22"/>
        </w:rPr>
        <w:t>, previous</w:t>
      </w:r>
      <w:r w:rsidR="0054457E" w:rsidRPr="00477697">
        <w:rPr>
          <w:rFonts w:ascii="Arial" w:hAnsi="Arial" w:cs="Arial"/>
          <w:color w:val="221E1F"/>
          <w:sz w:val="22"/>
          <w:szCs w:val="22"/>
        </w:rPr>
        <w:t>ly reported</w:t>
      </w:r>
      <w:r w:rsidR="00EC4812" w:rsidRPr="00477697">
        <w:rPr>
          <w:rFonts w:ascii="Arial" w:hAnsi="Arial" w:cs="Arial"/>
          <w:color w:val="221E1F"/>
          <w:sz w:val="22"/>
          <w:szCs w:val="22"/>
        </w:rPr>
        <w:t xml:space="preserve"> </w:t>
      </w:r>
      <w:r w:rsidR="00DC17EF" w:rsidRPr="00477697">
        <w:rPr>
          <w:rFonts w:ascii="Arial" w:hAnsi="Arial" w:cs="Arial"/>
          <w:color w:val="221E1F"/>
          <w:sz w:val="22"/>
          <w:szCs w:val="22"/>
        </w:rPr>
        <w:t>h</w:t>
      </w:r>
      <w:r w:rsidR="007613B3" w:rsidRPr="00477697">
        <w:rPr>
          <w:rFonts w:ascii="Arial" w:hAnsi="Arial" w:cs="Arial"/>
          <w:color w:val="221E1F"/>
          <w:sz w:val="22"/>
          <w:szCs w:val="22"/>
        </w:rPr>
        <w:t>epatitis</w:t>
      </w:r>
      <w:r w:rsidR="00EC4812" w:rsidRPr="00477697">
        <w:rPr>
          <w:rFonts w:ascii="Arial" w:hAnsi="Arial" w:cs="Arial"/>
          <w:color w:val="221E1F"/>
          <w:sz w:val="22"/>
          <w:szCs w:val="22"/>
        </w:rPr>
        <w:t xml:space="preserve"> C infection, known allergy to any study medication or having received any other experimental agents with</w:t>
      </w:r>
      <w:r w:rsidR="005A118A" w:rsidRPr="00477697">
        <w:rPr>
          <w:rFonts w:ascii="Arial" w:hAnsi="Arial" w:cs="Arial"/>
          <w:color w:val="221E1F"/>
          <w:sz w:val="22"/>
          <w:szCs w:val="22"/>
        </w:rPr>
        <w:t>in</w:t>
      </w:r>
      <w:r w:rsidR="00EC4812" w:rsidRPr="00477697">
        <w:rPr>
          <w:rFonts w:ascii="Arial" w:hAnsi="Arial" w:cs="Arial"/>
          <w:color w:val="221E1F"/>
          <w:sz w:val="22"/>
          <w:szCs w:val="22"/>
        </w:rPr>
        <w:t xml:space="preserve"> 30 days of first dose of study drug</w:t>
      </w:r>
      <w:r w:rsidR="0060571C">
        <w:rPr>
          <w:rFonts w:ascii="Arial" w:hAnsi="Arial" w:cs="Arial"/>
          <w:color w:val="221E1F"/>
          <w:sz w:val="22"/>
          <w:szCs w:val="22"/>
        </w:rPr>
        <w:t xml:space="preserve"> (use of other comedications was allowed)</w:t>
      </w:r>
      <w:r w:rsidR="00EC4812" w:rsidRPr="00477697">
        <w:rPr>
          <w:rFonts w:ascii="Arial" w:hAnsi="Arial" w:cs="Arial"/>
          <w:color w:val="221E1F"/>
          <w:sz w:val="22"/>
          <w:szCs w:val="22"/>
        </w:rPr>
        <w:t xml:space="preserve">. </w:t>
      </w:r>
      <w:r w:rsidRPr="00477697">
        <w:rPr>
          <w:rFonts w:ascii="Arial" w:hAnsi="Arial" w:cs="Arial"/>
          <w:color w:val="221E1F"/>
          <w:sz w:val="22"/>
          <w:szCs w:val="22"/>
        </w:rPr>
        <w:t xml:space="preserve">All participants provided written informed consent before enrolment. The study protocol was reviewed and approved by the </w:t>
      </w:r>
      <w:r w:rsidR="005A118A" w:rsidRPr="00477697">
        <w:rPr>
          <w:rFonts w:ascii="Arial" w:hAnsi="Arial" w:cs="Arial"/>
          <w:color w:val="221E1F"/>
          <w:sz w:val="22"/>
          <w:szCs w:val="22"/>
        </w:rPr>
        <w:t>UK Medicines and Healthcare product Regulatory Agency (MHRA)</w:t>
      </w:r>
      <w:r w:rsidR="008F5367">
        <w:rPr>
          <w:rFonts w:ascii="Arial" w:hAnsi="Arial" w:cs="Arial"/>
          <w:color w:val="221E1F"/>
          <w:sz w:val="22"/>
          <w:szCs w:val="22"/>
        </w:rPr>
        <w:t>(EudraCT 2020-001860-27)</w:t>
      </w:r>
      <w:r w:rsidR="005A118A" w:rsidRPr="00477697">
        <w:rPr>
          <w:rFonts w:ascii="Arial" w:hAnsi="Arial" w:cs="Arial"/>
          <w:color w:val="221E1F"/>
          <w:sz w:val="22"/>
          <w:szCs w:val="22"/>
        </w:rPr>
        <w:t xml:space="preserve"> and </w:t>
      </w:r>
      <w:r w:rsidR="000F5AE3" w:rsidRPr="00477697">
        <w:rPr>
          <w:rFonts w:ascii="Arial" w:hAnsi="Arial" w:cs="Arial"/>
          <w:color w:val="221E1F"/>
          <w:sz w:val="22"/>
          <w:szCs w:val="22"/>
        </w:rPr>
        <w:t xml:space="preserve">West Midlands Edgbaston Research Ethics </w:t>
      </w:r>
      <w:r w:rsidR="005A118A" w:rsidRPr="00477697">
        <w:rPr>
          <w:rFonts w:ascii="Arial" w:hAnsi="Arial" w:cs="Arial"/>
          <w:color w:val="221E1F"/>
          <w:sz w:val="22"/>
          <w:szCs w:val="22"/>
        </w:rPr>
        <w:t>Committee</w:t>
      </w:r>
      <w:r w:rsidR="008F5367">
        <w:rPr>
          <w:rFonts w:ascii="Arial" w:hAnsi="Arial" w:cs="Arial"/>
          <w:color w:val="221E1F"/>
          <w:sz w:val="22"/>
          <w:szCs w:val="22"/>
        </w:rPr>
        <w:t xml:space="preserve"> (20/WM/0136)</w:t>
      </w:r>
      <w:r w:rsidRPr="00477697">
        <w:rPr>
          <w:rFonts w:ascii="Arial" w:hAnsi="Arial" w:cs="Arial"/>
          <w:color w:val="221E1F"/>
          <w:sz w:val="22"/>
          <w:szCs w:val="22"/>
        </w:rPr>
        <w:t>.</w:t>
      </w:r>
    </w:p>
    <w:p w14:paraId="45DB33E5" w14:textId="77777777" w:rsidR="00153178" w:rsidRPr="00477697" w:rsidRDefault="00153178" w:rsidP="00477697">
      <w:pPr>
        <w:pStyle w:val="Default"/>
        <w:spacing w:line="480" w:lineRule="auto"/>
        <w:jc w:val="both"/>
        <w:rPr>
          <w:rFonts w:ascii="Arial" w:hAnsi="Arial" w:cs="Arial"/>
          <w:b/>
          <w:color w:val="auto"/>
          <w:sz w:val="22"/>
          <w:szCs w:val="22"/>
        </w:rPr>
      </w:pPr>
    </w:p>
    <w:p w14:paraId="0562A48C" w14:textId="77777777"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 xml:space="preserve">Randomisation and masking </w:t>
      </w:r>
    </w:p>
    <w:p w14:paraId="344F45DC" w14:textId="00103092" w:rsidR="00153178" w:rsidRPr="00477697" w:rsidRDefault="005548C2" w:rsidP="00477697">
      <w:pPr>
        <w:pStyle w:val="Default"/>
        <w:spacing w:line="480" w:lineRule="auto"/>
        <w:jc w:val="both"/>
        <w:rPr>
          <w:rFonts w:ascii="Arial" w:hAnsi="Arial" w:cs="Arial"/>
          <w:color w:val="000000" w:themeColor="text1"/>
          <w:sz w:val="22"/>
          <w:szCs w:val="22"/>
        </w:rPr>
      </w:pPr>
      <w:r w:rsidRPr="00477697">
        <w:rPr>
          <w:rFonts w:ascii="Arial" w:hAnsi="Arial" w:cs="Arial"/>
          <w:color w:val="221E1F"/>
          <w:sz w:val="22"/>
          <w:szCs w:val="22"/>
        </w:rPr>
        <w:t>Four</w:t>
      </w:r>
      <w:r w:rsidR="003476A0" w:rsidRPr="00477697">
        <w:rPr>
          <w:rFonts w:ascii="Arial" w:hAnsi="Arial" w:cs="Arial"/>
          <w:color w:val="221E1F"/>
          <w:sz w:val="22"/>
          <w:szCs w:val="22"/>
        </w:rPr>
        <w:t xml:space="preserve"> </w:t>
      </w:r>
      <w:r w:rsidR="00D86199" w:rsidRPr="00477697">
        <w:rPr>
          <w:rFonts w:ascii="Arial" w:hAnsi="Arial" w:cs="Arial"/>
          <w:color w:val="221E1F"/>
          <w:sz w:val="22"/>
          <w:szCs w:val="22"/>
        </w:rPr>
        <w:t xml:space="preserve">sequential molnupiravir </w:t>
      </w:r>
      <w:r w:rsidR="003476A0" w:rsidRPr="00477697">
        <w:rPr>
          <w:rFonts w:ascii="Arial" w:hAnsi="Arial" w:cs="Arial"/>
          <w:color w:val="221E1F"/>
          <w:sz w:val="22"/>
          <w:szCs w:val="22"/>
        </w:rPr>
        <w:t xml:space="preserve">dosing tiers were defined </w:t>
      </w:r>
      <w:r w:rsidR="003476A0" w:rsidRPr="00477697">
        <w:rPr>
          <w:rFonts w:ascii="Arial" w:hAnsi="Arial" w:cs="Arial"/>
          <w:i/>
          <w:iCs/>
          <w:color w:val="221E1F"/>
          <w:sz w:val="22"/>
          <w:szCs w:val="22"/>
        </w:rPr>
        <w:t>a priori</w:t>
      </w:r>
      <w:r w:rsidR="003476A0" w:rsidRPr="00477697">
        <w:rPr>
          <w:rFonts w:ascii="Arial" w:hAnsi="Arial" w:cs="Arial"/>
          <w:color w:val="221E1F"/>
          <w:sz w:val="22"/>
          <w:szCs w:val="22"/>
        </w:rPr>
        <w:t xml:space="preserve"> (</w:t>
      </w:r>
      <w:r w:rsidR="00240F8E" w:rsidRPr="00477697">
        <w:rPr>
          <w:rFonts w:ascii="Arial" w:hAnsi="Arial" w:cs="Arial"/>
          <w:color w:val="221E1F"/>
          <w:sz w:val="22"/>
          <w:szCs w:val="22"/>
        </w:rPr>
        <w:t xml:space="preserve">300mg, </w:t>
      </w:r>
      <w:r w:rsidRPr="00477697">
        <w:rPr>
          <w:rFonts w:ascii="Arial" w:hAnsi="Arial" w:cs="Arial"/>
          <w:color w:val="221E1F"/>
          <w:sz w:val="22"/>
          <w:szCs w:val="22"/>
        </w:rPr>
        <w:t xml:space="preserve">400mg, </w:t>
      </w:r>
      <w:r w:rsidR="00323802" w:rsidRPr="00477697">
        <w:rPr>
          <w:rFonts w:ascii="Arial" w:hAnsi="Arial" w:cs="Arial"/>
          <w:color w:val="221E1F"/>
          <w:sz w:val="22"/>
          <w:szCs w:val="22"/>
        </w:rPr>
        <w:t>600mg and 800mg</w:t>
      </w:r>
      <w:r w:rsidR="003476A0" w:rsidRPr="00477697">
        <w:rPr>
          <w:rFonts w:ascii="Arial" w:hAnsi="Arial" w:cs="Arial"/>
          <w:color w:val="221E1F"/>
          <w:sz w:val="22"/>
          <w:szCs w:val="22"/>
        </w:rPr>
        <w:t xml:space="preserve"> </w:t>
      </w:r>
      <w:r w:rsidR="00CA57BA" w:rsidRPr="00477697">
        <w:rPr>
          <w:rFonts w:ascii="Arial" w:hAnsi="Arial" w:cs="Arial"/>
          <w:color w:val="221E1F"/>
          <w:sz w:val="22"/>
          <w:szCs w:val="22"/>
        </w:rPr>
        <w:t>BD</w:t>
      </w:r>
      <w:r w:rsidR="003476A0" w:rsidRPr="00477697">
        <w:rPr>
          <w:rFonts w:ascii="Arial" w:hAnsi="Arial" w:cs="Arial"/>
          <w:color w:val="221E1F"/>
          <w:sz w:val="22"/>
          <w:szCs w:val="22"/>
        </w:rPr>
        <w:t xml:space="preserve"> for 5 days</w:t>
      </w:r>
      <w:r w:rsidR="00153178" w:rsidRPr="00477697">
        <w:rPr>
          <w:rFonts w:ascii="Arial" w:hAnsi="Arial" w:cs="Arial"/>
          <w:color w:val="221E1F"/>
          <w:sz w:val="22"/>
          <w:szCs w:val="22"/>
        </w:rPr>
        <w:t>)</w:t>
      </w:r>
      <w:r w:rsidR="003476A0" w:rsidRPr="00477697">
        <w:rPr>
          <w:rFonts w:ascii="Arial" w:hAnsi="Arial" w:cs="Arial"/>
          <w:color w:val="221E1F"/>
          <w:sz w:val="22"/>
          <w:szCs w:val="22"/>
        </w:rPr>
        <w:t xml:space="preserve"> with p</w:t>
      </w:r>
      <w:r w:rsidR="00153178" w:rsidRPr="00477697">
        <w:rPr>
          <w:rFonts w:ascii="Arial" w:hAnsi="Arial" w:cs="Arial"/>
          <w:color w:val="221E1F"/>
          <w:sz w:val="22"/>
          <w:szCs w:val="22"/>
        </w:rPr>
        <w:t xml:space="preserve">articipants allocated using </w:t>
      </w:r>
      <w:r w:rsidR="00153178" w:rsidRPr="00477697">
        <w:rPr>
          <w:rFonts w:ascii="Arial" w:hAnsi="Arial" w:cs="Arial"/>
          <w:sz w:val="22"/>
          <w:szCs w:val="22"/>
        </w:rPr>
        <w:t>permuted blocks</w:t>
      </w:r>
      <w:r w:rsidR="00515E64" w:rsidRPr="00477697">
        <w:rPr>
          <w:rFonts w:ascii="Arial" w:hAnsi="Arial" w:cs="Arial"/>
          <w:sz w:val="22"/>
          <w:szCs w:val="22"/>
        </w:rPr>
        <w:t xml:space="preserve"> (block size 3, with no further stratification factors</w:t>
      </w:r>
      <w:r w:rsidR="004A141A" w:rsidRPr="00477697">
        <w:rPr>
          <w:rFonts w:ascii="Arial" w:hAnsi="Arial" w:cs="Arial"/>
          <w:sz w:val="22"/>
          <w:szCs w:val="22"/>
        </w:rPr>
        <w:t>, generated by NIHR Southampton CTU statisticians</w:t>
      </w:r>
      <w:r w:rsidR="00515E64" w:rsidRPr="00477697">
        <w:rPr>
          <w:rFonts w:ascii="Arial" w:hAnsi="Arial" w:cs="Arial"/>
          <w:sz w:val="22"/>
          <w:szCs w:val="22"/>
        </w:rPr>
        <w:t>)</w:t>
      </w:r>
      <w:r w:rsidR="00153178" w:rsidRPr="00477697">
        <w:rPr>
          <w:rFonts w:ascii="Arial" w:hAnsi="Arial" w:cs="Arial"/>
          <w:sz w:val="22"/>
          <w:szCs w:val="22"/>
        </w:rPr>
        <w:t xml:space="preserve"> </w:t>
      </w:r>
      <w:r w:rsidR="004A141A" w:rsidRPr="00477697">
        <w:rPr>
          <w:rFonts w:ascii="Arial" w:hAnsi="Arial" w:cs="Arial"/>
          <w:sz w:val="22"/>
          <w:szCs w:val="22"/>
        </w:rPr>
        <w:t xml:space="preserve">via MEDIDATA RAVE. </w:t>
      </w:r>
      <w:r w:rsidR="00E258E6" w:rsidRPr="00477697">
        <w:rPr>
          <w:rFonts w:ascii="Arial" w:hAnsi="Arial" w:cs="Arial"/>
          <w:sz w:val="22"/>
          <w:szCs w:val="22"/>
        </w:rPr>
        <w:t xml:space="preserve"> </w:t>
      </w:r>
      <w:r w:rsidR="004A141A" w:rsidRPr="00477697">
        <w:rPr>
          <w:rFonts w:ascii="Arial" w:hAnsi="Arial" w:cs="Arial"/>
          <w:sz w:val="22"/>
          <w:szCs w:val="22"/>
        </w:rPr>
        <w:t xml:space="preserve">Randomisation </w:t>
      </w:r>
      <w:r w:rsidR="004A141A" w:rsidRPr="00477697">
        <w:rPr>
          <w:rFonts w:ascii="Arial" w:hAnsi="Arial" w:cs="Arial"/>
          <w:color w:val="221E1F"/>
          <w:sz w:val="22"/>
          <w:szCs w:val="22"/>
        </w:rPr>
        <w:t>used</w:t>
      </w:r>
      <w:r w:rsidR="00153178" w:rsidRPr="00477697">
        <w:rPr>
          <w:rFonts w:ascii="Arial" w:hAnsi="Arial" w:cs="Arial"/>
          <w:color w:val="221E1F"/>
          <w:sz w:val="22"/>
          <w:szCs w:val="22"/>
        </w:rPr>
        <w:t xml:space="preserve"> a 2:1 allocation ratio so that within each cohort</w:t>
      </w:r>
      <w:r w:rsidR="00032430" w:rsidRPr="00477697">
        <w:rPr>
          <w:rFonts w:ascii="Arial" w:hAnsi="Arial" w:cs="Arial"/>
          <w:color w:val="221E1F"/>
          <w:sz w:val="22"/>
          <w:szCs w:val="22"/>
        </w:rPr>
        <w:t>,</w:t>
      </w:r>
      <w:r w:rsidR="00153178" w:rsidRPr="00477697">
        <w:rPr>
          <w:rFonts w:ascii="Arial" w:hAnsi="Arial" w:cs="Arial"/>
          <w:color w:val="221E1F"/>
          <w:sz w:val="22"/>
          <w:szCs w:val="22"/>
        </w:rPr>
        <w:t xml:space="preserve"> 4 participants were r</w:t>
      </w:r>
      <w:r w:rsidR="006A03BB" w:rsidRPr="00477697">
        <w:rPr>
          <w:rFonts w:ascii="Arial" w:hAnsi="Arial" w:cs="Arial"/>
          <w:color w:val="221E1F"/>
          <w:sz w:val="22"/>
          <w:szCs w:val="22"/>
        </w:rPr>
        <w:t xml:space="preserve">andomly assigned to receive </w:t>
      </w:r>
      <w:r w:rsidR="00AF74BD" w:rsidRPr="00477697">
        <w:rPr>
          <w:rFonts w:ascii="Arial" w:hAnsi="Arial" w:cs="Arial"/>
          <w:color w:val="auto"/>
          <w:sz w:val="22"/>
          <w:szCs w:val="22"/>
        </w:rPr>
        <w:t>molnupiravir</w:t>
      </w:r>
      <w:r w:rsidR="006A03BB" w:rsidRPr="00477697">
        <w:rPr>
          <w:rFonts w:ascii="Arial" w:hAnsi="Arial" w:cs="Arial"/>
          <w:color w:val="221E1F"/>
          <w:sz w:val="22"/>
          <w:szCs w:val="22"/>
        </w:rPr>
        <w:t xml:space="preserve"> plus standard-of-c</w:t>
      </w:r>
      <w:r w:rsidR="00153178" w:rsidRPr="00477697">
        <w:rPr>
          <w:rFonts w:ascii="Arial" w:hAnsi="Arial" w:cs="Arial"/>
          <w:color w:val="221E1F"/>
          <w:sz w:val="22"/>
          <w:szCs w:val="22"/>
        </w:rPr>
        <w:t xml:space="preserve">are and 2 participants </w:t>
      </w:r>
      <w:r w:rsidR="00877AD3" w:rsidRPr="00477697">
        <w:rPr>
          <w:rFonts w:ascii="Arial" w:hAnsi="Arial" w:cs="Arial"/>
          <w:color w:val="221E1F"/>
          <w:sz w:val="22"/>
          <w:szCs w:val="22"/>
        </w:rPr>
        <w:t>(controls) standard-of-</w:t>
      </w:r>
      <w:r w:rsidR="00877AD3" w:rsidRPr="00477697">
        <w:rPr>
          <w:rFonts w:ascii="Arial" w:hAnsi="Arial" w:cs="Arial"/>
          <w:color w:val="221E1F"/>
          <w:sz w:val="22"/>
          <w:szCs w:val="22"/>
        </w:rPr>
        <w:lastRenderedPageBreak/>
        <w:t xml:space="preserve">care </w:t>
      </w:r>
      <w:r w:rsidR="00153178" w:rsidRPr="00477697">
        <w:rPr>
          <w:rFonts w:ascii="Arial" w:hAnsi="Arial" w:cs="Arial"/>
          <w:color w:val="221E1F"/>
          <w:sz w:val="22"/>
          <w:szCs w:val="22"/>
        </w:rPr>
        <w:t>alone.</w:t>
      </w:r>
      <w:r w:rsidR="00A3032F" w:rsidRPr="00477697">
        <w:rPr>
          <w:rFonts w:ascii="Arial" w:hAnsi="Arial" w:cs="Arial"/>
          <w:color w:val="221E1F"/>
          <w:sz w:val="22"/>
          <w:szCs w:val="22"/>
        </w:rPr>
        <w:t xml:space="preserve"> Th</w:t>
      </w:r>
      <w:r w:rsidR="0071474A">
        <w:rPr>
          <w:rFonts w:ascii="Arial" w:hAnsi="Arial" w:cs="Arial"/>
          <w:color w:val="221E1F"/>
          <w:sz w:val="22"/>
          <w:szCs w:val="22"/>
        </w:rPr>
        <w:t>is</w:t>
      </w:r>
      <w:r w:rsidR="00A3032F" w:rsidRPr="00477697">
        <w:rPr>
          <w:rFonts w:ascii="Arial" w:hAnsi="Arial" w:cs="Arial"/>
          <w:color w:val="221E1F"/>
          <w:sz w:val="22"/>
          <w:szCs w:val="22"/>
        </w:rPr>
        <w:t xml:space="preserve"> </w:t>
      </w:r>
      <w:r w:rsidR="0071474A">
        <w:rPr>
          <w:rFonts w:ascii="Arial" w:hAnsi="Arial" w:cs="Arial"/>
          <w:color w:val="221E1F"/>
          <w:sz w:val="22"/>
          <w:szCs w:val="22"/>
        </w:rPr>
        <w:t>study</w:t>
      </w:r>
      <w:r w:rsidR="0071474A" w:rsidRPr="00477697">
        <w:rPr>
          <w:rFonts w:ascii="Arial" w:hAnsi="Arial" w:cs="Arial"/>
          <w:color w:val="221E1F"/>
          <w:sz w:val="22"/>
          <w:szCs w:val="22"/>
        </w:rPr>
        <w:t xml:space="preserve"> </w:t>
      </w:r>
      <w:r w:rsidR="00A3032F" w:rsidRPr="00477697">
        <w:rPr>
          <w:rFonts w:ascii="Arial" w:hAnsi="Arial" w:cs="Arial"/>
          <w:color w:val="221E1F"/>
          <w:sz w:val="22"/>
          <w:szCs w:val="22"/>
        </w:rPr>
        <w:t xml:space="preserve">was open label </w:t>
      </w:r>
      <w:r w:rsidR="0071474A">
        <w:rPr>
          <w:rFonts w:ascii="Arial" w:hAnsi="Arial" w:cs="Arial"/>
          <w:color w:val="221E1F"/>
          <w:sz w:val="22"/>
          <w:szCs w:val="22"/>
        </w:rPr>
        <w:t xml:space="preserve">in accordance with conventional Phase I design, with a follow-on Phase </w:t>
      </w:r>
      <w:proofErr w:type="spellStart"/>
      <w:r w:rsidR="0071474A">
        <w:rPr>
          <w:rFonts w:ascii="Arial" w:hAnsi="Arial" w:cs="Arial"/>
          <w:color w:val="221E1F"/>
          <w:sz w:val="22"/>
          <w:szCs w:val="22"/>
        </w:rPr>
        <w:t>IIa</w:t>
      </w:r>
      <w:proofErr w:type="spellEnd"/>
      <w:r w:rsidR="0071474A">
        <w:rPr>
          <w:rFonts w:ascii="Arial" w:hAnsi="Arial" w:cs="Arial"/>
          <w:color w:val="221E1F"/>
          <w:sz w:val="22"/>
          <w:szCs w:val="22"/>
        </w:rPr>
        <w:t xml:space="preserve"> placebo-controlled study.</w:t>
      </w:r>
    </w:p>
    <w:p w14:paraId="15C89D48" w14:textId="77777777" w:rsidR="00865A6B" w:rsidRPr="00477697" w:rsidRDefault="00865A6B" w:rsidP="00477697">
      <w:pPr>
        <w:pStyle w:val="Default"/>
        <w:spacing w:line="480" w:lineRule="auto"/>
        <w:jc w:val="both"/>
        <w:rPr>
          <w:rFonts w:ascii="Arial" w:hAnsi="Arial" w:cs="Arial"/>
          <w:b/>
          <w:color w:val="auto"/>
          <w:sz w:val="22"/>
          <w:szCs w:val="22"/>
        </w:rPr>
      </w:pPr>
    </w:p>
    <w:p w14:paraId="6037C8D6" w14:textId="22476A04"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Procedures</w:t>
      </w:r>
    </w:p>
    <w:p w14:paraId="371DD8FC" w14:textId="153BE1B5" w:rsidR="00D21993" w:rsidRPr="00477697" w:rsidRDefault="00865A6B" w:rsidP="00477697">
      <w:pPr>
        <w:pStyle w:val="Default"/>
        <w:spacing w:line="480" w:lineRule="auto"/>
        <w:jc w:val="both"/>
        <w:rPr>
          <w:rFonts w:ascii="Arial" w:hAnsi="Arial" w:cs="Arial"/>
          <w:color w:val="000000" w:themeColor="text1"/>
          <w:sz w:val="22"/>
          <w:szCs w:val="22"/>
        </w:rPr>
      </w:pPr>
      <w:r w:rsidRPr="00477697">
        <w:rPr>
          <w:rFonts w:ascii="Arial" w:hAnsi="Arial" w:cs="Arial"/>
          <w:color w:val="auto"/>
          <w:sz w:val="22"/>
          <w:szCs w:val="22"/>
        </w:rPr>
        <w:t xml:space="preserve">Participants with laboratory-confirmed SARS-CoV-2 infection, or who had an illness compatible with COVID-19 (and who were subsequently confirmed to be positive) were screened against eligibility criteria, including presence and onset of symptoms within the previous 5 days. </w:t>
      </w:r>
      <w:r w:rsidRPr="00477697">
        <w:rPr>
          <w:rFonts w:ascii="Arial" w:hAnsi="Arial" w:cs="Arial"/>
          <w:color w:val="000000" w:themeColor="text1"/>
          <w:sz w:val="22"/>
          <w:szCs w:val="22"/>
        </w:rPr>
        <w:t xml:space="preserve">For safety reasons, in each cohort, the first participant randomised to </w:t>
      </w:r>
      <w:r w:rsidRPr="00477697">
        <w:rPr>
          <w:rFonts w:ascii="Arial" w:hAnsi="Arial" w:cs="Arial"/>
          <w:color w:val="auto"/>
          <w:sz w:val="22"/>
          <w:szCs w:val="22"/>
        </w:rPr>
        <w:t>molnupiravir</w:t>
      </w:r>
      <w:r w:rsidRPr="00477697">
        <w:rPr>
          <w:rFonts w:ascii="Arial" w:hAnsi="Arial" w:cs="Arial"/>
          <w:color w:val="000000" w:themeColor="text1"/>
          <w:sz w:val="22"/>
          <w:szCs w:val="22"/>
        </w:rPr>
        <w:t xml:space="preserve"> (sentinel patient) was followed up until for 24 hours before any subsequent participants were randomised.</w:t>
      </w:r>
      <w:r w:rsidR="00D21993" w:rsidRPr="00477697">
        <w:rPr>
          <w:rFonts w:ascii="Arial" w:hAnsi="Arial" w:cs="Arial"/>
          <w:color w:val="000000" w:themeColor="text1"/>
          <w:sz w:val="22"/>
          <w:szCs w:val="22"/>
        </w:rPr>
        <w:t xml:space="preserve"> </w:t>
      </w:r>
      <w:r w:rsidR="00FA4044" w:rsidRPr="00477697">
        <w:rPr>
          <w:rFonts w:ascii="Arial" w:hAnsi="Arial" w:cs="Arial"/>
          <w:color w:val="000000" w:themeColor="text1"/>
          <w:sz w:val="22"/>
          <w:szCs w:val="22"/>
        </w:rPr>
        <w:t>All participants who received m</w:t>
      </w:r>
      <w:r w:rsidR="007B2FE0" w:rsidRPr="00477697">
        <w:rPr>
          <w:rFonts w:ascii="Arial" w:hAnsi="Arial" w:cs="Arial"/>
          <w:color w:val="000000" w:themeColor="text1"/>
          <w:sz w:val="22"/>
          <w:szCs w:val="22"/>
        </w:rPr>
        <w:t xml:space="preserve">olnupiravir </w:t>
      </w:r>
      <w:r w:rsidR="00FA4044" w:rsidRPr="00477697">
        <w:rPr>
          <w:rFonts w:ascii="Arial" w:hAnsi="Arial" w:cs="Arial"/>
          <w:color w:val="000000" w:themeColor="text1"/>
          <w:sz w:val="22"/>
          <w:szCs w:val="22"/>
        </w:rPr>
        <w:t xml:space="preserve">received </w:t>
      </w:r>
      <w:r w:rsidR="004F1DB9" w:rsidRPr="00477697">
        <w:rPr>
          <w:rFonts w:ascii="Arial" w:hAnsi="Arial" w:cs="Arial"/>
          <w:color w:val="000000" w:themeColor="text1"/>
          <w:sz w:val="22"/>
          <w:szCs w:val="22"/>
        </w:rPr>
        <w:t>drug</w:t>
      </w:r>
      <w:r w:rsidR="004F1DB9" w:rsidRPr="00235A9C">
        <w:rPr>
          <w:rFonts w:ascii="Arial" w:hAnsi="Arial" w:cs="Arial"/>
          <w:color w:val="000000" w:themeColor="text1"/>
          <w:sz w:val="22"/>
          <w:szCs w:val="22"/>
        </w:rPr>
        <w:t xml:space="preserve"> </w:t>
      </w:r>
      <w:r w:rsidR="004F1DB9" w:rsidRPr="00477697">
        <w:rPr>
          <w:rFonts w:ascii="Arial" w:hAnsi="Arial" w:cs="Arial"/>
          <w:color w:val="000000" w:themeColor="text1"/>
          <w:sz w:val="22"/>
          <w:szCs w:val="22"/>
        </w:rPr>
        <w:t>after at least a two hour fasting period</w:t>
      </w:r>
      <w:r w:rsidR="004F1DB9" w:rsidRPr="00477697" w:rsidDel="004F1DB9">
        <w:rPr>
          <w:rFonts w:ascii="Arial" w:hAnsi="Arial" w:cs="Arial"/>
          <w:color w:val="000000" w:themeColor="text1"/>
          <w:sz w:val="22"/>
          <w:szCs w:val="22"/>
        </w:rPr>
        <w:t xml:space="preserve"> </w:t>
      </w:r>
      <w:r w:rsidR="00FA4044" w:rsidRPr="00477697">
        <w:rPr>
          <w:rFonts w:ascii="Arial" w:hAnsi="Arial" w:cs="Arial"/>
          <w:color w:val="000000" w:themeColor="text1"/>
          <w:sz w:val="22"/>
          <w:szCs w:val="22"/>
        </w:rPr>
        <w:t>with a 4 hour period of observation after the first dose.</w:t>
      </w:r>
    </w:p>
    <w:p w14:paraId="41DEA342" w14:textId="152A012F" w:rsidR="00D21993" w:rsidRPr="00477697" w:rsidRDefault="00D21993" w:rsidP="00477697">
      <w:pPr>
        <w:pStyle w:val="Default"/>
        <w:spacing w:line="480" w:lineRule="auto"/>
        <w:jc w:val="both"/>
        <w:rPr>
          <w:rFonts w:ascii="Arial" w:hAnsi="Arial" w:cs="Arial"/>
          <w:color w:val="000000" w:themeColor="text1"/>
          <w:sz w:val="22"/>
          <w:szCs w:val="22"/>
        </w:rPr>
      </w:pPr>
    </w:p>
    <w:p w14:paraId="177170D0" w14:textId="5486BBBF" w:rsidR="005548C2" w:rsidRPr="00477697" w:rsidRDefault="00D21993" w:rsidP="00477697">
      <w:pPr>
        <w:pStyle w:val="Default"/>
        <w:spacing w:line="480" w:lineRule="auto"/>
        <w:jc w:val="both"/>
        <w:rPr>
          <w:rFonts w:ascii="Arial" w:hAnsi="Arial" w:cs="Arial"/>
          <w:sz w:val="22"/>
          <w:szCs w:val="22"/>
        </w:rPr>
      </w:pPr>
      <w:r w:rsidRPr="00477697">
        <w:rPr>
          <w:rFonts w:ascii="Arial" w:hAnsi="Arial" w:cs="Arial"/>
          <w:color w:val="000000" w:themeColor="text1"/>
          <w:sz w:val="22"/>
          <w:szCs w:val="22"/>
        </w:rPr>
        <w:t xml:space="preserve">We utilised a Bayesian adaptive design to </w:t>
      </w:r>
      <w:r w:rsidR="0071474A">
        <w:rPr>
          <w:rFonts w:ascii="Arial" w:hAnsi="Arial" w:cs="Arial"/>
          <w:color w:val="000000" w:themeColor="text1"/>
          <w:sz w:val="22"/>
          <w:szCs w:val="22"/>
        </w:rPr>
        <w:t>accelerate</w:t>
      </w:r>
      <w:r w:rsidR="0071474A" w:rsidRPr="00477697">
        <w:rPr>
          <w:rFonts w:ascii="Arial" w:hAnsi="Arial" w:cs="Arial"/>
          <w:color w:val="000000" w:themeColor="text1"/>
          <w:sz w:val="22"/>
          <w:szCs w:val="22"/>
        </w:rPr>
        <w:t xml:space="preserve"> </w:t>
      </w:r>
      <w:r w:rsidRPr="00477697">
        <w:rPr>
          <w:rFonts w:ascii="Arial" w:hAnsi="Arial" w:cs="Arial"/>
          <w:color w:val="000000" w:themeColor="text1"/>
          <w:sz w:val="22"/>
          <w:szCs w:val="22"/>
        </w:rPr>
        <w:t>decision making in this phase I study.</w:t>
      </w:r>
      <w:r w:rsidR="008615E9">
        <w:rPr>
          <w:rFonts w:ascii="Arial" w:hAnsi="Arial" w:cs="Arial"/>
          <w:color w:val="000000" w:themeColor="text1"/>
          <w:sz w:val="22"/>
          <w:szCs w:val="22"/>
        </w:rPr>
        <w:t xml:space="preserve"> </w:t>
      </w:r>
      <w:r w:rsidR="0068600F">
        <w:rPr>
          <w:rFonts w:ascii="Arial" w:hAnsi="Arial" w:cs="Arial"/>
          <w:color w:val="000000" w:themeColor="text1"/>
          <w:sz w:val="22"/>
          <w:szCs w:val="22"/>
        </w:rPr>
        <w:t>Briefly, w</w:t>
      </w:r>
      <w:r w:rsidR="008615E9">
        <w:rPr>
          <w:rFonts w:ascii="Arial" w:hAnsi="Arial" w:cs="Arial"/>
          <w:color w:val="000000" w:themeColor="text1"/>
          <w:sz w:val="22"/>
          <w:szCs w:val="22"/>
        </w:rPr>
        <w:t xml:space="preserve">e developed a dose toxicity </w:t>
      </w:r>
      <w:r w:rsidR="008615E9" w:rsidRPr="00733AF4">
        <w:rPr>
          <w:rFonts w:ascii="Arial" w:hAnsi="Arial" w:cs="Arial"/>
          <w:color w:val="000000" w:themeColor="text1"/>
          <w:sz w:val="22"/>
          <w:szCs w:val="22"/>
        </w:rPr>
        <w:t xml:space="preserve">model </w:t>
      </w:r>
      <w:r w:rsidR="00733AF4" w:rsidRPr="007920C6">
        <w:rPr>
          <w:rFonts w:ascii="Arial" w:hAnsi="Arial" w:cs="Arial"/>
          <w:color w:val="000000" w:themeColor="text1"/>
          <w:sz w:val="22"/>
          <w:szCs w:val="22"/>
          <w:vertAlign w:val="superscript"/>
        </w:rPr>
        <w:t>8</w:t>
      </w:r>
      <w:r w:rsidR="008615E9">
        <w:rPr>
          <w:rFonts w:ascii="Arial" w:hAnsi="Arial" w:cs="Arial"/>
          <w:color w:val="000000" w:themeColor="text1"/>
          <w:sz w:val="22"/>
          <w:szCs w:val="22"/>
        </w:rPr>
        <w:t xml:space="preserve"> which estimates</w:t>
      </w:r>
      <w:r w:rsidR="0068600F">
        <w:rPr>
          <w:rFonts w:ascii="Arial" w:hAnsi="Arial" w:cs="Arial"/>
          <w:color w:val="000000" w:themeColor="text1"/>
          <w:sz w:val="22"/>
          <w:szCs w:val="22"/>
        </w:rPr>
        <w:t xml:space="preserve"> (as a continuous incremental probability)</w:t>
      </w:r>
      <w:r w:rsidR="008615E9">
        <w:rPr>
          <w:rFonts w:ascii="Arial" w:hAnsi="Arial" w:cs="Arial"/>
          <w:color w:val="000000" w:themeColor="text1"/>
          <w:sz w:val="22"/>
          <w:szCs w:val="22"/>
        </w:rPr>
        <w:t xml:space="preserve"> the </w:t>
      </w:r>
      <w:r w:rsidR="0068600F">
        <w:rPr>
          <w:rFonts w:ascii="Arial" w:hAnsi="Arial" w:cs="Arial"/>
          <w:color w:val="000000" w:themeColor="text1"/>
          <w:sz w:val="22"/>
          <w:szCs w:val="22"/>
        </w:rPr>
        <w:t>‘dose limiting toxicity’ at day 7</w:t>
      </w:r>
      <w:r w:rsidR="008615E9">
        <w:rPr>
          <w:rFonts w:ascii="Arial" w:hAnsi="Arial" w:cs="Arial"/>
          <w:color w:val="000000" w:themeColor="text1"/>
          <w:sz w:val="22"/>
          <w:szCs w:val="22"/>
        </w:rPr>
        <w:t xml:space="preserve"> of molnupiravir in controls and at each of the four pre-defined dosing tiers </w:t>
      </w:r>
      <w:r w:rsidR="008615E9" w:rsidRPr="00477697">
        <w:rPr>
          <w:rFonts w:ascii="Arial" w:hAnsi="Arial" w:cs="Arial"/>
          <w:color w:val="000000" w:themeColor="text1"/>
          <w:sz w:val="22"/>
          <w:szCs w:val="22"/>
        </w:rPr>
        <w:t>(300mg, 400mg, 600mg and 800mg BD)</w:t>
      </w:r>
      <w:r w:rsidR="0068600F">
        <w:rPr>
          <w:rFonts w:ascii="Arial" w:hAnsi="Arial" w:cs="Arial"/>
          <w:color w:val="000000" w:themeColor="text1"/>
          <w:sz w:val="22"/>
          <w:szCs w:val="22"/>
        </w:rPr>
        <w:t xml:space="preserve">– see figure 2. </w:t>
      </w:r>
      <w:r w:rsidR="008615E9" w:rsidRPr="00477697">
        <w:rPr>
          <w:rFonts w:ascii="Arial" w:hAnsi="Arial" w:cs="Arial"/>
          <w:color w:val="000000" w:themeColor="text1"/>
          <w:sz w:val="22"/>
          <w:szCs w:val="22"/>
        </w:rPr>
        <w:t xml:space="preserve"> </w:t>
      </w:r>
      <w:r w:rsidR="0068600F">
        <w:rPr>
          <w:rFonts w:ascii="Arial" w:hAnsi="Arial" w:cs="Arial"/>
          <w:color w:val="000000" w:themeColor="text1"/>
          <w:sz w:val="22"/>
          <w:szCs w:val="22"/>
        </w:rPr>
        <w:t>Tolerability was</w:t>
      </w:r>
      <w:r w:rsidR="008615E9">
        <w:rPr>
          <w:rFonts w:ascii="Arial" w:hAnsi="Arial" w:cs="Arial"/>
          <w:color w:val="000000" w:themeColor="text1"/>
          <w:sz w:val="22"/>
          <w:szCs w:val="22"/>
        </w:rPr>
        <w:t xml:space="preserve"> expressed as an excess in prevalence of dose limiting toxicities</w:t>
      </w:r>
      <w:r w:rsidR="0068600F">
        <w:rPr>
          <w:rFonts w:ascii="Arial" w:hAnsi="Arial" w:cs="Arial"/>
          <w:color w:val="000000" w:themeColor="text1"/>
          <w:sz w:val="22"/>
          <w:szCs w:val="22"/>
        </w:rPr>
        <w:t xml:space="preserve"> </w:t>
      </w:r>
      <w:r w:rsidR="008615E9">
        <w:rPr>
          <w:rFonts w:ascii="Arial" w:hAnsi="Arial" w:cs="Arial"/>
          <w:color w:val="000000" w:themeColor="text1"/>
          <w:sz w:val="22"/>
          <w:szCs w:val="22"/>
        </w:rPr>
        <w:t>of treatment over controls (who also suffered from symptoms of COVID-19</w:t>
      </w:r>
      <w:r w:rsidR="0068600F">
        <w:rPr>
          <w:rFonts w:ascii="Arial" w:hAnsi="Arial" w:cs="Arial"/>
          <w:color w:val="000000" w:themeColor="text1"/>
          <w:sz w:val="22"/>
          <w:szCs w:val="22"/>
        </w:rPr>
        <w:t xml:space="preserve"> infection</w:t>
      </w:r>
      <w:r w:rsidR="008615E9">
        <w:rPr>
          <w:rFonts w:ascii="Arial" w:hAnsi="Arial" w:cs="Arial"/>
          <w:color w:val="000000" w:themeColor="text1"/>
          <w:sz w:val="22"/>
          <w:szCs w:val="22"/>
        </w:rPr>
        <w:t xml:space="preserve">) </w:t>
      </w:r>
      <w:r w:rsidR="0068600F">
        <w:rPr>
          <w:rFonts w:ascii="Arial" w:hAnsi="Arial" w:cs="Arial"/>
          <w:color w:val="000000" w:themeColor="text1"/>
          <w:sz w:val="22"/>
          <w:szCs w:val="22"/>
        </w:rPr>
        <w:t>with</w:t>
      </w:r>
      <w:r w:rsidR="008615E9">
        <w:rPr>
          <w:rFonts w:ascii="Arial" w:hAnsi="Arial" w:cs="Arial"/>
          <w:color w:val="000000" w:themeColor="text1"/>
          <w:sz w:val="22"/>
          <w:szCs w:val="22"/>
        </w:rPr>
        <w:t xml:space="preserve"> the model continually refined upon completion of each dosing cycle.</w:t>
      </w:r>
      <w:r w:rsidRPr="00477697">
        <w:rPr>
          <w:rFonts w:ascii="Arial" w:hAnsi="Arial" w:cs="Arial"/>
          <w:color w:val="000000" w:themeColor="text1"/>
          <w:sz w:val="22"/>
          <w:szCs w:val="22"/>
        </w:rPr>
        <w:t xml:space="preserve"> Details are provided in Supplement S</w:t>
      </w:r>
      <w:r w:rsidR="00F5656E" w:rsidRPr="00477697">
        <w:rPr>
          <w:rFonts w:ascii="Arial" w:hAnsi="Arial" w:cs="Arial"/>
          <w:color w:val="000000" w:themeColor="text1"/>
          <w:sz w:val="22"/>
          <w:szCs w:val="22"/>
        </w:rPr>
        <w:t>1</w:t>
      </w:r>
      <w:r w:rsidRPr="00477697">
        <w:rPr>
          <w:rFonts w:ascii="Arial" w:hAnsi="Arial" w:cs="Arial"/>
          <w:color w:val="000000" w:themeColor="text1"/>
          <w:sz w:val="22"/>
          <w:szCs w:val="22"/>
        </w:rPr>
        <w:t xml:space="preserve">. </w:t>
      </w:r>
      <w:r w:rsidR="00862D2A" w:rsidRPr="00477697">
        <w:rPr>
          <w:rFonts w:ascii="Arial" w:hAnsi="Arial" w:cs="Arial"/>
          <w:sz w:val="22"/>
          <w:szCs w:val="22"/>
        </w:rPr>
        <w:t xml:space="preserve">For each cohort, the Safety Review Committee (SRC) reviewed all available safety data </w:t>
      </w:r>
      <w:r w:rsidR="001A3911" w:rsidRPr="00477697">
        <w:rPr>
          <w:rFonts w:ascii="Arial" w:hAnsi="Arial" w:cs="Arial"/>
          <w:sz w:val="22"/>
          <w:szCs w:val="22"/>
        </w:rPr>
        <w:t>including</w:t>
      </w:r>
      <w:r w:rsidR="00862D2A" w:rsidRPr="00477697">
        <w:rPr>
          <w:rFonts w:ascii="Arial" w:hAnsi="Arial" w:cs="Arial"/>
          <w:sz w:val="22"/>
          <w:szCs w:val="22"/>
        </w:rPr>
        <w:t xml:space="preserve"> at least 7 days data for each participant in the cohort, and all accrued information on previous cohorts (up to a maximum follow-up of 28 days). This included AE data, vital signs data, ECG data and clinical laboratory evaluations, as well as any emerging data from other studies. Following SRC review, recommendations could be to de-escalate, escalate, remain at the same dose, or continue to phase </w:t>
      </w:r>
      <w:r w:rsidR="00F5656E" w:rsidRPr="00477697">
        <w:rPr>
          <w:rFonts w:ascii="Arial" w:hAnsi="Arial" w:cs="Arial"/>
          <w:sz w:val="22"/>
          <w:szCs w:val="22"/>
        </w:rPr>
        <w:t>II</w:t>
      </w:r>
      <w:r w:rsidR="00862D2A" w:rsidRPr="00477697">
        <w:rPr>
          <w:rFonts w:ascii="Arial" w:hAnsi="Arial" w:cs="Arial"/>
          <w:sz w:val="22"/>
          <w:szCs w:val="22"/>
        </w:rPr>
        <w:t xml:space="preserve">. </w:t>
      </w:r>
      <w:r w:rsidR="00912782" w:rsidRPr="00477697">
        <w:rPr>
          <w:rFonts w:ascii="Arial" w:hAnsi="Arial" w:cs="Arial"/>
          <w:color w:val="000000" w:themeColor="text1"/>
          <w:sz w:val="22"/>
          <w:szCs w:val="22"/>
        </w:rPr>
        <w:t xml:space="preserve">A dose was deemed to be unsafe if there was a ≥25% chance that treatment was associated with a &gt;30% risk of dose-limiting toxicities at day 7. </w:t>
      </w:r>
      <w:r w:rsidR="005548C2" w:rsidRPr="00477697">
        <w:rPr>
          <w:rFonts w:ascii="Arial" w:hAnsi="Arial" w:cs="Arial"/>
          <w:sz w:val="22"/>
          <w:szCs w:val="22"/>
          <w:lang w:eastAsia="zh-CN"/>
        </w:rPr>
        <w:t xml:space="preserve">The model recommended the next dose-level according to which level </w:t>
      </w:r>
      <w:r w:rsidR="00E1214C" w:rsidRPr="00477697">
        <w:rPr>
          <w:rFonts w:ascii="Arial" w:hAnsi="Arial" w:cs="Arial"/>
          <w:sz w:val="22"/>
          <w:szCs w:val="22"/>
          <w:lang w:eastAsia="zh-CN"/>
        </w:rPr>
        <w:t xml:space="preserve">is the most likely to correspond to an increase of a 15-25% </w:t>
      </w:r>
      <w:r w:rsidR="005548C2" w:rsidRPr="00477697">
        <w:rPr>
          <w:rFonts w:ascii="Arial" w:hAnsi="Arial" w:cs="Arial"/>
          <w:sz w:val="22"/>
          <w:szCs w:val="22"/>
          <w:lang w:eastAsia="zh-CN"/>
        </w:rPr>
        <w:t>in the dose limiting toxicity rate o</w:t>
      </w:r>
      <w:r w:rsidR="00E1214C" w:rsidRPr="00477697">
        <w:rPr>
          <w:rFonts w:ascii="Arial" w:hAnsi="Arial" w:cs="Arial"/>
          <w:sz w:val="22"/>
          <w:szCs w:val="22"/>
          <w:lang w:eastAsia="zh-CN"/>
        </w:rPr>
        <w:t>ver control</w:t>
      </w:r>
      <w:r w:rsidR="00894EE7" w:rsidRPr="00477697">
        <w:rPr>
          <w:rFonts w:ascii="Arial" w:hAnsi="Arial" w:cs="Arial"/>
          <w:sz w:val="22"/>
          <w:szCs w:val="22"/>
          <w:lang w:eastAsia="zh-CN"/>
        </w:rPr>
        <w:t>.</w:t>
      </w:r>
      <w:r w:rsidR="005548C2" w:rsidRPr="00477697">
        <w:rPr>
          <w:rFonts w:ascii="Arial" w:hAnsi="Arial" w:cs="Arial"/>
          <w:sz w:val="22"/>
          <w:szCs w:val="22"/>
          <w:lang w:eastAsia="zh-CN"/>
        </w:rPr>
        <w:t xml:space="preserve"> </w:t>
      </w:r>
      <w:r w:rsidR="00894EE7" w:rsidRPr="00477697">
        <w:rPr>
          <w:rFonts w:ascii="Arial" w:hAnsi="Arial" w:cs="Arial"/>
          <w:sz w:val="22"/>
          <w:szCs w:val="22"/>
          <w:lang w:eastAsia="zh-CN"/>
        </w:rPr>
        <w:t>However,</w:t>
      </w:r>
      <w:r w:rsidR="00894EE7" w:rsidRPr="00477697">
        <w:rPr>
          <w:rFonts w:ascii="Arial" w:hAnsi="Arial" w:cs="Arial"/>
          <w:sz w:val="22"/>
          <w:szCs w:val="22"/>
        </w:rPr>
        <w:t xml:space="preserve"> the SRC made the ultimate decision whether to accept</w:t>
      </w:r>
      <w:r w:rsidR="001A3911" w:rsidRPr="00477697">
        <w:rPr>
          <w:rFonts w:ascii="Arial" w:hAnsi="Arial" w:cs="Arial"/>
          <w:sz w:val="22"/>
          <w:szCs w:val="22"/>
        </w:rPr>
        <w:t xml:space="preserve"> that</w:t>
      </w:r>
      <w:r w:rsidR="00894EE7" w:rsidRPr="00477697">
        <w:rPr>
          <w:rFonts w:ascii="Arial" w:hAnsi="Arial" w:cs="Arial"/>
          <w:sz w:val="22"/>
          <w:szCs w:val="22"/>
        </w:rPr>
        <w:t xml:space="preserve"> the current dose was safe and to dose escalate and could decide to skip </w:t>
      </w:r>
      <w:r w:rsidR="001A3911" w:rsidRPr="00477697">
        <w:rPr>
          <w:rFonts w:ascii="Arial" w:hAnsi="Arial" w:cs="Arial"/>
          <w:sz w:val="22"/>
          <w:szCs w:val="22"/>
        </w:rPr>
        <w:t xml:space="preserve">a </w:t>
      </w:r>
      <w:r w:rsidR="00894EE7" w:rsidRPr="00477697">
        <w:rPr>
          <w:rFonts w:ascii="Arial" w:hAnsi="Arial" w:cs="Arial"/>
          <w:sz w:val="22"/>
          <w:szCs w:val="22"/>
        </w:rPr>
        <w:t xml:space="preserve">dose if it </w:t>
      </w:r>
      <w:r w:rsidR="00894EE7" w:rsidRPr="00477697">
        <w:rPr>
          <w:rFonts w:ascii="Arial" w:hAnsi="Arial" w:cs="Arial"/>
          <w:sz w:val="22"/>
          <w:szCs w:val="22"/>
        </w:rPr>
        <w:lastRenderedPageBreak/>
        <w:t>did not more than double and was deemed safe by the Bayesian model</w:t>
      </w:r>
      <w:r w:rsidR="005548C2" w:rsidRPr="00477697">
        <w:rPr>
          <w:rFonts w:ascii="Arial" w:hAnsi="Arial" w:cs="Arial"/>
          <w:sz w:val="22"/>
          <w:szCs w:val="22"/>
        </w:rPr>
        <w:t xml:space="preserve">. </w:t>
      </w:r>
      <w:r w:rsidR="005548C2" w:rsidRPr="00477697">
        <w:rPr>
          <w:rFonts w:ascii="Arial" w:hAnsi="Arial" w:cs="Arial"/>
          <w:sz w:val="22"/>
          <w:szCs w:val="22"/>
          <w:lang w:eastAsia="zh-CN"/>
        </w:rPr>
        <w:t xml:space="preserve">Once the dose escalation Phase I was complete, the independent Data Monitoring and Ethics Committee reviewed data from the final SRC, along with their recommendations on the recommended phase II dose, to ratify the Recommend Phase 2 Dose.  </w:t>
      </w:r>
    </w:p>
    <w:p w14:paraId="76019B40" w14:textId="77777777" w:rsidR="005548C2" w:rsidRPr="00477697" w:rsidRDefault="005548C2" w:rsidP="00477697">
      <w:pPr>
        <w:pStyle w:val="Default"/>
        <w:spacing w:line="480" w:lineRule="auto"/>
        <w:jc w:val="both"/>
        <w:rPr>
          <w:rFonts w:ascii="Arial" w:hAnsi="Arial" w:cs="Arial"/>
          <w:color w:val="auto"/>
          <w:sz w:val="22"/>
          <w:szCs w:val="22"/>
        </w:rPr>
      </w:pPr>
    </w:p>
    <w:p w14:paraId="36ADCF3A" w14:textId="77777777"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 xml:space="preserve">Outcomes </w:t>
      </w:r>
    </w:p>
    <w:p w14:paraId="44F3A9FA" w14:textId="4E82478A" w:rsidR="003118D4" w:rsidRPr="00477697" w:rsidRDefault="00F21091" w:rsidP="00477697">
      <w:pPr>
        <w:autoSpaceDE w:val="0"/>
        <w:autoSpaceDN w:val="0"/>
        <w:adjustRightInd w:val="0"/>
        <w:spacing w:after="0" w:line="480" w:lineRule="auto"/>
        <w:jc w:val="both"/>
        <w:rPr>
          <w:rFonts w:ascii="Arial" w:hAnsi="Arial" w:cs="Arial"/>
        </w:rPr>
      </w:pPr>
      <w:r w:rsidRPr="00477697">
        <w:rPr>
          <w:rFonts w:ascii="Arial" w:hAnsi="Arial" w:cs="Arial"/>
          <w:color w:val="221E1F"/>
        </w:rPr>
        <w:t xml:space="preserve">The primary outcome was </w:t>
      </w:r>
      <w:r w:rsidR="004D0286" w:rsidRPr="00477697">
        <w:rPr>
          <w:rFonts w:ascii="Arial" w:hAnsi="Arial" w:cs="Arial"/>
        </w:rPr>
        <w:t>d</w:t>
      </w:r>
      <w:r w:rsidRPr="00477697">
        <w:rPr>
          <w:rFonts w:ascii="Arial" w:hAnsi="Arial" w:cs="Arial"/>
        </w:rPr>
        <w:t>ose limiting toxicity (DLT) using CTCAE version 5 (grades 3 and above) measured over 7 days and CTCAE grading related to platelets and/or lymphocytes</w:t>
      </w:r>
      <w:r w:rsidR="00032430" w:rsidRPr="00477697">
        <w:rPr>
          <w:rFonts w:ascii="Arial" w:hAnsi="Arial" w:cs="Arial"/>
        </w:rPr>
        <w:t>,</w:t>
      </w:r>
      <w:r w:rsidRPr="00477697">
        <w:rPr>
          <w:rFonts w:ascii="Arial" w:hAnsi="Arial" w:cs="Arial"/>
        </w:rPr>
        <w:t xml:space="preserve"> </w:t>
      </w:r>
      <w:r w:rsidRPr="00477697">
        <w:rPr>
          <w:rFonts w:ascii="Arial" w:hAnsi="Arial" w:cs="Arial"/>
          <w:color w:val="221E1F"/>
        </w:rPr>
        <w:t xml:space="preserve">assessed in </w:t>
      </w:r>
      <w:r w:rsidR="00032430" w:rsidRPr="00477697">
        <w:rPr>
          <w:rFonts w:ascii="Arial" w:hAnsi="Arial" w:cs="Arial"/>
          <w:color w:val="221E1F"/>
        </w:rPr>
        <w:t>all participants</w:t>
      </w:r>
      <w:r w:rsidR="00EE0ACE" w:rsidRPr="00477697">
        <w:rPr>
          <w:rFonts w:ascii="Arial" w:hAnsi="Arial" w:cs="Arial"/>
          <w:color w:val="221E1F"/>
        </w:rPr>
        <w:t>,</w:t>
      </w:r>
      <w:r w:rsidRPr="00477697">
        <w:rPr>
          <w:rFonts w:ascii="Arial" w:hAnsi="Arial" w:cs="Arial"/>
          <w:color w:val="221E1F"/>
        </w:rPr>
        <w:t xml:space="preserve"> who were randomly assigned and received at least one dose of </w:t>
      </w:r>
      <w:r w:rsidR="00AF74BD" w:rsidRPr="00477697">
        <w:rPr>
          <w:rFonts w:ascii="Arial" w:hAnsi="Arial" w:cs="Arial"/>
        </w:rPr>
        <w:t>molnupiravir</w:t>
      </w:r>
      <w:r w:rsidRPr="00477697">
        <w:rPr>
          <w:rFonts w:ascii="Arial" w:hAnsi="Arial" w:cs="Arial"/>
        </w:rPr>
        <w:t xml:space="preserve"> </w:t>
      </w:r>
      <w:r w:rsidR="00EE0ACE" w:rsidRPr="00477697">
        <w:rPr>
          <w:rFonts w:ascii="Arial" w:hAnsi="Arial" w:cs="Arial"/>
        </w:rPr>
        <w:t xml:space="preserve">(unless randomised to </w:t>
      </w:r>
      <w:r w:rsidR="00877AD3" w:rsidRPr="00477697">
        <w:rPr>
          <w:rFonts w:ascii="Arial" w:hAnsi="Arial" w:cs="Arial"/>
        </w:rPr>
        <w:t>control</w:t>
      </w:r>
      <w:r w:rsidR="00EE0ACE" w:rsidRPr="00477697">
        <w:rPr>
          <w:rFonts w:ascii="Arial" w:hAnsi="Arial" w:cs="Arial"/>
        </w:rPr>
        <w:t>)</w:t>
      </w:r>
      <w:r w:rsidRPr="00477697">
        <w:rPr>
          <w:rFonts w:ascii="Arial" w:hAnsi="Arial" w:cs="Arial"/>
          <w:color w:val="221E1F"/>
        </w:rPr>
        <w:t xml:space="preserve">. </w:t>
      </w:r>
      <w:bookmarkStart w:id="4" w:name="_Hlk57021846"/>
      <w:r w:rsidR="003118D4" w:rsidRPr="00477697">
        <w:rPr>
          <w:rFonts w:ascii="Arial" w:hAnsi="Arial" w:cs="Arial"/>
          <w:color w:val="221E1F"/>
        </w:rPr>
        <w:t xml:space="preserve">Secondary outcomes: for </w:t>
      </w:r>
      <w:r w:rsidR="003118D4" w:rsidRPr="00477697">
        <w:rPr>
          <w:rFonts w:ascii="Arial" w:hAnsi="Arial" w:cs="Arial"/>
          <w:bCs/>
        </w:rPr>
        <w:t xml:space="preserve">safety included </w:t>
      </w:r>
      <w:r w:rsidR="003118D4" w:rsidRPr="00477697">
        <w:rPr>
          <w:rFonts w:ascii="Arial" w:hAnsi="Arial" w:cs="Arial"/>
        </w:rPr>
        <w:t>AEs, SAEs, physical findings, vital signs and laboratory parameters; for p</w:t>
      </w:r>
      <w:r w:rsidR="003118D4" w:rsidRPr="00477697">
        <w:rPr>
          <w:rFonts w:ascii="Arial" w:hAnsi="Arial" w:cs="Arial"/>
          <w:bCs/>
        </w:rPr>
        <w:t>harmacokinetic</w:t>
      </w:r>
      <w:r w:rsidR="00B15E0A" w:rsidRPr="00477697">
        <w:rPr>
          <w:rFonts w:ascii="Arial" w:hAnsi="Arial" w:cs="Arial"/>
          <w:bCs/>
        </w:rPr>
        <w:t>s</w:t>
      </w:r>
      <w:r w:rsidR="003118D4" w:rsidRPr="00477697">
        <w:rPr>
          <w:rFonts w:ascii="Arial" w:hAnsi="Arial" w:cs="Arial"/>
          <w:bCs/>
        </w:rPr>
        <w:t xml:space="preserve"> included </w:t>
      </w:r>
      <w:r w:rsidR="003118D4" w:rsidRPr="00477697">
        <w:rPr>
          <w:rFonts w:ascii="Arial" w:hAnsi="Arial" w:cs="Arial"/>
        </w:rPr>
        <w:t xml:space="preserve">concentrations of </w:t>
      </w:r>
      <w:r w:rsidR="00AF74BD" w:rsidRPr="00477697">
        <w:rPr>
          <w:rFonts w:ascii="Arial" w:hAnsi="Arial" w:cs="Arial"/>
        </w:rPr>
        <w:t>molnupiravir</w:t>
      </w:r>
      <w:r w:rsidR="00B15E0A" w:rsidRPr="00477697">
        <w:rPr>
          <w:rFonts w:ascii="Arial" w:hAnsi="Arial" w:cs="Arial"/>
        </w:rPr>
        <w:t xml:space="preserve"> </w:t>
      </w:r>
      <w:r w:rsidR="003118D4" w:rsidRPr="00477697">
        <w:rPr>
          <w:rFonts w:ascii="Arial" w:hAnsi="Arial" w:cs="Arial"/>
        </w:rPr>
        <w:t>and EIDD-1931 in plasma; for cl</w:t>
      </w:r>
      <w:r w:rsidR="003118D4" w:rsidRPr="00477697">
        <w:rPr>
          <w:rFonts w:ascii="Arial" w:hAnsi="Arial" w:cs="Arial"/>
          <w:bCs/>
        </w:rPr>
        <w:t xml:space="preserve">inical included </w:t>
      </w:r>
      <w:r w:rsidR="003118D4" w:rsidRPr="00477697">
        <w:rPr>
          <w:rFonts w:ascii="Arial" w:hAnsi="Arial" w:cs="Arial"/>
        </w:rPr>
        <w:t xml:space="preserve">Patient Reported Outcome Measures (FLU-PRO), WHO </w:t>
      </w:r>
      <w:r w:rsidR="00F31A9A" w:rsidRPr="00477697">
        <w:rPr>
          <w:rFonts w:ascii="Arial" w:hAnsi="Arial" w:cs="Arial"/>
        </w:rPr>
        <w:t xml:space="preserve">COVID-19 Ordinal </w:t>
      </w:r>
      <w:r w:rsidR="003118D4" w:rsidRPr="00477697">
        <w:rPr>
          <w:rFonts w:ascii="Arial" w:hAnsi="Arial" w:cs="Arial"/>
        </w:rPr>
        <w:t>Scale (at days 15,29), NEWS2 (assess</w:t>
      </w:r>
      <w:r w:rsidR="005B7FAE" w:rsidRPr="00477697">
        <w:rPr>
          <w:rFonts w:ascii="Arial" w:hAnsi="Arial" w:cs="Arial"/>
        </w:rPr>
        <w:t>ed during clinic days 15, 29), mortality (days 15,</w:t>
      </w:r>
      <w:r w:rsidR="00996EBF" w:rsidRPr="00477697">
        <w:rPr>
          <w:rFonts w:ascii="Arial" w:hAnsi="Arial" w:cs="Arial"/>
        </w:rPr>
        <w:t xml:space="preserve"> </w:t>
      </w:r>
      <w:r w:rsidR="005B7FAE" w:rsidRPr="00477697">
        <w:rPr>
          <w:rFonts w:ascii="Arial" w:hAnsi="Arial" w:cs="Arial"/>
        </w:rPr>
        <w:t>29) and</w:t>
      </w:r>
      <w:r w:rsidR="003118D4" w:rsidRPr="00477697">
        <w:rPr>
          <w:rFonts w:ascii="Arial" w:hAnsi="Arial" w:cs="Arial"/>
        </w:rPr>
        <w:t xml:space="preserve"> time from randomisation to death (up to day 29).</w:t>
      </w:r>
    </w:p>
    <w:p w14:paraId="52CCC7B7" w14:textId="77777777" w:rsidR="00962F76" w:rsidRPr="00477697" w:rsidRDefault="00962F76" w:rsidP="00477697">
      <w:pPr>
        <w:autoSpaceDE w:val="0"/>
        <w:autoSpaceDN w:val="0"/>
        <w:adjustRightInd w:val="0"/>
        <w:spacing w:after="0" w:line="480" w:lineRule="auto"/>
        <w:jc w:val="both"/>
        <w:rPr>
          <w:rFonts w:ascii="Arial" w:hAnsi="Arial" w:cs="Arial"/>
        </w:rPr>
      </w:pPr>
    </w:p>
    <w:p w14:paraId="1516A6E7" w14:textId="77777777" w:rsidR="00962F76" w:rsidRPr="00477697" w:rsidRDefault="00962F76" w:rsidP="00477697">
      <w:pPr>
        <w:keepNext/>
        <w:autoSpaceDE w:val="0"/>
        <w:autoSpaceDN w:val="0"/>
        <w:adjustRightInd w:val="0"/>
        <w:spacing w:after="0" w:line="480" w:lineRule="auto"/>
        <w:jc w:val="both"/>
        <w:rPr>
          <w:rFonts w:ascii="Arial" w:hAnsi="Arial" w:cs="Arial"/>
          <w:b/>
          <w:bCs/>
        </w:rPr>
      </w:pPr>
      <w:r w:rsidRPr="00477697">
        <w:rPr>
          <w:rFonts w:ascii="Arial" w:hAnsi="Arial" w:cs="Arial"/>
          <w:b/>
          <w:bCs/>
        </w:rPr>
        <w:t>Pharmacokinetic sampling</w:t>
      </w:r>
    </w:p>
    <w:p w14:paraId="210DA338" w14:textId="00DCA5A0" w:rsidR="003F6DEB" w:rsidRPr="00477697" w:rsidRDefault="00A1075D" w:rsidP="00477697">
      <w:pPr>
        <w:autoSpaceDE w:val="0"/>
        <w:autoSpaceDN w:val="0"/>
        <w:adjustRightInd w:val="0"/>
        <w:spacing w:after="0" w:line="480" w:lineRule="auto"/>
        <w:jc w:val="both"/>
        <w:rPr>
          <w:rFonts w:ascii="Arial" w:hAnsi="Arial" w:cs="Arial"/>
        </w:rPr>
      </w:pPr>
      <w:r w:rsidRPr="00477697">
        <w:rPr>
          <w:rFonts w:ascii="Arial" w:hAnsi="Arial" w:cs="Arial"/>
        </w:rPr>
        <w:t xml:space="preserve">Plasma was sampled at Day 1 and 5 to measure the concentrations of </w:t>
      </w:r>
      <w:r w:rsidR="00AF74BD" w:rsidRPr="00477697">
        <w:rPr>
          <w:rFonts w:ascii="Arial" w:hAnsi="Arial" w:cs="Arial"/>
        </w:rPr>
        <w:t>molnupiravir</w:t>
      </w:r>
      <w:r w:rsidRPr="00477697">
        <w:rPr>
          <w:rFonts w:ascii="Arial" w:hAnsi="Arial" w:cs="Arial"/>
        </w:rPr>
        <w:t xml:space="preserve"> and its major active metabolite </w:t>
      </w:r>
      <w:r w:rsidR="00F31A9A" w:rsidRPr="00477697">
        <w:rPr>
          <w:rFonts w:ascii="Arial" w:hAnsi="Arial" w:cs="Arial"/>
        </w:rPr>
        <w:t>EID</w:t>
      </w:r>
      <w:r w:rsidR="007069C9" w:rsidRPr="00477697">
        <w:rPr>
          <w:rFonts w:ascii="Arial" w:hAnsi="Arial" w:cs="Arial"/>
        </w:rPr>
        <w:t>D</w:t>
      </w:r>
      <w:r w:rsidR="00F31A9A" w:rsidRPr="00477697">
        <w:rPr>
          <w:rFonts w:ascii="Arial" w:hAnsi="Arial" w:cs="Arial"/>
        </w:rPr>
        <w:t>-1931</w:t>
      </w:r>
      <w:r w:rsidRPr="00477697">
        <w:rPr>
          <w:rFonts w:ascii="Arial" w:hAnsi="Arial" w:cs="Arial"/>
        </w:rPr>
        <w:t xml:space="preserve">. On each sampling day, 2mL of venous blood was collected pre-dose, at 30 mins, and at </w:t>
      </w:r>
      <w:r w:rsidR="00894EE7" w:rsidRPr="00477697">
        <w:rPr>
          <w:rFonts w:ascii="Arial" w:hAnsi="Arial" w:cs="Arial"/>
        </w:rPr>
        <w:t xml:space="preserve">1-, 2- and 4-hours </w:t>
      </w:r>
      <w:r w:rsidRPr="00477697">
        <w:rPr>
          <w:rFonts w:ascii="Arial" w:hAnsi="Arial" w:cs="Arial"/>
        </w:rPr>
        <w:t xml:space="preserve">post-dose. All samples were rapidly cooled on wet ice and centrifuged (2000g for 10min) within 30 min of sample collection. Within 10 minutes of completing centrifugation, </w:t>
      </w:r>
      <w:r w:rsidR="00894EE7" w:rsidRPr="00477697">
        <w:rPr>
          <w:rFonts w:ascii="Arial" w:hAnsi="Arial" w:cs="Arial"/>
        </w:rPr>
        <w:t xml:space="preserve">150mL of </w:t>
      </w:r>
      <w:r w:rsidRPr="00477697">
        <w:rPr>
          <w:rFonts w:ascii="Arial" w:hAnsi="Arial" w:cs="Arial"/>
        </w:rPr>
        <w:t>plasma was mixed with 450uL of acetonitrile, vortexed and transferred to a -80</w:t>
      </w:r>
      <w:r w:rsidRPr="00477697">
        <w:rPr>
          <w:rFonts w:ascii="Arial" w:hAnsi="Arial" w:cs="Arial"/>
          <w:vertAlign w:val="superscript"/>
        </w:rPr>
        <w:t>o</w:t>
      </w:r>
      <w:r w:rsidRPr="00477697">
        <w:rPr>
          <w:rFonts w:ascii="Arial" w:hAnsi="Arial" w:cs="Arial"/>
        </w:rPr>
        <w:t>C freezer prior to onward shipping for pharmacokinetic analyses.</w:t>
      </w:r>
      <w:r w:rsidR="00BE26CC" w:rsidRPr="00477697">
        <w:rPr>
          <w:rFonts w:ascii="Arial" w:hAnsi="Arial" w:cs="Arial"/>
        </w:rPr>
        <w:t xml:space="preserve"> </w:t>
      </w:r>
      <w:r w:rsidR="003F6DEB" w:rsidRPr="00477697">
        <w:rPr>
          <w:rFonts w:ascii="Arial" w:hAnsi="Arial" w:cs="Arial"/>
        </w:rPr>
        <w:t xml:space="preserve">Drug concentrations were </w:t>
      </w:r>
      <w:r w:rsidR="00894EE7" w:rsidRPr="00477697">
        <w:rPr>
          <w:rFonts w:ascii="Arial" w:hAnsi="Arial" w:cs="Arial"/>
        </w:rPr>
        <w:t xml:space="preserve">measured using a validated LC-MS/MS assay at </w:t>
      </w:r>
      <w:r w:rsidR="003F6DEB" w:rsidRPr="00477697">
        <w:rPr>
          <w:rFonts w:ascii="Arial" w:hAnsi="Arial" w:cs="Arial"/>
        </w:rPr>
        <w:t xml:space="preserve">Covance Clinical Laboratories, Leeds, UK. </w:t>
      </w:r>
    </w:p>
    <w:p w14:paraId="522F4B3D" w14:textId="77777777" w:rsidR="00894EE7" w:rsidRPr="00477697" w:rsidRDefault="00894EE7" w:rsidP="00477697">
      <w:pPr>
        <w:autoSpaceDE w:val="0"/>
        <w:autoSpaceDN w:val="0"/>
        <w:adjustRightInd w:val="0"/>
        <w:spacing w:after="0" w:line="480" w:lineRule="auto"/>
        <w:jc w:val="both"/>
        <w:rPr>
          <w:rFonts w:ascii="Arial" w:hAnsi="Arial" w:cs="Arial"/>
        </w:rPr>
      </w:pPr>
    </w:p>
    <w:p w14:paraId="5053D46B" w14:textId="07D7DC19" w:rsidR="00B66765" w:rsidRPr="00477697" w:rsidRDefault="00B66765" w:rsidP="00477697">
      <w:pPr>
        <w:autoSpaceDE w:val="0"/>
        <w:autoSpaceDN w:val="0"/>
        <w:adjustRightInd w:val="0"/>
        <w:spacing w:after="0" w:line="480" w:lineRule="auto"/>
        <w:jc w:val="both"/>
        <w:rPr>
          <w:rFonts w:ascii="Arial" w:hAnsi="Arial" w:cs="Arial"/>
        </w:rPr>
      </w:pPr>
      <w:r w:rsidRPr="00477697">
        <w:rPr>
          <w:rFonts w:ascii="Arial" w:hAnsi="Arial" w:cs="Arial"/>
        </w:rPr>
        <w:t xml:space="preserve">Concentrations of </w:t>
      </w:r>
      <w:r w:rsidR="007069C9" w:rsidRPr="00477697">
        <w:rPr>
          <w:rFonts w:ascii="Arial" w:hAnsi="Arial" w:cs="Arial"/>
        </w:rPr>
        <w:t xml:space="preserve">EIDD-1931 </w:t>
      </w:r>
      <w:r w:rsidRPr="00477697">
        <w:rPr>
          <w:rFonts w:ascii="Arial" w:hAnsi="Arial" w:cs="Arial"/>
        </w:rPr>
        <w:t xml:space="preserve">in plasma on day 1 and day 5 </w:t>
      </w:r>
      <w:r w:rsidR="002B55EC" w:rsidRPr="00477697">
        <w:rPr>
          <w:rFonts w:ascii="Arial" w:hAnsi="Arial" w:cs="Arial"/>
        </w:rPr>
        <w:t>were described using summary statistics (</w:t>
      </w:r>
      <w:r w:rsidRPr="00477697">
        <w:rPr>
          <w:rFonts w:ascii="Arial" w:hAnsi="Arial" w:cs="Arial"/>
        </w:rPr>
        <w:t>geometric mean (90% CI), mean, standard deviation, median and range</w:t>
      </w:r>
      <w:r w:rsidR="002B55EC" w:rsidRPr="00477697">
        <w:rPr>
          <w:rFonts w:ascii="Arial" w:hAnsi="Arial" w:cs="Arial"/>
        </w:rPr>
        <w:t>)</w:t>
      </w:r>
      <w:r w:rsidRPr="00477697">
        <w:rPr>
          <w:rFonts w:ascii="Arial" w:hAnsi="Arial" w:cs="Arial"/>
        </w:rPr>
        <w:t xml:space="preserve"> </w:t>
      </w:r>
      <w:r w:rsidR="002B55EC" w:rsidRPr="00477697">
        <w:rPr>
          <w:rFonts w:ascii="Arial" w:hAnsi="Arial" w:cs="Arial"/>
        </w:rPr>
        <w:t>for</w:t>
      </w:r>
      <w:r w:rsidRPr="00477697">
        <w:rPr>
          <w:rFonts w:ascii="Arial" w:hAnsi="Arial" w:cs="Arial"/>
        </w:rPr>
        <w:t xml:space="preserve"> each time point.</w:t>
      </w:r>
    </w:p>
    <w:p w14:paraId="0698EA68" w14:textId="77777777" w:rsidR="009A5D4B" w:rsidRPr="00477697" w:rsidRDefault="009A5D4B" w:rsidP="00477697">
      <w:pPr>
        <w:autoSpaceDE w:val="0"/>
        <w:autoSpaceDN w:val="0"/>
        <w:adjustRightInd w:val="0"/>
        <w:spacing w:after="0" w:line="480" w:lineRule="auto"/>
        <w:jc w:val="both"/>
        <w:rPr>
          <w:rFonts w:ascii="Arial" w:hAnsi="Arial" w:cs="Arial"/>
        </w:rPr>
      </w:pPr>
    </w:p>
    <w:p w14:paraId="16A6D34B" w14:textId="31BEFA66" w:rsidR="00B66765" w:rsidRPr="00477697" w:rsidRDefault="00B66765" w:rsidP="00477697">
      <w:pPr>
        <w:autoSpaceDE w:val="0"/>
        <w:autoSpaceDN w:val="0"/>
        <w:adjustRightInd w:val="0"/>
        <w:spacing w:after="0" w:line="480" w:lineRule="auto"/>
        <w:jc w:val="both"/>
        <w:rPr>
          <w:rFonts w:ascii="Arial" w:hAnsi="Arial" w:cs="Arial"/>
        </w:rPr>
      </w:pPr>
      <w:r w:rsidRPr="00477697">
        <w:rPr>
          <w:rFonts w:ascii="Arial" w:hAnsi="Arial" w:cs="Arial"/>
        </w:rPr>
        <w:t>Key pharmacokinetic (PK) parameters such as area under the concentration-time curve 0-4 h (AUC</w:t>
      </w:r>
      <w:r w:rsidRPr="00477697">
        <w:rPr>
          <w:rFonts w:ascii="Arial" w:hAnsi="Arial" w:cs="Arial"/>
          <w:vertAlign w:val="subscript"/>
        </w:rPr>
        <w:t>0-4</w:t>
      </w:r>
      <w:r w:rsidRPr="00477697">
        <w:rPr>
          <w:rFonts w:ascii="Arial" w:hAnsi="Arial" w:cs="Arial"/>
        </w:rPr>
        <w:t>), maximum concentration (</w:t>
      </w:r>
      <w:proofErr w:type="spellStart"/>
      <w:r w:rsidRPr="00477697">
        <w:rPr>
          <w:rFonts w:ascii="Arial" w:hAnsi="Arial" w:cs="Arial"/>
        </w:rPr>
        <w:t>Cmax</w:t>
      </w:r>
      <w:proofErr w:type="spellEnd"/>
      <w:r w:rsidRPr="00477697">
        <w:rPr>
          <w:rFonts w:ascii="Arial" w:hAnsi="Arial" w:cs="Arial"/>
        </w:rPr>
        <w:t>) and time to maximum concentration (</w:t>
      </w:r>
      <w:proofErr w:type="spellStart"/>
      <w:r w:rsidRPr="00477697">
        <w:rPr>
          <w:rFonts w:ascii="Arial" w:hAnsi="Arial" w:cs="Arial"/>
        </w:rPr>
        <w:t>Tmax</w:t>
      </w:r>
      <w:proofErr w:type="spellEnd"/>
      <w:r w:rsidRPr="00477697">
        <w:rPr>
          <w:rFonts w:ascii="Arial" w:hAnsi="Arial" w:cs="Arial"/>
        </w:rPr>
        <w:t>) were determined by non-compartmental modelling methods (</w:t>
      </w:r>
      <w:proofErr w:type="spellStart"/>
      <w:r w:rsidRPr="00477697">
        <w:rPr>
          <w:rFonts w:ascii="Arial" w:hAnsi="Arial" w:cs="Arial"/>
        </w:rPr>
        <w:t>WinNonlin</w:t>
      </w:r>
      <w:proofErr w:type="spellEnd"/>
      <w:r w:rsidRPr="00477697">
        <w:rPr>
          <w:rFonts w:ascii="Arial" w:hAnsi="Arial" w:cs="Arial"/>
        </w:rPr>
        <w:t xml:space="preserve">, Phoenix, v. </w:t>
      </w:r>
      <w:r w:rsidR="00911AE4" w:rsidRPr="00477697">
        <w:rPr>
          <w:rFonts w:ascii="Arial" w:hAnsi="Arial" w:cs="Arial"/>
        </w:rPr>
        <w:t>8.3</w:t>
      </w:r>
      <w:r w:rsidRPr="00477697">
        <w:rPr>
          <w:rFonts w:ascii="Arial" w:hAnsi="Arial" w:cs="Arial"/>
        </w:rPr>
        <w:t>, Pharsight, Mountain View, CA, USA) on day 1 and day 5 for each dose and summarised descriptively. Accumulation ratios to day 5 were calculated for</w:t>
      </w:r>
      <w:r w:rsidR="005620F2" w:rsidRPr="00477697">
        <w:rPr>
          <w:rFonts w:ascii="Arial" w:hAnsi="Arial" w:cs="Arial"/>
        </w:rPr>
        <w:t xml:space="preserve"> </w:t>
      </w:r>
      <w:r w:rsidR="007069C9" w:rsidRPr="00477697">
        <w:rPr>
          <w:rFonts w:ascii="Arial" w:hAnsi="Arial" w:cs="Arial"/>
        </w:rPr>
        <w:t xml:space="preserve">EIDD-1931 </w:t>
      </w:r>
      <w:r w:rsidRPr="00477697">
        <w:rPr>
          <w:rFonts w:ascii="Arial" w:hAnsi="Arial" w:cs="Arial"/>
        </w:rPr>
        <w:t>AUC</w:t>
      </w:r>
      <w:r w:rsidRPr="00477697">
        <w:rPr>
          <w:rFonts w:ascii="Arial" w:hAnsi="Arial" w:cs="Arial"/>
          <w:vertAlign w:val="subscript"/>
        </w:rPr>
        <w:t xml:space="preserve">0-4 </w:t>
      </w:r>
      <w:r w:rsidRPr="00477697">
        <w:rPr>
          <w:rFonts w:ascii="Arial" w:hAnsi="Arial" w:cs="Arial"/>
        </w:rPr>
        <w:t xml:space="preserve">and </w:t>
      </w:r>
      <w:proofErr w:type="spellStart"/>
      <w:r w:rsidRPr="00477697">
        <w:rPr>
          <w:rFonts w:ascii="Arial" w:hAnsi="Arial" w:cs="Arial"/>
        </w:rPr>
        <w:t>Cmax</w:t>
      </w:r>
      <w:proofErr w:type="spellEnd"/>
      <w:r w:rsidRPr="00477697">
        <w:rPr>
          <w:rFonts w:ascii="Arial" w:hAnsi="Arial" w:cs="Arial"/>
        </w:rPr>
        <w:t>.</w:t>
      </w:r>
    </w:p>
    <w:bookmarkEnd w:id="4"/>
    <w:p w14:paraId="17979C36" w14:textId="77777777" w:rsidR="00105A93" w:rsidRPr="00477697" w:rsidRDefault="00105A93" w:rsidP="00477697">
      <w:pPr>
        <w:spacing w:after="0" w:line="480" w:lineRule="auto"/>
        <w:jc w:val="both"/>
        <w:rPr>
          <w:rFonts w:ascii="Arial" w:hAnsi="Arial" w:cs="Arial"/>
        </w:rPr>
      </w:pPr>
    </w:p>
    <w:p w14:paraId="4844F0FD" w14:textId="77777777"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 xml:space="preserve">Statistical analysis </w:t>
      </w:r>
    </w:p>
    <w:p w14:paraId="376FCED9" w14:textId="661DD9C6" w:rsidR="00C7344B" w:rsidRPr="00477697" w:rsidRDefault="00CE04F9" w:rsidP="00477697">
      <w:pPr>
        <w:spacing w:after="0" w:line="480" w:lineRule="auto"/>
        <w:jc w:val="both"/>
        <w:rPr>
          <w:rFonts w:ascii="Arial" w:hAnsi="Arial" w:cs="Arial"/>
          <w:color w:val="211D1E"/>
        </w:rPr>
      </w:pPr>
      <w:r w:rsidRPr="00477697">
        <w:rPr>
          <w:rFonts w:ascii="Arial" w:hAnsi="Arial" w:cs="Arial"/>
        </w:rPr>
        <w:t>All analyses are reported according to CONSORT 2010 and ICH E9 guidelines on Statistical Principles in Clinical Trials.</w:t>
      </w:r>
      <w:r w:rsidR="00AD5867" w:rsidRPr="00477697">
        <w:rPr>
          <w:rFonts w:ascii="Arial" w:hAnsi="Arial" w:cs="Arial"/>
        </w:rPr>
        <w:t xml:space="preserve"> </w:t>
      </w:r>
      <w:r w:rsidR="007A181F" w:rsidRPr="00477697">
        <w:rPr>
          <w:rFonts w:ascii="Arial" w:hAnsi="Arial" w:cs="Arial"/>
          <w:color w:val="211D1E"/>
        </w:rPr>
        <w:t>All enrolled participants were included</w:t>
      </w:r>
      <w:r w:rsidR="007A181F" w:rsidRPr="00477697">
        <w:rPr>
          <w:rFonts w:ascii="Arial" w:hAnsi="Arial" w:cs="Arial"/>
          <w:lang w:eastAsia="ar-SA"/>
        </w:rPr>
        <w:t xml:space="preserve"> in both the evaluable population and the </w:t>
      </w:r>
      <w:r w:rsidR="007A181F" w:rsidRPr="00477697">
        <w:rPr>
          <w:rFonts w:ascii="Arial" w:hAnsi="Arial" w:cs="Arial"/>
          <w:color w:val="211D1E"/>
        </w:rPr>
        <w:t>safety population for analysis.</w:t>
      </w:r>
    </w:p>
    <w:p w14:paraId="2A9FBACD" w14:textId="77777777" w:rsidR="007A181F" w:rsidRPr="00477697" w:rsidRDefault="007A181F" w:rsidP="00477697">
      <w:pPr>
        <w:spacing w:after="0" w:line="480" w:lineRule="auto"/>
        <w:jc w:val="both"/>
        <w:rPr>
          <w:rFonts w:ascii="Arial" w:hAnsi="Arial" w:cs="Arial"/>
        </w:rPr>
      </w:pPr>
    </w:p>
    <w:p w14:paraId="575F2682" w14:textId="7C8F83C1" w:rsidR="00C7344B" w:rsidRPr="00477697" w:rsidRDefault="00C7344B" w:rsidP="00477697">
      <w:pPr>
        <w:spacing w:after="0" w:line="480" w:lineRule="auto"/>
        <w:jc w:val="both"/>
        <w:rPr>
          <w:rFonts w:ascii="Arial" w:hAnsi="Arial" w:cs="Arial"/>
        </w:rPr>
      </w:pPr>
      <w:r w:rsidRPr="00477697">
        <w:rPr>
          <w:rFonts w:ascii="Arial" w:hAnsi="Arial" w:cs="Arial"/>
        </w:rPr>
        <w:t xml:space="preserve">The primary endpoint of DLTs up to 7 days post first dose were modelled using a Bayesian dose-toxicity model based on </w:t>
      </w:r>
      <w:proofErr w:type="spellStart"/>
      <w:r w:rsidR="002803FD" w:rsidRPr="00477697">
        <w:rPr>
          <w:rFonts w:ascii="Arial" w:hAnsi="Arial" w:cs="Arial"/>
        </w:rPr>
        <w:t>Mozgunov</w:t>
      </w:r>
      <w:proofErr w:type="spellEnd"/>
      <w:r w:rsidR="002803FD" w:rsidRPr="00477697">
        <w:rPr>
          <w:rFonts w:ascii="Arial" w:hAnsi="Arial" w:cs="Arial"/>
        </w:rPr>
        <w:t xml:space="preserve"> </w:t>
      </w:r>
      <w:r w:rsidR="002803FD" w:rsidRPr="000F7B95">
        <w:rPr>
          <w:rFonts w:ascii="Arial" w:hAnsi="Arial" w:cs="Arial"/>
          <w:i/>
          <w:iCs/>
        </w:rPr>
        <w:t>et al</w:t>
      </w:r>
      <w:r w:rsidR="00750EF1" w:rsidRPr="00477697">
        <w:rPr>
          <w:rFonts w:ascii="Arial" w:hAnsi="Arial" w:cs="Arial"/>
        </w:rPr>
        <w:t>.</w:t>
      </w:r>
      <w:r w:rsidR="00733AF4">
        <w:rPr>
          <w:rFonts w:ascii="Arial" w:hAnsi="Arial" w:cs="Arial"/>
          <w:vertAlign w:val="superscript"/>
        </w:rPr>
        <w:t>8</w:t>
      </w:r>
      <w:r w:rsidR="00733AF4" w:rsidRPr="00477697">
        <w:rPr>
          <w:rFonts w:ascii="Arial" w:hAnsi="Arial" w:cs="Arial"/>
        </w:rPr>
        <w:t xml:space="preserve"> </w:t>
      </w:r>
      <w:r w:rsidRPr="00477697">
        <w:rPr>
          <w:rFonts w:ascii="Arial" w:hAnsi="Arial" w:cs="Arial"/>
        </w:rPr>
        <w:t xml:space="preserve">The relationship between dose and toxicity </w:t>
      </w:r>
      <w:r w:rsidR="00FD55C8" w:rsidRPr="00477697">
        <w:rPr>
          <w:rFonts w:ascii="Arial" w:hAnsi="Arial" w:cs="Arial"/>
        </w:rPr>
        <w:t>was</w:t>
      </w:r>
      <w:r w:rsidRPr="00477697">
        <w:rPr>
          <w:rFonts w:ascii="Arial" w:hAnsi="Arial" w:cs="Arial"/>
        </w:rPr>
        <w:t xml:space="preserve"> modelled using a two-parameter logistic model, where information can be shared across doses; in particular, th</w:t>
      </w:r>
      <w:r w:rsidR="00B06FEF" w:rsidRPr="00477697">
        <w:rPr>
          <w:rFonts w:ascii="Arial" w:hAnsi="Arial" w:cs="Arial"/>
        </w:rPr>
        <w:t xml:space="preserve">e DLT rate in </w:t>
      </w:r>
      <w:r w:rsidR="00877AD3" w:rsidRPr="00477697">
        <w:rPr>
          <w:rFonts w:ascii="Arial" w:hAnsi="Arial" w:cs="Arial"/>
          <w:color w:val="221E1F"/>
        </w:rPr>
        <w:t>controls</w:t>
      </w:r>
      <w:r w:rsidR="00877AD3" w:rsidRPr="00477697" w:rsidDel="00877AD3">
        <w:rPr>
          <w:rFonts w:ascii="Arial" w:hAnsi="Arial" w:cs="Arial"/>
        </w:rPr>
        <w:t xml:space="preserve"> </w:t>
      </w:r>
      <w:r w:rsidRPr="00477697">
        <w:rPr>
          <w:rFonts w:ascii="Arial" w:hAnsi="Arial" w:cs="Arial"/>
        </w:rPr>
        <w:t>inform</w:t>
      </w:r>
      <w:r w:rsidR="00B06FEF" w:rsidRPr="00477697">
        <w:rPr>
          <w:rFonts w:ascii="Arial" w:hAnsi="Arial" w:cs="Arial"/>
        </w:rPr>
        <w:t>s</w:t>
      </w:r>
      <w:r w:rsidRPr="00477697">
        <w:rPr>
          <w:rFonts w:ascii="Arial" w:hAnsi="Arial" w:cs="Arial"/>
        </w:rPr>
        <w:t xml:space="preserve"> estimates </w:t>
      </w:r>
      <w:r w:rsidR="00B06FEF" w:rsidRPr="00477697">
        <w:rPr>
          <w:rFonts w:ascii="Arial" w:hAnsi="Arial" w:cs="Arial"/>
        </w:rPr>
        <w:t xml:space="preserve">for </w:t>
      </w:r>
      <w:r w:rsidRPr="00477697">
        <w:rPr>
          <w:rFonts w:ascii="Arial" w:hAnsi="Arial" w:cs="Arial"/>
        </w:rPr>
        <w:t xml:space="preserve">the active doses. The prior distributions for </w:t>
      </w:r>
      <w:r w:rsidR="001435EE" w:rsidRPr="00477697">
        <w:rPr>
          <w:rFonts w:ascii="Arial" w:hAnsi="Arial" w:cs="Arial"/>
        </w:rPr>
        <w:t>this</w:t>
      </w:r>
      <w:r w:rsidRPr="00477697">
        <w:rPr>
          <w:rFonts w:ascii="Arial" w:hAnsi="Arial" w:cs="Arial"/>
        </w:rPr>
        <w:t xml:space="preserve"> model were calibrated to </w:t>
      </w:r>
      <w:r w:rsidR="00B06FEF" w:rsidRPr="00477697">
        <w:rPr>
          <w:rFonts w:ascii="Arial" w:hAnsi="Arial" w:cs="Arial"/>
        </w:rPr>
        <w:t xml:space="preserve">maximise the proportion of correct selection </w:t>
      </w:r>
      <w:r w:rsidRPr="00477697">
        <w:rPr>
          <w:rFonts w:ascii="Arial" w:hAnsi="Arial" w:cs="Arial"/>
        </w:rPr>
        <w:t xml:space="preserve">under a range of </w:t>
      </w:r>
      <w:r w:rsidR="00B06FEF" w:rsidRPr="00477697">
        <w:rPr>
          <w:rFonts w:ascii="Arial" w:hAnsi="Arial" w:cs="Arial"/>
        </w:rPr>
        <w:t xml:space="preserve">dose-toxicity </w:t>
      </w:r>
      <w:r w:rsidRPr="00477697">
        <w:rPr>
          <w:rFonts w:ascii="Arial" w:hAnsi="Arial" w:cs="Arial"/>
        </w:rPr>
        <w:t>scenarios where each dose considere</w:t>
      </w:r>
      <w:r w:rsidR="00B06FEF" w:rsidRPr="00477697">
        <w:rPr>
          <w:rFonts w:ascii="Arial" w:hAnsi="Arial" w:cs="Arial"/>
        </w:rPr>
        <w:t>d in the study was the optimum one</w:t>
      </w:r>
      <w:r w:rsidRPr="00477697">
        <w:rPr>
          <w:rFonts w:ascii="Arial" w:hAnsi="Arial" w:cs="Arial"/>
        </w:rPr>
        <w:t xml:space="preserve">. The toxicity risk in </w:t>
      </w:r>
      <w:r w:rsidR="00877AD3" w:rsidRPr="00477697">
        <w:rPr>
          <w:rFonts w:ascii="Arial" w:hAnsi="Arial" w:cs="Arial"/>
          <w:color w:val="221E1F"/>
        </w:rPr>
        <w:t>controls</w:t>
      </w:r>
      <w:r w:rsidR="00877AD3" w:rsidRPr="00477697" w:rsidDel="00877AD3">
        <w:rPr>
          <w:rFonts w:ascii="Arial" w:hAnsi="Arial" w:cs="Arial"/>
        </w:rPr>
        <w:t xml:space="preserve"> </w:t>
      </w:r>
      <w:r w:rsidRPr="00477697">
        <w:rPr>
          <w:rFonts w:ascii="Arial" w:hAnsi="Arial" w:cs="Arial"/>
        </w:rPr>
        <w:t xml:space="preserve">was </w:t>
      </w:r>
      <w:r w:rsidRPr="00477697">
        <w:rPr>
          <w:rFonts w:ascii="Arial" w:hAnsi="Arial" w:cs="Arial"/>
          <w:i/>
          <w:iCs/>
        </w:rPr>
        <w:t>a priori</w:t>
      </w:r>
      <w:r w:rsidRPr="00477697">
        <w:rPr>
          <w:rFonts w:ascii="Arial" w:hAnsi="Arial" w:cs="Arial"/>
        </w:rPr>
        <w:t xml:space="preserve"> assumed to be 10%. Further details are given in Supplement </w:t>
      </w:r>
      <w:r w:rsidR="00D71710" w:rsidRPr="00477697">
        <w:rPr>
          <w:rFonts w:ascii="Arial" w:hAnsi="Arial" w:cs="Arial"/>
        </w:rPr>
        <w:t>S</w:t>
      </w:r>
      <w:r w:rsidRPr="00477697">
        <w:rPr>
          <w:rFonts w:ascii="Arial" w:hAnsi="Arial" w:cs="Arial"/>
        </w:rPr>
        <w:t>1.</w:t>
      </w:r>
    </w:p>
    <w:p w14:paraId="78553498" w14:textId="77777777" w:rsidR="00CE04F9" w:rsidRPr="00477697" w:rsidRDefault="00CE04F9" w:rsidP="00477697">
      <w:pPr>
        <w:autoSpaceDE w:val="0"/>
        <w:autoSpaceDN w:val="0"/>
        <w:adjustRightInd w:val="0"/>
        <w:spacing w:after="0" w:line="480" w:lineRule="auto"/>
        <w:jc w:val="both"/>
        <w:rPr>
          <w:rFonts w:ascii="Arial" w:hAnsi="Arial" w:cs="Arial"/>
        </w:rPr>
      </w:pPr>
    </w:p>
    <w:p w14:paraId="77CFB695" w14:textId="4D47C543" w:rsidR="00C7344B" w:rsidRPr="00477697" w:rsidRDefault="00C7344B" w:rsidP="00477697">
      <w:pPr>
        <w:spacing w:after="0" w:line="480" w:lineRule="auto"/>
        <w:jc w:val="both"/>
        <w:rPr>
          <w:rFonts w:ascii="Arial" w:hAnsi="Arial" w:cs="Arial"/>
        </w:rPr>
      </w:pPr>
      <w:r w:rsidRPr="00477697">
        <w:rPr>
          <w:rFonts w:ascii="Arial" w:hAnsi="Arial" w:cs="Arial"/>
        </w:rPr>
        <w:t xml:space="preserve">The dose-toxicity model was updated after every cohort of participants, and the final model is presented as estimated DLT rates for each dose, alongside equal-tail 95% credible intervals. For active doses, we also present estimated additional toxicity above </w:t>
      </w:r>
      <w:r w:rsidR="00877AD3" w:rsidRPr="00477697">
        <w:rPr>
          <w:rFonts w:ascii="Arial" w:hAnsi="Arial" w:cs="Arial"/>
          <w:color w:val="221E1F"/>
        </w:rPr>
        <w:t>controls</w:t>
      </w:r>
      <w:r w:rsidRPr="00477697">
        <w:rPr>
          <w:rFonts w:ascii="Arial" w:hAnsi="Arial" w:cs="Arial"/>
        </w:rPr>
        <w:t xml:space="preserve">, the probability that the DLT rate falls within 15-25% additional toxicity over </w:t>
      </w:r>
      <w:r w:rsidR="00877AD3" w:rsidRPr="00477697">
        <w:rPr>
          <w:rFonts w:ascii="Arial" w:hAnsi="Arial" w:cs="Arial"/>
          <w:color w:val="221E1F"/>
        </w:rPr>
        <w:t>controls</w:t>
      </w:r>
      <w:r w:rsidR="00877AD3" w:rsidRPr="00477697" w:rsidDel="00877AD3">
        <w:rPr>
          <w:rFonts w:ascii="Arial" w:hAnsi="Arial" w:cs="Arial"/>
        </w:rPr>
        <w:t xml:space="preserve"> </w:t>
      </w:r>
      <w:r w:rsidRPr="00477697">
        <w:rPr>
          <w:rFonts w:ascii="Arial" w:hAnsi="Arial" w:cs="Arial"/>
        </w:rPr>
        <w:t xml:space="preserve">(a pre-determined acceptable </w:t>
      </w:r>
      <w:r w:rsidR="00395FF2" w:rsidRPr="00477697">
        <w:rPr>
          <w:rFonts w:ascii="Arial" w:hAnsi="Arial" w:cs="Arial"/>
        </w:rPr>
        <w:t xml:space="preserve">target </w:t>
      </w:r>
      <w:r w:rsidRPr="00477697">
        <w:rPr>
          <w:rFonts w:ascii="Arial" w:hAnsi="Arial" w:cs="Arial"/>
        </w:rPr>
        <w:t xml:space="preserve">range for toxicity) and the probability of at least 30% additional toxicity over </w:t>
      </w:r>
      <w:r w:rsidR="00877AD3" w:rsidRPr="00477697">
        <w:rPr>
          <w:rFonts w:ascii="Arial" w:hAnsi="Arial" w:cs="Arial"/>
          <w:color w:val="221E1F"/>
        </w:rPr>
        <w:t>controls</w:t>
      </w:r>
      <w:r w:rsidR="00877AD3" w:rsidRPr="00477697" w:rsidDel="00877AD3">
        <w:rPr>
          <w:rFonts w:ascii="Arial" w:hAnsi="Arial" w:cs="Arial"/>
        </w:rPr>
        <w:t xml:space="preserve"> </w:t>
      </w:r>
      <w:r w:rsidRPr="00477697">
        <w:rPr>
          <w:rFonts w:ascii="Arial" w:hAnsi="Arial" w:cs="Arial"/>
        </w:rPr>
        <w:t xml:space="preserve">(deemed as unacceptably toxic). This is supported by the same information for up to day 29. </w:t>
      </w:r>
    </w:p>
    <w:p w14:paraId="769C6CA2" w14:textId="77777777" w:rsidR="00C7344B" w:rsidRPr="00477697" w:rsidRDefault="00C7344B" w:rsidP="00477697">
      <w:pPr>
        <w:spacing w:after="0" w:line="480" w:lineRule="auto"/>
        <w:jc w:val="both"/>
        <w:rPr>
          <w:rFonts w:ascii="Arial" w:hAnsi="Arial" w:cs="Arial"/>
        </w:rPr>
      </w:pPr>
    </w:p>
    <w:p w14:paraId="0C3E599D" w14:textId="40734871" w:rsidR="00CE04F9" w:rsidRPr="00477697" w:rsidRDefault="00C7344B" w:rsidP="00477697">
      <w:pPr>
        <w:autoSpaceDE w:val="0"/>
        <w:autoSpaceDN w:val="0"/>
        <w:adjustRightInd w:val="0"/>
        <w:spacing w:after="0" w:line="480" w:lineRule="auto"/>
        <w:jc w:val="both"/>
        <w:rPr>
          <w:rFonts w:ascii="Arial" w:hAnsi="Arial" w:cs="Arial"/>
        </w:rPr>
      </w:pPr>
      <w:r w:rsidRPr="00477697">
        <w:rPr>
          <w:rFonts w:ascii="Arial" w:hAnsi="Arial" w:cs="Arial"/>
        </w:rPr>
        <w:t xml:space="preserve">Baseline demographics are summarised within each dose (and </w:t>
      </w:r>
      <w:r w:rsidR="00877AD3" w:rsidRPr="00477697">
        <w:rPr>
          <w:rFonts w:ascii="Arial" w:hAnsi="Arial" w:cs="Arial"/>
          <w:color w:val="221E1F"/>
        </w:rPr>
        <w:t>controls</w:t>
      </w:r>
      <w:r w:rsidRPr="00477697">
        <w:rPr>
          <w:rFonts w:ascii="Arial" w:hAnsi="Arial" w:cs="Arial"/>
        </w:rPr>
        <w:t xml:space="preserve">) using descriptive statistics. Clinical endpoints are similarly summarised at days 15 and 29. </w:t>
      </w:r>
      <w:r w:rsidR="00CE04F9" w:rsidRPr="00477697">
        <w:rPr>
          <w:rFonts w:ascii="Arial" w:hAnsi="Arial" w:cs="Arial"/>
        </w:rPr>
        <w:t>The</w:t>
      </w:r>
      <w:r w:rsidR="00BE26CC" w:rsidRPr="00477697">
        <w:rPr>
          <w:rFonts w:ascii="Arial" w:hAnsi="Arial" w:cs="Arial"/>
        </w:rPr>
        <w:t xml:space="preserve"> sample size </w:t>
      </w:r>
      <w:r w:rsidRPr="00477697">
        <w:rPr>
          <w:rFonts w:ascii="Arial" w:hAnsi="Arial" w:cs="Arial"/>
        </w:rPr>
        <w:t xml:space="preserve">was </w:t>
      </w:r>
      <w:r w:rsidRPr="00477697">
        <w:rPr>
          <w:rFonts w:ascii="Arial" w:hAnsi="Arial" w:cs="Arial"/>
        </w:rPr>
        <w:lastRenderedPageBreak/>
        <w:t>flexible, based on the need for the study to adapt to accruing safety data. Simulations to assess model operating characteristics</w:t>
      </w:r>
      <w:r w:rsidR="00F13B7E" w:rsidRPr="00477697">
        <w:rPr>
          <w:rFonts w:ascii="Arial" w:hAnsi="Arial" w:cs="Arial"/>
        </w:rPr>
        <w:t xml:space="preserve"> and to calibrate prior</w:t>
      </w:r>
      <w:r w:rsidRPr="00477697">
        <w:rPr>
          <w:rFonts w:ascii="Arial" w:hAnsi="Arial" w:cs="Arial"/>
        </w:rPr>
        <w:t xml:space="preserve"> assumed </w:t>
      </w:r>
      <w:r w:rsidR="00F13B7E" w:rsidRPr="00477697">
        <w:rPr>
          <w:rFonts w:ascii="Arial" w:hAnsi="Arial" w:cs="Arial"/>
        </w:rPr>
        <w:t>four</w:t>
      </w:r>
      <w:r w:rsidRPr="00477697">
        <w:rPr>
          <w:rFonts w:ascii="Arial" w:hAnsi="Arial" w:cs="Arial"/>
        </w:rPr>
        <w:t xml:space="preserve"> doses (plus </w:t>
      </w:r>
      <w:r w:rsidR="00877AD3" w:rsidRPr="00477697">
        <w:rPr>
          <w:rFonts w:ascii="Arial" w:hAnsi="Arial" w:cs="Arial"/>
          <w:color w:val="221E1F"/>
        </w:rPr>
        <w:t>controls</w:t>
      </w:r>
      <w:r w:rsidRPr="00477697">
        <w:rPr>
          <w:rFonts w:ascii="Arial" w:hAnsi="Arial" w:cs="Arial"/>
        </w:rPr>
        <w:t>), with cohorts of size six</w:t>
      </w:r>
      <w:r w:rsidR="00F13B7E" w:rsidRPr="00477697">
        <w:rPr>
          <w:rFonts w:ascii="Arial" w:hAnsi="Arial" w:cs="Arial"/>
        </w:rPr>
        <w:t xml:space="preserve"> capped at a total of 30</w:t>
      </w:r>
      <w:r w:rsidRPr="00477697">
        <w:rPr>
          <w:rFonts w:ascii="Arial" w:hAnsi="Arial" w:cs="Arial"/>
        </w:rPr>
        <w:t xml:space="preserve"> participants</w:t>
      </w:r>
      <w:r w:rsidR="00207A1A" w:rsidRPr="00477697">
        <w:rPr>
          <w:rFonts w:ascii="Arial" w:hAnsi="Arial" w:cs="Arial"/>
        </w:rPr>
        <w:t>.</w:t>
      </w:r>
    </w:p>
    <w:p w14:paraId="4573643A" w14:textId="76D8CE92" w:rsidR="00922315" w:rsidRPr="00477697" w:rsidRDefault="00922315" w:rsidP="00477697">
      <w:pPr>
        <w:autoSpaceDE w:val="0"/>
        <w:autoSpaceDN w:val="0"/>
        <w:adjustRightInd w:val="0"/>
        <w:spacing w:after="0" w:line="480" w:lineRule="auto"/>
        <w:jc w:val="both"/>
        <w:rPr>
          <w:rFonts w:ascii="Arial" w:hAnsi="Arial" w:cs="Arial"/>
        </w:rPr>
      </w:pPr>
    </w:p>
    <w:p w14:paraId="7679BE82" w14:textId="536FE353" w:rsidR="00922315" w:rsidRPr="00477697" w:rsidRDefault="00922315" w:rsidP="00477697">
      <w:pPr>
        <w:autoSpaceDE w:val="0"/>
        <w:autoSpaceDN w:val="0"/>
        <w:adjustRightInd w:val="0"/>
        <w:spacing w:after="0" w:line="480" w:lineRule="auto"/>
        <w:jc w:val="both"/>
        <w:rPr>
          <w:rFonts w:ascii="Arial" w:hAnsi="Arial" w:cs="Arial"/>
        </w:rPr>
      </w:pPr>
      <w:r w:rsidRPr="00477697">
        <w:rPr>
          <w:rFonts w:ascii="Arial" w:hAnsi="Arial" w:cs="Arial"/>
        </w:rPr>
        <w:t xml:space="preserve">Statistical analysis was undertaken in </w:t>
      </w:r>
      <w:r w:rsidR="007A181F" w:rsidRPr="00477697">
        <w:rPr>
          <w:rFonts w:ascii="Arial" w:hAnsi="Arial" w:cs="Arial"/>
        </w:rPr>
        <w:t>SAS version 9</w:t>
      </w:r>
      <w:r w:rsidR="00996EBF" w:rsidRPr="00477697">
        <w:rPr>
          <w:rFonts w:ascii="Arial" w:hAnsi="Arial" w:cs="Arial"/>
        </w:rPr>
        <w:t>·</w:t>
      </w:r>
      <w:r w:rsidR="007A181F" w:rsidRPr="00477697">
        <w:rPr>
          <w:rFonts w:ascii="Arial" w:hAnsi="Arial" w:cs="Arial"/>
        </w:rPr>
        <w:t>4, STATA version 16 and R version 3</w:t>
      </w:r>
      <w:r w:rsidR="00996EBF" w:rsidRPr="00477697">
        <w:rPr>
          <w:rFonts w:ascii="Arial" w:hAnsi="Arial" w:cs="Arial"/>
        </w:rPr>
        <w:t>·</w:t>
      </w:r>
      <w:r w:rsidR="007A181F" w:rsidRPr="00477697">
        <w:rPr>
          <w:rFonts w:ascii="Arial" w:hAnsi="Arial" w:cs="Arial"/>
        </w:rPr>
        <w:t>6</w:t>
      </w:r>
      <w:r w:rsidR="00996EBF" w:rsidRPr="00477697">
        <w:rPr>
          <w:rFonts w:ascii="Arial" w:hAnsi="Arial" w:cs="Arial"/>
        </w:rPr>
        <w:t xml:space="preserve"> ·</w:t>
      </w:r>
      <w:r w:rsidR="007A181F" w:rsidRPr="00477697">
        <w:rPr>
          <w:rFonts w:ascii="Arial" w:hAnsi="Arial" w:cs="Arial"/>
        </w:rPr>
        <w:t xml:space="preserve">0. </w:t>
      </w:r>
      <w:r w:rsidRPr="00477697">
        <w:rPr>
          <w:rFonts w:ascii="Arial" w:hAnsi="Arial" w:cs="Arial"/>
        </w:rPr>
        <w:t xml:space="preserve"> </w:t>
      </w:r>
    </w:p>
    <w:p w14:paraId="4F00A324" w14:textId="77777777" w:rsidR="00CE04F9" w:rsidRPr="00477697" w:rsidRDefault="00CE04F9" w:rsidP="00477697">
      <w:pPr>
        <w:pStyle w:val="Default"/>
        <w:spacing w:line="480" w:lineRule="auto"/>
        <w:jc w:val="both"/>
        <w:rPr>
          <w:rFonts w:ascii="Arial" w:hAnsi="Arial" w:cs="Arial"/>
          <w:b/>
          <w:color w:val="auto"/>
          <w:sz w:val="22"/>
          <w:szCs w:val="22"/>
        </w:rPr>
      </w:pPr>
    </w:p>
    <w:p w14:paraId="667F8460" w14:textId="77777777"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Role of funding source</w:t>
      </w:r>
    </w:p>
    <w:p w14:paraId="45065115" w14:textId="4FA8A321"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sz w:val="22"/>
          <w:szCs w:val="22"/>
        </w:rPr>
        <w:t xml:space="preserve">The funder of the study had no role in study design, </w:t>
      </w:r>
      <w:r w:rsidR="002651FA" w:rsidRPr="00477697">
        <w:rPr>
          <w:rFonts w:ascii="Arial" w:hAnsi="Arial" w:cs="Arial"/>
          <w:sz w:val="22"/>
          <w:szCs w:val="22"/>
        </w:rPr>
        <w:t>study execution</w:t>
      </w:r>
      <w:r w:rsidR="00F22F63" w:rsidRPr="00477697">
        <w:rPr>
          <w:rFonts w:ascii="Arial" w:hAnsi="Arial" w:cs="Arial"/>
          <w:sz w:val="22"/>
          <w:szCs w:val="22"/>
        </w:rPr>
        <w:t xml:space="preserve">, </w:t>
      </w:r>
      <w:r w:rsidRPr="00477697">
        <w:rPr>
          <w:rFonts w:ascii="Arial" w:hAnsi="Arial" w:cs="Arial"/>
          <w:sz w:val="22"/>
          <w:szCs w:val="22"/>
        </w:rPr>
        <w:t xml:space="preserve">data collection, data analysis, </w:t>
      </w:r>
      <w:r w:rsidR="004801D9" w:rsidRPr="00477697">
        <w:rPr>
          <w:rFonts w:ascii="Arial" w:hAnsi="Arial" w:cs="Arial"/>
          <w:sz w:val="22"/>
          <w:szCs w:val="22"/>
        </w:rPr>
        <w:t xml:space="preserve">or </w:t>
      </w:r>
      <w:r w:rsidRPr="00477697">
        <w:rPr>
          <w:rFonts w:ascii="Arial" w:hAnsi="Arial" w:cs="Arial"/>
          <w:sz w:val="22"/>
          <w:szCs w:val="22"/>
        </w:rPr>
        <w:t>data interpretation.</w:t>
      </w:r>
      <w:r w:rsidR="003F7784" w:rsidRPr="00477697">
        <w:rPr>
          <w:rFonts w:ascii="Arial" w:hAnsi="Arial" w:cs="Arial"/>
          <w:sz w:val="22"/>
          <w:szCs w:val="22"/>
        </w:rPr>
        <w:t xml:space="preserve"> </w:t>
      </w:r>
      <w:r w:rsidR="004801D9" w:rsidRPr="00477697">
        <w:rPr>
          <w:rFonts w:ascii="Arial" w:hAnsi="Arial" w:cs="Arial"/>
          <w:sz w:val="22"/>
          <w:szCs w:val="22"/>
        </w:rPr>
        <w:t xml:space="preserve">WH and WP were non-voting members of the Safety Review Committee meetings as recommended by the MHRA, but did not participate in the Committee’s decision-making. </w:t>
      </w:r>
      <w:r w:rsidR="003F7784" w:rsidRPr="00477697">
        <w:rPr>
          <w:rFonts w:ascii="Arial" w:hAnsi="Arial" w:cs="Arial"/>
          <w:sz w:val="22"/>
          <w:szCs w:val="22"/>
        </w:rPr>
        <w:t>The statisticians</w:t>
      </w:r>
      <w:r w:rsidR="00C7344B" w:rsidRPr="00477697">
        <w:rPr>
          <w:rFonts w:ascii="Arial" w:hAnsi="Arial" w:cs="Arial"/>
          <w:sz w:val="22"/>
          <w:szCs w:val="22"/>
        </w:rPr>
        <w:t xml:space="preserve"> SE, GS and KT</w:t>
      </w:r>
      <w:r w:rsidR="003F7784" w:rsidRPr="00477697">
        <w:rPr>
          <w:rFonts w:ascii="Arial" w:hAnsi="Arial" w:cs="Arial"/>
          <w:sz w:val="22"/>
          <w:szCs w:val="22"/>
        </w:rPr>
        <w:t xml:space="preserve"> </w:t>
      </w:r>
      <w:r w:rsidRPr="00477697">
        <w:rPr>
          <w:rFonts w:ascii="Arial" w:hAnsi="Arial" w:cs="Arial"/>
          <w:sz w:val="22"/>
          <w:szCs w:val="22"/>
        </w:rPr>
        <w:t xml:space="preserve">had full access to all the data in the study and </w:t>
      </w:r>
      <w:r w:rsidR="003F7784" w:rsidRPr="00477697">
        <w:rPr>
          <w:rFonts w:ascii="Arial" w:hAnsi="Arial" w:cs="Arial"/>
          <w:sz w:val="22"/>
          <w:szCs w:val="22"/>
        </w:rPr>
        <w:t xml:space="preserve">SK &amp; GG </w:t>
      </w:r>
      <w:r w:rsidRPr="00477697">
        <w:rPr>
          <w:rFonts w:ascii="Arial" w:hAnsi="Arial" w:cs="Arial"/>
          <w:sz w:val="22"/>
          <w:szCs w:val="22"/>
        </w:rPr>
        <w:t>had final responsibility for the decision to submit for publication</w:t>
      </w:r>
      <w:r w:rsidR="00943039" w:rsidRPr="00477697">
        <w:rPr>
          <w:rFonts w:ascii="Arial" w:hAnsi="Arial" w:cs="Arial"/>
          <w:sz w:val="22"/>
          <w:szCs w:val="22"/>
        </w:rPr>
        <w:t>.</w:t>
      </w:r>
    </w:p>
    <w:p w14:paraId="50F77EC5" w14:textId="77777777" w:rsidR="00983314" w:rsidRPr="00477697" w:rsidRDefault="00983314" w:rsidP="00477697">
      <w:pPr>
        <w:spacing w:after="0" w:line="480" w:lineRule="auto"/>
        <w:jc w:val="both"/>
        <w:rPr>
          <w:rFonts w:ascii="Arial" w:hAnsi="Arial" w:cs="Arial"/>
          <w:b/>
        </w:rPr>
      </w:pPr>
      <w:r w:rsidRPr="00477697">
        <w:rPr>
          <w:rFonts w:ascii="Arial" w:hAnsi="Arial" w:cs="Arial"/>
          <w:b/>
        </w:rPr>
        <w:br w:type="page"/>
      </w:r>
    </w:p>
    <w:p w14:paraId="3DF98DDC" w14:textId="77777777" w:rsidR="007A181F"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lastRenderedPageBreak/>
        <w:t>RESULTS</w:t>
      </w:r>
    </w:p>
    <w:p w14:paraId="61608D4E" w14:textId="4D5847D9" w:rsidR="007A181F" w:rsidRPr="00477697" w:rsidRDefault="00605EF5" w:rsidP="00477697">
      <w:pPr>
        <w:pStyle w:val="Default"/>
        <w:spacing w:line="480" w:lineRule="auto"/>
        <w:jc w:val="both"/>
        <w:rPr>
          <w:rFonts w:ascii="Arial" w:hAnsi="Arial" w:cs="Arial"/>
          <w:color w:val="211D1E"/>
          <w:sz w:val="22"/>
          <w:szCs w:val="22"/>
        </w:rPr>
      </w:pPr>
      <w:r w:rsidRPr="00477697">
        <w:rPr>
          <w:rFonts w:ascii="Arial" w:hAnsi="Arial" w:cs="Arial"/>
          <w:color w:val="211D1E"/>
          <w:sz w:val="22"/>
          <w:szCs w:val="22"/>
        </w:rPr>
        <w:t xml:space="preserve">Of </w:t>
      </w:r>
      <w:r w:rsidR="009A5D4B" w:rsidRPr="00477697">
        <w:rPr>
          <w:rFonts w:ascii="Arial" w:hAnsi="Arial" w:cs="Arial"/>
          <w:color w:val="211D1E"/>
          <w:sz w:val="22"/>
          <w:szCs w:val="22"/>
        </w:rPr>
        <w:t xml:space="preserve">103 </w:t>
      </w:r>
      <w:r w:rsidRPr="00477697">
        <w:rPr>
          <w:rFonts w:ascii="Arial" w:hAnsi="Arial" w:cs="Arial"/>
          <w:color w:val="211D1E"/>
          <w:sz w:val="22"/>
          <w:szCs w:val="22"/>
        </w:rPr>
        <w:t>potential partici</w:t>
      </w:r>
      <w:r w:rsidR="00B642EF" w:rsidRPr="00477697">
        <w:rPr>
          <w:rFonts w:ascii="Arial" w:hAnsi="Arial" w:cs="Arial"/>
          <w:color w:val="211D1E"/>
          <w:sz w:val="22"/>
          <w:szCs w:val="22"/>
        </w:rPr>
        <w:t xml:space="preserve">pants </w:t>
      </w:r>
      <w:r w:rsidR="00105A93" w:rsidRPr="00477697">
        <w:rPr>
          <w:rFonts w:ascii="Arial" w:hAnsi="Arial" w:cs="Arial"/>
          <w:color w:val="211D1E"/>
          <w:sz w:val="22"/>
          <w:szCs w:val="22"/>
        </w:rPr>
        <w:t xml:space="preserve">(Figure </w:t>
      </w:r>
      <w:r w:rsidR="00F5656E" w:rsidRPr="00477697">
        <w:rPr>
          <w:rFonts w:ascii="Arial" w:hAnsi="Arial" w:cs="Arial"/>
          <w:color w:val="211D1E"/>
          <w:sz w:val="22"/>
          <w:szCs w:val="22"/>
        </w:rPr>
        <w:t>1</w:t>
      </w:r>
      <w:r w:rsidR="00105A93" w:rsidRPr="00477697">
        <w:rPr>
          <w:rFonts w:ascii="Arial" w:hAnsi="Arial" w:cs="Arial"/>
          <w:color w:val="211D1E"/>
          <w:sz w:val="22"/>
          <w:szCs w:val="22"/>
        </w:rPr>
        <w:t xml:space="preserve">) </w:t>
      </w:r>
      <w:r w:rsidR="00E65FA4" w:rsidRPr="00477697">
        <w:rPr>
          <w:rFonts w:ascii="Arial" w:hAnsi="Arial" w:cs="Arial"/>
          <w:color w:val="211D1E"/>
          <w:sz w:val="22"/>
          <w:szCs w:val="22"/>
        </w:rPr>
        <w:t>who</w:t>
      </w:r>
      <w:r w:rsidR="00B642EF" w:rsidRPr="00477697">
        <w:rPr>
          <w:rFonts w:ascii="Arial" w:hAnsi="Arial" w:cs="Arial"/>
          <w:color w:val="211D1E"/>
          <w:sz w:val="22"/>
          <w:szCs w:val="22"/>
        </w:rPr>
        <w:t xml:space="preserve"> </w:t>
      </w:r>
      <w:r w:rsidRPr="00477697">
        <w:rPr>
          <w:rFonts w:ascii="Arial" w:hAnsi="Arial" w:cs="Arial"/>
          <w:color w:val="211D1E"/>
          <w:sz w:val="22"/>
          <w:szCs w:val="22"/>
        </w:rPr>
        <w:t>attended for screening</w:t>
      </w:r>
      <w:r w:rsidR="00E65FA4" w:rsidRPr="00477697">
        <w:rPr>
          <w:rFonts w:ascii="Arial" w:hAnsi="Arial" w:cs="Arial"/>
          <w:color w:val="211D1E"/>
          <w:sz w:val="22"/>
          <w:szCs w:val="22"/>
        </w:rPr>
        <w:t>,</w:t>
      </w:r>
      <w:r w:rsidRPr="00477697">
        <w:rPr>
          <w:rFonts w:ascii="Arial" w:hAnsi="Arial" w:cs="Arial"/>
          <w:color w:val="211D1E"/>
          <w:sz w:val="22"/>
          <w:szCs w:val="22"/>
        </w:rPr>
        <w:t xml:space="preserve"> </w:t>
      </w:r>
      <w:r w:rsidR="009A5D4B" w:rsidRPr="00477697">
        <w:rPr>
          <w:rFonts w:ascii="Arial" w:hAnsi="Arial" w:cs="Arial"/>
          <w:color w:val="211D1E"/>
          <w:sz w:val="22"/>
          <w:szCs w:val="22"/>
        </w:rPr>
        <w:t xml:space="preserve">58 </w:t>
      </w:r>
      <w:r w:rsidR="00371038" w:rsidRPr="00477697">
        <w:rPr>
          <w:rFonts w:ascii="Arial" w:hAnsi="Arial" w:cs="Arial"/>
          <w:color w:val="211D1E"/>
          <w:sz w:val="22"/>
          <w:szCs w:val="22"/>
        </w:rPr>
        <w:t>were excluded</w:t>
      </w:r>
      <w:r w:rsidRPr="00477697">
        <w:rPr>
          <w:rFonts w:ascii="Arial" w:hAnsi="Arial" w:cs="Arial"/>
          <w:color w:val="211D1E"/>
          <w:sz w:val="22"/>
          <w:szCs w:val="22"/>
        </w:rPr>
        <w:t xml:space="preserve"> </w:t>
      </w:r>
      <w:r w:rsidR="00377C1B" w:rsidRPr="00477697">
        <w:rPr>
          <w:rFonts w:ascii="Arial" w:hAnsi="Arial" w:cs="Arial"/>
          <w:color w:val="211D1E"/>
          <w:sz w:val="22"/>
          <w:szCs w:val="22"/>
        </w:rPr>
        <w:t>(</w:t>
      </w:r>
      <w:r w:rsidR="009A5D4B" w:rsidRPr="00477697">
        <w:rPr>
          <w:rFonts w:ascii="Arial" w:hAnsi="Arial" w:cs="Arial"/>
          <w:color w:val="211D1E"/>
          <w:sz w:val="22"/>
          <w:szCs w:val="22"/>
        </w:rPr>
        <w:t xml:space="preserve">31 had no signs or symptoms of COVID-19, 12 </w:t>
      </w:r>
      <w:r w:rsidR="00371038" w:rsidRPr="00477697">
        <w:rPr>
          <w:rFonts w:ascii="Arial" w:hAnsi="Arial" w:cs="Arial"/>
          <w:color w:val="211D1E"/>
          <w:sz w:val="22"/>
          <w:szCs w:val="22"/>
        </w:rPr>
        <w:t>tested negative for SARS-CoV-2 by PCR</w:t>
      </w:r>
      <w:r w:rsidRPr="00477697">
        <w:rPr>
          <w:rFonts w:ascii="Arial" w:hAnsi="Arial" w:cs="Arial"/>
          <w:color w:val="211D1E"/>
          <w:sz w:val="22"/>
          <w:szCs w:val="22"/>
        </w:rPr>
        <w:t xml:space="preserve">, </w:t>
      </w:r>
      <w:r w:rsidR="009A5D4B" w:rsidRPr="00477697">
        <w:rPr>
          <w:rFonts w:ascii="Arial" w:hAnsi="Arial" w:cs="Arial"/>
          <w:color w:val="211D1E"/>
          <w:sz w:val="22"/>
          <w:szCs w:val="22"/>
        </w:rPr>
        <w:t xml:space="preserve">7 had signs or symptoms that began after 5 days of planned first dose, 2 </w:t>
      </w:r>
      <w:r w:rsidR="00A375F2" w:rsidRPr="00477697">
        <w:rPr>
          <w:rFonts w:ascii="Arial" w:hAnsi="Arial" w:cs="Arial"/>
          <w:color w:val="211D1E"/>
          <w:sz w:val="22"/>
          <w:szCs w:val="22"/>
        </w:rPr>
        <w:t xml:space="preserve">had </w:t>
      </w:r>
      <w:r w:rsidR="009A5D4B" w:rsidRPr="00477697">
        <w:rPr>
          <w:rFonts w:ascii="Arial" w:hAnsi="Arial" w:cs="Arial"/>
          <w:color w:val="211D1E"/>
          <w:sz w:val="22"/>
          <w:szCs w:val="22"/>
        </w:rPr>
        <w:t xml:space="preserve">an </w:t>
      </w:r>
      <w:r w:rsidR="00A375F2" w:rsidRPr="00477697">
        <w:rPr>
          <w:rFonts w:ascii="Arial" w:hAnsi="Arial" w:cs="Arial"/>
          <w:color w:val="211D1E"/>
          <w:sz w:val="22"/>
          <w:szCs w:val="22"/>
        </w:rPr>
        <w:t xml:space="preserve">uncontrolled </w:t>
      </w:r>
      <w:r w:rsidR="000E10E4" w:rsidRPr="00477697">
        <w:rPr>
          <w:rFonts w:ascii="Arial" w:hAnsi="Arial" w:cs="Arial"/>
          <w:color w:val="211D1E"/>
          <w:sz w:val="22"/>
          <w:szCs w:val="22"/>
        </w:rPr>
        <w:t>comorbidity</w:t>
      </w:r>
      <w:r w:rsidRPr="00477697">
        <w:rPr>
          <w:rFonts w:ascii="Arial" w:hAnsi="Arial" w:cs="Arial"/>
          <w:color w:val="211D1E"/>
          <w:sz w:val="22"/>
          <w:szCs w:val="22"/>
        </w:rPr>
        <w:t xml:space="preserve">, </w:t>
      </w:r>
      <w:r w:rsidR="009A5D4B" w:rsidRPr="00477697">
        <w:rPr>
          <w:rFonts w:ascii="Arial" w:hAnsi="Arial" w:cs="Arial"/>
          <w:color w:val="211D1E"/>
          <w:sz w:val="22"/>
          <w:szCs w:val="22"/>
        </w:rPr>
        <w:t xml:space="preserve">3 </w:t>
      </w:r>
      <w:r w:rsidR="00A375F2" w:rsidRPr="00477697">
        <w:rPr>
          <w:rFonts w:ascii="Arial" w:hAnsi="Arial" w:cs="Arial"/>
          <w:color w:val="211D1E"/>
          <w:sz w:val="22"/>
          <w:szCs w:val="22"/>
        </w:rPr>
        <w:t xml:space="preserve">did not meet </w:t>
      </w:r>
      <w:r w:rsidRPr="00477697">
        <w:rPr>
          <w:rFonts w:ascii="Arial" w:hAnsi="Arial" w:cs="Arial"/>
          <w:color w:val="211D1E"/>
          <w:sz w:val="22"/>
          <w:szCs w:val="22"/>
        </w:rPr>
        <w:t>contraceptive requirements</w:t>
      </w:r>
      <w:r w:rsidR="009A5D4B" w:rsidRPr="00477697">
        <w:rPr>
          <w:rFonts w:ascii="Arial" w:hAnsi="Arial" w:cs="Arial"/>
          <w:color w:val="211D1E"/>
          <w:sz w:val="22"/>
          <w:szCs w:val="22"/>
        </w:rPr>
        <w:t xml:space="preserve">, 1 did not meet the age range, 1 </w:t>
      </w:r>
      <w:r w:rsidR="00C25540" w:rsidRPr="00477697">
        <w:rPr>
          <w:rFonts w:ascii="Arial" w:hAnsi="Arial" w:cs="Arial"/>
          <w:color w:val="211D1E"/>
          <w:sz w:val="22"/>
          <w:szCs w:val="22"/>
        </w:rPr>
        <w:t>did not meet the mild/moderate disease criterion, 22 declined, 5 were</w:t>
      </w:r>
      <w:r w:rsidR="000E10E4" w:rsidRPr="00477697">
        <w:rPr>
          <w:rFonts w:ascii="Arial" w:hAnsi="Arial" w:cs="Arial"/>
          <w:color w:val="211D1E"/>
          <w:sz w:val="22"/>
          <w:szCs w:val="22"/>
        </w:rPr>
        <w:t xml:space="preserve"> screened</w:t>
      </w:r>
      <w:r w:rsidR="00C25540" w:rsidRPr="00477697">
        <w:rPr>
          <w:rFonts w:ascii="Arial" w:hAnsi="Arial" w:cs="Arial"/>
          <w:color w:val="211D1E"/>
          <w:sz w:val="22"/>
          <w:szCs w:val="22"/>
        </w:rPr>
        <w:t xml:space="preserve"> between dosing cohorts</w:t>
      </w:r>
      <w:r w:rsidR="00A375F2" w:rsidRPr="00477697">
        <w:rPr>
          <w:rFonts w:ascii="Arial" w:hAnsi="Arial" w:cs="Arial"/>
          <w:color w:val="211D1E"/>
          <w:sz w:val="22"/>
          <w:szCs w:val="22"/>
        </w:rPr>
        <w:t xml:space="preserve"> and</w:t>
      </w:r>
      <w:r w:rsidRPr="00477697">
        <w:rPr>
          <w:rFonts w:ascii="Arial" w:hAnsi="Arial" w:cs="Arial"/>
          <w:color w:val="211D1E"/>
          <w:sz w:val="22"/>
          <w:szCs w:val="22"/>
        </w:rPr>
        <w:t xml:space="preserve"> 1 </w:t>
      </w:r>
      <w:r w:rsidR="00A375F2" w:rsidRPr="00477697">
        <w:rPr>
          <w:rFonts w:ascii="Arial" w:hAnsi="Arial" w:cs="Arial"/>
          <w:color w:val="211D1E"/>
          <w:sz w:val="22"/>
          <w:szCs w:val="22"/>
        </w:rPr>
        <w:t xml:space="preserve">was </w:t>
      </w:r>
      <w:r w:rsidR="00C25540" w:rsidRPr="00477697">
        <w:rPr>
          <w:rFonts w:ascii="Arial" w:hAnsi="Arial" w:cs="Arial"/>
          <w:color w:val="211D1E"/>
          <w:sz w:val="22"/>
          <w:szCs w:val="22"/>
        </w:rPr>
        <w:t>unk</w:t>
      </w:r>
      <w:r w:rsidR="00CF252A" w:rsidRPr="00477697">
        <w:rPr>
          <w:rFonts w:ascii="Arial" w:hAnsi="Arial" w:cs="Arial"/>
          <w:color w:val="211D1E"/>
          <w:sz w:val="22"/>
          <w:szCs w:val="22"/>
        </w:rPr>
        <w:t>n</w:t>
      </w:r>
      <w:r w:rsidR="00C25540" w:rsidRPr="00477697">
        <w:rPr>
          <w:rFonts w:ascii="Arial" w:hAnsi="Arial" w:cs="Arial"/>
          <w:color w:val="211D1E"/>
          <w:sz w:val="22"/>
          <w:szCs w:val="22"/>
        </w:rPr>
        <w:t>own</w:t>
      </w:r>
      <w:r w:rsidR="00A375F2" w:rsidRPr="00477697">
        <w:rPr>
          <w:rFonts w:ascii="Arial" w:hAnsi="Arial" w:cs="Arial"/>
          <w:color w:val="211D1E"/>
          <w:sz w:val="22"/>
          <w:szCs w:val="22"/>
        </w:rPr>
        <w:t>)</w:t>
      </w:r>
      <w:r w:rsidRPr="00477697">
        <w:rPr>
          <w:rFonts w:ascii="Arial" w:hAnsi="Arial" w:cs="Arial"/>
          <w:color w:val="211D1E"/>
          <w:sz w:val="22"/>
          <w:szCs w:val="22"/>
        </w:rPr>
        <w:t>.</w:t>
      </w:r>
      <w:r w:rsidR="0045525B" w:rsidRPr="00477697">
        <w:rPr>
          <w:rFonts w:ascii="Arial" w:hAnsi="Arial" w:cs="Arial"/>
          <w:color w:val="211D1E"/>
          <w:sz w:val="22"/>
          <w:szCs w:val="22"/>
        </w:rPr>
        <w:t xml:space="preserve"> </w:t>
      </w:r>
      <w:r w:rsidR="00E65FA4" w:rsidRPr="00477697">
        <w:rPr>
          <w:rFonts w:ascii="Arial" w:hAnsi="Arial" w:cs="Arial"/>
          <w:color w:val="211D1E"/>
          <w:sz w:val="22"/>
          <w:szCs w:val="22"/>
        </w:rPr>
        <w:t>E</w:t>
      </w:r>
      <w:r w:rsidR="0045525B" w:rsidRPr="00477697">
        <w:rPr>
          <w:rFonts w:ascii="Arial" w:hAnsi="Arial" w:cs="Arial"/>
          <w:color w:val="211D1E"/>
          <w:sz w:val="22"/>
          <w:szCs w:val="22"/>
        </w:rPr>
        <w:t xml:space="preserve">ligible individuals were randomly assigned within </w:t>
      </w:r>
      <w:r w:rsidR="00474264" w:rsidRPr="00477697">
        <w:rPr>
          <w:rFonts w:ascii="Arial" w:hAnsi="Arial" w:cs="Arial"/>
          <w:color w:val="211D1E"/>
          <w:sz w:val="22"/>
          <w:szCs w:val="22"/>
        </w:rPr>
        <w:t xml:space="preserve">three </w:t>
      </w:r>
      <w:r w:rsidR="00063E30" w:rsidRPr="00477697">
        <w:rPr>
          <w:rFonts w:ascii="Arial" w:hAnsi="Arial" w:cs="Arial"/>
          <w:color w:val="211D1E"/>
          <w:sz w:val="22"/>
          <w:szCs w:val="22"/>
        </w:rPr>
        <w:t xml:space="preserve">sequential dose </w:t>
      </w:r>
      <w:r w:rsidR="00474264" w:rsidRPr="00477697">
        <w:rPr>
          <w:rFonts w:ascii="Arial" w:hAnsi="Arial" w:cs="Arial"/>
          <w:color w:val="211D1E"/>
          <w:sz w:val="22"/>
          <w:szCs w:val="22"/>
        </w:rPr>
        <w:t xml:space="preserve">cohorts </w:t>
      </w:r>
      <w:r w:rsidR="00AB2AF3" w:rsidRPr="00477697">
        <w:rPr>
          <w:rFonts w:ascii="Arial" w:hAnsi="Arial" w:cs="Arial"/>
          <w:color w:val="211D1E"/>
          <w:sz w:val="22"/>
          <w:szCs w:val="22"/>
        </w:rPr>
        <w:t xml:space="preserve">(300mg, 600mg &amp; 800mg) </w:t>
      </w:r>
      <w:r w:rsidR="00EF2554" w:rsidRPr="00477697">
        <w:rPr>
          <w:rFonts w:ascii="Arial" w:hAnsi="Arial" w:cs="Arial"/>
          <w:color w:val="211D1E"/>
          <w:sz w:val="22"/>
          <w:szCs w:val="22"/>
        </w:rPr>
        <w:t>of 6</w:t>
      </w:r>
      <w:r w:rsidR="0045525B" w:rsidRPr="00477697">
        <w:rPr>
          <w:rFonts w:ascii="Arial" w:hAnsi="Arial" w:cs="Arial"/>
          <w:color w:val="211D1E"/>
          <w:sz w:val="22"/>
          <w:szCs w:val="22"/>
        </w:rPr>
        <w:t xml:space="preserve"> participants each </w:t>
      </w:r>
      <w:r w:rsidR="00EF2554" w:rsidRPr="00477697">
        <w:rPr>
          <w:rFonts w:ascii="Arial" w:hAnsi="Arial" w:cs="Arial"/>
          <w:color w:val="211D1E"/>
          <w:sz w:val="22"/>
          <w:szCs w:val="22"/>
        </w:rPr>
        <w:t>(i.e. a total of 18 participants within the p</w:t>
      </w:r>
      <w:r w:rsidR="00474264" w:rsidRPr="00477697">
        <w:rPr>
          <w:rFonts w:ascii="Arial" w:hAnsi="Arial" w:cs="Arial"/>
          <w:color w:val="211D1E"/>
          <w:sz w:val="22"/>
          <w:szCs w:val="22"/>
        </w:rPr>
        <w:t xml:space="preserve">hase 1) </w:t>
      </w:r>
      <w:r w:rsidR="0045525B" w:rsidRPr="00477697">
        <w:rPr>
          <w:rFonts w:ascii="Arial" w:hAnsi="Arial" w:cs="Arial"/>
          <w:color w:val="211D1E"/>
          <w:sz w:val="22"/>
          <w:szCs w:val="22"/>
        </w:rPr>
        <w:t>and dosed in the period between</w:t>
      </w:r>
      <w:r w:rsidR="00474264" w:rsidRPr="00477697">
        <w:rPr>
          <w:rFonts w:ascii="Arial" w:hAnsi="Arial" w:cs="Arial"/>
          <w:color w:val="211D1E"/>
          <w:sz w:val="22"/>
          <w:szCs w:val="22"/>
        </w:rPr>
        <w:t xml:space="preserve"> </w:t>
      </w:r>
      <w:r w:rsidR="00EF2554" w:rsidRPr="00477697">
        <w:rPr>
          <w:rFonts w:ascii="Arial" w:hAnsi="Arial" w:cs="Arial"/>
          <w:sz w:val="22"/>
          <w:szCs w:val="22"/>
        </w:rPr>
        <w:t>17 July 2020, and 30 October</w:t>
      </w:r>
      <w:r w:rsidR="00EF2554" w:rsidRPr="00477697">
        <w:rPr>
          <w:rFonts w:ascii="Arial" w:hAnsi="Arial" w:cs="Arial"/>
          <w:color w:val="211D1E"/>
          <w:sz w:val="22"/>
          <w:szCs w:val="22"/>
        </w:rPr>
        <w:t xml:space="preserve"> 2020. </w:t>
      </w:r>
      <w:r w:rsidR="00474264" w:rsidRPr="00477697">
        <w:rPr>
          <w:rFonts w:ascii="Arial" w:hAnsi="Arial" w:cs="Arial"/>
          <w:color w:val="211D1E"/>
          <w:sz w:val="22"/>
          <w:szCs w:val="22"/>
        </w:rPr>
        <w:t>The baseline characteristics of participants were similar across all groups</w:t>
      </w:r>
      <w:r w:rsidR="00E65FA4" w:rsidRPr="00477697">
        <w:rPr>
          <w:rFonts w:ascii="Arial" w:hAnsi="Arial" w:cs="Arial"/>
          <w:color w:val="211D1E"/>
          <w:sz w:val="22"/>
          <w:szCs w:val="22"/>
        </w:rPr>
        <w:t xml:space="preserve"> (Table 1)</w:t>
      </w:r>
      <w:r w:rsidR="00474264" w:rsidRPr="00477697">
        <w:rPr>
          <w:rFonts w:ascii="Arial" w:hAnsi="Arial" w:cs="Arial"/>
          <w:color w:val="211D1E"/>
          <w:sz w:val="22"/>
          <w:szCs w:val="22"/>
        </w:rPr>
        <w:t xml:space="preserve"> </w:t>
      </w:r>
      <w:r w:rsidR="0078194A" w:rsidRPr="00477697">
        <w:rPr>
          <w:rFonts w:ascii="Arial" w:hAnsi="Arial" w:cs="Arial"/>
          <w:color w:val="211D1E"/>
          <w:sz w:val="22"/>
          <w:szCs w:val="22"/>
        </w:rPr>
        <w:t xml:space="preserve">with an overall median age of 56, 72% </w:t>
      </w:r>
      <w:r w:rsidR="007A181F" w:rsidRPr="00477697">
        <w:rPr>
          <w:rFonts w:ascii="Arial" w:hAnsi="Arial" w:cs="Arial"/>
          <w:color w:val="211D1E"/>
          <w:sz w:val="22"/>
          <w:szCs w:val="22"/>
        </w:rPr>
        <w:t xml:space="preserve">(13/18) </w:t>
      </w:r>
      <w:r w:rsidR="0078194A" w:rsidRPr="00477697">
        <w:rPr>
          <w:rFonts w:ascii="Arial" w:hAnsi="Arial" w:cs="Arial"/>
          <w:color w:val="211D1E"/>
          <w:sz w:val="22"/>
          <w:szCs w:val="22"/>
        </w:rPr>
        <w:t xml:space="preserve">female and 33% </w:t>
      </w:r>
      <w:r w:rsidR="007A181F" w:rsidRPr="00477697">
        <w:rPr>
          <w:rFonts w:ascii="Arial" w:hAnsi="Arial" w:cs="Arial"/>
          <w:color w:val="211D1E"/>
          <w:sz w:val="22"/>
          <w:szCs w:val="22"/>
        </w:rPr>
        <w:t xml:space="preserve">(6/18) </w:t>
      </w:r>
      <w:r w:rsidR="0078194A" w:rsidRPr="00477697">
        <w:rPr>
          <w:rFonts w:ascii="Arial" w:hAnsi="Arial" w:cs="Arial"/>
          <w:color w:val="211D1E"/>
          <w:sz w:val="22"/>
          <w:szCs w:val="22"/>
        </w:rPr>
        <w:t xml:space="preserve">having a WHO </w:t>
      </w:r>
      <w:r w:rsidR="00491354" w:rsidRPr="00477697">
        <w:rPr>
          <w:rFonts w:ascii="Arial" w:hAnsi="Arial" w:cs="Arial"/>
          <w:color w:val="211D1E"/>
          <w:sz w:val="22"/>
          <w:szCs w:val="22"/>
        </w:rPr>
        <w:t xml:space="preserve">COVID </w:t>
      </w:r>
      <w:r w:rsidR="00804711" w:rsidRPr="00477697">
        <w:rPr>
          <w:rFonts w:ascii="Arial" w:hAnsi="Arial" w:cs="Arial"/>
          <w:color w:val="211D1E"/>
          <w:sz w:val="22"/>
          <w:szCs w:val="22"/>
        </w:rPr>
        <w:t xml:space="preserve">ordinal </w:t>
      </w:r>
      <w:r w:rsidR="0078194A" w:rsidRPr="00477697">
        <w:rPr>
          <w:rFonts w:ascii="Arial" w:hAnsi="Arial" w:cs="Arial"/>
          <w:color w:val="211D1E"/>
          <w:sz w:val="22"/>
          <w:szCs w:val="22"/>
        </w:rPr>
        <w:t xml:space="preserve">score of 1 </w:t>
      </w:r>
      <w:r w:rsidR="002B2C11" w:rsidRPr="00477697">
        <w:rPr>
          <w:rFonts w:ascii="Arial" w:hAnsi="Arial" w:cs="Arial"/>
          <w:color w:val="211D1E"/>
          <w:sz w:val="22"/>
          <w:szCs w:val="22"/>
        </w:rPr>
        <w:t>(</w:t>
      </w:r>
      <w:r w:rsidR="0078194A" w:rsidRPr="00477697">
        <w:rPr>
          <w:rFonts w:ascii="Arial" w:hAnsi="Arial" w:cs="Arial"/>
          <w:sz w:val="22"/>
          <w:szCs w:val="22"/>
        </w:rPr>
        <w:t>ambulatory mild disease</w:t>
      </w:r>
      <w:r w:rsidR="00491354" w:rsidRPr="00477697">
        <w:rPr>
          <w:rFonts w:ascii="Arial" w:hAnsi="Arial" w:cs="Arial"/>
          <w:color w:val="211D1E"/>
          <w:sz w:val="22"/>
          <w:szCs w:val="22"/>
        </w:rPr>
        <w:t>)</w:t>
      </w:r>
      <w:r w:rsidR="00F13B7E" w:rsidRPr="00477697">
        <w:rPr>
          <w:rFonts w:ascii="Arial" w:hAnsi="Arial" w:cs="Arial"/>
          <w:color w:val="211D1E"/>
          <w:sz w:val="22"/>
          <w:szCs w:val="22"/>
        </w:rPr>
        <w:t>. The median</w:t>
      </w:r>
      <w:r w:rsidR="00474264" w:rsidRPr="00477697">
        <w:rPr>
          <w:rFonts w:ascii="Arial" w:hAnsi="Arial" w:cs="Arial"/>
          <w:color w:val="211D1E"/>
          <w:sz w:val="22"/>
          <w:szCs w:val="22"/>
        </w:rPr>
        <w:t xml:space="preserve"> number of days </w:t>
      </w:r>
      <w:r w:rsidR="00F13B7E" w:rsidRPr="00477697">
        <w:rPr>
          <w:rFonts w:ascii="Arial" w:hAnsi="Arial" w:cs="Arial"/>
          <w:color w:val="211D1E"/>
          <w:sz w:val="22"/>
          <w:szCs w:val="22"/>
        </w:rPr>
        <w:t xml:space="preserve">(range) </w:t>
      </w:r>
      <w:r w:rsidR="00474264" w:rsidRPr="00477697">
        <w:rPr>
          <w:rFonts w:ascii="Arial" w:hAnsi="Arial" w:cs="Arial"/>
          <w:color w:val="211D1E"/>
          <w:sz w:val="22"/>
          <w:szCs w:val="22"/>
        </w:rPr>
        <w:t xml:space="preserve">from </w:t>
      </w:r>
      <w:r w:rsidR="000F0DEB" w:rsidRPr="00477697">
        <w:rPr>
          <w:rFonts w:ascii="Arial" w:hAnsi="Arial" w:cs="Arial"/>
          <w:color w:val="211D1E"/>
          <w:sz w:val="22"/>
          <w:szCs w:val="22"/>
        </w:rPr>
        <w:t>symptom onset to randomisation</w:t>
      </w:r>
      <w:r w:rsidR="002B2C11" w:rsidRPr="00477697">
        <w:rPr>
          <w:rFonts w:ascii="Arial" w:hAnsi="Arial" w:cs="Arial"/>
          <w:color w:val="211D1E"/>
          <w:sz w:val="22"/>
          <w:szCs w:val="22"/>
        </w:rPr>
        <w:t xml:space="preserve"> and treatment</w:t>
      </w:r>
      <w:r w:rsidR="00474264" w:rsidRPr="00477697">
        <w:rPr>
          <w:rFonts w:ascii="Arial" w:hAnsi="Arial" w:cs="Arial"/>
          <w:color w:val="211D1E"/>
          <w:sz w:val="22"/>
          <w:szCs w:val="22"/>
        </w:rPr>
        <w:t xml:space="preserve"> by the </w:t>
      </w:r>
      <w:r w:rsidR="00EF2554" w:rsidRPr="00477697">
        <w:rPr>
          <w:rFonts w:ascii="Arial" w:hAnsi="Arial" w:cs="Arial"/>
          <w:color w:val="211D1E"/>
          <w:sz w:val="22"/>
          <w:szCs w:val="22"/>
        </w:rPr>
        <w:t>18</w:t>
      </w:r>
      <w:r w:rsidR="00474264" w:rsidRPr="00477697">
        <w:rPr>
          <w:rFonts w:ascii="Arial" w:hAnsi="Arial" w:cs="Arial"/>
          <w:color w:val="211D1E"/>
          <w:sz w:val="22"/>
          <w:szCs w:val="22"/>
        </w:rPr>
        <w:t xml:space="preserve"> participants was </w:t>
      </w:r>
      <w:r w:rsidR="00EF2554" w:rsidRPr="00477697">
        <w:rPr>
          <w:rFonts w:ascii="Arial" w:hAnsi="Arial" w:cs="Arial"/>
          <w:color w:val="211D1E"/>
          <w:sz w:val="22"/>
          <w:szCs w:val="22"/>
        </w:rPr>
        <w:t>4 (</w:t>
      </w:r>
      <w:r w:rsidR="001435EE" w:rsidRPr="00477697">
        <w:rPr>
          <w:rFonts w:ascii="Arial" w:hAnsi="Arial" w:cs="Arial"/>
          <w:color w:val="211D1E"/>
          <w:sz w:val="22"/>
          <w:szCs w:val="22"/>
        </w:rPr>
        <w:t xml:space="preserve">range </w:t>
      </w:r>
      <w:r w:rsidR="00EF2554" w:rsidRPr="00477697">
        <w:rPr>
          <w:rFonts w:ascii="Arial" w:hAnsi="Arial" w:cs="Arial"/>
          <w:color w:val="211D1E"/>
          <w:sz w:val="22"/>
          <w:szCs w:val="22"/>
        </w:rPr>
        <w:t>1-5</w:t>
      </w:r>
      <w:r w:rsidR="00474264" w:rsidRPr="00477697">
        <w:rPr>
          <w:rFonts w:ascii="Arial" w:hAnsi="Arial" w:cs="Arial"/>
          <w:color w:val="211D1E"/>
          <w:sz w:val="22"/>
          <w:szCs w:val="22"/>
        </w:rPr>
        <w:t>)</w:t>
      </w:r>
      <w:r w:rsidR="002B2C11" w:rsidRPr="00477697">
        <w:rPr>
          <w:rFonts w:ascii="Arial" w:hAnsi="Arial" w:cs="Arial"/>
          <w:color w:val="211D1E"/>
          <w:sz w:val="22"/>
          <w:szCs w:val="22"/>
        </w:rPr>
        <w:t>.</w:t>
      </w:r>
    </w:p>
    <w:p w14:paraId="446AD36E" w14:textId="77777777" w:rsidR="003E55DD" w:rsidRPr="00477697" w:rsidRDefault="003E55DD" w:rsidP="00477697">
      <w:pPr>
        <w:pStyle w:val="Default"/>
        <w:spacing w:line="480" w:lineRule="auto"/>
        <w:jc w:val="both"/>
        <w:rPr>
          <w:rFonts w:ascii="Arial" w:hAnsi="Arial" w:cs="Arial"/>
          <w:color w:val="211D1E"/>
          <w:sz w:val="22"/>
          <w:szCs w:val="22"/>
        </w:rPr>
      </w:pPr>
    </w:p>
    <w:p w14:paraId="224B12B0" w14:textId="19359F2B" w:rsidR="00A32AD1" w:rsidRPr="00477697" w:rsidRDefault="00EF2554" w:rsidP="00477697">
      <w:pPr>
        <w:pStyle w:val="Default"/>
        <w:spacing w:line="480" w:lineRule="auto"/>
        <w:jc w:val="both"/>
        <w:rPr>
          <w:rFonts w:ascii="Arial" w:hAnsi="Arial" w:cs="Arial"/>
          <w:color w:val="211D1E"/>
          <w:sz w:val="22"/>
          <w:szCs w:val="22"/>
        </w:rPr>
      </w:pPr>
      <w:r w:rsidRPr="00477697">
        <w:rPr>
          <w:rFonts w:ascii="Arial" w:hAnsi="Arial" w:cs="Arial"/>
          <w:color w:val="211D1E"/>
          <w:sz w:val="22"/>
          <w:szCs w:val="22"/>
        </w:rPr>
        <w:t xml:space="preserve">All </w:t>
      </w:r>
      <w:r w:rsidR="00AF74BD" w:rsidRPr="00477697">
        <w:rPr>
          <w:rFonts w:ascii="Arial" w:hAnsi="Arial" w:cs="Arial"/>
          <w:sz w:val="22"/>
          <w:szCs w:val="22"/>
        </w:rPr>
        <w:t>molnupiravir</w:t>
      </w:r>
      <w:r w:rsidRPr="00477697">
        <w:rPr>
          <w:rFonts w:ascii="Arial" w:hAnsi="Arial" w:cs="Arial"/>
          <w:color w:val="211D1E"/>
          <w:sz w:val="22"/>
          <w:szCs w:val="22"/>
        </w:rPr>
        <w:t xml:space="preserve"> participants received at least 1 dose with 3/4 (75%), 4/4 (100%) and 3/4</w:t>
      </w:r>
      <w:r w:rsidR="00491354" w:rsidRPr="00477697">
        <w:rPr>
          <w:rFonts w:ascii="Arial" w:hAnsi="Arial" w:cs="Arial"/>
          <w:color w:val="211D1E"/>
          <w:sz w:val="22"/>
          <w:szCs w:val="22"/>
        </w:rPr>
        <w:t xml:space="preserve"> (75%</w:t>
      </w:r>
      <w:r w:rsidRPr="00477697">
        <w:rPr>
          <w:rFonts w:ascii="Arial" w:hAnsi="Arial" w:cs="Arial"/>
          <w:color w:val="211D1E"/>
          <w:sz w:val="22"/>
          <w:szCs w:val="22"/>
        </w:rPr>
        <w:t xml:space="preserve">) completing the full treatment in the 300, 600 and 800mg cohort respectively. </w:t>
      </w:r>
      <w:r w:rsidR="009B217F" w:rsidRPr="00477697">
        <w:rPr>
          <w:rFonts w:ascii="Arial" w:hAnsi="Arial" w:cs="Arial"/>
          <w:color w:val="211D1E"/>
          <w:sz w:val="22"/>
          <w:szCs w:val="22"/>
        </w:rPr>
        <w:t xml:space="preserve">One participant on 300mg BD only took 1 of 2 intended tablets for 2 of their treatment doses and one participant on 800mg BD </w:t>
      </w:r>
      <w:r w:rsidR="00144CB5" w:rsidRPr="00477697">
        <w:rPr>
          <w:rFonts w:ascii="Arial" w:hAnsi="Arial" w:cs="Arial"/>
          <w:color w:val="211D1E"/>
          <w:sz w:val="22"/>
          <w:szCs w:val="22"/>
        </w:rPr>
        <w:t>took only two doses on day one, withdrawing from treatment for personal reasons</w:t>
      </w:r>
      <w:r w:rsidR="0068600F">
        <w:rPr>
          <w:rFonts w:ascii="Arial" w:hAnsi="Arial" w:cs="Arial"/>
          <w:color w:val="211D1E"/>
          <w:sz w:val="22"/>
          <w:szCs w:val="22"/>
        </w:rPr>
        <w:t xml:space="preserve"> unrelated to the study</w:t>
      </w:r>
      <w:r w:rsidR="00FE037D" w:rsidRPr="00477697">
        <w:rPr>
          <w:rFonts w:ascii="Arial" w:hAnsi="Arial" w:cs="Arial"/>
          <w:color w:val="211D1E"/>
          <w:sz w:val="22"/>
          <w:szCs w:val="22"/>
        </w:rPr>
        <w:t>.</w:t>
      </w:r>
      <w:r w:rsidR="009B217F" w:rsidRPr="00477697">
        <w:rPr>
          <w:rFonts w:ascii="Arial" w:hAnsi="Arial" w:cs="Arial"/>
          <w:color w:val="211D1E"/>
          <w:sz w:val="22"/>
          <w:szCs w:val="22"/>
        </w:rPr>
        <w:t xml:space="preserve"> </w:t>
      </w:r>
      <w:r w:rsidR="00827981" w:rsidRPr="00477697">
        <w:rPr>
          <w:rFonts w:ascii="Arial" w:hAnsi="Arial" w:cs="Arial"/>
          <w:color w:val="211D1E"/>
          <w:sz w:val="22"/>
          <w:szCs w:val="22"/>
        </w:rPr>
        <w:t xml:space="preserve">The median </w:t>
      </w:r>
      <w:r w:rsidR="00491354" w:rsidRPr="00477697">
        <w:rPr>
          <w:rFonts w:ascii="Arial" w:hAnsi="Arial" w:cs="Arial"/>
          <w:color w:val="211D1E"/>
          <w:sz w:val="22"/>
          <w:szCs w:val="22"/>
        </w:rPr>
        <w:t>n</w:t>
      </w:r>
      <w:r w:rsidR="00827981" w:rsidRPr="00477697">
        <w:rPr>
          <w:rFonts w:ascii="Arial" w:hAnsi="Arial" w:cs="Arial"/>
          <w:color w:val="211D1E"/>
          <w:sz w:val="22"/>
          <w:szCs w:val="22"/>
        </w:rPr>
        <w:t xml:space="preserve">umber of </w:t>
      </w:r>
      <w:r w:rsidR="00AF74BD" w:rsidRPr="00477697">
        <w:rPr>
          <w:rFonts w:ascii="Arial" w:hAnsi="Arial" w:cs="Arial"/>
          <w:sz w:val="22"/>
          <w:szCs w:val="22"/>
        </w:rPr>
        <w:t>molnupiravir</w:t>
      </w:r>
      <w:r w:rsidR="00827981" w:rsidRPr="00477697">
        <w:rPr>
          <w:rFonts w:ascii="Arial" w:hAnsi="Arial" w:cs="Arial"/>
          <w:color w:val="211D1E"/>
          <w:sz w:val="22"/>
          <w:szCs w:val="22"/>
        </w:rPr>
        <w:t xml:space="preserve"> doses received (</w:t>
      </w:r>
      <w:r w:rsidRPr="00477697">
        <w:rPr>
          <w:rFonts w:ascii="Arial" w:hAnsi="Arial" w:cs="Arial"/>
          <w:color w:val="211D1E"/>
          <w:sz w:val="22"/>
          <w:szCs w:val="22"/>
        </w:rPr>
        <w:t>range</w:t>
      </w:r>
      <w:r w:rsidR="00827981" w:rsidRPr="00477697">
        <w:rPr>
          <w:rFonts w:ascii="Arial" w:hAnsi="Arial" w:cs="Arial"/>
          <w:color w:val="211D1E"/>
          <w:sz w:val="22"/>
          <w:szCs w:val="22"/>
        </w:rPr>
        <w:t>) was</w:t>
      </w:r>
      <w:r w:rsidRPr="00477697">
        <w:rPr>
          <w:rFonts w:ascii="Arial" w:hAnsi="Arial" w:cs="Arial"/>
          <w:color w:val="211D1E"/>
          <w:sz w:val="22"/>
          <w:szCs w:val="22"/>
        </w:rPr>
        <w:t xml:space="preserve"> 10</w:t>
      </w:r>
      <w:r w:rsidR="002B2C11" w:rsidRPr="00477697">
        <w:rPr>
          <w:rFonts w:ascii="Arial" w:hAnsi="Arial" w:cs="Arial"/>
          <w:color w:val="211D1E"/>
          <w:sz w:val="22"/>
          <w:szCs w:val="22"/>
        </w:rPr>
        <w:t xml:space="preserve"> </w:t>
      </w:r>
      <w:r w:rsidRPr="00477697">
        <w:rPr>
          <w:rFonts w:ascii="Arial" w:hAnsi="Arial" w:cs="Arial"/>
          <w:color w:val="211D1E"/>
          <w:sz w:val="22"/>
          <w:szCs w:val="22"/>
        </w:rPr>
        <w:t>(8-10), 10 (10-10), 10</w:t>
      </w:r>
      <w:r w:rsidR="002B2C11" w:rsidRPr="00477697">
        <w:rPr>
          <w:rFonts w:ascii="Arial" w:hAnsi="Arial" w:cs="Arial"/>
          <w:color w:val="211D1E"/>
          <w:sz w:val="22"/>
          <w:szCs w:val="22"/>
        </w:rPr>
        <w:t xml:space="preserve"> </w:t>
      </w:r>
      <w:r w:rsidRPr="00477697">
        <w:rPr>
          <w:rFonts w:ascii="Arial" w:hAnsi="Arial" w:cs="Arial"/>
          <w:color w:val="211D1E"/>
          <w:sz w:val="22"/>
          <w:szCs w:val="22"/>
        </w:rPr>
        <w:t xml:space="preserve">(2-10) and median number of days on </w:t>
      </w:r>
      <w:r w:rsidR="00AF74BD" w:rsidRPr="00477697">
        <w:rPr>
          <w:rFonts w:ascii="Arial" w:hAnsi="Arial" w:cs="Arial"/>
          <w:sz w:val="22"/>
          <w:szCs w:val="22"/>
        </w:rPr>
        <w:t>molnupiravir</w:t>
      </w:r>
      <w:r w:rsidRPr="00477697">
        <w:rPr>
          <w:rFonts w:ascii="Arial" w:hAnsi="Arial" w:cs="Arial"/>
          <w:color w:val="211D1E"/>
          <w:sz w:val="22"/>
          <w:szCs w:val="22"/>
        </w:rPr>
        <w:t xml:space="preserve"> treatment (and </w:t>
      </w:r>
      <w:r w:rsidR="00344100" w:rsidRPr="00477697">
        <w:rPr>
          <w:rFonts w:ascii="Arial" w:hAnsi="Arial" w:cs="Arial"/>
          <w:color w:val="211D1E"/>
          <w:sz w:val="22"/>
          <w:szCs w:val="22"/>
        </w:rPr>
        <w:t>range) was 5.5 (5-6), 5</w:t>
      </w:r>
      <w:r w:rsidR="002B2C11" w:rsidRPr="00477697">
        <w:rPr>
          <w:rFonts w:ascii="Arial" w:hAnsi="Arial" w:cs="Arial"/>
          <w:color w:val="211D1E"/>
          <w:sz w:val="22"/>
          <w:szCs w:val="22"/>
        </w:rPr>
        <w:t xml:space="preserve"> </w:t>
      </w:r>
      <w:r w:rsidR="00344100" w:rsidRPr="00477697">
        <w:rPr>
          <w:rFonts w:ascii="Arial" w:hAnsi="Arial" w:cs="Arial"/>
          <w:color w:val="211D1E"/>
          <w:sz w:val="22"/>
          <w:szCs w:val="22"/>
        </w:rPr>
        <w:t>(5-5), 5</w:t>
      </w:r>
      <w:r w:rsidR="002B2C11" w:rsidRPr="00477697">
        <w:rPr>
          <w:rFonts w:ascii="Arial" w:hAnsi="Arial" w:cs="Arial"/>
          <w:color w:val="211D1E"/>
          <w:sz w:val="22"/>
          <w:szCs w:val="22"/>
        </w:rPr>
        <w:t xml:space="preserve"> </w:t>
      </w:r>
      <w:r w:rsidR="00344100" w:rsidRPr="00477697">
        <w:rPr>
          <w:rFonts w:ascii="Arial" w:hAnsi="Arial" w:cs="Arial"/>
          <w:color w:val="211D1E"/>
          <w:sz w:val="22"/>
          <w:szCs w:val="22"/>
        </w:rPr>
        <w:t xml:space="preserve">(1-5) </w:t>
      </w:r>
      <w:r w:rsidR="00827981" w:rsidRPr="00477697">
        <w:rPr>
          <w:rFonts w:ascii="Arial" w:hAnsi="Arial" w:cs="Arial"/>
          <w:color w:val="211D1E"/>
          <w:sz w:val="22"/>
          <w:szCs w:val="22"/>
        </w:rPr>
        <w:t xml:space="preserve">for the 300mg, 600mg &amp; 800mg cohorts respectively. </w:t>
      </w:r>
    </w:p>
    <w:p w14:paraId="7216D368" w14:textId="77777777" w:rsidR="004C24FA" w:rsidRPr="00477697" w:rsidRDefault="004C24FA" w:rsidP="000575CD">
      <w:pPr>
        <w:spacing w:after="0" w:line="480" w:lineRule="auto"/>
        <w:jc w:val="both"/>
        <w:rPr>
          <w:rFonts w:ascii="Arial" w:hAnsi="Arial" w:cs="Arial"/>
          <w:bCs/>
        </w:rPr>
      </w:pPr>
    </w:p>
    <w:p w14:paraId="70B92D8C" w14:textId="77777777" w:rsidR="004C24FA" w:rsidRPr="00477697" w:rsidRDefault="004C24FA" w:rsidP="00477697">
      <w:pPr>
        <w:keepNext/>
        <w:keepLines/>
        <w:spacing w:after="0" w:line="480" w:lineRule="auto"/>
        <w:jc w:val="both"/>
        <w:rPr>
          <w:rFonts w:ascii="Arial" w:hAnsi="Arial" w:cs="Arial"/>
          <w:b/>
          <w:bCs/>
        </w:rPr>
      </w:pPr>
      <w:r w:rsidRPr="00477697">
        <w:rPr>
          <w:rFonts w:ascii="Arial" w:hAnsi="Arial" w:cs="Arial"/>
          <w:b/>
          <w:bCs/>
        </w:rPr>
        <w:t xml:space="preserve">Primary analysis </w:t>
      </w:r>
    </w:p>
    <w:p w14:paraId="0B153BF0" w14:textId="6C627CE4" w:rsidR="00E13E65" w:rsidRPr="00477697" w:rsidRDefault="009C1FCB" w:rsidP="00477697">
      <w:pPr>
        <w:pStyle w:val="Default"/>
        <w:spacing w:line="480" w:lineRule="auto"/>
        <w:jc w:val="both"/>
        <w:rPr>
          <w:rFonts w:ascii="Arial" w:hAnsi="Arial" w:cs="Arial"/>
          <w:bCs/>
          <w:sz w:val="22"/>
          <w:szCs w:val="22"/>
        </w:rPr>
      </w:pPr>
      <w:r w:rsidRPr="00477697">
        <w:rPr>
          <w:rFonts w:ascii="Arial" w:hAnsi="Arial" w:cs="Arial"/>
          <w:bCs/>
          <w:sz w:val="22"/>
          <w:szCs w:val="22"/>
        </w:rPr>
        <w:t xml:space="preserve">No participants in any cohort experienced a DLT or a grade 3 or above </w:t>
      </w:r>
      <w:r w:rsidR="007B2BA9" w:rsidRPr="00477697">
        <w:rPr>
          <w:rFonts w:ascii="Arial" w:hAnsi="Arial" w:cs="Arial"/>
          <w:bCs/>
          <w:sz w:val="22"/>
          <w:szCs w:val="22"/>
        </w:rPr>
        <w:t xml:space="preserve">change in </w:t>
      </w:r>
      <w:r w:rsidRPr="00477697">
        <w:rPr>
          <w:rFonts w:ascii="Arial" w:hAnsi="Arial" w:cs="Arial"/>
          <w:bCs/>
          <w:sz w:val="22"/>
          <w:szCs w:val="22"/>
        </w:rPr>
        <w:t xml:space="preserve">lymphocytes or platelets (for those with a normal baseline value) or a 2 or more grade increment in lymphocytes or platelets (for those with grade 2 or 3 at baseline). </w:t>
      </w:r>
      <w:r w:rsidR="00647E02" w:rsidRPr="00477697">
        <w:rPr>
          <w:rFonts w:ascii="Arial" w:hAnsi="Arial" w:cs="Arial"/>
          <w:color w:val="211D1E"/>
          <w:sz w:val="22"/>
          <w:szCs w:val="22"/>
        </w:rPr>
        <w:t>Following review by the Safety Review Committee (SRC), dose cohort escalation went from 300mg to 600mg (skipping 400mg) and then from 600mg to 800mg</w:t>
      </w:r>
      <w:r w:rsidR="00144CB5" w:rsidRPr="00477697">
        <w:rPr>
          <w:rFonts w:ascii="Arial" w:hAnsi="Arial" w:cs="Arial"/>
          <w:color w:val="211D1E"/>
          <w:sz w:val="22"/>
          <w:szCs w:val="22"/>
        </w:rPr>
        <w:t>.</w:t>
      </w:r>
      <w:r w:rsidR="00647E02" w:rsidRPr="00477697">
        <w:rPr>
          <w:rFonts w:ascii="Arial" w:hAnsi="Arial" w:cs="Arial"/>
          <w:color w:val="211D1E"/>
          <w:sz w:val="22"/>
          <w:szCs w:val="22"/>
        </w:rPr>
        <w:t xml:space="preserve"> B</w:t>
      </w:r>
      <w:r w:rsidR="00E13E65" w:rsidRPr="00477697">
        <w:rPr>
          <w:rFonts w:ascii="Arial" w:hAnsi="Arial" w:cs="Arial"/>
          <w:bCs/>
          <w:sz w:val="22"/>
          <w:szCs w:val="22"/>
          <w:lang w:eastAsia="zh-CN"/>
        </w:rPr>
        <w:t>ayesian model DLT</w:t>
      </w:r>
      <w:r w:rsidR="000F64D5" w:rsidRPr="00477697">
        <w:rPr>
          <w:rFonts w:ascii="Arial" w:hAnsi="Arial" w:cs="Arial"/>
          <w:bCs/>
          <w:sz w:val="22"/>
          <w:szCs w:val="22"/>
          <w:lang w:eastAsia="zh-CN"/>
        </w:rPr>
        <w:t xml:space="preserve"> point estimates, 95% credible interval, and the target toxicity level of 20% over the </w:t>
      </w:r>
      <w:r w:rsidR="00877AD3" w:rsidRPr="00477697">
        <w:rPr>
          <w:rFonts w:ascii="Arial" w:hAnsi="Arial" w:cs="Arial"/>
          <w:color w:val="221E1F"/>
          <w:sz w:val="22"/>
          <w:szCs w:val="22"/>
        </w:rPr>
        <w:t>controls</w:t>
      </w:r>
      <w:r w:rsidR="000F64D5" w:rsidRPr="00477697">
        <w:rPr>
          <w:rFonts w:ascii="Arial" w:hAnsi="Arial" w:cs="Arial"/>
          <w:bCs/>
          <w:sz w:val="22"/>
          <w:szCs w:val="22"/>
          <w:lang w:eastAsia="zh-CN"/>
        </w:rPr>
        <w:t xml:space="preserve"> </w:t>
      </w:r>
      <w:r w:rsidR="00E13E65" w:rsidRPr="00477697">
        <w:rPr>
          <w:rFonts w:ascii="Arial" w:hAnsi="Arial" w:cs="Arial"/>
          <w:bCs/>
          <w:sz w:val="22"/>
          <w:szCs w:val="22"/>
        </w:rPr>
        <w:t xml:space="preserve">are shown in </w:t>
      </w:r>
      <w:r w:rsidR="00E13E65" w:rsidRPr="00477697">
        <w:rPr>
          <w:rFonts w:ascii="Arial" w:hAnsi="Arial" w:cs="Arial"/>
          <w:sz w:val="22"/>
          <w:szCs w:val="22"/>
        </w:rPr>
        <w:t>Figure 2</w:t>
      </w:r>
      <w:r w:rsidR="006854BE" w:rsidRPr="00477697">
        <w:rPr>
          <w:rFonts w:ascii="Arial" w:hAnsi="Arial" w:cs="Arial"/>
          <w:sz w:val="22"/>
          <w:szCs w:val="22"/>
        </w:rPr>
        <w:t>.</w:t>
      </w:r>
      <w:r w:rsidR="00647E02" w:rsidRPr="00477697">
        <w:rPr>
          <w:rFonts w:ascii="Arial" w:hAnsi="Arial" w:cs="Arial"/>
          <w:sz w:val="22"/>
          <w:szCs w:val="22"/>
        </w:rPr>
        <w:t xml:space="preserve"> </w:t>
      </w:r>
      <w:r w:rsidR="00144CB5" w:rsidRPr="00477697">
        <w:rPr>
          <w:rFonts w:ascii="Arial" w:hAnsi="Arial" w:cs="Arial"/>
          <w:sz w:val="22"/>
          <w:szCs w:val="22"/>
        </w:rPr>
        <w:t>F</w:t>
      </w:r>
      <w:r w:rsidR="006854BE" w:rsidRPr="00477697">
        <w:rPr>
          <w:rFonts w:ascii="Arial" w:hAnsi="Arial" w:cs="Arial"/>
          <w:sz w:val="22"/>
          <w:szCs w:val="22"/>
        </w:rPr>
        <w:t xml:space="preserve">or data up to day 7, the maximum </w:t>
      </w:r>
      <w:r w:rsidR="006854BE" w:rsidRPr="00477697">
        <w:rPr>
          <w:rFonts w:ascii="Arial" w:hAnsi="Arial" w:cs="Arial"/>
          <w:sz w:val="22"/>
          <w:szCs w:val="22"/>
        </w:rPr>
        <w:lastRenderedPageBreak/>
        <w:t>dose (800mg) had an estimated DLT rate of 11</w:t>
      </w:r>
      <w:r w:rsidR="00996EBF" w:rsidRPr="00235A9C">
        <w:rPr>
          <w:rFonts w:ascii="Arial" w:hAnsi="Arial" w:cs="Arial"/>
          <w:sz w:val="22"/>
          <w:szCs w:val="22"/>
        </w:rPr>
        <w:t>·</w:t>
      </w:r>
      <w:r w:rsidR="006854BE" w:rsidRPr="00477697">
        <w:rPr>
          <w:rFonts w:ascii="Arial" w:hAnsi="Arial" w:cs="Arial"/>
          <w:sz w:val="22"/>
          <w:szCs w:val="22"/>
        </w:rPr>
        <w:t>0% (equal-tail 95% credible interval of 1</w:t>
      </w:r>
      <w:r w:rsidR="00996EBF" w:rsidRPr="00235A9C">
        <w:rPr>
          <w:rFonts w:ascii="Arial" w:hAnsi="Arial" w:cs="Arial"/>
          <w:sz w:val="22"/>
          <w:szCs w:val="22"/>
        </w:rPr>
        <w:t>·</w:t>
      </w:r>
      <w:r w:rsidR="006854BE" w:rsidRPr="00477697">
        <w:rPr>
          <w:rFonts w:ascii="Arial" w:hAnsi="Arial" w:cs="Arial"/>
          <w:sz w:val="22"/>
          <w:szCs w:val="22"/>
        </w:rPr>
        <w:t>8 to 30</w:t>
      </w:r>
      <w:r w:rsidR="00996EBF" w:rsidRPr="00235A9C">
        <w:rPr>
          <w:rFonts w:ascii="Arial" w:hAnsi="Arial" w:cs="Arial"/>
          <w:sz w:val="22"/>
          <w:szCs w:val="22"/>
        </w:rPr>
        <w:t>·</w:t>
      </w:r>
      <w:r w:rsidR="006854BE" w:rsidRPr="00477697">
        <w:rPr>
          <w:rFonts w:ascii="Arial" w:hAnsi="Arial" w:cs="Arial"/>
          <w:sz w:val="22"/>
          <w:szCs w:val="22"/>
        </w:rPr>
        <w:t>4%)</w:t>
      </w:r>
      <w:r w:rsidR="00EA7DAE" w:rsidRPr="00477697">
        <w:rPr>
          <w:rFonts w:ascii="Arial" w:hAnsi="Arial" w:cs="Arial"/>
          <w:sz w:val="22"/>
          <w:szCs w:val="22"/>
        </w:rPr>
        <w:t>, with estimated 7</w:t>
      </w:r>
      <w:r w:rsidR="00996EBF" w:rsidRPr="00235A9C">
        <w:rPr>
          <w:rFonts w:ascii="Arial" w:hAnsi="Arial" w:cs="Arial"/>
          <w:sz w:val="22"/>
          <w:szCs w:val="22"/>
        </w:rPr>
        <w:t>·</w:t>
      </w:r>
      <w:r w:rsidR="00EA7DAE" w:rsidRPr="00477697">
        <w:rPr>
          <w:rFonts w:ascii="Arial" w:hAnsi="Arial" w:cs="Arial"/>
          <w:sz w:val="22"/>
          <w:szCs w:val="22"/>
        </w:rPr>
        <w:t xml:space="preserve">4% </w:t>
      </w:r>
      <w:r w:rsidR="006854BE" w:rsidRPr="00477697">
        <w:rPr>
          <w:rFonts w:ascii="Arial" w:hAnsi="Arial" w:cs="Arial"/>
          <w:sz w:val="22"/>
          <w:szCs w:val="22"/>
        </w:rPr>
        <w:t xml:space="preserve">additional toxicity over </w:t>
      </w:r>
      <w:r w:rsidR="00877AD3" w:rsidRPr="00477697">
        <w:rPr>
          <w:rFonts w:ascii="Arial" w:hAnsi="Arial" w:cs="Arial"/>
          <w:color w:val="221E1F"/>
          <w:sz w:val="22"/>
          <w:szCs w:val="22"/>
        </w:rPr>
        <w:t>controls</w:t>
      </w:r>
      <w:r w:rsidR="00877AD3" w:rsidRPr="00477697" w:rsidDel="00877AD3">
        <w:rPr>
          <w:rFonts w:ascii="Arial" w:hAnsi="Arial" w:cs="Arial"/>
          <w:sz w:val="22"/>
          <w:szCs w:val="22"/>
        </w:rPr>
        <w:t xml:space="preserve"> </w:t>
      </w:r>
      <w:r w:rsidR="006854BE" w:rsidRPr="00477697">
        <w:rPr>
          <w:rFonts w:ascii="Arial" w:hAnsi="Arial" w:cs="Arial"/>
          <w:sz w:val="22"/>
          <w:szCs w:val="22"/>
        </w:rPr>
        <w:t xml:space="preserve">and </w:t>
      </w:r>
      <w:r w:rsidR="00E13E65" w:rsidRPr="00477697">
        <w:rPr>
          <w:rFonts w:ascii="Arial" w:hAnsi="Arial" w:cs="Arial"/>
          <w:sz w:val="22"/>
          <w:szCs w:val="22"/>
        </w:rPr>
        <w:t>a</w:t>
      </w:r>
      <w:r w:rsidR="00E13E65" w:rsidRPr="00477697">
        <w:rPr>
          <w:rFonts w:ascii="Arial" w:hAnsi="Arial" w:cs="Arial"/>
          <w:bCs/>
          <w:sz w:val="22"/>
          <w:szCs w:val="22"/>
        </w:rPr>
        <w:t xml:space="preserve"> probability of additional toxicity </w:t>
      </w:r>
      <w:r w:rsidR="00BE2230" w:rsidRPr="00477697">
        <w:rPr>
          <w:rFonts w:ascii="Arial" w:hAnsi="Arial" w:cs="Arial"/>
          <w:bCs/>
          <w:sz w:val="22"/>
          <w:szCs w:val="22"/>
        </w:rPr>
        <w:t xml:space="preserve">≥30% </w:t>
      </w:r>
      <w:r w:rsidR="00E13E65" w:rsidRPr="00477697">
        <w:rPr>
          <w:rFonts w:ascii="Arial" w:hAnsi="Arial" w:cs="Arial"/>
          <w:bCs/>
          <w:sz w:val="22"/>
          <w:szCs w:val="22"/>
        </w:rPr>
        <w:t xml:space="preserve">over </w:t>
      </w:r>
      <w:r w:rsidR="00877AD3" w:rsidRPr="00477697">
        <w:rPr>
          <w:rFonts w:ascii="Arial" w:hAnsi="Arial" w:cs="Arial"/>
          <w:color w:val="221E1F"/>
          <w:sz w:val="22"/>
          <w:szCs w:val="22"/>
        </w:rPr>
        <w:t>controls</w:t>
      </w:r>
      <w:r w:rsidR="00877AD3" w:rsidRPr="00477697" w:rsidDel="00877AD3">
        <w:rPr>
          <w:rFonts w:ascii="Arial" w:hAnsi="Arial" w:cs="Arial"/>
          <w:bCs/>
          <w:sz w:val="22"/>
          <w:szCs w:val="22"/>
        </w:rPr>
        <w:t xml:space="preserve"> </w:t>
      </w:r>
      <w:r w:rsidR="00BE2230" w:rsidRPr="00477697">
        <w:rPr>
          <w:rFonts w:ascii="Arial" w:hAnsi="Arial" w:cs="Arial"/>
          <w:bCs/>
          <w:sz w:val="22"/>
          <w:szCs w:val="22"/>
        </w:rPr>
        <w:t>of</w:t>
      </w:r>
      <w:r w:rsidR="00E13E65" w:rsidRPr="00477697">
        <w:rPr>
          <w:rFonts w:ascii="Arial" w:hAnsi="Arial" w:cs="Arial"/>
          <w:bCs/>
          <w:sz w:val="22"/>
          <w:szCs w:val="22"/>
        </w:rPr>
        <w:t xml:space="preserve"> 0.9%. </w:t>
      </w:r>
      <w:r w:rsidR="00BE2230" w:rsidRPr="00477697">
        <w:rPr>
          <w:rFonts w:ascii="Arial" w:hAnsi="Arial" w:cs="Arial"/>
          <w:bCs/>
          <w:sz w:val="22"/>
          <w:szCs w:val="22"/>
        </w:rPr>
        <w:t>As there were no DLTs recorded up to day 28, th</w:t>
      </w:r>
      <w:r w:rsidR="00EA7DAE" w:rsidRPr="00477697">
        <w:rPr>
          <w:rFonts w:ascii="Arial" w:hAnsi="Arial" w:cs="Arial"/>
          <w:bCs/>
          <w:sz w:val="22"/>
          <w:szCs w:val="22"/>
        </w:rPr>
        <w:t xml:space="preserve">e results for day 7 are </w:t>
      </w:r>
      <w:r w:rsidR="00BE2230" w:rsidRPr="00477697">
        <w:rPr>
          <w:rFonts w:ascii="Arial" w:hAnsi="Arial" w:cs="Arial"/>
          <w:bCs/>
          <w:sz w:val="22"/>
          <w:szCs w:val="22"/>
        </w:rPr>
        <w:t xml:space="preserve">the same for day 28 and so are not repeated. </w:t>
      </w:r>
      <w:r w:rsidR="007F40D3" w:rsidRPr="00477697">
        <w:rPr>
          <w:rFonts w:ascii="Arial" w:hAnsi="Arial" w:cs="Arial"/>
          <w:bCs/>
          <w:sz w:val="22"/>
          <w:szCs w:val="22"/>
        </w:rPr>
        <w:t>T</w:t>
      </w:r>
      <w:r w:rsidR="00270D03" w:rsidRPr="00477697">
        <w:rPr>
          <w:rFonts w:ascii="Arial" w:hAnsi="Arial" w:cs="Arial"/>
          <w:bCs/>
          <w:sz w:val="22"/>
          <w:szCs w:val="22"/>
        </w:rPr>
        <w:t>he</w:t>
      </w:r>
      <w:r w:rsidR="00E13E65" w:rsidRPr="00477697">
        <w:rPr>
          <w:rFonts w:ascii="Arial" w:hAnsi="Arial" w:cs="Arial"/>
          <w:bCs/>
          <w:sz w:val="22"/>
          <w:szCs w:val="22"/>
        </w:rPr>
        <w:t>s</w:t>
      </w:r>
      <w:r w:rsidR="00270D03" w:rsidRPr="00477697">
        <w:rPr>
          <w:rFonts w:ascii="Arial" w:hAnsi="Arial" w:cs="Arial"/>
          <w:bCs/>
          <w:sz w:val="22"/>
          <w:szCs w:val="22"/>
        </w:rPr>
        <w:t>e</w:t>
      </w:r>
      <w:r w:rsidR="00E13E65" w:rsidRPr="00477697">
        <w:rPr>
          <w:rFonts w:ascii="Arial" w:hAnsi="Arial" w:cs="Arial"/>
          <w:bCs/>
          <w:sz w:val="22"/>
          <w:szCs w:val="22"/>
        </w:rPr>
        <w:t xml:space="preserve"> data </w:t>
      </w:r>
      <w:r w:rsidR="007F40D3" w:rsidRPr="00477697">
        <w:rPr>
          <w:rFonts w:ascii="Arial" w:hAnsi="Arial" w:cs="Arial"/>
          <w:bCs/>
          <w:sz w:val="22"/>
          <w:szCs w:val="22"/>
        </w:rPr>
        <w:t>support</w:t>
      </w:r>
      <w:r w:rsidR="00E13E65" w:rsidRPr="00477697">
        <w:rPr>
          <w:rFonts w:ascii="Arial" w:hAnsi="Arial" w:cs="Arial"/>
          <w:bCs/>
          <w:sz w:val="22"/>
          <w:szCs w:val="22"/>
        </w:rPr>
        <w:t xml:space="preserve"> 800mg BD as the </w:t>
      </w:r>
      <w:r w:rsidR="00144CB5" w:rsidRPr="00477697">
        <w:rPr>
          <w:rFonts w:ascii="Arial" w:hAnsi="Arial" w:cs="Arial"/>
          <w:bCs/>
          <w:sz w:val="22"/>
          <w:szCs w:val="22"/>
        </w:rPr>
        <w:t>recommended phase II dose</w:t>
      </w:r>
      <w:r w:rsidR="00F5656E" w:rsidRPr="00477697">
        <w:rPr>
          <w:rFonts w:ascii="Arial" w:hAnsi="Arial" w:cs="Arial"/>
          <w:bCs/>
          <w:sz w:val="22"/>
          <w:szCs w:val="22"/>
        </w:rPr>
        <w:t>.</w:t>
      </w:r>
    </w:p>
    <w:p w14:paraId="52D56D1E" w14:textId="60C7F0B0" w:rsidR="00144CB5" w:rsidRPr="00477697" w:rsidRDefault="00144CB5" w:rsidP="00477697">
      <w:pPr>
        <w:pStyle w:val="Default"/>
        <w:spacing w:line="480" w:lineRule="auto"/>
        <w:jc w:val="both"/>
        <w:rPr>
          <w:rFonts w:ascii="Arial" w:hAnsi="Arial" w:cs="Arial"/>
          <w:bCs/>
          <w:sz w:val="22"/>
          <w:szCs w:val="22"/>
        </w:rPr>
      </w:pPr>
    </w:p>
    <w:p w14:paraId="1C050C84" w14:textId="77777777" w:rsidR="009C1FCB" w:rsidRPr="00477697" w:rsidRDefault="007F7444" w:rsidP="00477697">
      <w:pPr>
        <w:keepNext/>
        <w:keepLines/>
        <w:spacing w:after="0" w:line="480" w:lineRule="auto"/>
        <w:jc w:val="both"/>
        <w:rPr>
          <w:rFonts w:ascii="Arial" w:hAnsi="Arial" w:cs="Arial"/>
          <w:b/>
          <w:bCs/>
        </w:rPr>
      </w:pPr>
      <w:r w:rsidRPr="00477697">
        <w:rPr>
          <w:rFonts w:ascii="Arial" w:hAnsi="Arial" w:cs="Arial"/>
          <w:b/>
          <w:bCs/>
        </w:rPr>
        <w:t xml:space="preserve">Analysis of secondary endpoints </w:t>
      </w:r>
    </w:p>
    <w:p w14:paraId="08BDE884" w14:textId="195E243A" w:rsidR="007F7444" w:rsidRPr="00477697" w:rsidRDefault="007F7444" w:rsidP="00235A9C">
      <w:pPr>
        <w:spacing w:after="0" w:line="480" w:lineRule="auto"/>
        <w:jc w:val="both"/>
        <w:rPr>
          <w:rFonts w:ascii="Arial" w:hAnsi="Arial" w:cs="Arial"/>
          <w:color w:val="211D1E"/>
        </w:rPr>
      </w:pPr>
      <w:r w:rsidRPr="00477697">
        <w:rPr>
          <w:rFonts w:ascii="Arial" w:hAnsi="Arial" w:cs="Arial"/>
          <w:color w:val="211D1E"/>
        </w:rPr>
        <w:t xml:space="preserve">Adverse events were evenly distributed among the dose cohorts including </w:t>
      </w:r>
      <w:r w:rsidR="00877AD3" w:rsidRPr="00477697">
        <w:rPr>
          <w:rFonts w:ascii="Arial" w:hAnsi="Arial" w:cs="Arial"/>
          <w:color w:val="211D1E"/>
        </w:rPr>
        <w:t>controls</w:t>
      </w:r>
      <w:r w:rsidRPr="00477697">
        <w:rPr>
          <w:rFonts w:ascii="Arial" w:hAnsi="Arial" w:cs="Arial"/>
          <w:color w:val="211D1E"/>
        </w:rPr>
        <w:t>.</w:t>
      </w:r>
      <w:r w:rsidRPr="00477697">
        <w:rPr>
          <w:rFonts w:ascii="Arial" w:hAnsi="Arial" w:cs="Arial"/>
        </w:rPr>
        <w:t xml:space="preserve"> Overall, 4 of 4 (100%), 4 of 4 (100%) and 1 of 4 (25%) of the participants receiving 300, 600 and 800mg of </w:t>
      </w:r>
      <w:r w:rsidR="00AF74BD" w:rsidRPr="00477697">
        <w:rPr>
          <w:rFonts w:ascii="Arial" w:hAnsi="Arial" w:cs="Arial"/>
          <w:bCs/>
        </w:rPr>
        <w:t>molnupiravir</w:t>
      </w:r>
      <w:r w:rsidRPr="00477697">
        <w:rPr>
          <w:rFonts w:ascii="Arial" w:hAnsi="Arial" w:cs="Arial"/>
        </w:rPr>
        <w:t xml:space="preserve">, and 5 of 6 (83%) </w:t>
      </w:r>
      <w:r w:rsidR="00877AD3" w:rsidRPr="00477697">
        <w:rPr>
          <w:rFonts w:ascii="Arial" w:hAnsi="Arial" w:cs="Arial"/>
        </w:rPr>
        <w:t>controls</w:t>
      </w:r>
      <w:r w:rsidRPr="00477697">
        <w:rPr>
          <w:rFonts w:ascii="Arial" w:hAnsi="Arial" w:cs="Arial"/>
        </w:rPr>
        <w:t>, had at least one adverse event, all of which were mild (</w:t>
      </w:r>
      <w:r w:rsidR="00FB5CA4" w:rsidRPr="00477697">
        <w:rPr>
          <w:rFonts w:ascii="Arial" w:hAnsi="Arial" w:cs="Arial"/>
        </w:rPr>
        <w:t>≤</w:t>
      </w:r>
      <w:r w:rsidR="00581F88" w:rsidRPr="00477697">
        <w:rPr>
          <w:rFonts w:ascii="Arial" w:hAnsi="Arial" w:cs="Arial"/>
        </w:rPr>
        <w:t xml:space="preserve"> </w:t>
      </w:r>
      <w:r w:rsidRPr="00477697">
        <w:rPr>
          <w:rFonts w:ascii="Arial" w:hAnsi="Arial" w:cs="Arial"/>
        </w:rPr>
        <w:t>grade 2).</w:t>
      </w:r>
      <w:r w:rsidR="00581F88" w:rsidRPr="00477697">
        <w:rPr>
          <w:rFonts w:ascii="Arial" w:hAnsi="Arial" w:cs="Arial"/>
        </w:rPr>
        <w:t xml:space="preserve"> Molnupiravir was generally well-tolerated compared with controls, and Table 2 describes the frequencies of events across the groups by system organ class and CTCAE term. No serious adverse events were reported. The most common symptoms were gastrointestinal (</w:t>
      </w:r>
      <w:proofErr w:type="spellStart"/>
      <w:r w:rsidR="00581F88" w:rsidRPr="00477697">
        <w:rPr>
          <w:rFonts w:ascii="Arial" w:hAnsi="Arial" w:cs="Arial"/>
        </w:rPr>
        <w:t>di</w:t>
      </w:r>
      <w:r w:rsidR="002651FA" w:rsidRPr="00477697">
        <w:rPr>
          <w:rFonts w:ascii="Arial" w:hAnsi="Arial" w:cs="Arial"/>
        </w:rPr>
        <w:t>a</w:t>
      </w:r>
      <w:r w:rsidR="00581F88" w:rsidRPr="00477697">
        <w:rPr>
          <w:rFonts w:ascii="Arial" w:hAnsi="Arial" w:cs="Arial"/>
        </w:rPr>
        <w:t>rhoea</w:t>
      </w:r>
      <w:proofErr w:type="spellEnd"/>
      <w:r w:rsidR="00581F88" w:rsidRPr="00477697">
        <w:rPr>
          <w:rFonts w:ascii="Arial" w:hAnsi="Arial" w:cs="Arial"/>
        </w:rPr>
        <w:t>, nausea), respiratory (cough), central nervous system (loss of smell or taste) and flu-like symptoms.</w:t>
      </w:r>
    </w:p>
    <w:p w14:paraId="788DCB25" w14:textId="77777777" w:rsidR="00926ED6" w:rsidRPr="00477697" w:rsidRDefault="00926ED6" w:rsidP="00477697">
      <w:pPr>
        <w:spacing w:after="0" w:line="480" w:lineRule="auto"/>
        <w:jc w:val="both"/>
        <w:rPr>
          <w:rFonts w:ascii="Arial" w:hAnsi="Arial" w:cs="Arial"/>
        </w:rPr>
      </w:pPr>
    </w:p>
    <w:p w14:paraId="72B7374F" w14:textId="58AA805E" w:rsidR="00A43449" w:rsidRDefault="00A43449" w:rsidP="00477697">
      <w:pPr>
        <w:spacing w:after="0" w:line="480" w:lineRule="auto"/>
        <w:jc w:val="both"/>
        <w:rPr>
          <w:rFonts w:ascii="Arial" w:hAnsi="Arial" w:cs="Arial"/>
          <w:bCs/>
        </w:rPr>
      </w:pPr>
      <w:r w:rsidRPr="00477697">
        <w:rPr>
          <w:rFonts w:ascii="Arial" w:hAnsi="Arial" w:cs="Arial"/>
        </w:rPr>
        <w:t>At day 15 a</w:t>
      </w:r>
      <w:r w:rsidR="00926ED6" w:rsidRPr="00477697">
        <w:rPr>
          <w:rFonts w:ascii="Arial" w:hAnsi="Arial" w:cs="Arial"/>
        </w:rPr>
        <w:t>ll participants had</w:t>
      </w:r>
      <w:r w:rsidRPr="00477697">
        <w:rPr>
          <w:rFonts w:ascii="Arial" w:hAnsi="Arial" w:cs="Arial"/>
        </w:rPr>
        <w:t xml:space="preserve"> a WHO </w:t>
      </w:r>
      <w:r w:rsidR="00E2024C" w:rsidRPr="00477697">
        <w:rPr>
          <w:rFonts w:ascii="Arial" w:hAnsi="Arial" w:cs="Arial"/>
        </w:rPr>
        <w:t>ordinal scale</w:t>
      </w:r>
      <w:r w:rsidRPr="00477697">
        <w:rPr>
          <w:rFonts w:ascii="Arial" w:hAnsi="Arial" w:cs="Arial"/>
        </w:rPr>
        <w:t xml:space="preserve"> of 1 or 2</w:t>
      </w:r>
      <w:r w:rsidR="00926ED6" w:rsidRPr="00477697">
        <w:rPr>
          <w:rFonts w:ascii="Arial" w:hAnsi="Arial" w:cs="Arial"/>
        </w:rPr>
        <w:t>, with a median score (range) of 1</w:t>
      </w:r>
      <w:r w:rsidR="00996EBF" w:rsidRPr="00477697">
        <w:rPr>
          <w:rFonts w:ascii="Arial" w:hAnsi="Arial" w:cs="Arial"/>
        </w:rPr>
        <w:t>·</w:t>
      </w:r>
      <w:r w:rsidR="00926ED6" w:rsidRPr="00477697">
        <w:rPr>
          <w:rFonts w:ascii="Arial" w:hAnsi="Arial" w:cs="Arial"/>
        </w:rPr>
        <w:t>5 (1-2), 1</w:t>
      </w:r>
      <w:r w:rsidR="00996EBF" w:rsidRPr="00477697">
        <w:rPr>
          <w:rFonts w:ascii="Arial" w:hAnsi="Arial" w:cs="Arial"/>
        </w:rPr>
        <w:t>·</w:t>
      </w:r>
      <w:r w:rsidR="00926ED6" w:rsidRPr="00477697">
        <w:rPr>
          <w:rFonts w:ascii="Arial" w:hAnsi="Arial" w:cs="Arial"/>
        </w:rPr>
        <w:t>5 (1-2), 2</w:t>
      </w:r>
      <w:r w:rsidR="00FB5CA4" w:rsidRPr="00477697">
        <w:rPr>
          <w:rFonts w:ascii="Arial" w:hAnsi="Arial" w:cs="Arial"/>
        </w:rPr>
        <w:t xml:space="preserve"> </w:t>
      </w:r>
      <w:r w:rsidR="00926ED6" w:rsidRPr="00477697">
        <w:rPr>
          <w:rFonts w:ascii="Arial" w:hAnsi="Arial" w:cs="Arial"/>
        </w:rPr>
        <w:t>(2-2) and 1</w:t>
      </w:r>
      <w:r w:rsidR="00996EBF" w:rsidRPr="00477697">
        <w:rPr>
          <w:rFonts w:ascii="Arial" w:hAnsi="Arial" w:cs="Arial"/>
        </w:rPr>
        <w:t>·</w:t>
      </w:r>
      <w:r w:rsidR="00926ED6" w:rsidRPr="00477697">
        <w:rPr>
          <w:rFonts w:ascii="Arial" w:hAnsi="Arial" w:cs="Arial"/>
        </w:rPr>
        <w:t xml:space="preserve">5 (1-2) for </w:t>
      </w:r>
      <w:r w:rsidR="00AF74BD" w:rsidRPr="00477697">
        <w:rPr>
          <w:rFonts w:ascii="Arial" w:hAnsi="Arial" w:cs="Arial"/>
          <w:bCs/>
        </w:rPr>
        <w:t>molnupiravir</w:t>
      </w:r>
      <w:r w:rsidR="00926ED6" w:rsidRPr="00477697">
        <w:rPr>
          <w:rFonts w:ascii="Arial" w:hAnsi="Arial" w:cs="Arial"/>
          <w:bCs/>
        </w:rPr>
        <w:t xml:space="preserve"> </w:t>
      </w:r>
      <w:r w:rsidR="00926ED6" w:rsidRPr="00477697">
        <w:rPr>
          <w:rFonts w:ascii="Arial" w:hAnsi="Arial" w:cs="Arial"/>
        </w:rPr>
        <w:t>300</w:t>
      </w:r>
      <w:r w:rsidR="00877AD3" w:rsidRPr="00477697">
        <w:rPr>
          <w:rFonts w:ascii="Arial" w:hAnsi="Arial" w:cs="Arial"/>
        </w:rPr>
        <w:t>mg</w:t>
      </w:r>
      <w:r w:rsidR="00926ED6" w:rsidRPr="00477697">
        <w:rPr>
          <w:rFonts w:ascii="Arial" w:hAnsi="Arial" w:cs="Arial"/>
        </w:rPr>
        <w:t>, 600</w:t>
      </w:r>
      <w:r w:rsidR="00877AD3" w:rsidRPr="00477697">
        <w:rPr>
          <w:rFonts w:ascii="Arial" w:hAnsi="Arial" w:cs="Arial"/>
        </w:rPr>
        <w:t>mg</w:t>
      </w:r>
      <w:r w:rsidR="00926ED6" w:rsidRPr="00477697">
        <w:rPr>
          <w:rFonts w:ascii="Arial" w:hAnsi="Arial" w:cs="Arial"/>
        </w:rPr>
        <w:t xml:space="preserve"> and 800mg and </w:t>
      </w:r>
      <w:r w:rsidR="00877AD3" w:rsidRPr="00477697">
        <w:rPr>
          <w:rFonts w:ascii="Arial" w:hAnsi="Arial" w:cs="Arial"/>
        </w:rPr>
        <w:t xml:space="preserve">controls </w:t>
      </w:r>
      <w:r w:rsidR="00926ED6" w:rsidRPr="00477697">
        <w:rPr>
          <w:rFonts w:ascii="Arial" w:hAnsi="Arial" w:cs="Arial"/>
        </w:rPr>
        <w:t xml:space="preserve">respectively. </w:t>
      </w:r>
      <w:r w:rsidRPr="00477697">
        <w:rPr>
          <w:rFonts w:ascii="Arial" w:hAnsi="Arial" w:cs="Arial"/>
        </w:rPr>
        <w:t xml:space="preserve">At day 15 the </w:t>
      </w:r>
      <w:r w:rsidR="00AF74BD" w:rsidRPr="00477697">
        <w:rPr>
          <w:rFonts w:ascii="Arial" w:hAnsi="Arial" w:cs="Arial"/>
          <w:bCs/>
        </w:rPr>
        <w:t>molnupiravir</w:t>
      </w:r>
      <w:r w:rsidRPr="00477697">
        <w:rPr>
          <w:rFonts w:ascii="Arial" w:hAnsi="Arial" w:cs="Arial"/>
          <w:bCs/>
        </w:rPr>
        <w:t xml:space="preserve"> </w:t>
      </w:r>
      <w:r w:rsidRPr="00477697">
        <w:rPr>
          <w:rFonts w:ascii="Arial" w:hAnsi="Arial" w:cs="Arial"/>
        </w:rPr>
        <w:t>300</w:t>
      </w:r>
      <w:r w:rsidR="00877AD3" w:rsidRPr="00477697">
        <w:rPr>
          <w:rFonts w:ascii="Arial" w:hAnsi="Arial" w:cs="Arial"/>
        </w:rPr>
        <w:t>mg</w:t>
      </w:r>
      <w:r w:rsidRPr="00477697">
        <w:rPr>
          <w:rFonts w:ascii="Arial" w:hAnsi="Arial" w:cs="Arial"/>
        </w:rPr>
        <w:t>, 600</w:t>
      </w:r>
      <w:r w:rsidR="00877AD3" w:rsidRPr="00477697">
        <w:rPr>
          <w:rFonts w:ascii="Arial" w:hAnsi="Arial" w:cs="Arial"/>
        </w:rPr>
        <w:t>mg</w:t>
      </w:r>
      <w:r w:rsidRPr="00477697">
        <w:rPr>
          <w:rFonts w:ascii="Arial" w:hAnsi="Arial" w:cs="Arial"/>
        </w:rPr>
        <w:t xml:space="preserve"> and </w:t>
      </w:r>
      <w:r w:rsidR="00877AD3" w:rsidRPr="00477697">
        <w:rPr>
          <w:rFonts w:ascii="Arial" w:hAnsi="Arial" w:cs="Arial"/>
          <w:color w:val="211D1E"/>
        </w:rPr>
        <w:t xml:space="preserve">controls </w:t>
      </w:r>
      <w:r w:rsidRPr="00477697">
        <w:rPr>
          <w:rFonts w:ascii="Arial" w:hAnsi="Arial" w:cs="Arial"/>
        </w:rPr>
        <w:t xml:space="preserve">had a median NEWS2 Score of 0 (range 0-0), with </w:t>
      </w:r>
      <w:r w:rsidR="00AF74BD" w:rsidRPr="00477697">
        <w:rPr>
          <w:rFonts w:ascii="Arial" w:hAnsi="Arial" w:cs="Arial"/>
          <w:bCs/>
        </w:rPr>
        <w:t>molnupiravir</w:t>
      </w:r>
      <w:r w:rsidRPr="00477697">
        <w:rPr>
          <w:rFonts w:ascii="Arial" w:hAnsi="Arial" w:cs="Arial"/>
          <w:bCs/>
        </w:rPr>
        <w:t xml:space="preserve"> </w:t>
      </w:r>
      <w:r w:rsidRPr="00477697">
        <w:rPr>
          <w:rFonts w:ascii="Arial" w:hAnsi="Arial" w:cs="Arial"/>
        </w:rPr>
        <w:t xml:space="preserve">800mg a median score of 1 (range 0-1). Median O2 saturation (range) was 97 (97-100), 97 (96-99), 99.5 (97-100), 97 (96-99) for 300, 600 and 800mg </w:t>
      </w:r>
      <w:r w:rsidR="00AF74BD" w:rsidRPr="00477697">
        <w:rPr>
          <w:rFonts w:ascii="Arial" w:hAnsi="Arial" w:cs="Arial"/>
          <w:bCs/>
        </w:rPr>
        <w:t>molnupiravir</w:t>
      </w:r>
      <w:r w:rsidRPr="00477697">
        <w:rPr>
          <w:rFonts w:ascii="Arial" w:hAnsi="Arial" w:cs="Arial"/>
          <w:bCs/>
        </w:rPr>
        <w:t xml:space="preserve"> and </w:t>
      </w:r>
      <w:r w:rsidR="00877AD3" w:rsidRPr="00477697">
        <w:rPr>
          <w:rFonts w:ascii="Arial" w:hAnsi="Arial" w:cs="Arial"/>
          <w:color w:val="211D1E"/>
        </w:rPr>
        <w:t>controls</w:t>
      </w:r>
      <w:r w:rsidR="00877AD3" w:rsidRPr="00477697">
        <w:rPr>
          <w:rFonts w:ascii="Arial" w:hAnsi="Arial" w:cs="Arial"/>
          <w:bCs/>
        </w:rPr>
        <w:t xml:space="preserve"> </w:t>
      </w:r>
      <w:r w:rsidRPr="00477697">
        <w:rPr>
          <w:rFonts w:ascii="Arial" w:hAnsi="Arial" w:cs="Arial"/>
          <w:bCs/>
        </w:rPr>
        <w:t>respectively with median FLU-PRO totals 0</w:t>
      </w:r>
      <w:r w:rsidR="00996EBF" w:rsidRPr="00477697">
        <w:rPr>
          <w:rFonts w:ascii="Arial" w:hAnsi="Arial" w:cs="Arial"/>
        </w:rPr>
        <w:t>·</w:t>
      </w:r>
      <w:r w:rsidRPr="00477697">
        <w:rPr>
          <w:rFonts w:ascii="Arial" w:hAnsi="Arial" w:cs="Arial"/>
          <w:bCs/>
        </w:rPr>
        <w:t>4 (0</w:t>
      </w:r>
      <w:r w:rsidR="00996EBF" w:rsidRPr="00477697">
        <w:rPr>
          <w:rFonts w:ascii="Arial" w:hAnsi="Arial" w:cs="Arial"/>
        </w:rPr>
        <w:t>·</w:t>
      </w:r>
      <w:r w:rsidRPr="00477697">
        <w:rPr>
          <w:rFonts w:ascii="Arial" w:hAnsi="Arial" w:cs="Arial"/>
          <w:bCs/>
        </w:rPr>
        <w:t>2-10), 0</w:t>
      </w:r>
      <w:r w:rsidR="00996EBF" w:rsidRPr="00477697">
        <w:rPr>
          <w:rFonts w:ascii="Arial" w:hAnsi="Arial" w:cs="Arial"/>
        </w:rPr>
        <w:t>·</w:t>
      </w:r>
      <w:r w:rsidRPr="00477697">
        <w:rPr>
          <w:rFonts w:ascii="Arial" w:hAnsi="Arial" w:cs="Arial"/>
          <w:bCs/>
        </w:rPr>
        <w:t>2 (0</w:t>
      </w:r>
      <w:r w:rsidR="00996EBF" w:rsidRPr="00477697">
        <w:rPr>
          <w:rFonts w:ascii="Arial" w:hAnsi="Arial" w:cs="Arial"/>
        </w:rPr>
        <w:t>·</w:t>
      </w:r>
      <w:r w:rsidRPr="00477697">
        <w:rPr>
          <w:rFonts w:ascii="Arial" w:hAnsi="Arial" w:cs="Arial"/>
          <w:bCs/>
        </w:rPr>
        <w:t>1-0</w:t>
      </w:r>
      <w:r w:rsidR="00996EBF" w:rsidRPr="00477697">
        <w:rPr>
          <w:rFonts w:ascii="Arial" w:hAnsi="Arial" w:cs="Arial"/>
        </w:rPr>
        <w:t>·</w:t>
      </w:r>
      <w:r w:rsidRPr="00477697">
        <w:rPr>
          <w:rFonts w:ascii="Arial" w:hAnsi="Arial" w:cs="Arial"/>
          <w:bCs/>
        </w:rPr>
        <w:t>6), 0</w:t>
      </w:r>
      <w:r w:rsidR="00996EBF" w:rsidRPr="00477697">
        <w:rPr>
          <w:rFonts w:ascii="Arial" w:hAnsi="Arial" w:cs="Arial"/>
        </w:rPr>
        <w:t>·</w:t>
      </w:r>
      <w:r w:rsidRPr="00477697">
        <w:rPr>
          <w:rFonts w:ascii="Arial" w:hAnsi="Arial" w:cs="Arial"/>
          <w:bCs/>
        </w:rPr>
        <w:t>1 (0-0</w:t>
      </w:r>
      <w:r w:rsidR="00996EBF" w:rsidRPr="00477697">
        <w:rPr>
          <w:rFonts w:ascii="Arial" w:hAnsi="Arial" w:cs="Arial"/>
        </w:rPr>
        <w:t>·</w:t>
      </w:r>
      <w:r w:rsidRPr="00477697">
        <w:rPr>
          <w:rFonts w:ascii="Arial" w:hAnsi="Arial" w:cs="Arial"/>
          <w:bCs/>
        </w:rPr>
        <w:t>3) and 0</w:t>
      </w:r>
      <w:r w:rsidR="00996EBF" w:rsidRPr="00477697">
        <w:rPr>
          <w:rFonts w:ascii="Arial" w:hAnsi="Arial" w:cs="Arial"/>
        </w:rPr>
        <w:t>·</w:t>
      </w:r>
      <w:r w:rsidRPr="00477697">
        <w:rPr>
          <w:rFonts w:ascii="Arial" w:hAnsi="Arial" w:cs="Arial"/>
          <w:bCs/>
        </w:rPr>
        <w:t>2 (0-0</w:t>
      </w:r>
      <w:r w:rsidR="00996EBF" w:rsidRPr="00477697">
        <w:rPr>
          <w:rFonts w:ascii="Arial" w:hAnsi="Arial" w:cs="Arial"/>
        </w:rPr>
        <w:t>·</w:t>
      </w:r>
      <w:r w:rsidRPr="00477697">
        <w:rPr>
          <w:rFonts w:ascii="Arial" w:hAnsi="Arial" w:cs="Arial"/>
          <w:bCs/>
        </w:rPr>
        <w:t>5) respectively</w:t>
      </w:r>
      <w:r w:rsidR="00F5656E" w:rsidRPr="00477697">
        <w:rPr>
          <w:rFonts w:ascii="Arial" w:hAnsi="Arial" w:cs="Arial"/>
          <w:bCs/>
        </w:rPr>
        <w:t xml:space="preserve"> </w:t>
      </w:r>
      <w:r w:rsidRPr="00477697">
        <w:rPr>
          <w:rFonts w:ascii="Arial" w:hAnsi="Arial" w:cs="Arial"/>
          <w:bCs/>
        </w:rPr>
        <w:t>(</w:t>
      </w:r>
      <w:r w:rsidR="00F66363" w:rsidRPr="00477697">
        <w:rPr>
          <w:rFonts w:ascii="Arial" w:hAnsi="Arial" w:cs="Arial"/>
        </w:rPr>
        <w:t>further details</w:t>
      </w:r>
      <w:r w:rsidR="00F5656E" w:rsidRPr="00477697">
        <w:rPr>
          <w:rFonts w:ascii="Arial" w:hAnsi="Arial" w:cs="Arial"/>
        </w:rPr>
        <w:t xml:space="preserve"> with comparable day 29 endpoints</w:t>
      </w:r>
      <w:r w:rsidR="00F66363" w:rsidRPr="00477697">
        <w:rPr>
          <w:rFonts w:ascii="Arial" w:hAnsi="Arial" w:cs="Arial"/>
        </w:rPr>
        <w:t xml:space="preserve"> are</w:t>
      </w:r>
      <w:r w:rsidR="00D02D45" w:rsidRPr="00477697">
        <w:rPr>
          <w:rFonts w:ascii="Arial" w:hAnsi="Arial" w:cs="Arial"/>
        </w:rPr>
        <w:t xml:space="preserve"> provided</w:t>
      </w:r>
      <w:r w:rsidR="00F66363" w:rsidRPr="00477697">
        <w:rPr>
          <w:rFonts w:ascii="Arial" w:hAnsi="Arial" w:cs="Arial"/>
        </w:rPr>
        <w:t xml:space="preserve"> in Supplement </w:t>
      </w:r>
      <w:r w:rsidR="005410D3" w:rsidRPr="00477697">
        <w:rPr>
          <w:rFonts w:ascii="Arial" w:hAnsi="Arial" w:cs="Arial"/>
        </w:rPr>
        <w:t>2</w:t>
      </w:r>
      <w:r w:rsidRPr="00477697">
        <w:rPr>
          <w:rFonts w:ascii="Arial" w:hAnsi="Arial" w:cs="Arial"/>
          <w:bCs/>
        </w:rPr>
        <w:t>).</w:t>
      </w:r>
    </w:p>
    <w:p w14:paraId="200B7649" w14:textId="77777777" w:rsidR="00AD431C" w:rsidRDefault="00AD431C" w:rsidP="00477697">
      <w:pPr>
        <w:spacing w:after="0" w:line="480" w:lineRule="auto"/>
        <w:jc w:val="both"/>
        <w:rPr>
          <w:rFonts w:ascii="Arial" w:hAnsi="Arial" w:cs="Arial"/>
          <w:bCs/>
        </w:rPr>
      </w:pPr>
    </w:p>
    <w:p w14:paraId="6F5A25DC" w14:textId="3D72ED97" w:rsidR="0068600F" w:rsidRPr="00477697" w:rsidRDefault="00A06D9E" w:rsidP="00477697">
      <w:pPr>
        <w:spacing w:after="0" w:line="480" w:lineRule="auto"/>
        <w:jc w:val="both"/>
        <w:rPr>
          <w:rFonts w:ascii="Arial" w:hAnsi="Arial" w:cs="Arial"/>
        </w:rPr>
      </w:pPr>
      <w:r>
        <w:rPr>
          <w:rFonts w:ascii="Arial" w:hAnsi="Arial" w:cs="Arial"/>
          <w:bCs/>
        </w:rPr>
        <w:t>V</w:t>
      </w:r>
      <w:r w:rsidR="0068600F">
        <w:rPr>
          <w:rFonts w:ascii="Arial" w:hAnsi="Arial" w:cs="Arial"/>
          <w:bCs/>
        </w:rPr>
        <w:t xml:space="preserve">irology samples were collected </w:t>
      </w:r>
      <w:r>
        <w:rPr>
          <w:rFonts w:ascii="Arial" w:hAnsi="Arial" w:cs="Arial"/>
          <w:bCs/>
        </w:rPr>
        <w:t xml:space="preserve">for future sequencing and characterisation of variants; PK-PD analysis was not </w:t>
      </w:r>
      <w:r w:rsidR="0068600F">
        <w:rPr>
          <w:rFonts w:ascii="Arial" w:hAnsi="Arial" w:cs="Arial"/>
          <w:bCs/>
        </w:rPr>
        <w:t>included in this Phase I analysis since sample sizes</w:t>
      </w:r>
      <w:r w:rsidR="00AD431C">
        <w:rPr>
          <w:rFonts w:ascii="Arial" w:hAnsi="Arial" w:cs="Arial"/>
          <w:bCs/>
        </w:rPr>
        <w:t xml:space="preserve"> at each dose</w:t>
      </w:r>
      <w:r w:rsidR="0068600F">
        <w:rPr>
          <w:rFonts w:ascii="Arial" w:hAnsi="Arial" w:cs="Arial"/>
          <w:bCs/>
        </w:rPr>
        <w:t xml:space="preserve"> are too small</w:t>
      </w:r>
      <w:r w:rsidR="00AD431C">
        <w:rPr>
          <w:rFonts w:ascii="Arial" w:hAnsi="Arial" w:cs="Arial"/>
          <w:bCs/>
        </w:rPr>
        <w:t xml:space="preserve"> to make inferences about antiviral activity.</w:t>
      </w:r>
    </w:p>
    <w:p w14:paraId="79D1CF0D" w14:textId="77777777" w:rsidR="00671C5A" w:rsidRPr="00477697" w:rsidRDefault="00671C5A" w:rsidP="00477697">
      <w:pPr>
        <w:spacing w:after="0" w:line="480" w:lineRule="auto"/>
        <w:jc w:val="both"/>
        <w:rPr>
          <w:rFonts w:ascii="Arial" w:hAnsi="Arial" w:cs="Arial"/>
          <w:color w:val="211D1E"/>
        </w:rPr>
      </w:pPr>
    </w:p>
    <w:p w14:paraId="01012195" w14:textId="77777777" w:rsidR="00962F76" w:rsidRPr="00477697" w:rsidRDefault="00962F76" w:rsidP="00477697">
      <w:pPr>
        <w:keepNext/>
        <w:keepLines/>
        <w:spacing w:after="0" w:line="480" w:lineRule="auto"/>
        <w:jc w:val="both"/>
        <w:rPr>
          <w:rFonts w:ascii="Arial" w:hAnsi="Arial" w:cs="Arial"/>
          <w:b/>
          <w:color w:val="211D1E"/>
        </w:rPr>
      </w:pPr>
      <w:r w:rsidRPr="00477697">
        <w:rPr>
          <w:rFonts w:ascii="Arial" w:hAnsi="Arial" w:cs="Arial"/>
          <w:b/>
          <w:color w:val="211D1E"/>
        </w:rPr>
        <w:lastRenderedPageBreak/>
        <w:t>Pharmacokinetics</w:t>
      </w:r>
    </w:p>
    <w:p w14:paraId="41F48DC7" w14:textId="46EAAC80" w:rsidR="00965DB6" w:rsidRPr="00477697" w:rsidRDefault="00965DB6" w:rsidP="00477697">
      <w:pPr>
        <w:spacing w:after="0" w:line="480" w:lineRule="auto"/>
        <w:jc w:val="both"/>
        <w:rPr>
          <w:rFonts w:ascii="Arial" w:hAnsi="Arial" w:cs="Arial"/>
        </w:rPr>
      </w:pPr>
      <w:r w:rsidRPr="00477697">
        <w:rPr>
          <w:rFonts w:ascii="Arial" w:hAnsi="Arial" w:cs="Arial"/>
        </w:rPr>
        <w:t xml:space="preserve">The prodrug molnupiravir was generally not detectable, or detected at low concentrations only </w:t>
      </w:r>
      <w:r w:rsidR="003E55DD" w:rsidRPr="00477697">
        <w:rPr>
          <w:rFonts w:ascii="Arial" w:hAnsi="Arial" w:cs="Arial"/>
        </w:rPr>
        <w:t xml:space="preserve">at </w:t>
      </w:r>
      <w:r w:rsidRPr="00477697">
        <w:rPr>
          <w:rFonts w:ascii="Arial" w:hAnsi="Arial" w:cs="Arial"/>
        </w:rPr>
        <w:t>early timepoints (0</w:t>
      </w:r>
      <w:r w:rsidR="00996EBF" w:rsidRPr="00477697">
        <w:rPr>
          <w:rFonts w:ascii="Arial" w:hAnsi="Arial" w:cs="Arial"/>
        </w:rPr>
        <w:t>·</w:t>
      </w:r>
      <w:r w:rsidRPr="00477697">
        <w:rPr>
          <w:rFonts w:ascii="Arial" w:hAnsi="Arial" w:cs="Arial"/>
        </w:rPr>
        <w:t>5, 1 hour post-dose)</w:t>
      </w:r>
      <w:r w:rsidR="00144368" w:rsidRPr="00477697">
        <w:rPr>
          <w:rFonts w:ascii="Arial" w:hAnsi="Arial" w:cs="Arial"/>
        </w:rPr>
        <w:t>,</w:t>
      </w:r>
      <w:r w:rsidRPr="00477697">
        <w:rPr>
          <w:rFonts w:ascii="Arial" w:hAnsi="Arial" w:cs="Arial"/>
        </w:rPr>
        <w:t xml:space="preserve"> at all 3 doses</w:t>
      </w:r>
      <w:r w:rsidR="00F5656E" w:rsidRPr="00477697">
        <w:rPr>
          <w:rFonts w:ascii="Arial" w:hAnsi="Arial" w:cs="Arial"/>
        </w:rPr>
        <w:t xml:space="preserve"> (</w:t>
      </w:r>
      <w:r w:rsidR="005410D3" w:rsidRPr="00477697">
        <w:rPr>
          <w:rFonts w:ascii="Arial" w:hAnsi="Arial" w:cs="Arial"/>
        </w:rPr>
        <w:t>Table 3</w:t>
      </w:r>
      <w:r w:rsidR="00F5656E" w:rsidRPr="00477697">
        <w:rPr>
          <w:rFonts w:ascii="Arial" w:hAnsi="Arial" w:cs="Arial"/>
        </w:rPr>
        <w:t>)</w:t>
      </w:r>
      <w:r w:rsidRPr="00477697">
        <w:rPr>
          <w:rFonts w:ascii="Arial" w:hAnsi="Arial" w:cs="Arial"/>
        </w:rPr>
        <w:t xml:space="preserve">. Plasma concentrations of the nucleoside metabolite </w:t>
      </w:r>
      <w:r w:rsidR="00C64E50" w:rsidRPr="00477697">
        <w:rPr>
          <w:rFonts w:ascii="Arial" w:hAnsi="Arial" w:cs="Arial"/>
        </w:rPr>
        <w:t>EIDD-1931</w:t>
      </w:r>
      <w:r w:rsidRPr="00477697">
        <w:rPr>
          <w:rFonts w:ascii="Arial" w:hAnsi="Arial" w:cs="Arial"/>
        </w:rPr>
        <w:t xml:space="preserve"> were detectable, and showed no accumulation between day 1 and day 5. </w:t>
      </w:r>
      <w:r w:rsidR="00A95413" w:rsidRPr="00477697">
        <w:rPr>
          <w:rFonts w:ascii="Arial" w:hAnsi="Arial" w:cs="Arial"/>
        </w:rPr>
        <w:t>At day 5, geometric mean NHC exposures (%CV) over the first 4 hours of dosing (AUC</w:t>
      </w:r>
      <w:r w:rsidR="00A95413" w:rsidRPr="00477697">
        <w:rPr>
          <w:rFonts w:ascii="Arial" w:hAnsi="Arial" w:cs="Arial"/>
          <w:vertAlign w:val="subscript"/>
        </w:rPr>
        <w:t>0-4</w:t>
      </w:r>
      <w:r w:rsidR="00A95413" w:rsidRPr="00477697">
        <w:rPr>
          <w:rFonts w:ascii="Arial" w:hAnsi="Arial" w:cs="Arial"/>
        </w:rPr>
        <w:t>) in the 300mg (N=</w:t>
      </w:r>
      <w:r w:rsidR="00EF0448" w:rsidRPr="00477697">
        <w:rPr>
          <w:rFonts w:ascii="Arial" w:hAnsi="Arial" w:cs="Arial"/>
        </w:rPr>
        <w:t>4</w:t>
      </w:r>
      <w:r w:rsidR="00A95413" w:rsidRPr="00477697">
        <w:rPr>
          <w:rFonts w:ascii="Arial" w:hAnsi="Arial" w:cs="Arial"/>
        </w:rPr>
        <w:t>), 600mg (N=</w:t>
      </w:r>
      <w:r w:rsidR="00EF0448" w:rsidRPr="00477697">
        <w:rPr>
          <w:rFonts w:ascii="Arial" w:hAnsi="Arial" w:cs="Arial"/>
        </w:rPr>
        <w:t>4</w:t>
      </w:r>
      <w:r w:rsidR="00A95413" w:rsidRPr="00477697">
        <w:rPr>
          <w:rFonts w:ascii="Arial" w:hAnsi="Arial" w:cs="Arial"/>
        </w:rPr>
        <w:t>) and 800mg (N=</w:t>
      </w:r>
      <w:r w:rsidR="00EF0448" w:rsidRPr="00477697">
        <w:rPr>
          <w:rFonts w:ascii="Arial" w:hAnsi="Arial" w:cs="Arial"/>
        </w:rPr>
        <w:t>3</w:t>
      </w:r>
      <w:r w:rsidR="00A95413" w:rsidRPr="00477697">
        <w:rPr>
          <w:rFonts w:ascii="Arial" w:hAnsi="Arial" w:cs="Arial"/>
        </w:rPr>
        <w:t>) dose were 3470 (42</w:t>
      </w:r>
      <w:r w:rsidR="00996EBF" w:rsidRPr="00477697">
        <w:rPr>
          <w:rFonts w:ascii="Arial" w:hAnsi="Arial" w:cs="Arial"/>
        </w:rPr>
        <w:t>·</w:t>
      </w:r>
      <w:r w:rsidR="00A95413" w:rsidRPr="00477697">
        <w:rPr>
          <w:rFonts w:ascii="Arial" w:hAnsi="Arial" w:cs="Arial"/>
        </w:rPr>
        <w:t>4), 3880 (56</w:t>
      </w:r>
      <w:r w:rsidR="00996EBF" w:rsidRPr="00477697">
        <w:rPr>
          <w:rFonts w:ascii="Arial" w:hAnsi="Arial" w:cs="Arial"/>
        </w:rPr>
        <w:t>·</w:t>
      </w:r>
      <w:r w:rsidR="00A95413" w:rsidRPr="00477697">
        <w:rPr>
          <w:rFonts w:ascii="Arial" w:hAnsi="Arial" w:cs="Arial"/>
        </w:rPr>
        <w:t>3) and 7880 (39</w:t>
      </w:r>
      <w:r w:rsidR="00996EBF" w:rsidRPr="00477697">
        <w:rPr>
          <w:rFonts w:ascii="Arial" w:hAnsi="Arial" w:cs="Arial"/>
        </w:rPr>
        <w:t>·</w:t>
      </w:r>
      <w:r w:rsidR="00A95413" w:rsidRPr="00477697">
        <w:rPr>
          <w:rFonts w:ascii="Arial" w:hAnsi="Arial" w:cs="Arial"/>
        </w:rPr>
        <w:t xml:space="preserve">0) </w:t>
      </w:r>
      <w:proofErr w:type="spellStart"/>
      <w:r w:rsidR="00A95413" w:rsidRPr="00477697">
        <w:rPr>
          <w:rFonts w:ascii="Arial" w:hAnsi="Arial" w:cs="Arial"/>
        </w:rPr>
        <w:t>ng.h</w:t>
      </w:r>
      <w:proofErr w:type="spellEnd"/>
      <w:r w:rsidR="00A95413" w:rsidRPr="00477697">
        <w:rPr>
          <w:rFonts w:ascii="Arial" w:hAnsi="Arial" w:cs="Arial"/>
        </w:rPr>
        <w:t>/mL, with corresponding peak (</w:t>
      </w:r>
      <w:proofErr w:type="spellStart"/>
      <w:r w:rsidR="00A95413" w:rsidRPr="00477697">
        <w:rPr>
          <w:rFonts w:ascii="Arial" w:hAnsi="Arial" w:cs="Arial"/>
        </w:rPr>
        <w:t>Cmax</w:t>
      </w:r>
      <w:proofErr w:type="spellEnd"/>
      <w:r w:rsidR="00A95413" w:rsidRPr="00477697">
        <w:rPr>
          <w:rFonts w:ascii="Arial" w:hAnsi="Arial" w:cs="Arial"/>
        </w:rPr>
        <w:t>) concentrations of 1620 (51</w:t>
      </w:r>
      <w:r w:rsidR="00996EBF" w:rsidRPr="00477697">
        <w:rPr>
          <w:rFonts w:ascii="Arial" w:hAnsi="Arial" w:cs="Arial"/>
        </w:rPr>
        <w:t>·</w:t>
      </w:r>
      <w:r w:rsidR="00A95413" w:rsidRPr="00477697">
        <w:rPr>
          <w:rFonts w:ascii="Arial" w:hAnsi="Arial" w:cs="Arial"/>
        </w:rPr>
        <w:t>0), 1820 (84</w:t>
      </w:r>
      <w:r w:rsidR="00996EBF" w:rsidRPr="00477697">
        <w:rPr>
          <w:rFonts w:ascii="Arial" w:hAnsi="Arial" w:cs="Arial"/>
        </w:rPr>
        <w:t>·</w:t>
      </w:r>
      <w:r w:rsidR="00A95413" w:rsidRPr="00477697">
        <w:rPr>
          <w:rFonts w:ascii="Arial" w:hAnsi="Arial" w:cs="Arial"/>
        </w:rPr>
        <w:t>6) and 4180 (28</w:t>
      </w:r>
      <w:r w:rsidR="00996EBF" w:rsidRPr="00477697">
        <w:rPr>
          <w:rFonts w:ascii="Arial" w:hAnsi="Arial" w:cs="Arial"/>
        </w:rPr>
        <w:t>·</w:t>
      </w:r>
      <w:r w:rsidR="00A95413" w:rsidRPr="00477697">
        <w:rPr>
          <w:rFonts w:ascii="Arial" w:hAnsi="Arial" w:cs="Arial"/>
        </w:rPr>
        <w:t>1) ng/</w:t>
      </w:r>
      <w:proofErr w:type="spellStart"/>
      <w:r w:rsidR="00A95413" w:rsidRPr="00477697">
        <w:rPr>
          <w:rFonts w:ascii="Arial" w:hAnsi="Arial" w:cs="Arial"/>
        </w:rPr>
        <w:t>mL.</w:t>
      </w:r>
      <w:proofErr w:type="spellEnd"/>
      <w:r w:rsidRPr="00477697">
        <w:rPr>
          <w:rFonts w:ascii="Arial" w:hAnsi="Arial" w:cs="Arial"/>
        </w:rPr>
        <w:t xml:space="preserve"> Time to peak plasma concentration was 0</w:t>
      </w:r>
      <w:r w:rsidR="00996EBF" w:rsidRPr="00477697">
        <w:rPr>
          <w:rFonts w:ascii="Arial" w:hAnsi="Arial" w:cs="Arial"/>
        </w:rPr>
        <w:t>·</w:t>
      </w:r>
      <w:r w:rsidRPr="00477697">
        <w:rPr>
          <w:rFonts w:ascii="Arial" w:hAnsi="Arial" w:cs="Arial"/>
        </w:rPr>
        <w:t>5 – 2</w:t>
      </w:r>
      <w:r w:rsidR="00996EBF" w:rsidRPr="00477697">
        <w:rPr>
          <w:rFonts w:ascii="Arial" w:hAnsi="Arial" w:cs="Arial"/>
        </w:rPr>
        <w:t>·</w:t>
      </w:r>
      <w:r w:rsidRPr="00477697">
        <w:rPr>
          <w:rFonts w:ascii="Arial" w:hAnsi="Arial" w:cs="Arial"/>
        </w:rPr>
        <w:t>0 hours.</w:t>
      </w:r>
    </w:p>
    <w:p w14:paraId="2FED40B2" w14:textId="77777777" w:rsidR="00322221" w:rsidRPr="00235A9C" w:rsidRDefault="00322221" w:rsidP="007920C6">
      <w:pPr>
        <w:spacing w:after="0" w:line="480" w:lineRule="auto"/>
        <w:rPr>
          <w:rFonts w:ascii="Arial" w:hAnsi="Arial" w:cs="Arial"/>
          <w:b/>
          <w:color w:val="211D1E"/>
        </w:rPr>
      </w:pPr>
      <w:r w:rsidRPr="00477697">
        <w:rPr>
          <w:rFonts w:ascii="Arial" w:hAnsi="Arial" w:cs="Arial"/>
          <w:b/>
          <w:color w:val="211D1E"/>
        </w:rPr>
        <w:br w:type="page"/>
      </w:r>
    </w:p>
    <w:p w14:paraId="510E0156" w14:textId="7282AAE7" w:rsidR="00426D6B" w:rsidRPr="00477697" w:rsidRDefault="00426D6B"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lastRenderedPageBreak/>
        <w:t>DISCUSSION</w:t>
      </w:r>
    </w:p>
    <w:p w14:paraId="03201676" w14:textId="30D47FC2" w:rsidR="002B55EC" w:rsidRPr="00477697" w:rsidRDefault="002B55EC" w:rsidP="00477697">
      <w:pPr>
        <w:pStyle w:val="Default"/>
        <w:spacing w:line="480" w:lineRule="auto"/>
        <w:jc w:val="both"/>
        <w:rPr>
          <w:rFonts w:ascii="Arial" w:hAnsi="Arial" w:cs="Arial"/>
          <w:color w:val="auto"/>
          <w:sz w:val="22"/>
          <w:szCs w:val="22"/>
        </w:rPr>
      </w:pPr>
      <w:r w:rsidRPr="00477697">
        <w:rPr>
          <w:rFonts w:ascii="Arial" w:hAnsi="Arial" w:cs="Arial"/>
          <w:color w:val="auto"/>
          <w:sz w:val="22"/>
          <w:szCs w:val="22"/>
        </w:rPr>
        <w:t xml:space="preserve">To study the </w:t>
      </w:r>
      <w:r w:rsidR="00A538E5" w:rsidRPr="00477697">
        <w:rPr>
          <w:rFonts w:ascii="Arial" w:hAnsi="Arial" w:cs="Arial"/>
          <w:color w:val="auto"/>
          <w:sz w:val="22"/>
          <w:szCs w:val="22"/>
        </w:rPr>
        <w:t>tolerability and safety</w:t>
      </w:r>
      <w:r w:rsidRPr="00477697">
        <w:rPr>
          <w:rFonts w:ascii="Arial" w:hAnsi="Arial" w:cs="Arial"/>
          <w:color w:val="auto"/>
          <w:sz w:val="22"/>
          <w:szCs w:val="22"/>
        </w:rPr>
        <w:t xml:space="preserve"> of molnupiravir, we </w:t>
      </w:r>
      <w:r w:rsidR="000A4C2E" w:rsidRPr="00477697">
        <w:rPr>
          <w:rFonts w:ascii="Arial" w:hAnsi="Arial" w:cs="Arial"/>
          <w:color w:val="auto"/>
          <w:sz w:val="22"/>
          <w:szCs w:val="22"/>
        </w:rPr>
        <w:t>enrolled</w:t>
      </w:r>
      <w:r w:rsidRPr="00477697">
        <w:rPr>
          <w:rFonts w:ascii="Arial" w:hAnsi="Arial" w:cs="Arial"/>
          <w:color w:val="auto"/>
          <w:sz w:val="22"/>
          <w:szCs w:val="22"/>
        </w:rPr>
        <w:t xml:space="preserve"> participants who presented within five days of symptoms, and who did not have severe disease, since we judged that the largest public health impact of </w:t>
      </w:r>
      <w:r w:rsidR="00530BFB" w:rsidRPr="00477697">
        <w:rPr>
          <w:rFonts w:ascii="Arial" w:hAnsi="Arial" w:cs="Arial"/>
          <w:color w:val="auto"/>
          <w:sz w:val="22"/>
          <w:szCs w:val="22"/>
        </w:rPr>
        <w:t>this</w:t>
      </w:r>
      <w:r w:rsidRPr="00477697">
        <w:rPr>
          <w:rFonts w:ascii="Arial" w:hAnsi="Arial" w:cs="Arial"/>
          <w:color w:val="auto"/>
          <w:sz w:val="22"/>
          <w:szCs w:val="22"/>
        </w:rPr>
        <w:t xml:space="preserve"> antiviral drug would be through deployment in the community for preventing </w:t>
      </w:r>
      <w:r w:rsidR="009E1BF2" w:rsidRPr="00477697">
        <w:rPr>
          <w:rFonts w:ascii="Arial" w:hAnsi="Arial" w:cs="Arial"/>
          <w:color w:val="auto"/>
          <w:sz w:val="22"/>
          <w:szCs w:val="22"/>
        </w:rPr>
        <w:t>hospitalisation</w:t>
      </w:r>
      <w:r w:rsidRPr="00477697">
        <w:rPr>
          <w:rFonts w:ascii="Arial" w:hAnsi="Arial" w:cs="Arial"/>
          <w:color w:val="auto"/>
          <w:sz w:val="22"/>
          <w:szCs w:val="22"/>
        </w:rPr>
        <w:t>.</w:t>
      </w:r>
      <w:r w:rsidR="000A4C2E" w:rsidRPr="00477697">
        <w:rPr>
          <w:rFonts w:ascii="Arial" w:hAnsi="Arial" w:cs="Arial"/>
          <w:color w:val="auto"/>
          <w:sz w:val="22"/>
          <w:szCs w:val="22"/>
        </w:rPr>
        <w:t xml:space="preserve"> </w:t>
      </w:r>
      <w:r w:rsidR="009E1BF2" w:rsidRPr="00477697">
        <w:rPr>
          <w:rFonts w:ascii="Arial" w:hAnsi="Arial" w:cs="Arial"/>
          <w:color w:val="auto"/>
          <w:sz w:val="22"/>
          <w:szCs w:val="22"/>
        </w:rPr>
        <w:t>In untreated</w:t>
      </w:r>
      <w:r w:rsidR="000A4C2E" w:rsidRPr="00477697">
        <w:rPr>
          <w:rFonts w:ascii="Arial" w:hAnsi="Arial" w:cs="Arial"/>
          <w:color w:val="auto"/>
          <w:sz w:val="22"/>
          <w:szCs w:val="22"/>
        </w:rPr>
        <w:t xml:space="preserve"> SARS-Co</w:t>
      </w:r>
      <w:r w:rsidR="009E1BF2" w:rsidRPr="00477697">
        <w:rPr>
          <w:rFonts w:ascii="Arial" w:hAnsi="Arial" w:cs="Arial"/>
          <w:color w:val="auto"/>
          <w:sz w:val="22"/>
          <w:szCs w:val="22"/>
        </w:rPr>
        <w:t>V</w:t>
      </w:r>
      <w:r w:rsidR="000A4C2E" w:rsidRPr="00477697">
        <w:rPr>
          <w:rFonts w:ascii="Arial" w:hAnsi="Arial" w:cs="Arial"/>
          <w:color w:val="auto"/>
          <w:sz w:val="22"/>
          <w:szCs w:val="22"/>
        </w:rPr>
        <w:t xml:space="preserve">-2 </w:t>
      </w:r>
      <w:r w:rsidR="009E1BF2" w:rsidRPr="00477697">
        <w:rPr>
          <w:rFonts w:ascii="Arial" w:hAnsi="Arial" w:cs="Arial"/>
          <w:color w:val="auto"/>
          <w:sz w:val="22"/>
          <w:szCs w:val="22"/>
        </w:rPr>
        <w:t xml:space="preserve">infection, </w:t>
      </w:r>
      <w:r w:rsidR="000A4C2E" w:rsidRPr="00477697">
        <w:rPr>
          <w:rFonts w:ascii="Arial" w:hAnsi="Arial" w:cs="Arial"/>
          <w:color w:val="auto"/>
          <w:sz w:val="22"/>
          <w:szCs w:val="22"/>
        </w:rPr>
        <w:t>viral load peaks</w:t>
      </w:r>
      <w:r w:rsidR="00257BBC" w:rsidRPr="00477697">
        <w:rPr>
          <w:rFonts w:ascii="Arial" w:hAnsi="Arial" w:cs="Arial"/>
          <w:color w:val="auto"/>
          <w:sz w:val="22"/>
          <w:szCs w:val="22"/>
        </w:rPr>
        <w:t xml:space="preserve"> in the first week of illness</w:t>
      </w:r>
      <w:r w:rsidR="009E1BF2" w:rsidRPr="00477697">
        <w:rPr>
          <w:rFonts w:ascii="Arial" w:hAnsi="Arial" w:cs="Arial"/>
          <w:color w:val="auto"/>
          <w:sz w:val="22"/>
          <w:szCs w:val="22"/>
        </w:rPr>
        <w:t xml:space="preserve"> </w:t>
      </w:r>
      <w:r w:rsidR="00FB3688">
        <w:rPr>
          <w:rFonts w:ascii="Arial" w:hAnsi="Arial" w:cs="Arial"/>
          <w:color w:val="auto"/>
          <w:sz w:val="22"/>
          <w:szCs w:val="22"/>
          <w:vertAlign w:val="superscript"/>
        </w:rPr>
        <w:t>1</w:t>
      </w:r>
      <w:r w:rsidR="00FB3688" w:rsidRPr="00477697">
        <w:rPr>
          <w:rFonts w:ascii="Arial" w:hAnsi="Arial" w:cs="Arial"/>
          <w:color w:val="auto"/>
          <w:sz w:val="22"/>
          <w:szCs w:val="22"/>
        </w:rPr>
        <w:t xml:space="preserve"> </w:t>
      </w:r>
      <w:r w:rsidR="009E1BF2" w:rsidRPr="00477697">
        <w:rPr>
          <w:rFonts w:ascii="Arial" w:hAnsi="Arial" w:cs="Arial"/>
          <w:color w:val="auto"/>
          <w:sz w:val="22"/>
          <w:szCs w:val="22"/>
        </w:rPr>
        <w:t>suggesting that early antiviral treatment may influence disease progression and potentially transmission.</w:t>
      </w:r>
    </w:p>
    <w:p w14:paraId="7AE570C0" w14:textId="77777777" w:rsidR="00FA27E5" w:rsidRPr="00477697" w:rsidRDefault="00FA27E5" w:rsidP="00477697">
      <w:pPr>
        <w:pStyle w:val="Default"/>
        <w:spacing w:line="480" w:lineRule="auto"/>
        <w:jc w:val="both"/>
        <w:rPr>
          <w:rFonts w:ascii="Arial" w:hAnsi="Arial" w:cs="Arial"/>
          <w:color w:val="auto"/>
          <w:sz w:val="22"/>
          <w:szCs w:val="22"/>
        </w:rPr>
      </w:pPr>
    </w:p>
    <w:p w14:paraId="37CBD604" w14:textId="34F02E74" w:rsidR="00FA27E5" w:rsidRPr="00477697" w:rsidRDefault="002B55EC" w:rsidP="00477697">
      <w:pPr>
        <w:pStyle w:val="Default"/>
        <w:spacing w:line="480" w:lineRule="auto"/>
        <w:jc w:val="both"/>
        <w:rPr>
          <w:rFonts w:ascii="Arial" w:hAnsi="Arial" w:cs="Arial"/>
          <w:color w:val="auto"/>
          <w:sz w:val="22"/>
          <w:szCs w:val="22"/>
        </w:rPr>
      </w:pPr>
      <w:r w:rsidRPr="00477697">
        <w:rPr>
          <w:rFonts w:ascii="Arial" w:hAnsi="Arial" w:cs="Arial"/>
          <w:color w:val="auto"/>
          <w:sz w:val="22"/>
          <w:szCs w:val="22"/>
        </w:rPr>
        <w:t xml:space="preserve">We have established the safety and tolerability of molnupiravir in </w:t>
      </w:r>
      <w:r w:rsidR="00894EE7" w:rsidRPr="00477697">
        <w:rPr>
          <w:rFonts w:ascii="Arial" w:hAnsi="Arial" w:cs="Arial"/>
          <w:color w:val="auto"/>
          <w:sz w:val="22"/>
          <w:szCs w:val="22"/>
        </w:rPr>
        <w:t xml:space="preserve">SARS-CoV-2 </w:t>
      </w:r>
      <w:r w:rsidRPr="00477697">
        <w:rPr>
          <w:rFonts w:ascii="Arial" w:hAnsi="Arial" w:cs="Arial"/>
          <w:color w:val="auto"/>
          <w:sz w:val="22"/>
          <w:szCs w:val="22"/>
        </w:rPr>
        <w:t xml:space="preserve">infected individuals, alongside a conventional phase I dose ranging study in healthy volunteers (NCT04392219). We have shown that </w:t>
      </w:r>
      <w:r w:rsidR="005A6E60" w:rsidRPr="00477697">
        <w:rPr>
          <w:rFonts w:ascii="Arial" w:hAnsi="Arial" w:cs="Arial"/>
          <w:color w:val="auto"/>
          <w:sz w:val="22"/>
          <w:szCs w:val="22"/>
        </w:rPr>
        <w:t xml:space="preserve">a </w:t>
      </w:r>
      <w:r w:rsidRPr="00477697">
        <w:rPr>
          <w:rFonts w:ascii="Arial" w:hAnsi="Arial" w:cs="Arial"/>
          <w:color w:val="auto"/>
          <w:sz w:val="22"/>
          <w:szCs w:val="22"/>
        </w:rPr>
        <w:t xml:space="preserve">dose </w:t>
      </w:r>
      <w:r w:rsidR="005A6E60" w:rsidRPr="00477697">
        <w:rPr>
          <w:rFonts w:ascii="Arial" w:hAnsi="Arial" w:cs="Arial"/>
          <w:color w:val="auto"/>
          <w:sz w:val="22"/>
          <w:szCs w:val="22"/>
        </w:rPr>
        <w:t xml:space="preserve">of 800mg bd of molnupiravir </w:t>
      </w:r>
      <w:r w:rsidRPr="00477697">
        <w:rPr>
          <w:rFonts w:ascii="Arial" w:hAnsi="Arial" w:cs="Arial"/>
          <w:color w:val="auto"/>
          <w:sz w:val="22"/>
          <w:szCs w:val="22"/>
        </w:rPr>
        <w:t>is safe and well-tolerated in participants with SARS CoV-2 infection</w:t>
      </w:r>
      <w:r w:rsidR="005410D3" w:rsidRPr="00477697">
        <w:rPr>
          <w:rFonts w:ascii="Arial" w:hAnsi="Arial" w:cs="Arial"/>
          <w:color w:val="auto"/>
          <w:sz w:val="22"/>
          <w:szCs w:val="22"/>
        </w:rPr>
        <w:t>; the plasma concentrations attained are within the target range based on scaling from animal models</w:t>
      </w:r>
      <w:r w:rsidRPr="00477697">
        <w:rPr>
          <w:rFonts w:ascii="Arial" w:hAnsi="Arial" w:cs="Arial"/>
          <w:color w:val="auto"/>
          <w:sz w:val="22"/>
          <w:szCs w:val="22"/>
        </w:rPr>
        <w:t>.</w:t>
      </w:r>
      <w:r w:rsidR="00FB3688">
        <w:rPr>
          <w:rFonts w:ascii="Arial" w:hAnsi="Arial" w:cs="Arial"/>
          <w:color w:val="auto"/>
          <w:sz w:val="22"/>
          <w:szCs w:val="22"/>
          <w:vertAlign w:val="superscript"/>
        </w:rPr>
        <w:t>3</w:t>
      </w:r>
      <w:r w:rsidR="007A1107" w:rsidRPr="00477697">
        <w:rPr>
          <w:rFonts w:ascii="Arial" w:hAnsi="Arial" w:cs="Arial"/>
          <w:color w:val="auto"/>
          <w:sz w:val="22"/>
          <w:szCs w:val="22"/>
          <w:vertAlign w:val="superscript"/>
        </w:rPr>
        <w:t>,</w:t>
      </w:r>
      <w:r w:rsidR="00FB3688">
        <w:rPr>
          <w:rFonts w:ascii="Arial" w:hAnsi="Arial" w:cs="Arial"/>
          <w:color w:val="auto"/>
          <w:sz w:val="22"/>
          <w:szCs w:val="22"/>
          <w:vertAlign w:val="superscript"/>
        </w:rPr>
        <w:t>4</w:t>
      </w:r>
      <w:r w:rsidR="007A1107" w:rsidRPr="000575CD">
        <w:rPr>
          <w:rFonts w:ascii="Arial" w:hAnsi="Arial" w:cs="Arial"/>
          <w:color w:val="auto"/>
          <w:sz w:val="22"/>
          <w:szCs w:val="22"/>
        </w:rPr>
        <w:t xml:space="preserve"> </w:t>
      </w:r>
      <w:r w:rsidRPr="00477697">
        <w:rPr>
          <w:rFonts w:ascii="Arial" w:hAnsi="Arial" w:cs="Arial"/>
          <w:color w:val="auto"/>
          <w:sz w:val="22"/>
          <w:szCs w:val="22"/>
        </w:rPr>
        <w:t>Adverse effects were common</w:t>
      </w:r>
      <w:r w:rsidR="00530BFB" w:rsidRPr="00477697">
        <w:rPr>
          <w:rFonts w:ascii="Arial" w:hAnsi="Arial" w:cs="Arial"/>
          <w:color w:val="auto"/>
          <w:sz w:val="22"/>
          <w:szCs w:val="22"/>
        </w:rPr>
        <w:t>ly reported</w:t>
      </w:r>
      <w:r w:rsidRPr="00477697">
        <w:rPr>
          <w:rFonts w:ascii="Arial" w:hAnsi="Arial" w:cs="Arial"/>
          <w:color w:val="auto"/>
          <w:sz w:val="22"/>
          <w:szCs w:val="22"/>
        </w:rPr>
        <w:t xml:space="preserve">, affecting 9/12 and 5/6 participants on molnupiravir and controls respectively. </w:t>
      </w:r>
      <w:r w:rsidR="00BC674C" w:rsidRPr="00477697">
        <w:rPr>
          <w:rFonts w:ascii="Arial" w:hAnsi="Arial" w:cs="Arial"/>
          <w:color w:val="auto"/>
          <w:sz w:val="22"/>
          <w:szCs w:val="22"/>
        </w:rPr>
        <w:t>All</w:t>
      </w:r>
      <w:r w:rsidR="00621CC5" w:rsidRPr="00477697">
        <w:rPr>
          <w:rFonts w:ascii="Arial" w:hAnsi="Arial" w:cs="Arial"/>
          <w:color w:val="auto"/>
          <w:sz w:val="22"/>
          <w:szCs w:val="22"/>
        </w:rPr>
        <w:t xml:space="preserve"> </w:t>
      </w:r>
      <w:r w:rsidRPr="00477697">
        <w:rPr>
          <w:rFonts w:ascii="Arial" w:hAnsi="Arial" w:cs="Arial"/>
          <w:color w:val="auto"/>
          <w:sz w:val="22"/>
          <w:szCs w:val="22"/>
        </w:rPr>
        <w:t xml:space="preserve">were mild (Grade 1-2) and included flu-like and upper respiratory symptoms, headache, myalgia, diarrhoea and nausea </w:t>
      </w:r>
      <w:r w:rsidR="00530BFB" w:rsidRPr="00477697">
        <w:rPr>
          <w:rFonts w:ascii="Arial" w:hAnsi="Arial" w:cs="Arial"/>
          <w:color w:val="auto"/>
          <w:sz w:val="22"/>
          <w:szCs w:val="22"/>
        </w:rPr>
        <w:t xml:space="preserve">which were </w:t>
      </w:r>
      <w:r w:rsidR="00CA1C35" w:rsidRPr="00477697">
        <w:rPr>
          <w:rFonts w:ascii="Arial" w:hAnsi="Arial" w:cs="Arial"/>
          <w:color w:val="auto"/>
          <w:sz w:val="22"/>
          <w:szCs w:val="22"/>
        </w:rPr>
        <w:t xml:space="preserve">also consistent with </w:t>
      </w:r>
      <w:r w:rsidR="00530BFB" w:rsidRPr="00477697">
        <w:rPr>
          <w:rFonts w:ascii="Arial" w:hAnsi="Arial" w:cs="Arial"/>
          <w:color w:val="auto"/>
          <w:sz w:val="22"/>
          <w:szCs w:val="22"/>
        </w:rPr>
        <w:t>symptomatic</w:t>
      </w:r>
      <w:r w:rsidRPr="00477697">
        <w:rPr>
          <w:rFonts w:ascii="Arial" w:hAnsi="Arial" w:cs="Arial"/>
          <w:color w:val="auto"/>
          <w:sz w:val="22"/>
          <w:szCs w:val="22"/>
        </w:rPr>
        <w:t xml:space="preserve"> COVID-19 disease. </w:t>
      </w:r>
    </w:p>
    <w:p w14:paraId="051C2D49" w14:textId="2CAB042C" w:rsidR="002B55EC" w:rsidRPr="00477697" w:rsidRDefault="002B55EC" w:rsidP="00477697">
      <w:pPr>
        <w:pStyle w:val="Default"/>
        <w:spacing w:line="480" w:lineRule="auto"/>
        <w:jc w:val="both"/>
        <w:rPr>
          <w:rFonts w:ascii="Arial" w:hAnsi="Arial" w:cs="Arial"/>
          <w:color w:val="auto"/>
          <w:sz w:val="22"/>
          <w:szCs w:val="22"/>
        </w:rPr>
      </w:pPr>
      <w:r w:rsidRPr="00477697">
        <w:rPr>
          <w:rFonts w:ascii="Arial" w:hAnsi="Arial" w:cs="Arial"/>
          <w:color w:val="auto"/>
          <w:sz w:val="22"/>
          <w:szCs w:val="22"/>
        </w:rPr>
        <w:t xml:space="preserve"> </w:t>
      </w:r>
    </w:p>
    <w:p w14:paraId="3BA5A0F9" w14:textId="7FD15E75" w:rsidR="00CE0A81" w:rsidRPr="00477697" w:rsidRDefault="00BC674C" w:rsidP="00477697">
      <w:pPr>
        <w:pStyle w:val="Default"/>
        <w:spacing w:line="480" w:lineRule="auto"/>
        <w:jc w:val="both"/>
        <w:rPr>
          <w:rFonts w:ascii="Arial" w:hAnsi="Arial" w:cs="Arial"/>
          <w:color w:val="auto"/>
          <w:sz w:val="22"/>
          <w:szCs w:val="22"/>
        </w:rPr>
      </w:pPr>
      <w:r w:rsidRPr="00477697">
        <w:rPr>
          <w:rFonts w:ascii="Arial" w:hAnsi="Arial" w:cs="Arial"/>
          <w:color w:val="auto"/>
          <w:sz w:val="22"/>
          <w:szCs w:val="22"/>
        </w:rPr>
        <w:t xml:space="preserve">AGILE utilises complex innovative trial design methodology to accelerate early phase evaluation of novel antiviral agents against SARS CoV-2. </w:t>
      </w:r>
      <w:r w:rsidR="002B55EC" w:rsidRPr="00477697">
        <w:rPr>
          <w:rFonts w:ascii="Arial" w:hAnsi="Arial" w:cs="Arial"/>
          <w:color w:val="auto"/>
          <w:sz w:val="22"/>
          <w:szCs w:val="22"/>
        </w:rPr>
        <w:t xml:space="preserve">Our Bayesian approach </w:t>
      </w:r>
      <w:r w:rsidR="00FA27E5" w:rsidRPr="00477697">
        <w:rPr>
          <w:rFonts w:ascii="Arial" w:hAnsi="Arial" w:cs="Arial"/>
          <w:color w:val="auto"/>
          <w:sz w:val="22"/>
          <w:szCs w:val="22"/>
        </w:rPr>
        <w:t>was selected to optimise statistical efficiency and to accelerate decision-making. Drug s</w:t>
      </w:r>
      <w:r w:rsidRPr="00477697">
        <w:rPr>
          <w:rFonts w:ascii="Arial" w:hAnsi="Arial" w:cs="Arial"/>
          <w:color w:val="auto"/>
          <w:sz w:val="22"/>
          <w:szCs w:val="22"/>
        </w:rPr>
        <w:t xml:space="preserve">afety </w:t>
      </w:r>
      <w:r w:rsidR="00FA27E5" w:rsidRPr="00477697">
        <w:rPr>
          <w:rFonts w:ascii="Arial" w:hAnsi="Arial" w:cs="Arial"/>
          <w:color w:val="auto"/>
          <w:sz w:val="22"/>
          <w:szCs w:val="22"/>
        </w:rPr>
        <w:t xml:space="preserve">is not definitively established </w:t>
      </w:r>
      <w:r w:rsidR="005F289C" w:rsidRPr="00477697">
        <w:rPr>
          <w:rFonts w:ascii="Arial" w:hAnsi="Arial" w:cs="Arial"/>
          <w:color w:val="auto"/>
          <w:sz w:val="22"/>
          <w:szCs w:val="22"/>
        </w:rPr>
        <w:t>during</w:t>
      </w:r>
      <w:r w:rsidR="00FA27E5" w:rsidRPr="00477697">
        <w:rPr>
          <w:rFonts w:ascii="Arial" w:hAnsi="Arial" w:cs="Arial"/>
          <w:color w:val="auto"/>
          <w:sz w:val="22"/>
          <w:szCs w:val="22"/>
        </w:rPr>
        <w:t xml:space="preserve"> phase I and requires</w:t>
      </w:r>
      <w:r w:rsidRPr="00477697">
        <w:rPr>
          <w:rFonts w:ascii="Arial" w:hAnsi="Arial" w:cs="Arial"/>
          <w:color w:val="auto"/>
          <w:sz w:val="22"/>
          <w:szCs w:val="22"/>
        </w:rPr>
        <w:t xml:space="preserve"> large numbers of individuals dosed in phase III or IV. </w:t>
      </w:r>
      <w:r w:rsidR="00D05DE1" w:rsidRPr="00477697">
        <w:rPr>
          <w:rFonts w:ascii="Arial" w:hAnsi="Arial" w:cs="Arial"/>
          <w:color w:val="auto"/>
          <w:sz w:val="22"/>
          <w:szCs w:val="22"/>
        </w:rPr>
        <w:t>Rather, t</w:t>
      </w:r>
      <w:r w:rsidRPr="00477697">
        <w:rPr>
          <w:rFonts w:ascii="Arial" w:hAnsi="Arial" w:cs="Arial"/>
          <w:color w:val="auto"/>
          <w:sz w:val="22"/>
          <w:szCs w:val="22"/>
        </w:rPr>
        <w:t xml:space="preserve">he AGILE design allowed </w:t>
      </w:r>
      <w:r w:rsidR="00CE0A81" w:rsidRPr="00477697">
        <w:rPr>
          <w:rFonts w:ascii="Arial" w:hAnsi="Arial" w:cs="Arial"/>
          <w:color w:val="auto"/>
          <w:sz w:val="22"/>
          <w:szCs w:val="22"/>
        </w:rPr>
        <w:t xml:space="preserve">us to establish </w:t>
      </w:r>
      <w:r w:rsidR="00FA27E5" w:rsidRPr="00477697">
        <w:rPr>
          <w:rFonts w:ascii="Arial" w:hAnsi="Arial" w:cs="Arial"/>
          <w:color w:val="auto"/>
          <w:sz w:val="22"/>
          <w:szCs w:val="22"/>
        </w:rPr>
        <w:t xml:space="preserve">(within an accelerated timescale) that a dose of </w:t>
      </w:r>
      <w:r w:rsidRPr="00477697">
        <w:rPr>
          <w:rFonts w:ascii="Arial" w:hAnsi="Arial" w:cs="Arial"/>
          <w:color w:val="auto"/>
          <w:sz w:val="22"/>
          <w:szCs w:val="22"/>
        </w:rPr>
        <w:t xml:space="preserve">molnupiravir 800mg bd for 5 days </w:t>
      </w:r>
      <w:r w:rsidR="00FA27E5" w:rsidRPr="00477697">
        <w:rPr>
          <w:rFonts w:ascii="Arial" w:hAnsi="Arial" w:cs="Arial"/>
          <w:color w:val="auto"/>
          <w:sz w:val="22"/>
          <w:szCs w:val="22"/>
        </w:rPr>
        <w:t xml:space="preserve">was sufficiently safe to progress into our continuation phase </w:t>
      </w:r>
      <w:proofErr w:type="spellStart"/>
      <w:r w:rsidR="00FA27E5" w:rsidRPr="00477697">
        <w:rPr>
          <w:rFonts w:ascii="Arial" w:hAnsi="Arial" w:cs="Arial"/>
          <w:color w:val="auto"/>
          <w:sz w:val="22"/>
          <w:szCs w:val="22"/>
        </w:rPr>
        <w:t>IIa</w:t>
      </w:r>
      <w:proofErr w:type="spellEnd"/>
      <w:r w:rsidR="00FA27E5" w:rsidRPr="00477697">
        <w:rPr>
          <w:rFonts w:ascii="Arial" w:hAnsi="Arial" w:cs="Arial"/>
          <w:color w:val="auto"/>
          <w:sz w:val="22"/>
          <w:szCs w:val="22"/>
        </w:rPr>
        <w:t xml:space="preserve"> placebo-controlled trial (where safety continues to be monitored). Since </w:t>
      </w:r>
      <w:r w:rsidR="00CE0A81" w:rsidRPr="00477697">
        <w:rPr>
          <w:rFonts w:ascii="Arial" w:hAnsi="Arial" w:cs="Arial"/>
          <w:color w:val="auto"/>
          <w:sz w:val="22"/>
          <w:szCs w:val="22"/>
        </w:rPr>
        <w:t xml:space="preserve">full reproductive toxicologic datasets were not available at the time of initiation, our study required stringent precautions </w:t>
      </w:r>
      <w:r w:rsidR="00FA27E5" w:rsidRPr="00477697">
        <w:rPr>
          <w:rFonts w:ascii="Arial" w:hAnsi="Arial" w:cs="Arial"/>
          <w:color w:val="auto"/>
          <w:sz w:val="22"/>
          <w:szCs w:val="22"/>
        </w:rPr>
        <w:t>to avoid pregnancy</w:t>
      </w:r>
      <w:r w:rsidR="00CE0A81" w:rsidRPr="00477697">
        <w:rPr>
          <w:rFonts w:ascii="Arial" w:hAnsi="Arial" w:cs="Arial"/>
          <w:color w:val="auto"/>
          <w:sz w:val="22"/>
          <w:szCs w:val="22"/>
        </w:rPr>
        <w:t xml:space="preserve"> in participants or their partners.</w:t>
      </w:r>
      <w:r w:rsidR="00E86933" w:rsidRPr="00477697">
        <w:rPr>
          <w:rFonts w:ascii="Arial" w:hAnsi="Arial" w:cs="Arial"/>
          <w:color w:val="auto"/>
          <w:sz w:val="22"/>
          <w:szCs w:val="22"/>
        </w:rPr>
        <w:t xml:space="preserve"> </w:t>
      </w:r>
    </w:p>
    <w:p w14:paraId="757E38C5" w14:textId="0654CD83" w:rsidR="00A538E5" w:rsidRPr="00477697" w:rsidRDefault="00A538E5" w:rsidP="00477697">
      <w:pPr>
        <w:pStyle w:val="Default"/>
        <w:spacing w:line="480" w:lineRule="auto"/>
        <w:jc w:val="both"/>
        <w:rPr>
          <w:rFonts w:ascii="Arial" w:hAnsi="Arial" w:cs="Arial"/>
          <w:color w:val="auto"/>
          <w:sz w:val="22"/>
          <w:szCs w:val="22"/>
        </w:rPr>
      </w:pPr>
    </w:p>
    <w:p w14:paraId="4D362007" w14:textId="30BC4B9F" w:rsidR="00221F02" w:rsidRPr="00477697" w:rsidRDefault="00D05DE1" w:rsidP="007920C6">
      <w:pPr>
        <w:pStyle w:val="Default"/>
        <w:spacing w:line="480" w:lineRule="auto"/>
        <w:jc w:val="both"/>
        <w:rPr>
          <w:rFonts w:ascii="Arial" w:hAnsi="Arial" w:cs="Arial"/>
          <w:b/>
        </w:rPr>
      </w:pPr>
      <w:r w:rsidRPr="00477697">
        <w:rPr>
          <w:rFonts w:ascii="Arial" w:hAnsi="Arial" w:cs="Arial"/>
          <w:color w:val="auto"/>
          <w:sz w:val="22"/>
          <w:szCs w:val="22"/>
        </w:rPr>
        <w:t xml:space="preserve">To our knowledge this is the first </w:t>
      </w:r>
      <w:r w:rsidR="00A538E5" w:rsidRPr="00477697">
        <w:rPr>
          <w:rFonts w:ascii="Arial" w:hAnsi="Arial" w:cs="Arial"/>
          <w:color w:val="auto"/>
          <w:sz w:val="22"/>
          <w:szCs w:val="22"/>
        </w:rPr>
        <w:t xml:space="preserve">published </w:t>
      </w:r>
      <w:r w:rsidRPr="00477697">
        <w:rPr>
          <w:rFonts w:ascii="Arial" w:hAnsi="Arial" w:cs="Arial"/>
          <w:color w:val="auto"/>
          <w:sz w:val="22"/>
          <w:szCs w:val="22"/>
        </w:rPr>
        <w:t xml:space="preserve">report </w:t>
      </w:r>
      <w:r w:rsidR="00A538E5" w:rsidRPr="00477697">
        <w:rPr>
          <w:rFonts w:ascii="Arial" w:hAnsi="Arial" w:cs="Arial"/>
          <w:color w:val="auto"/>
          <w:sz w:val="22"/>
          <w:szCs w:val="22"/>
        </w:rPr>
        <w:t xml:space="preserve">describing </w:t>
      </w:r>
      <w:r w:rsidRPr="00477697">
        <w:rPr>
          <w:rFonts w:ascii="Arial" w:hAnsi="Arial" w:cs="Arial"/>
          <w:color w:val="auto"/>
          <w:sz w:val="22"/>
          <w:szCs w:val="22"/>
        </w:rPr>
        <w:t xml:space="preserve">the use of molnupiravir in </w:t>
      </w:r>
      <w:r w:rsidR="0007244F" w:rsidRPr="00477697">
        <w:rPr>
          <w:rFonts w:ascii="Arial" w:hAnsi="Arial" w:cs="Arial"/>
          <w:color w:val="auto"/>
          <w:sz w:val="22"/>
          <w:szCs w:val="22"/>
        </w:rPr>
        <w:t xml:space="preserve">SARS-CoV-2 infected individuals. </w:t>
      </w:r>
      <w:r w:rsidR="009E1BF2" w:rsidRPr="00477697">
        <w:rPr>
          <w:rFonts w:ascii="Arial" w:hAnsi="Arial" w:cs="Arial"/>
          <w:color w:val="auto"/>
          <w:sz w:val="22"/>
          <w:szCs w:val="22"/>
        </w:rPr>
        <w:t xml:space="preserve">We observed </w:t>
      </w:r>
      <w:r w:rsidR="00322221" w:rsidRPr="00477697">
        <w:rPr>
          <w:rFonts w:ascii="Arial" w:hAnsi="Arial" w:cs="Arial"/>
          <w:color w:val="auto"/>
          <w:sz w:val="22"/>
          <w:szCs w:val="22"/>
        </w:rPr>
        <w:t>comparable exposures of EIDD1931 to healthy volunteers</w:t>
      </w:r>
      <w:r w:rsidR="009E1BF2" w:rsidRPr="00477697">
        <w:rPr>
          <w:rFonts w:ascii="Arial" w:hAnsi="Arial" w:cs="Arial"/>
          <w:color w:val="auto"/>
          <w:sz w:val="22"/>
          <w:szCs w:val="22"/>
        </w:rPr>
        <w:t>,</w:t>
      </w:r>
      <w:r w:rsidR="00FB3688">
        <w:rPr>
          <w:rFonts w:ascii="Arial" w:hAnsi="Arial" w:cs="Arial"/>
          <w:color w:val="auto"/>
          <w:sz w:val="22"/>
          <w:szCs w:val="22"/>
          <w:vertAlign w:val="superscript"/>
        </w:rPr>
        <w:t>1</w:t>
      </w:r>
      <w:r w:rsidR="00FB3688" w:rsidRPr="00477697">
        <w:rPr>
          <w:rFonts w:ascii="Arial" w:hAnsi="Arial" w:cs="Arial"/>
          <w:color w:val="auto"/>
          <w:sz w:val="22"/>
          <w:szCs w:val="22"/>
        </w:rPr>
        <w:t xml:space="preserve"> </w:t>
      </w:r>
      <w:r w:rsidR="009E1BF2" w:rsidRPr="00477697">
        <w:rPr>
          <w:rFonts w:ascii="Arial" w:hAnsi="Arial" w:cs="Arial"/>
          <w:color w:val="auto"/>
          <w:sz w:val="22"/>
          <w:szCs w:val="22"/>
        </w:rPr>
        <w:lastRenderedPageBreak/>
        <w:t xml:space="preserve">and describe an approach for </w:t>
      </w:r>
      <w:r w:rsidR="00E65FA4" w:rsidRPr="00477697">
        <w:rPr>
          <w:rFonts w:ascii="Arial" w:hAnsi="Arial" w:cs="Arial"/>
          <w:color w:val="auto"/>
          <w:sz w:val="22"/>
          <w:szCs w:val="22"/>
        </w:rPr>
        <w:t>rapidly estimating a dose-toxicity relationship for phase II evaluation. Whether or not molnupiravir will prove effective in treating COVID-19 will be determined in phase II trials which are currently underway, including our own</w:t>
      </w:r>
      <w:r w:rsidR="009E62E3" w:rsidRPr="00477697">
        <w:rPr>
          <w:rFonts w:ascii="Arial" w:hAnsi="Arial" w:cs="Arial"/>
          <w:color w:val="auto"/>
          <w:sz w:val="22"/>
          <w:szCs w:val="22"/>
        </w:rPr>
        <w:t>,</w:t>
      </w:r>
      <w:r w:rsidR="00E65FA4" w:rsidRPr="00477697">
        <w:rPr>
          <w:rFonts w:ascii="Arial" w:hAnsi="Arial" w:cs="Arial"/>
          <w:color w:val="auto"/>
          <w:sz w:val="22"/>
          <w:szCs w:val="22"/>
        </w:rPr>
        <w:t xml:space="preserve"> but the paucity of potent antiviral agents in the COVID-19 pipeline strongly argues for such accelerated approaches to early phase drug development.</w:t>
      </w:r>
    </w:p>
    <w:p w14:paraId="426C3220" w14:textId="77777777" w:rsidR="00741D41" w:rsidRPr="00477697" w:rsidRDefault="00741D41" w:rsidP="007920C6">
      <w:pPr>
        <w:spacing w:after="0" w:line="480" w:lineRule="auto"/>
        <w:rPr>
          <w:rFonts w:ascii="Arial" w:hAnsi="Arial" w:cs="Arial"/>
          <w:b/>
        </w:rPr>
      </w:pPr>
      <w:r w:rsidRPr="00477697">
        <w:rPr>
          <w:rFonts w:ascii="Arial" w:hAnsi="Arial" w:cs="Arial"/>
          <w:b/>
        </w:rPr>
        <w:br w:type="page"/>
      </w:r>
    </w:p>
    <w:p w14:paraId="7ACA6DAD" w14:textId="28AAFB02" w:rsidR="002A3FE5" w:rsidRPr="00477697" w:rsidRDefault="002A3FE5"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lastRenderedPageBreak/>
        <w:t>Data sharing</w:t>
      </w:r>
    </w:p>
    <w:p w14:paraId="42DE7C9C" w14:textId="77777777" w:rsidR="002A3FE5" w:rsidRPr="00477697" w:rsidRDefault="002A3FE5" w:rsidP="00477697">
      <w:pPr>
        <w:pStyle w:val="Default"/>
        <w:spacing w:line="480" w:lineRule="auto"/>
        <w:jc w:val="both"/>
        <w:rPr>
          <w:rFonts w:ascii="Arial" w:hAnsi="Arial" w:cs="Arial"/>
          <w:color w:val="auto"/>
          <w:sz w:val="22"/>
          <w:szCs w:val="22"/>
        </w:rPr>
      </w:pPr>
      <w:r w:rsidRPr="00477697">
        <w:rPr>
          <w:rFonts w:ascii="Arial" w:hAnsi="Arial" w:cs="Arial"/>
          <w:color w:val="auto"/>
          <w:sz w:val="22"/>
          <w:szCs w:val="22"/>
        </w:rPr>
        <w:t>The AGILE Trial Steering Committee will consider all reasonable requests by health-care providers, investigators, and researchers to provide anonymised data to address specific scientific or clinical objectives. The AGILE investigators are committed to reviewing requests from researchers for access to clinical trial protocols, de-identified patient-level clinical trial data, and study-level clinical trial data.</w:t>
      </w:r>
    </w:p>
    <w:p w14:paraId="104E87B0" w14:textId="77777777" w:rsidR="00643CE0" w:rsidRPr="00477697" w:rsidRDefault="00643CE0" w:rsidP="00477697">
      <w:pPr>
        <w:pStyle w:val="Default"/>
        <w:spacing w:line="480" w:lineRule="auto"/>
        <w:jc w:val="both"/>
        <w:rPr>
          <w:rFonts w:ascii="Arial" w:hAnsi="Arial" w:cs="Arial"/>
          <w:color w:val="auto"/>
          <w:sz w:val="22"/>
          <w:szCs w:val="22"/>
        </w:rPr>
      </w:pPr>
    </w:p>
    <w:p w14:paraId="64ADF232" w14:textId="77777777" w:rsidR="002A3FE5" w:rsidRPr="00477697" w:rsidRDefault="002A3FE5" w:rsidP="00477697">
      <w:pPr>
        <w:pStyle w:val="Default"/>
        <w:spacing w:line="480" w:lineRule="auto"/>
        <w:jc w:val="both"/>
        <w:rPr>
          <w:rFonts w:ascii="Arial" w:hAnsi="Arial" w:cs="Arial"/>
          <w:b/>
          <w:color w:val="auto"/>
          <w:sz w:val="22"/>
          <w:szCs w:val="22"/>
        </w:rPr>
      </w:pPr>
      <w:r w:rsidRPr="00477697">
        <w:rPr>
          <w:rFonts w:ascii="Arial" w:hAnsi="Arial" w:cs="Arial"/>
          <w:b/>
          <w:color w:val="auto"/>
          <w:sz w:val="22"/>
          <w:szCs w:val="22"/>
        </w:rPr>
        <w:t xml:space="preserve">Acknowledgments </w:t>
      </w:r>
    </w:p>
    <w:p w14:paraId="00314A06" w14:textId="708C5B9B" w:rsidR="002A3FE5" w:rsidRPr="00477697" w:rsidRDefault="002A3FE5" w:rsidP="00477697">
      <w:pPr>
        <w:pStyle w:val="PlainText"/>
        <w:spacing w:line="480" w:lineRule="auto"/>
        <w:jc w:val="both"/>
        <w:rPr>
          <w:rFonts w:ascii="Arial" w:hAnsi="Arial" w:cs="Arial"/>
          <w:szCs w:val="22"/>
        </w:rPr>
      </w:pPr>
      <w:r w:rsidRPr="00477697">
        <w:rPr>
          <w:rFonts w:ascii="Arial" w:hAnsi="Arial" w:cs="Arial"/>
          <w:szCs w:val="22"/>
        </w:rPr>
        <w:t xml:space="preserve">We thank the AGILE Trial Steering Committee (Nicholas Paton (chair), Fred Hayden, Janet </w:t>
      </w:r>
      <w:proofErr w:type="spellStart"/>
      <w:r w:rsidRPr="00477697">
        <w:rPr>
          <w:rFonts w:ascii="Arial" w:hAnsi="Arial" w:cs="Arial"/>
          <w:szCs w:val="22"/>
        </w:rPr>
        <w:t>Darbyshire</w:t>
      </w:r>
      <w:proofErr w:type="spellEnd"/>
      <w:r w:rsidRPr="00477697">
        <w:rPr>
          <w:rFonts w:ascii="Arial" w:hAnsi="Arial" w:cs="Arial"/>
          <w:szCs w:val="22"/>
        </w:rPr>
        <w:t>, Amy Lucas, Ulrika Lorch), the AGILE Safety Review Committee (</w:t>
      </w:r>
      <w:proofErr w:type="spellStart"/>
      <w:r w:rsidRPr="00477697">
        <w:rPr>
          <w:rFonts w:ascii="Arial" w:hAnsi="Arial" w:cs="Arial"/>
          <w:szCs w:val="22"/>
        </w:rPr>
        <w:t>Amitava</w:t>
      </w:r>
      <w:proofErr w:type="spellEnd"/>
      <w:r w:rsidRPr="00477697">
        <w:rPr>
          <w:rFonts w:ascii="Arial" w:hAnsi="Arial" w:cs="Arial"/>
          <w:szCs w:val="22"/>
        </w:rPr>
        <w:t xml:space="preserve"> Ganguli, Wendy Painter), our independent Data Monitoring and Ethics Committee (Andrew Freedman (chair), Richard Knight, Richard Peck, Stevan Julious), and the AGILE Scientific Advisory Board (Annalisa Jenkins (chair), Stevan Emmett, Sanjay </w:t>
      </w:r>
      <w:proofErr w:type="spellStart"/>
      <w:r w:rsidRPr="00477697">
        <w:rPr>
          <w:rFonts w:ascii="Arial" w:hAnsi="Arial" w:cs="Arial"/>
          <w:szCs w:val="22"/>
        </w:rPr>
        <w:t>Bhagani</w:t>
      </w:r>
      <w:proofErr w:type="spellEnd"/>
      <w:r w:rsidRPr="00477697">
        <w:rPr>
          <w:rFonts w:ascii="Arial" w:hAnsi="Arial" w:cs="Arial"/>
          <w:szCs w:val="22"/>
        </w:rPr>
        <w:t xml:space="preserve">, Sheuli </w:t>
      </w:r>
      <w:proofErr w:type="spellStart"/>
      <w:r w:rsidRPr="00477697">
        <w:rPr>
          <w:rFonts w:ascii="Arial" w:hAnsi="Arial" w:cs="Arial"/>
          <w:szCs w:val="22"/>
        </w:rPr>
        <w:t>Porkess</w:t>
      </w:r>
      <w:proofErr w:type="spellEnd"/>
      <w:r w:rsidRPr="00477697">
        <w:rPr>
          <w:rFonts w:ascii="Arial" w:hAnsi="Arial" w:cs="Arial"/>
          <w:szCs w:val="22"/>
        </w:rPr>
        <w:t xml:space="preserve">, Larry Zeitlin, Gary </w:t>
      </w:r>
      <w:proofErr w:type="spellStart"/>
      <w:r w:rsidRPr="00477697">
        <w:rPr>
          <w:rFonts w:ascii="Arial" w:hAnsi="Arial" w:cs="Arial"/>
          <w:szCs w:val="22"/>
        </w:rPr>
        <w:t>Kobinger</w:t>
      </w:r>
      <w:proofErr w:type="spellEnd"/>
      <w:r w:rsidRPr="00477697">
        <w:rPr>
          <w:rFonts w:ascii="Arial" w:hAnsi="Arial" w:cs="Arial"/>
          <w:szCs w:val="22"/>
        </w:rPr>
        <w:t>).</w:t>
      </w:r>
    </w:p>
    <w:p w14:paraId="7DF18432" w14:textId="77777777" w:rsidR="002A3FE5" w:rsidRPr="00477697" w:rsidRDefault="002A3FE5" w:rsidP="00477697">
      <w:pPr>
        <w:pStyle w:val="PlainText"/>
        <w:spacing w:line="480" w:lineRule="auto"/>
        <w:jc w:val="both"/>
        <w:rPr>
          <w:rFonts w:ascii="Arial" w:hAnsi="Arial" w:cs="Arial"/>
          <w:szCs w:val="22"/>
        </w:rPr>
      </w:pPr>
    </w:p>
    <w:p w14:paraId="35695EF6" w14:textId="1BCAC623" w:rsidR="002A3FE5" w:rsidRPr="00477697" w:rsidRDefault="002A3FE5" w:rsidP="00477697">
      <w:pPr>
        <w:pStyle w:val="PlainText"/>
        <w:spacing w:line="480" w:lineRule="auto"/>
        <w:jc w:val="both"/>
        <w:rPr>
          <w:rFonts w:ascii="Arial" w:hAnsi="Arial" w:cs="Arial"/>
          <w:szCs w:val="22"/>
        </w:rPr>
      </w:pPr>
      <w:r w:rsidRPr="00477697">
        <w:rPr>
          <w:rFonts w:ascii="Arial" w:hAnsi="Arial" w:cs="Arial"/>
          <w:szCs w:val="22"/>
        </w:rPr>
        <w:t xml:space="preserve">We thank the following for trial support: Kelly Byrne, Karen Martin, Kelly Cozens, Sam Wilding, Michelle Light, Cleo Pike, </w:t>
      </w:r>
      <w:r w:rsidR="00C81196" w:rsidRPr="00477697">
        <w:rPr>
          <w:rFonts w:ascii="Arial" w:hAnsi="Arial" w:cs="Arial"/>
          <w:szCs w:val="22"/>
        </w:rPr>
        <w:t xml:space="preserve">Nadia </w:t>
      </w:r>
      <w:proofErr w:type="spellStart"/>
      <w:r w:rsidR="00C81196" w:rsidRPr="00477697">
        <w:rPr>
          <w:rFonts w:ascii="Arial" w:hAnsi="Arial" w:cs="Arial"/>
          <w:szCs w:val="22"/>
        </w:rPr>
        <w:t>Kontogianni</w:t>
      </w:r>
      <w:proofErr w:type="spellEnd"/>
      <w:r w:rsidR="00C81196" w:rsidRPr="00477697">
        <w:rPr>
          <w:rFonts w:ascii="Arial" w:hAnsi="Arial" w:cs="Arial"/>
          <w:szCs w:val="22"/>
        </w:rPr>
        <w:t>, Rachel Byrne, Ana I Cubas-Atienzar, Thomas Edwards</w:t>
      </w:r>
      <w:r w:rsidR="00581F88" w:rsidRPr="00477697">
        <w:rPr>
          <w:rFonts w:ascii="Arial" w:hAnsi="Arial" w:cs="Arial"/>
          <w:szCs w:val="22"/>
        </w:rPr>
        <w:t xml:space="preserve">, </w:t>
      </w:r>
      <w:r w:rsidR="00C81196" w:rsidRPr="00477697">
        <w:rPr>
          <w:rFonts w:ascii="Arial" w:hAnsi="Arial" w:cs="Arial"/>
          <w:szCs w:val="22"/>
        </w:rPr>
        <w:t>Jayne Jones</w:t>
      </w:r>
      <w:r w:rsidRPr="00477697">
        <w:rPr>
          <w:rFonts w:ascii="Arial" w:hAnsi="Arial" w:cs="Arial"/>
          <w:szCs w:val="22"/>
        </w:rPr>
        <w:t xml:space="preserve">. </w:t>
      </w:r>
    </w:p>
    <w:p w14:paraId="266CE1B4" w14:textId="77777777" w:rsidR="002A3FE5" w:rsidRPr="00477697" w:rsidRDefault="002A3FE5" w:rsidP="00477697">
      <w:pPr>
        <w:pStyle w:val="PlainText"/>
        <w:spacing w:line="480" w:lineRule="auto"/>
        <w:jc w:val="both"/>
        <w:rPr>
          <w:rFonts w:ascii="Arial" w:hAnsi="Arial" w:cs="Arial"/>
          <w:szCs w:val="22"/>
        </w:rPr>
      </w:pPr>
    </w:p>
    <w:p w14:paraId="29A727B1" w14:textId="53A33667" w:rsidR="00344825" w:rsidRPr="00477697" w:rsidRDefault="002A3FE5" w:rsidP="00477697">
      <w:pPr>
        <w:pStyle w:val="PlainText"/>
        <w:spacing w:line="480" w:lineRule="auto"/>
        <w:jc w:val="both"/>
        <w:rPr>
          <w:rFonts w:ascii="Arial" w:hAnsi="Arial" w:cs="Arial"/>
          <w:b/>
          <w:szCs w:val="22"/>
        </w:rPr>
      </w:pPr>
      <w:r w:rsidRPr="00477697">
        <w:rPr>
          <w:rFonts w:ascii="Arial" w:hAnsi="Arial" w:cs="Arial"/>
          <w:szCs w:val="22"/>
        </w:rPr>
        <w:t>We acknowledge National Institute for Health Research infrastructure funding for the Liverpool Clinical Research Facility and the Southampton Clinical Trials Unit. We thank Dr John Powers, Leidos Biomedical and the National Institute for Allergy and Infectious Diseases (NIAID), National Institutes for Health for supplying the FLU-PRO Questionnaire.</w:t>
      </w:r>
      <w:r w:rsidR="00344825" w:rsidRPr="00477697">
        <w:rPr>
          <w:rFonts w:ascii="Arial" w:hAnsi="Arial" w:cs="Arial"/>
          <w:szCs w:val="22"/>
        </w:rPr>
        <w:t xml:space="preserve"> TJ was supported by the NIHR Cambridge Biomedical Research Centre (BRC-1215-20014) and by UK Medical Research Council (grant number: MC_UU_00002/14). The views expressed are those of the author(s) and not necessarily those of the NIHR or the Department of Health and Social Care.</w:t>
      </w:r>
    </w:p>
    <w:p w14:paraId="6ED3C153" w14:textId="649C86F1" w:rsidR="007A2DFC" w:rsidRDefault="007A2DFC" w:rsidP="00021919">
      <w:pPr>
        <w:pStyle w:val="PlainText"/>
        <w:spacing w:line="480" w:lineRule="auto"/>
        <w:jc w:val="both"/>
        <w:rPr>
          <w:rFonts w:ascii="Arial" w:hAnsi="Arial" w:cs="Arial"/>
          <w:szCs w:val="22"/>
        </w:rPr>
      </w:pPr>
    </w:p>
    <w:p w14:paraId="5D286286" w14:textId="77777777" w:rsidR="00B90440" w:rsidRPr="00B8001E" w:rsidRDefault="00B90440" w:rsidP="007920C6">
      <w:pPr>
        <w:pStyle w:val="Default"/>
        <w:keepNext/>
        <w:spacing w:line="480" w:lineRule="auto"/>
        <w:jc w:val="both"/>
        <w:rPr>
          <w:rFonts w:ascii="Arial" w:hAnsi="Arial" w:cs="Arial"/>
          <w:b/>
          <w:color w:val="auto"/>
          <w:sz w:val="22"/>
          <w:szCs w:val="22"/>
        </w:rPr>
      </w:pPr>
      <w:r w:rsidRPr="00B8001E">
        <w:rPr>
          <w:rFonts w:ascii="Arial" w:hAnsi="Arial" w:cs="Arial"/>
          <w:b/>
          <w:color w:val="auto"/>
          <w:sz w:val="22"/>
          <w:szCs w:val="22"/>
        </w:rPr>
        <w:lastRenderedPageBreak/>
        <w:t>Funding</w:t>
      </w:r>
    </w:p>
    <w:p w14:paraId="7158A271" w14:textId="0983B2BD" w:rsidR="00B90440" w:rsidRPr="00B8001E" w:rsidRDefault="00B90440" w:rsidP="00B90440">
      <w:pPr>
        <w:pStyle w:val="Default"/>
        <w:spacing w:line="480" w:lineRule="auto"/>
        <w:jc w:val="both"/>
        <w:rPr>
          <w:rFonts w:ascii="Arial" w:hAnsi="Arial" w:cs="Arial"/>
          <w:color w:val="auto"/>
          <w:sz w:val="22"/>
          <w:szCs w:val="22"/>
        </w:rPr>
      </w:pPr>
      <w:r w:rsidRPr="00B8001E">
        <w:rPr>
          <w:rFonts w:ascii="Arial" w:hAnsi="Arial" w:cs="Arial"/>
          <w:color w:val="auto"/>
          <w:sz w:val="22"/>
          <w:szCs w:val="22"/>
        </w:rPr>
        <w:t xml:space="preserve">This work was supported by </w:t>
      </w:r>
      <w:r w:rsidRPr="00B8001E">
        <w:rPr>
          <w:rFonts w:ascii="Arial" w:hAnsi="Arial" w:cs="Arial"/>
          <w:sz w:val="22"/>
          <w:szCs w:val="22"/>
        </w:rPr>
        <w:t xml:space="preserve">Ridgeback Biotherapeutics. The AGILE platform infrastructure is supported by the Medical Research Council </w:t>
      </w:r>
      <w:r w:rsidR="005801E0">
        <w:rPr>
          <w:rFonts w:ascii="Arial" w:hAnsi="Arial" w:cs="Arial"/>
          <w:sz w:val="22"/>
          <w:szCs w:val="22"/>
        </w:rPr>
        <w:t>(</w:t>
      </w:r>
      <w:r w:rsidRPr="00B8001E">
        <w:rPr>
          <w:rFonts w:ascii="Arial" w:hAnsi="Arial" w:cs="Arial"/>
          <w:sz w:val="22"/>
          <w:szCs w:val="22"/>
        </w:rPr>
        <w:t>grant number MR/V028391/1</w:t>
      </w:r>
      <w:r w:rsidR="005801E0">
        <w:rPr>
          <w:rFonts w:ascii="Arial" w:hAnsi="Arial" w:cs="Arial"/>
          <w:sz w:val="22"/>
          <w:szCs w:val="22"/>
        </w:rPr>
        <w:t>)</w:t>
      </w:r>
      <w:r w:rsidRPr="00B8001E">
        <w:rPr>
          <w:rFonts w:ascii="Arial" w:hAnsi="Arial" w:cs="Arial"/>
          <w:sz w:val="22"/>
          <w:szCs w:val="22"/>
        </w:rPr>
        <w:t xml:space="preserve"> and the </w:t>
      </w:r>
      <w:proofErr w:type="spellStart"/>
      <w:r w:rsidRPr="00B8001E">
        <w:rPr>
          <w:rFonts w:ascii="Arial" w:hAnsi="Arial" w:cs="Arial"/>
          <w:sz w:val="22"/>
          <w:szCs w:val="22"/>
        </w:rPr>
        <w:t>Wellcome</w:t>
      </w:r>
      <w:proofErr w:type="spellEnd"/>
      <w:r w:rsidRPr="00B8001E">
        <w:rPr>
          <w:rFonts w:ascii="Arial" w:hAnsi="Arial" w:cs="Arial"/>
          <w:sz w:val="22"/>
          <w:szCs w:val="22"/>
        </w:rPr>
        <w:t xml:space="preserve"> Trust </w:t>
      </w:r>
      <w:r w:rsidR="005801E0">
        <w:rPr>
          <w:rFonts w:ascii="Arial" w:hAnsi="Arial" w:cs="Arial"/>
          <w:sz w:val="22"/>
          <w:szCs w:val="22"/>
        </w:rPr>
        <w:t>(</w:t>
      </w:r>
      <w:r w:rsidRPr="00B8001E">
        <w:rPr>
          <w:rFonts w:ascii="Arial" w:hAnsi="Arial" w:cs="Arial"/>
          <w:sz w:val="22"/>
          <w:szCs w:val="22"/>
        </w:rPr>
        <w:t>grant number 221590/Z/20/Z</w:t>
      </w:r>
      <w:r w:rsidR="005801E0">
        <w:rPr>
          <w:rFonts w:ascii="Arial" w:hAnsi="Arial" w:cs="Arial"/>
          <w:sz w:val="22"/>
          <w:szCs w:val="22"/>
        </w:rPr>
        <w:t>)</w:t>
      </w:r>
      <w:r w:rsidRPr="00B8001E">
        <w:rPr>
          <w:rFonts w:ascii="Arial" w:hAnsi="Arial" w:cs="Arial"/>
          <w:sz w:val="22"/>
          <w:szCs w:val="22"/>
        </w:rPr>
        <w:t>.</w:t>
      </w:r>
      <w:r w:rsidRPr="00B8001E">
        <w:rPr>
          <w:rFonts w:ascii="Arial" w:hAnsi="Arial" w:cs="Arial"/>
          <w:color w:val="auto"/>
          <w:sz w:val="22"/>
          <w:szCs w:val="22"/>
        </w:rPr>
        <w:t xml:space="preserve"> </w:t>
      </w:r>
    </w:p>
    <w:p w14:paraId="05D2FE3F" w14:textId="4EC1A42F" w:rsidR="00B90440" w:rsidRDefault="00B90440" w:rsidP="00B90440">
      <w:pPr>
        <w:spacing w:after="0" w:line="480" w:lineRule="auto"/>
        <w:rPr>
          <w:rFonts w:ascii="Arial" w:hAnsi="Arial" w:cs="Arial"/>
        </w:rPr>
      </w:pPr>
    </w:p>
    <w:p w14:paraId="75C47FE1" w14:textId="49C39E7F" w:rsidR="00477697" w:rsidRPr="00235A9C" w:rsidRDefault="00477697" w:rsidP="00B90440">
      <w:pPr>
        <w:spacing w:after="0" w:line="480" w:lineRule="auto"/>
        <w:rPr>
          <w:rFonts w:ascii="Arial" w:hAnsi="Arial" w:cs="Arial"/>
          <w:b/>
          <w:bCs/>
        </w:rPr>
      </w:pPr>
      <w:r w:rsidRPr="00235A9C">
        <w:rPr>
          <w:rFonts w:ascii="Arial" w:hAnsi="Arial" w:cs="Arial"/>
          <w:b/>
          <w:bCs/>
        </w:rPr>
        <w:t>Transparency declarations</w:t>
      </w:r>
    </w:p>
    <w:p w14:paraId="0A7067AB" w14:textId="77777777" w:rsidR="00B90440" w:rsidRPr="00B8001E" w:rsidRDefault="00B90440" w:rsidP="00B90440">
      <w:pPr>
        <w:pStyle w:val="Default"/>
        <w:spacing w:line="480" w:lineRule="auto"/>
        <w:jc w:val="both"/>
        <w:rPr>
          <w:rFonts w:ascii="Arial" w:hAnsi="Arial" w:cs="Arial"/>
          <w:b/>
          <w:color w:val="auto"/>
          <w:sz w:val="22"/>
          <w:szCs w:val="22"/>
        </w:rPr>
      </w:pPr>
      <w:r w:rsidRPr="00B8001E">
        <w:rPr>
          <w:rFonts w:ascii="Arial" w:hAnsi="Arial" w:cs="Arial"/>
          <w:b/>
          <w:color w:val="auto"/>
          <w:sz w:val="22"/>
          <w:szCs w:val="22"/>
        </w:rPr>
        <w:t xml:space="preserve">Conflicts of interest </w:t>
      </w:r>
    </w:p>
    <w:p w14:paraId="1545C81E" w14:textId="77777777" w:rsidR="00B90440" w:rsidRPr="00B8001E" w:rsidRDefault="00B90440" w:rsidP="00B90440">
      <w:pPr>
        <w:pStyle w:val="Default"/>
        <w:spacing w:line="480" w:lineRule="auto"/>
        <w:jc w:val="both"/>
        <w:rPr>
          <w:rFonts w:ascii="Arial" w:hAnsi="Arial" w:cs="Arial"/>
          <w:color w:val="auto"/>
          <w:sz w:val="22"/>
          <w:szCs w:val="22"/>
        </w:rPr>
      </w:pPr>
      <w:r w:rsidRPr="00B8001E">
        <w:rPr>
          <w:rFonts w:ascii="Arial" w:hAnsi="Arial" w:cs="Arial"/>
          <w:color w:val="auto"/>
          <w:sz w:val="22"/>
          <w:szCs w:val="22"/>
        </w:rPr>
        <w:t>Potential conflicts of interest. WH is a cofounder, owner and advisor of/to Ridgeback Biotherapeutics LP. WP is employed by Ridgeback Biotherapeutics.</w:t>
      </w:r>
    </w:p>
    <w:p w14:paraId="311AD4D5" w14:textId="77777777" w:rsidR="00B90440" w:rsidRPr="00B8001E" w:rsidRDefault="00B90440" w:rsidP="00B90440">
      <w:pPr>
        <w:pStyle w:val="Default"/>
        <w:spacing w:line="480" w:lineRule="auto"/>
        <w:jc w:val="both"/>
        <w:rPr>
          <w:rFonts w:ascii="Arial" w:hAnsi="Arial" w:cs="Arial"/>
          <w:color w:val="auto"/>
          <w:sz w:val="22"/>
          <w:szCs w:val="22"/>
        </w:rPr>
      </w:pPr>
      <w:r w:rsidRPr="00B8001E">
        <w:rPr>
          <w:rFonts w:ascii="Arial" w:hAnsi="Arial" w:cs="Arial"/>
          <w:color w:val="auto"/>
          <w:sz w:val="22"/>
          <w:szCs w:val="22"/>
        </w:rPr>
        <w:t xml:space="preserve">Potential conflicts of interest SK has received research funding from </w:t>
      </w:r>
      <w:proofErr w:type="spellStart"/>
      <w:r w:rsidRPr="00B8001E">
        <w:rPr>
          <w:rFonts w:ascii="Arial" w:hAnsi="Arial" w:cs="Arial"/>
          <w:color w:val="auto"/>
          <w:sz w:val="22"/>
          <w:szCs w:val="22"/>
        </w:rPr>
        <w:t>ViiV</w:t>
      </w:r>
      <w:proofErr w:type="spellEnd"/>
      <w:r w:rsidRPr="00B8001E">
        <w:rPr>
          <w:rFonts w:ascii="Arial" w:hAnsi="Arial" w:cs="Arial"/>
          <w:color w:val="auto"/>
          <w:sz w:val="22"/>
          <w:szCs w:val="22"/>
        </w:rPr>
        <w:t xml:space="preserve"> Healthcare, Gilead Sciences, and Merck for the Liverpool HIV Drug Interactions programme and for unrelated clinical studies. Unrelated to the current work, AO is a Director of Tandem Nano Ltd and co-inventor of patents relating to drug delivery. AO has received research funding from </w:t>
      </w:r>
      <w:proofErr w:type="spellStart"/>
      <w:r w:rsidRPr="00B8001E">
        <w:rPr>
          <w:rFonts w:ascii="Arial" w:hAnsi="Arial" w:cs="Arial"/>
          <w:color w:val="auto"/>
          <w:sz w:val="22"/>
          <w:szCs w:val="22"/>
        </w:rPr>
        <w:t>ViiV</w:t>
      </w:r>
      <w:proofErr w:type="spellEnd"/>
      <w:r w:rsidRPr="00B8001E">
        <w:rPr>
          <w:rFonts w:ascii="Arial" w:hAnsi="Arial" w:cs="Arial"/>
          <w:color w:val="auto"/>
          <w:sz w:val="22"/>
          <w:szCs w:val="22"/>
        </w:rPr>
        <w:t xml:space="preserve"> Healthcare, Merck, Janssen and consultancy from Gilead, </w:t>
      </w:r>
      <w:proofErr w:type="spellStart"/>
      <w:r w:rsidRPr="00B8001E">
        <w:rPr>
          <w:rFonts w:ascii="Arial" w:hAnsi="Arial" w:cs="Arial"/>
          <w:color w:val="auto"/>
          <w:sz w:val="22"/>
          <w:szCs w:val="22"/>
        </w:rPr>
        <w:t>ViiV</w:t>
      </w:r>
      <w:proofErr w:type="spellEnd"/>
      <w:r w:rsidRPr="00B8001E">
        <w:rPr>
          <w:rFonts w:ascii="Arial" w:hAnsi="Arial" w:cs="Arial"/>
          <w:color w:val="auto"/>
          <w:sz w:val="22"/>
          <w:szCs w:val="22"/>
        </w:rPr>
        <w:t xml:space="preserve"> and Merck not related to the current work. GG has received funding from Janssen-</w:t>
      </w:r>
      <w:proofErr w:type="spellStart"/>
      <w:r w:rsidRPr="00B8001E">
        <w:rPr>
          <w:rFonts w:ascii="Arial" w:hAnsi="Arial" w:cs="Arial"/>
          <w:color w:val="auto"/>
          <w:sz w:val="22"/>
          <w:szCs w:val="22"/>
        </w:rPr>
        <w:t>Cilag</w:t>
      </w:r>
      <w:proofErr w:type="spellEnd"/>
      <w:r w:rsidRPr="00B8001E">
        <w:rPr>
          <w:rFonts w:ascii="Arial" w:hAnsi="Arial" w:cs="Arial"/>
          <w:color w:val="auto"/>
          <w:sz w:val="22"/>
          <w:szCs w:val="22"/>
        </w:rPr>
        <w:t xml:space="preserve">, Astra Zeneca, Novartis, </w:t>
      </w:r>
      <w:proofErr w:type="spellStart"/>
      <w:r w:rsidRPr="00B8001E">
        <w:rPr>
          <w:rFonts w:ascii="Arial" w:hAnsi="Arial" w:cs="Arial"/>
          <w:color w:val="auto"/>
          <w:sz w:val="22"/>
          <w:szCs w:val="22"/>
        </w:rPr>
        <w:t>Astex</w:t>
      </w:r>
      <w:proofErr w:type="spellEnd"/>
      <w:r w:rsidRPr="00B8001E">
        <w:rPr>
          <w:rFonts w:ascii="Arial" w:hAnsi="Arial" w:cs="Arial"/>
          <w:color w:val="auto"/>
          <w:sz w:val="22"/>
          <w:szCs w:val="22"/>
        </w:rPr>
        <w:t xml:space="preserve">, Roche, </w:t>
      </w:r>
      <w:proofErr w:type="spellStart"/>
      <w:r w:rsidRPr="00B8001E">
        <w:rPr>
          <w:rFonts w:ascii="Arial" w:hAnsi="Arial" w:cs="Arial"/>
          <w:color w:val="auto"/>
          <w:sz w:val="22"/>
          <w:szCs w:val="22"/>
        </w:rPr>
        <w:t>Heartflow</w:t>
      </w:r>
      <w:proofErr w:type="spellEnd"/>
      <w:r w:rsidRPr="00B8001E">
        <w:rPr>
          <w:rFonts w:ascii="Arial" w:hAnsi="Arial" w:cs="Arial"/>
          <w:color w:val="auto"/>
          <w:sz w:val="22"/>
          <w:szCs w:val="22"/>
        </w:rPr>
        <w:t xml:space="preserve">, </w:t>
      </w:r>
      <w:proofErr w:type="spellStart"/>
      <w:r w:rsidRPr="00B8001E">
        <w:rPr>
          <w:rFonts w:ascii="Arial" w:hAnsi="Arial" w:cs="Arial"/>
          <w:color w:val="auto"/>
          <w:sz w:val="22"/>
          <w:szCs w:val="22"/>
        </w:rPr>
        <w:t>Celldex</w:t>
      </w:r>
      <w:proofErr w:type="spellEnd"/>
      <w:r w:rsidRPr="00B8001E">
        <w:rPr>
          <w:rFonts w:ascii="Arial" w:hAnsi="Arial" w:cs="Arial"/>
          <w:color w:val="auto"/>
          <w:sz w:val="22"/>
          <w:szCs w:val="22"/>
        </w:rPr>
        <w:t xml:space="preserve">, BMS, </w:t>
      </w:r>
      <w:proofErr w:type="spellStart"/>
      <w:r w:rsidRPr="00B8001E">
        <w:rPr>
          <w:rFonts w:ascii="Arial" w:hAnsi="Arial" w:cs="Arial"/>
          <w:color w:val="auto"/>
          <w:sz w:val="22"/>
          <w:szCs w:val="22"/>
        </w:rPr>
        <w:t>BionTech</w:t>
      </w:r>
      <w:proofErr w:type="spellEnd"/>
      <w:r w:rsidRPr="00B8001E">
        <w:rPr>
          <w:rFonts w:ascii="Arial" w:hAnsi="Arial" w:cs="Arial"/>
          <w:color w:val="auto"/>
          <w:sz w:val="22"/>
          <w:szCs w:val="22"/>
        </w:rPr>
        <w:t xml:space="preserve">, Cancer Research UK, NIHR, British Lung Foundation, </w:t>
      </w:r>
      <w:proofErr w:type="spellStart"/>
      <w:r w:rsidRPr="00B8001E">
        <w:rPr>
          <w:rFonts w:ascii="Arial" w:hAnsi="Arial" w:cs="Arial"/>
          <w:color w:val="auto"/>
          <w:sz w:val="22"/>
          <w:szCs w:val="22"/>
        </w:rPr>
        <w:t>Unitaid</w:t>
      </w:r>
      <w:proofErr w:type="spellEnd"/>
      <w:r w:rsidRPr="00B8001E">
        <w:rPr>
          <w:rFonts w:ascii="Arial" w:hAnsi="Arial" w:cs="Arial"/>
          <w:color w:val="auto"/>
          <w:sz w:val="22"/>
          <w:szCs w:val="22"/>
        </w:rPr>
        <w:t xml:space="preserve">, GSK for unrelated academic clinical trials and programme funding. WG has received funding from the </w:t>
      </w:r>
      <w:proofErr w:type="spellStart"/>
      <w:r w:rsidRPr="00B8001E">
        <w:rPr>
          <w:rFonts w:ascii="Arial" w:hAnsi="Arial" w:cs="Arial"/>
          <w:color w:val="auto"/>
          <w:sz w:val="22"/>
          <w:szCs w:val="22"/>
        </w:rPr>
        <w:t>Wellcome</w:t>
      </w:r>
      <w:proofErr w:type="spellEnd"/>
      <w:r w:rsidRPr="00B8001E">
        <w:rPr>
          <w:rFonts w:ascii="Arial" w:hAnsi="Arial" w:cs="Arial"/>
          <w:color w:val="auto"/>
          <w:sz w:val="22"/>
          <w:szCs w:val="22"/>
        </w:rPr>
        <w:t xml:space="preserve"> Trust.</w:t>
      </w:r>
    </w:p>
    <w:p w14:paraId="6D63B01D" w14:textId="77777777" w:rsidR="00B90440" w:rsidRPr="00B8001E" w:rsidRDefault="00B90440" w:rsidP="00B90440">
      <w:pPr>
        <w:pStyle w:val="Default"/>
        <w:spacing w:line="480" w:lineRule="auto"/>
        <w:jc w:val="both"/>
        <w:rPr>
          <w:rFonts w:ascii="Arial" w:hAnsi="Arial" w:cs="Arial"/>
          <w:color w:val="auto"/>
          <w:sz w:val="22"/>
          <w:szCs w:val="22"/>
        </w:rPr>
      </w:pPr>
      <w:r w:rsidRPr="00B8001E">
        <w:rPr>
          <w:rFonts w:ascii="Arial" w:hAnsi="Arial" w:cs="Arial"/>
          <w:color w:val="auto"/>
          <w:sz w:val="22"/>
          <w:szCs w:val="22"/>
        </w:rPr>
        <w:t>No conflict. RF, TF, SE, TJ, RL, ND, LW, OTH, CW, HR, EM, PM, EA, KB, MB, JG, GS, AC, CH, KT, JC, SC, HP, EW, LJ, SY, KM, MR, KF, VS, DL, MJ</w:t>
      </w:r>
    </w:p>
    <w:p w14:paraId="378DCE68" w14:textId="77777777" w:rsidR="00B90440" w:rsidRPr="00477697" w:rsidRDefault="00B90440" w:rsidP="00477697">
      <w:pPr>
        <w:pStyle w:val="PlainText"/>
        <w:spacing w:line="480" w:lineRule="auto"/>
        <w:jc w:val="both"/>
        <w:rPr>
          <w:rFonts w:ascii="Arial" w:hAnsi="Arial" w:cs="Arial"/>
          <w:szCs w:val="22"/>
        </w:rPr>
      </w:pPr>
    </w:p>
    <w:p w14:paraId="100B8C97" w14:textId="293A8BBE" w:rsidR="007A2DFC" w:rsidRPr="00477697" w:rsidRDefault="007A2DFC" w:rsidP="00477697">
      <w:pPr>
        <w:pStyle w:val="PlainText"/>
        <w:keepNext/>
        <w:spacing w:line="480" w:lineRule="auto"/>
        <w:jc w:val="both"/>
        <w:rPr>
          <w:rFonts w:ascii="Arial" w:hAnsi="Arial" w:cs="Arial"/>
          <w:b/>
          <w:bCs/>
          <w:szCs w:val="22"/>
        </w:rPr>
      </w:pPr>
      <w:r w:rsidRPr="00477697">
        <w:rPr>
          <w:rFonts w:ascii="Arial" w:hAnsi="Arial" w:cs="Arial"/>
          <w:b/>
          <w:bCs/>
          <w:szCs w:val="22"/>
        </w:rPr>
        <w:t>Contributors Statement</w:t>
      </w:r>
    </w:p>
    <w:p w14:paraId="6786A0A2" w14:textId="519F8C95" w:rsidR="007B5032" w:rsidRPr="00477697" w:rsidRDefault="0007477B" w:rsidP="00477697">
      <w:pPr>
        <w:pStyle w:val="PlainText"/>
        <w:spacing w:line="480" w:lineRule="auto"/>
        <w:jc w:val="both"/>
        <w:rPr>
          <w:rFonts w:ascii="Arial" w:hAnsi="Arial" w:cs="Arial"/>
          <w:szCs w:val="22"/>
        </w:rPr>
      </w:pPr>
      <w:r w:rsidRPr="00477697">
        <w:rPr>
          <w:rFonts w:ascii="Arial" w:hAnsi="Arial" w:cs="Arial"/>
          <w:szCs w:val="22"/>
        </w:rPr>
        <w:t xml:space="preserve">SK, </w:t>
      </w:r>
      <w:r w:rsidR="00DD6C81" w:rsidRPr="00477697">
        <w:rPr>
          <w:rFonts w:ascii="Arial" w:hAnsi="Arial" w:cs="Arial"/>
          <w:szCs w:val="22"/>
        </w:rPr>
        <w:t xml:space="preserve">GG, </w:t>
      </w:r>
      <w:r w:rsidR="00D55BB9" w:rsidRPr="00477697">
        <w:rPr>
          <w:rFonts w:ascii="Arial" w:hAnsi="Arial" w:cs="Arial"/>
          <w:szCs w:val="22"/>
        </w:rPr>
        <w:t>TJ, SE</w:t>
      </w:r>
      <w:r w:rsidRPr="00477697">
        <w:rPr>
          <w:rFonts w:ascii="Arial" w:hAnsi="Arial" w:cs="Arial"/>
          <w:szCs w:val="22"/>
        </w:rPr>
        <w:t>, RF</w:t>
      </w:r>
      <w:r w:rsidR="00BA4429" w:rsidRPr="00477697">
        <w:rPr>
          <w:rFonts w:ascii="Arial" w:hAnsi="Arial" w:cs="Arial"/>
          <w:szCs w:val="22"/>
        </w:rPr>
        <w:t>, PM</w:t>
      </w:r>
      <w:r w:rsidR="00D55BB9" w:rsidRPr="00477697">
        <w:rPr>
          <w:rFonts w:ascii="Arial" w:hAnsi="Arial" w:cs="Arial"/>
          <w:szCs w:val="22"/>
        </w:rPr>
        <w:t xml:space="preserve"> contributed to study design. </w:t>
      </w:r>
      <w:r w:rsidRPr="00477697">
        <w:rPr>
          <w:rFonts w:ascii="Arial" w:hAnsi="Arial" w:cs="Arial"/>
          <w:szCs w:val="22"/>
        </w:rPr>
        <w:t xml:space="preserve">SK, </w:t>
      </w:r>
      <w:r w:rsidR="00DD6C81" w:rsidRPr="00477697">
        <w:rPr>
          <w:rFonts w:ascii="Arial" w:hAnsi="Arial" w:cs="Arial"/>
          <w:szCs w:val="22"/>
        </w:rPr>
        <w:t xml:space="preserve">GG, </w:t>
      </w:r>
      <w:r w:rsidR="00D55BB9" w:rsidRPr="00477697">
        <w:rPr>
          <w:rFonts w:ascii="Arial" w:hAnsi="Arial" w:cs="Arial"/>
          <w:szCs w:val="22"/>
        </w:rPr>
        <w:t xml:space="preserve">TJ, SE, </w:t>
      </w:r>
      <w:r w:rsidR="007A2DFC" w:rsidRPr="00477697">
        <w:rPr>
          <w:rFonts w:ascii="Arial" w:hAnsi="Arial" w:cs="Arial"/>
          <w:szCs w:val="22"/>
        </w:rPr>
        <w:t>GS</w:t>
      </w:r>
      <w:r w:rsidR="00C57546" w:rsidRPr="00477697">
        <w:rPr>
          <w:rFonts w:ascii="Arial" w:hAnsi="Arial" w:cs="Arial"/>
          <w:szCs w:val="22"/>
        </w:rPr>
        <w:t xml:space="preserve">, </w:t>
      </w:r>
      <w:r w:rsidR="00431F29" w:rsidRPr="00477697">
        <w:rPr>
          <w:rFonts w:ascii="Arial" w:hAnsi="Arial" w:cs="Arial"/>
          <w:szCs w:val="22"/>
        </w:rPr>
        <w:t xml:space="preserve">KT, </w:t>
      </w:r>
      <w:r w:rsidR="00C57546" w:rsidRPr="00477697">
        <w:rPr>
          <w:rFonts w:ascii="Arial" w:hAnsi="Arial" w:cs="Arial"/>
          <w:szCs w:val="22"/>
        </w:rPr>
        <w:t>PM</w:t>
      </w:r>
      <w:r w:rsidR="00DD6C81" w:rsidRPr="00477697">
        <w:rPr>
          <w:rFonts w:ascii="Arial" w:hAnsi="Arial" w:cs="Arial"/>
          <w:szCs w:val="22"/>
        </w:rPr>
        <w:t>, HP</w:t>
      </w:r>
      <w:r w:rsidR="007A2DFC" w:rsidRPr="00477697">
        <w:rPr>
          <w:rFonts w:ascii="Arial" w:hAnsi="Arial" w:cs="Arial"/>
          <w:szCs w:val="22"/>
        </w:rPr>
        <w:t xml:space="preserve"> contributed to data analysis and interpretation. </w:t>
      </w:r>
      <w:r w:rsidRPr="00477697">
        <w:rPr>
          <w:rFonts w:ascii="Arial" w:hAnsi="Arial" w:cs="Arial"/>
          <w:szCs w:val="22"/>
        </w:rPr>
        <w:t xml:space="preserve">RF led clinical conduct as the principal investigator of the clinical site. TF, LW, RL, MB participated in clinical assessment and data collection. </w:t>
      </w:r>
      <w:r w:rsidR="007A2DFC" w:rsidRPr="00477697">
        <w:rPr>
          <w:rFonts w:ascii="Arial" w:hAnsi="Arial" w:cs="Arial"/>
          <w:szCs w:val="22"/>
        </w:rPr>
        <w:t xml:space="preserve">KF participated in the management of </w:t>
      </w:r>
      <w:r w:rsidR="003539EF" w:rsidRPr="00477697">
        <w:rPr>
          <w:rFonts w:ascii="Arial" w:hAnsi="Arial" w:cs="Arial"/>
          <w:szCs w:val="22"/>
        </w:rPr>
        <w:t>pharmacovigilance</w:t>
      </w:r>
      <w:r w:rsidR="007A2DFC" w:rsidRPr="00477697">
        <w:rPr>
          <w:rFonts w:ascii="Arial" w:hAnsi="Arial" w:cs="Arial"/>
          <w:szCs w:val="22"/>
        </w:rPr>
        <w:t>.</w:t>
      </w:r>
      <w:r w:rsidR="003539EF" w:rsidRPr="00477697">
        <w:rPr>
          <w:rFonts w:ascii="Arial" w:hAnsi="Arial" w:cs="Arial"/>
          <w:szCs w:val="22"/>
        </w:rPr>
        <w:t xml:space="preserve"> </w:t>
      </w:r>
      <w:r w:rsidR="007A2DFC" w:rsidRPr="00477697">
        <w:rPr>
          <w:rFonts w:ascii="Arial" w:hAnsi="Arial" w:cs="Arial"/>
          <w:szCs w:val="22"/>
        </w:rPr>
        <w:t>SC, EW, MR, LJ contributed to the digital data collection and data management of the trial</w:t>
      </w:r>
      <w:r w:rsidR="00D04C31" w:rsidRPr="00477697">
        <w:rPr>
          <w:rFonts w:ascii="Arial" w:hAnsi="Arial" w:cs="Arial"/>
          <w:szCs w:val="22"/>
        </w:rPr>
        <w:t>.</w:t>
      </w:r>
      <w:r w:rsidR="00D55BB9" w:rsidRPr="00477697">
        <w:rPr>
          <w:rFonts w:ascii="Arial" w:hAnsi="Arial" w:cs="Arial"/>
          <w:szCs w:val="22"/>
        </w:rPr>
        <w:t xml:space="preserve"> MR led set up of the randomisation system.</w:t>
      </w:r>
      <w:r w:rsidR="003539EF" w:rsidRPr="00477697">
        <w:rPr>
          <w:rFonts w:ascii="Arial" w:hAnsi="Arial" w:cs="Arial"/>
          <w:szCs w:val="22"/>
        </w:rPr>
        <w:t xml:space="preserve"> W</w:t>
      </w:r>
      <w:r w:rsidR="00C300B9" w:rsidRPr="00477697">
        <w:rPr>
          <w:rFonts w:ascii="Arial" w:hAnsi="Arial" w:cs="Arial"/>
          <w:szCs w:val="22"/>
        </w:rPr>
        <w:t>G</w:t>
      </w:r>
      <w:r w:rsidR="00C57546" w:rsidRPr="00477697">
        <w:rPr>
          <w:rFonts w:ascii="Arial" w:hAnsi="Arial" w:cs="Arial"/>
          <w:szCs w:val="22"/>
        </w:rPr>
        <w:t xml:space="preserve">, </w:t>
      </w:r>
      <w:r w:rsidRPr="00477697">
        <w:rPr>
          <w:rFonts w:ascii="Arial" w:hAnsi="Arial" w:cs="Arial"/>
          <w:szCs w:val="22"/>
        </w:rPr>
        <w:t xml:space="preserve">TF, </w:t>
      </w:r>
      <w:r w:rsidR="00C57546" w:rsidRPr="00477697">
        <w:rPr>
          <w:rFonts w:ascii="Arial" w:hAnsi="Arial" w:cs="Arial"/>
          <w:szCs w:val="22"/>
        </w:rPr>
        <w:t>VS, EA, KB</w:t>
      </w:r>
      <w:r w:rsidRPr="00477697">
        <w:rPr>
          <w:rFonts w:ascii="Arial" w:hAnsi="Arial" w:cs="Arial"/>
          <w:szCs w:val="22"/>
        </w:rPr>
        <w:t>, CH</w:t>
      </w:r>
      <w:r w:rsidR="003539EF" w:rsidRPr="00477697">
        <w:rPr>
          <w:rFonts w:ascii="Arial" w:hAnsi="Arial" w:cs="Arial"/>
          <w:szCs w:val="22"/>
        </w:rPr>
        <w:t xml:space="preserve"> contributed to study bioanalysis. </w:t>
      </w:r>
      <w:r w:rsidR="00C300B9" w:rsidRPr="00477697">
        <w:rPr>
          <w:rFonts w:ascii="Arial" w:hAnsi="Arial" w:cs="Arial"/>
          <w:szCs w:val="22"/>
        </w:rPr>
        <w:t xml:space="preserve">AC, </w:t>
      </w:r>
      <w:r w:rsidR="00C57546" w:rsidRPr="00477697">
        <w:rPr>
          <w:rFonts w:ascii="Arial" w:hAnsi="Arial" w:cs="Arial"/>
          <w:szCs w:val="22"/>
        </w:rPr>
        <w:t>ND, EM,</w:t>
      </w:r>
      <w:r w:rsidR="00C300B9" w:rsidRPr="00477697">
        <w:rPr>
          <w:rFonts w:ascii="Arial" w:hAnsi="Arial" w:cs="Arial"/>
          <w:szCs w:val="22"/>
        </w:rPr>
        <w:t xml:space="preserve"> OTH,</w:t>
      </w:r>
      <w:r w:rsidR="00C57546" w:rsidRPr="00477697">
        <w:rPr>
          <w:rFonts w:ascii="Arial" w:hAnsi="Arial" w:cs="Arial"/>
          <w:szCs w:val="22"/>
        </w:rPr>
        <w:t xml:space="preserve"> </w:t>
      </w:r>
      <w:r w:rsidRPr="00477697">
        <w:rPr>
          <w:rFonts w:ascii="Arial" w:hAnsi="Arial" w:cs="Arial"/>
          <w:szCs w:val="22"/>
        </w:rPr>
        <w:t xml:space="preserve">SY, HR, </w:t>
      </w:r>
      <w:r w:rsidR="00C57546" w:rsidRPr="00477697">
        <w:rPr>
          <w:rFonts w:ascii="Arial" w:hAnsi="Arial" w:cs="Arial"/>
          <w:szCs w:val="22"/>
        </w:rPr>
        <w:t>JC, RL, CW</w:t>
      </w:r>
      <w:r w:rsidRPr="00477697">
        <w:rPr>
          <w:rFonts w:ascii="Arial" w:hAnsi="Arial" w:cs="Arial"/>
          <w:szCs w:val="22"/>
        </w:rPr>
        <w:t>, JB</w:t>
      </w:r>
      <w:r w:rsidR="00431F29" w:rsidRPr="00477697">
        <w:rPr>
          <w:rFonts w:ascii="Arial" w:hAnsi="Arial" w:cs="Arial"/>
          <w:szCs w:val="22"/>
        </w:rPr>
        <w:t>, AO, MJ, DGL</w:t>
      </w:r>
      <w:r w:rsidR="003539EF" w:rsidRPr="00477697">
        <w:rPr>
          <w:rFonts w:ascii="Arial" w:hAnsi="Arial" w:cs="Arial"/>
          <w:szCs w:val="22"/>
        </w:rPr>
        <w:t xml:space="preserve"> contributed to study </w:t>
      </w:r>
      <w:r w:rsidR="00DD6C81" w:rsidRPr="00477697">
        <w:rPr>
          <w:rFonts w:ascii="Arial" w:hAnsi="Arial" w:cs="Arial"/>
          <w:szCs w:val="22"/>
        </w:rPr>
        <w:t xml:space="preserve">management and </w:t>
      </w:r>
      <w:r w:rsidR="003539EF" w:rsidRPr="00477697">
        <w:rPr>
          <w:rFonts w:ascii="Arial" w:hAnsi="Arial" w:cs="Arial"/>
          <w:szCs w:val="22"/>
        </w:rPr>
        <w:t xml:space="preserve">execution. </w:t>
      </w:r>
      <w:r w:rsidR="00C300B9" w:rsidRPr="00477697">
        <w:rPr>
          <w:rFonts w:ascii="Arial" w:hAnsi="Arial" w:cs="Arial"/>
          <w:szCs w:val="22"/>
        </w:rPr>
        <w:t xml:space="preserve">KM </w:t>
      </w:r>
      <w:r w:rsidR="001852B1" w:rsidRPr="00477697">
        <w:rPr>
          <w:rFonts w:ascii="Arial" w:hAnsi="Arial" w:cs="Arial"/>
          <w:szCs w:val="22"/>
        </w:rPr>
        <w:t>contributed to</w:t>
      </w:r>
      <w:r w:rsidR="00C300B9" w:rsidRPr="00477697">
        <w:rPr>
          <w:rFonts w:ascii="Arial" w:hAnsi="Arial" w:cs="Arial"/>
          <w:szCs w:val="22"/>
        </w:rPr>
        <w:t xml:space="preserve"> monitoring </w:t>
      </w:r>
      <w:r w:rsidR="00C300B9" w:rsidRPr="00477697">
        <w:rPr>
          <w:rFonts w:ascii="Arial" w:hAnsi="Arial" w:cs="Arial"/>
          <w:szCs w:val="22"/>
        </w:rPr>
        <w:lastRenderedPageBreak/>
        <w:t>activities.</w:t>
      </w:r>
      <w:r w:rsidR="00911AE4" w:rsidRPr="00477697">
        <w:rPr>
          <w:rFonts w:ascii="Arial" w:hAnsi="Arial" w:cs="Arial"/>
          <w:szCs w:val="22"/>
        </w:rPr>
        <w:t xml:space="preserve"> WP, WH contributed preclinical and safety data on molnupiravir.</w:t>
      </w:r>
      <w:r w:rsidR="00C300B9" w:rsidRPr="00477697">
        <w:rPr>
          <w:rFonts w:ascii="Arial" w:hAnsi="Arial" w:cs="Arial"/>
          <w:szCs w:val="22"/>
        </w:rPr>
        <w:t xml:space="preserve"> </w:t>
      </w:r>
      <w:r w:rsidR="003539EF" w:rsidRPr="00477697">
        <w:rPr>
          <w:rFonts w:ascii="Arial" w:hAnsi="Arial" w:cs="Arial"/>
          <w:szCs w:val="22"/>
        </w:rPr>
        <w:t>SK, GG, MJ, AO</w:t>
      </w:r>
      <w:r w:rsidR="00E02145" w:rsidRPr="00477697">
        <w:rPr>
          <w:rFonts w:ascii="Arial" w:hAnsi="Arial" w:cs="Arial"/>
          <w:szCs w:val="22"/>
        </w:rPr>
        <w:t>, DGL</w:t>
      </w:r>
      <w:r w:rsidR="003539EF" w:rsidRPr="00477697">
        <w:rPr>
          <w:rFonts w:ascii="Arial" w:hAnsi="Arial" w:cs="Arial"/>
          <w:szCs w:val="22"/>
        </w:rPr>
        <w:t xml:space="preserve"> were involved in </w:t>
      </w:r>
      <w:r w:rsidR="00DD6C81" w:rsidRPr="00477697">
        <w:rPr>
          <w:rFonts w:ascii="Arial" w:hAnsi="Arial" w:cs="Arial"/>
          <w:szCs w:val="22"/>
        </w:rPr>
        <w:t xml:space="preserve">primary manuscript </w:t>
      </w:r>
      <w:r w:rsidR="003539EF" w:rsidRPr="00477697">
        <w:rPr>
          <w:rFonts w:ascii="Arial" w:hAnsi="Arial" w:cs="Arial"/>
          <w:szCs w:val="22"/>
        </w:rPr>
        <w:t>writing.</w:t>
      </w:r>
      <w:r w:rsidR="00DD6C81" w:rsidRPr="00477697">
        <w:rPr>
          <w:rFonts w:ascii="Arial" w:hAnsi="Arial" w:cs="Arial"/>
          <w:szCs w:val="22"/>
        </w:rPr>
        <w:t xml:space="preserve"> All authors contributed to the final version of the manuscript.</w:t>
      </w:r>
    </w:p>
    <w:p w14:paraId="263FDCE7" w14:textId="77777777" w:rsidR="00927AFB" w:rsidRPr="00477697" w:rsidRDefault="00927AFB" w:rsidP="007920C6">
      <w:pPr>
        <w:spacing w:after="0" w:line="480" w:lineRule="auto"/>
        <w:rPr>
          <w:rFonts w:ascii="Arial" w:hAnsi="Arial" w:cs="Arial"/>
        </w:rPr>
      </w:pPr>
      <w:r w:rsidRPr="00477697">
        <w:rPr>
          <w:rFonts w:ascii="Arial" w:hAnsi="Arial" w:cs="Arial"/>
        </w:rPr>
        <w:br w:type="page"/>
      </w:r>
    </w:p>
    <w:p w14:paraId="32CD4B08" w14:textId="4FB9CED0" w:rsidR="004E2379" w:rsidRPr="00477697" w:rsidRDefault="002803FD" w:rsidP="00477697">
      <w:pPr>
        <w:pStyle w:val="Default"/>
        <w:spacing w:line="480" w:lineRule="auto"/>
        <w:jc w:val="both"/>
        <w:rPr>
          <w:rFonts w:ascii="Arial" w:hAnsi="Arial" w:cs="Arial"/>
          <w:b/>
          <w:bCs/>
          <w:color w:val="auto"/>
          <w:sz w:val="22"/>
          <w:szCs w:val="22"/>
          <w:u w:val="single"/>
        </w:rPr>
      </w:pPr>
      <w:r w:rsidRPr="00477697">
        <w:rPr>
          <w:rFonts w:ascii="Arial" w:hAnsi="Arial" w:cs="Arial"/>
          <w:b/>
          <w:bCs/>
          <w:color w:val="auto"/>
          <w:sz w:val="22"/>
          <w:szCs w:val="22"/>
          <w:u w:val="single"/>
        </w:rPr>
        <w:lastRenderedPageBreak/>
        <w:t>References</w:t>
      </w:r>
    </w:p>
    <w:p w14:paraId="476A10D4" w14:textId="77777777" w:rsidR="007920C6" w:rsidRPr="00A42A5D" w:rsidRDefault="007920C6" w:rsidP="007920C6">
      <w:pPr>
        <w:spacing w:after="0" w:line="480" w:lineRule="auto"/>
        <w:jc w:val="both"/>
        <w:rPr>
          <w:rFonts w:ascii="Arial" w:hAnsi="Arial" w:cs="Arial"/>
          <w:bCs/>
          <w:color w:val="000000" w:themeColor="text1"/>
          <w:lang w:val="de-DE"/>
        </w:rPr>
      </w:pPr>
      <w:r w:rsidRPr="00865912">
        <w:rPr>
          <w:rFonts w:ascii="Arial" w:hAnsi="Arial" w:cs="Arial"/>
          <w:bCs/>
          <w:color w:val="000000" w:themeColor="text1"/>
        </w:rPr>
        <w:t>1.</w:t>
      </w:r>
      <w:r>
        <w:rPr>
          <w:rFonts w:ascii="Arial" w:hAnsi="Arial" w:cs="Arial"/>
          <w:b/>
          <w:color w:val="000000" w:themeColor="text1"/>
        </w:rPr>
        <w:t xml:space="preserve"> </w:t>
      </w:r>
      <w:proofErr w:type="spellStart"/>
      <w:r w:rsidRPr="00477697">
        <w:rPr>
          <w:rFonts w:ascii="Arial" w:hAnsi="Arial" w:cs="Arial"/>
          <w:bCs/>
          <w:color w:val="000000" w:themeColor="text1"/>
        </w:rPr>
        <w:t>Cevik</w:t>
      </w:r>
      <w:proofErr w:type="spellEnd"/>
      <w:r w:rsidRPr="00477697">
        <w:rPr>
          <w:rFonts w:ascii="Arial" w:hAnsi="Arial" w:cs="Arial"/>
          <w:bCs/>
          <w:color w:val="000000" w:themeColor="text1"/>
        </w:rPr>
        <w:t xml:space="preserve"> M, Tate M, Lloyd O</w:t>
      </w:r>
      <w:r>
        <w:rPr>
          <w:rFonts w:ascii="Arial" w:hAnsi="Arial" w:cs="Arial"/>
          <w:bCs/>
          <w:color w:val="000000" w:themeColor="text1"/>
        </w:rPr>
        <w:t xml:space="preserve"> </w:t>
      </w:r>
      <w:r w:rsidRPr="004160FE">
        <w:rPr>
          <w:rFonts w:ascii="Arial" w:hAnsi="Arial" w:cs="Arial"/>
          <w:bCs/>
          <w:i/>
          <w:iCs/>
          <w:color w:val="000000" w:themeColor="text1"/>
        </w:rPr>
        <w:t>et al</w:t>
      </w:r>
      <w:r>
        <w:rPr>
          <w:rFonts w:ascii="Arial" w:hAnsi="Arial" w:cs="Arial"/>
          <w:bCs/>
          <w:color w:val="000000" w:themeColor="text1"/>
        </w:rPr>
        <w:t xml:space="preserve">. </w:t>
      </w:r>
      <w:r w:rsidRPr="00477697">
        <w:rPr>
          <w:rFonts w:ascii="Arial" w:hAnsi="Arial" w:cs="Arial"/>
          <w:bCs/>
          <w:color w:val="000000" w:themeColor="text1"/>
        </w:rPr>
        <w:t>SARS-CoV-2, SARS-</w:t>
      </w:r>
      <w:proofErr w:type="spellStart"/>
      <w:r w:rsidRPr="00477697">
        <w:rPr>
          <w:rFonts w:ascii="Arial" w:hAnsi="Arial" w:cs="Arial"/>
          <w:bCs/>
          <w:color w:val="000000" w:themeColor="text1"/>
        </w:rPr>
        <w:t>CoV</w:t>
      </w:r>
      <w:proofErr w:type="spellEnd"/>
      <w:r w:rsidRPr="00477697">
        <w:rPr>
          <w:rFonts w:ascii="Arial" w:hAnsi="Arial" w:cs="Arial"/>
          <w:bCs/>
          <w:color w:val="000000" w:themeColor="text1"/>
        </w:rPr>
        <w:t>, and MERS-</w:t>
      </w:r>
      <w:proofErr w:type="spellStart"/>
      <w:r w:rsidRPr="00477697">
        <w:rPr>
          <w:rFonts w:ascii="Arial" w:hAnsi="Arial" w:cs="Arial"/>
          <w:bCs/>
          <w:color w:val="000000" w:themeColor="text1"/>
        </w:rPr>
        <w:t>CoV</w:t>
      </w:r>
      <w:proofErr w:type="spellEnd"/>
      <w:r w:rsidRPr="00477697">
        <w:rPr>
          <w:rFonts w:ascii="Arial" w:hAnsi="Arial" w:cs="Arial"/>
          <w:bCs/>
          <w:color w:val="000000" w:themeColor="text1"/>
        </w:rPr>
        <w:t xml:space="preserve"> viral load dynamics, duration of viral shedding, and infectiousness: a systematic review and meta-analysis. </w:t>
      </w:r>
      <w:r w:rsidRPr="007920C6">
        <w:rPr>
          <w:rFonts w:ascii="Arial" w:hAnsi="Arial" w:cs="Arial"/>
          <w:bCs/>
          <w:i/>
          <w:iCs/>
          <w:color w:val="000000" w:themeColor="text1"/>
          <w:lang w:val="de-DE"/>
        </w:rPr>
        <w:t xml:space="preserve">Lancet </w:t>
      </w:r>
      <w:proofErr w:type="spellStart"/>
      <w:r w:rsidRPr="007920C6">
        <w:rPr>
          <w:rFonts w:ascii="Arial" w:hAnsi="Arial" w:cs="Arial"/>
          <w:bCs/>
          <w:i/>
          <w:iCs/>
          <w:color w:val="000000" w:themeColor="text1"/>
          <w:lang w:val="de-DE"/>
        </w:rPr>
        <w:t>Microbe</w:t>
      </w:r>
      <w:proofErr w:type="spellEnd"/>
      <w:r w:rsidRPr="007920C6">
        <w:rPr>
          <w:rFonts w:ascii="Arial" w:hAnsi="Arial" w:cs="Arial"/>
          <w:bCs/>
          <w:color w:val="000000" w:themeColor="text1"/>
          <w:lang w:val="de-DE"/>
        </w:rPr>
        <w:t xml:space="preserve">. </w:t>
      </w:r>
      <w:r w:rsidRPr="00A42A5D">
        <w:rPr>
          <w:rFonts w:ascii="Arial" w:hAnsi="Arial" w:cs="Arial"/>
          <w:bCs/>
          <w:color w:val="000000" w:themeColor="text1"/>
          <w:lang w:val="de-DE"/>
        </w:rPr>
        <w:t xml:space="preserve">2020;  </w:t>
      </w:r>
      <w:r w:rsidRPr="00A42A5D">
        <w:rPr>
          <w:rFonts w:ascii="Arial" w:hAnsi="Arial" w:cs="Arial"/>
          <w:b/>
          <w:bCs/>
          <w:color w:val="212121"/>
          <w:shd w:val="clear" w:color="auto" w:fill="FFFFFF"/>
          <w:lang w:val="de-DE"/>
        </w:rPr>
        <w:t>2</w:t>
      </w:r>
      <w:r w:rsidRPr="00A42A5D">
        <w:rPr>
          <w:rFonts w:ascii="Arial" w:hAnsi="Arial" w:cs="Arial"/>
          <w:color w:val="212121"/>
          <w:shd w:val="clear" w:color="auto" w:fill="FFFFFF"/>
          <w:lang w:val="de-DE"/>
        </w:rPr>
        <w:t>: e13-e22</w:t>
      </w:r>
      <w:r w:rsidRPr="00A42A5D">
        <w:rPr>
          <w:rFonts w:ascii="Arial" w:hAnsi="Arial" w:cs="Arial"/>
          <w:bCs/>
          <w:color w:val="000000" w:themeColor="text1"/>
          <w:lang w:val="de-DE"/>
        </w:rPr>
        <w:t xml:space="preserve"> </w:t>
      </w:r>
    </w:p>
    <w:p w14:paraId="4B146989" w14:textId="77777777" w:rsidR="007920C6" w:rsidRPr="00A42A5D" w:rsidRDefault="007920C6" w:rsidP="007920C6">
      <w:pPr>
        <w:spacing w:after="0" w:line="480" w:lineRule="auto"/>
        <w:jc w:val="both"/>
        <w:rPr>
          <w:rFonts w:ascii="Arial" w:hAnsi="Arial" w:cs="Arial"/>
          <w:color w:val="222222"/>
          <w:shd w:val="clear" w:color="auto" w:fill="FFFFFF"/>
          <w:lang w:val="de-DE"/>
        </w:rPr>
      </w:pPr>
    </w:p>
    <w:p w14:paraId="69218DE0" w14:textId="77777777" w:rsidR="007920C6" w:rsidRPr="000D7498" w:rsidRDefault="007920C6" w:rsidP="007920C6">
      <w:pPr>
        <w:spacing w:after="0" w:line="480" w:lineRule="auto"/>
        <w:jc w:val="both"/>
        <w:rPr>
          <w:rFonts w:ascii="Arial" w:hAnsi="Arial" w:cs="Arial"/>
          <w:color w:val="222222"/>
          <w:shd w:val="clear" w:color="auto" w:fill="FFFFFF"/>
        </w:rPr>
      </w:pPr>
      <w:r w:rsidRPr="00A42A5D">
        <w:rPr>
          <w:rFonts w:ascii="Arial" w:hAnsi="Arial" w:cs="Arial"/>
          <w:color w:val="222222"/>
          <w:shd w:val="clear" w:color="auto" w:fill="FFFFFF"/>
          <w:lang w:val="de-DE"/>
        </w:rPr>
        <w:t>2.</w:t>
      </w:r>
      <w:r w:rsidRPr="00A42A5D">
        <w:rPr>
          <w:rFonts w:ascii="Arial" w:hAnsi="Arial" w:cs="Arial"/>
          <w:b/>
          <w:bCs/>
          <w:color w:val="222222"/>
          <w:shd w:val="clear" w:color="auto" w:fill="FFFFFF"/>
          <w:lang w:val="de-DE"/>
        </w:rPr>
        <w:t xml:space="preserve"> </w:t>
      </w:r>
      <w:r w:rsidRPr="00A42A5D">
        <w:rPr>
          <w:rFonts w:ascii="Arial" w:hAnsi="Arial" w:cs="Arial"/>
          <w:color w:val="222222"/>
          <w:shd w:val="clear" w:color="auto" w:fill="FFFFFF"/>
          <w:lang w:val="de-DE"/>
        </w:rPr>
        <w:t xml:space="preserve">Griffiths G, Fitzgerald R, Jaki T </w:t>
      </w:r>
      <w:r w:rsidRPr="00A42A5D">
        <w:rPr>
          <w:rFonts w:ascii="Arial" w:hAnsi="Arial" w:cs="Arial"/>
          <w:i/>
          <w:iCs/>
          <w:color w:val="222222"/>
          <w:shd w:val="clear" w:color="auto" w:fill="FFFFFF"/>
          <w:lang w:val="de-DE"/>
        </w:rPr>
        <w:t>et al</w:t>
      </w:r>
      <w:r w:rsidRPr="00A42A5D">
        <w:rPr>
          <w:rFonts w:ascii="Arial" w:hAnsi="Arial" w:cs="Arial"/>
          <w:color w:val="222222"/>
          <w:shd w:val="clear" w:color="auto" w:fill="FFFFFF"/>
          <w:lang w:val="de-DE"/>
        </w:rPr>
        <w:t xml:space="preserve">. </w:t>
      </w:r>
      <w:r w:rsidRPr="00477697">
        <w:rPr>
          <w:rFonts w:ascii="Arial" w:hAnsi="Arial" w:cs="Arial"/>
          <w:color w:val="222222"/>
          <w:shd w:val="clear" w:color="auto" w:fill="FFFFFF"/>
        </w:rPr>
        <w:t xml:space="preserve">AGILE-ACCORD: A Randomized, Multicentre, Seamless, Adaptive Phase I/II Platform Study to Determine the Optimal Dose, Safety and Efficacy of Multiple Candidate Agents for the Treatment of COVID-19: A structured summary of a study protocol for a randomised platform trial. </w:t>
      </w:r>
      <w:r w:rsidRPr="000D7498">
        <w:rPr>
          <w:rFonts w:ascii="Arial" w:hAnsi="Arial" w:cs="Arial"/>
          <w:i/>
          <w:iCs/>
          <w:color w:val="222222"/>
          <w:shd w:val="clear" w:color="auto" w:fill="FFFFFF"/>
        </w:rPr>
        <w:t>Trials</w:t>
      </w:r>
      <w:r w:rsidRPr="000D7498">
        <w:rPr>
          <w:rFonts w:ascii="Arial" w:hAnsi="Arial" w:cs="Arial"/>
          <w:color w:val="222222"/>
          <w:shd w:val="clear" w:color="auto" w:fill="FFFFFF"/>
        </w:rPr>
        <w:t>. 2020</w:t>
      </w:r>
      <w:r>
        <w:rPr>
          <w:rFonts w:ascii="Arial" w:hAnsi="Arial" w:cs="Arial"/>
          <w:color w:val="222222"/>
          <w:shd w:val="clear" w:color="auto" w:fill="FFFFFF"/>
        </w:rPr>
        <w:t xml:space="preserve">; </w:t>
      </w:r>
      <w:r w:rsidRPr="00865912">
        <w:rPr>
          <w:rFonts w:ascii="Arial" w:hAnsi="Arial" w:cs="Arial"/>
          <w:b/>
          <w:bCs/>
          <w:color w:val="222222"/>
          <w:shd w:val="clear" w:color="auto" w:fill="FFFFFF"/>
        </w:rPr>
        <w:t>21</w:t>
      </w:r>
      <w:r w:rsidRPr="000D7498">
        <w:rPr>
          <w:rFonts w:ascii="Arial" w:hAnsi="Arial" w:cs="Arial"/>
          <w:color w:val="222222"/>
          <w:shd w:val="clear" w:color="auto" w:fill="FFFFFF"/>
        </w:rPr>
        <w:t>:</w:t>
      </w:r>
      <w:r>
        <w:rPr>
          <w:rFonts w:ascii="Arial" w:hAnsi="Arial" w:cs="Arial"/>
          <w:color w:val="222222"/>
          <w:shd w:val="clear" w:color="auto" w:fill="FFFFFF"/>
        </w:rPr>
        <w:t xml:space="preserve"> </w:t>
      </w:r>
      <w:r w:rsidRPr="000D7498">
        <w:rPr>
          <w:rFonts w:ascii="Arial" w:hAnsi="Arial" w:cs="Arial"/>
          <w:color w:val="222222"/>
          <w:shd w:val="clear" w:color="auto" w:fill="FFFFFF"/>
        </w:rPr>
        <w:t xml:space="preserve">1-3 </w:t>
      </w:r>
    </w:p>
    <w:p w14:paraId="474CB3CD" w14:textId="77777777" w:rsidR="007920C6" w:rsidRPr="000D7498" w:rsidRDefault="007920C6" w:rsidP="007920C6">
      <w:pPr>
        <w:spacing w:after="0" w:line="480" w:lineRule="auto"/>
        <w:jc w:val="both"/>
        <w:rPr>
          <w:rFonts w:ascii="Arial" w:hAnsi="Arial" w:cs="Arial"/>
          <w:color w:val="222222"/>
          <w:shd w:val="clear" w:color="auto" w:fill="FFFFFF"/>
        </w:rPr>
      </w:pPr>
    </w:p>
    <w:p w14:paraId="649A88C0" w14:textId="77777777" w:rsidR="007920C6" w:rsidRPr="00477697" w:rsidRDefault="007920C6" w:rsidP="007920C6">
      <w:pPr>
        <w:pStyle w:val="CommentText"/>
        <w:spacing w:after="0" w:line="480" w:lineRule="auto"/>
        <w:jc w:val="both"/>
        <w:rPr>
          <w:rFonts w:ascii="Arial" w:hAnsi="Arial" w:cs="Arial"/>
          <w:color w:val="222222"/>
          <w:sz w:val="22"/>
          <w:szCs w:val="22"/>
          <w:shd w:val="clear" w:color="auto" w:fill="FFFFFF"/>
        </w:rPr>
      </w:pPr>
      <w:r w:rsidRPr="00865912">
        <w:rPr>
          <w:rFonts w:ascii="Arial" w:hAnsi="Arial" w:cs="Arial"/>
          <w:color w:val="222222"/>
          <w:sz w:val="22"/>
          <w:szCs w:val="22"/>
          <w:shd w:val="clear" w:color="auto" w:fill="FFFFFF"/>
        </w:rPr>
        <w:t>3.</w:t>
      </w:r>
      <w:r>
        <w:rPr>
          <w:rFonts w:ascii="Arial" w:hAnsi="Arial" w:cs="Arial"/>
          <w:b/>
          <w:bCs/>
          <w:color w:val="222222"/>
          <w:sz w:val="22"/>
          <w:szCs w:val="22"/>
          <w:shd w:val="clear" w:color="auto" w:fill="FFFFFF"/>
        </w:rPr>
        <w:t xml:space="preserve"> </w:t>
      </w:r>
      <w:r w:rsidRPr="000D7498">
        <w:rPr>
          <w:rFonts w:ascii="Arial" w:hAnsi="Arial" w:cs="Arial"/>
          <w:color w:val="222222"/>
          <w:sz w:val="22"/>
          <w:szCs w:val="22"/>
          <w:shd w:val="clear" w:color="auto" w:fill="FFFFFF"/>
        </w:rPr>
        <w:t xml:space="preserve">Wahl A, </w:t>
      </w:r>
      <w:proofErr w:type="spellStart"/>
      <w:r w:rsidRPr="000D7498">
        <w:rPr>
          <w:rFonts w:ascii="Arial" w:hAnsi="Arial" w:cs="Arial"/>
          <w:color w:val="222222"/>
          <w:sz w:val="22"/>
          <w:szCs w:val="22"/>
          <w:shd w:val="clear" w:color="auto" w:fill="FFFFFF"/>
        </w:rPr>
        <w:t>Gralinski</w:t>
      </w:r>
      <w:proofErr w:type="spellEnd"/>
      <w:r w:rsidRPr="000D7498">
        <w:rPr>
          <w:rFonts w:ascii="Arial" w:hAnsi="Arial" w:cs="Arial"/>
          <w:color w:val="222222"/>
          <w:sz w:val="22"/>
          <w:szCs w:val="22"/>
          <w:shd w:val="clear" w:color="auto" w:fill="FFFFFF"/>
        </w:rPr>
        <w:t xml:space="preserve"> L, Johnson C</w:t>
      </w:r>
      <w:r w:rsidRPr="00477697" w:rsidDel="00A67F85">
        <w:rPr>
          <w:rFonts w:ascii="Arial" w:hAnsi="Arial" w:cs="Arial"/>
          <w:color w:val="222222"/>
          <w:sz w:val="22"/>
          <w:szCs w:val="22"/>
          <w:shd w:val="clear" w:color="auto" w:fill="FFFFFF"/>
        </w:rPr>
        <w:t xml:space="preserve"> </w:t>
      </w:r>
      <w:r w:rsidRPr="004160FE">
        <w:rPr>
          <w:rFonts w:ascii="Arial" w:hAnsi="Arial" w:cs="Arial"/>
          <w:i/>
          <w:iCs/>
          <w:color w:val="222222"/>
          <w:sz w:val="22"/>
          <w:szCs w:val="22"/>
          <w:shd w:val="clear" w:color="auto" w:fill="FFFFFF"/>
        </w:rPr>
        <w:t>et al</w:t>
      </w:r>
      <w:r w:rsidRPr="00477697">
        <w:rPr>
          <w:rFonts w:ascii="Arial" w:hAnsi="Arial" w:cs="Arial"/>
          <w:color w:val="222222"/>
          <w:sz w:val="22"/>
          <w:szCs w:val="22"/>
          <w:shd w:val="clear" w:color="auto" w:fill="FFFFFF"/>
        </w:rPr>
        <w:t xml:space="preserve">. SARS-CoV-2 infection is effectively treated and prevented by EIDD-2801. </w:t>
      </w:r>
      <w:r w:rsidRPr="00865912">
        <w:rPr>
          <w:rFonts w:ascii="Arial" w:hAnsi="Arial" w:cs="Arial"/>
          <w:i/>
          <w:iCs/>
          <w:color w:val="222222"/>
          <w:sz w:val="22"/>
          <w:szCs w:val="22"/>
          <w:shd w:val="clear" w:color="auto" w:fill="FFFFFF"/>
        </w:rPr>
        <w:t>Nature</w:t>
      </w:r>
      <w:r w:rsidRPr="00477697">
        <w:rPr>
          <w:rFonts w:ascii="Arial" w:hAnsi="Arial" w:cs="Arial"/>
          <w:color w:val="222222"/>
          <w:sz w:val="22"/>
          <w:szCs w:val="22"/>
          <w:shd w:val="clear" w:color="auto" w:fill="FFFFFF"/>
        </w:rPr>
        <w:t xml:space="preserve"> 2021</w:t>
      </w:r>
      <w:r>
        <w:rPr>
          <w:rFonts w:ascii="Arial" w:hAnsi="Arial" w:cs="Arial"/>
          <w:color w:val="222222"/>
          <w:sz w:val="22"/>
          <w:szCs w:val="22"/>
          <w:shd w:val="clear" w:color="auto" w:fill="FFFFFF"/>
        </w:rPr>
        <w:t>;</w:t>
      </w:r>
      <w:r w:rsidRPr="00477697">
        <w:rPr>
          <w:rFonts w:ascii="Arial" w:hAnsi="Arial" w:cs="Arial"/>
          <w:color w:val="222222"/>
          <w:sz w:val="22"/>
          <w:szCs w:val="22"/>
          <w:shd w:val="clear" w:color="auto" w:fill="FFFFFF"/>
        </w:rPr>
        <w:t xml:space="preserve"> </w:t>
      </w:r>
      <w:r w:rsidRPr="00865912">
        <w:rPr>
          <w:rFonts w:ascii="Arial" w:hAnsi="Arial" w:cs="Arial"/>
          <w:b/>
          <w:bCs/>
          <w:color w:val="222222"/>
          <w:sz w:val="22"/>
          <w:szCs w:val="22"/>
          <w:shd w:val="clear" w:color="auto" w:fill="FFFFFF"/>
        </w:rPr>
        <w:t>591</w:t>
      </w:r>
      <w:r w:rsidRPr="00477697">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t>
      </w:r>
      <w:r w:rsidRPr="00477697">
        <w:rPr>
          <w:rFonts w:ascii="Arial" w:hAnsi="Arial" w:cs="Arial"/>
          <w:color w:val="222222"/>
          <w:sz w:val="22"/>
          <w:szCs w:val="22"/>
          <w:shd w:val="clear" w:color="auto" w:fill="FFFFFF"/>
        </w:rPr>
        <w:t>451-457.</w:t>
      </w:r>
    </w:p>
    <w:p w14:paraId="177D2051" w14:textId="77777777" w:rsidR="007920C6" w:rsidRPr="00477697" w:rsidRDefault="007920C6" w:rsidP="007920C6">
      <w:pPr>
        <w:spacing w:after="0" w:line="480" w:lineRule="auto"/>
        <w:jc w:val="both"/>
        <w:rPr>
          <w:rFonts w:ascii="Arial" w:hAnsi="Arial" w:cs="Arial"/>
          <w:bCs/>
        </w:rPr>
      </w:pPr>
    </w:p>
    <w:p w14:paraId="364D92DA" w14:textId="77777777" w:rsidR="007920C6" w:rsidRDefault="007920C6" w:rsidP="007920C6">
      <w:pPr>
        <w:pStyle w:val="CommentText"/>
        <w:spacing w:after="0" w:line="480" w:lineRule="auto"/>
        <w:jc w:val="both"/>
        <w:rPr>
          <w:rFonts w:ascii="Arial" w:hAnsi="Arial" w:cs="Arial"/>
          <w:color w:val="222222"/>
          <w:sz w:val="22"/>
          <w:szCs w:val="22"/>
          <w:shd w:val="clear" w:color="auto" w:fill="FFFFFF"/>
        </w:rPr>
      </w:pPr>
      <w:r w:rsidRPr="00865912">
        <w:rPr>
          <w:rFonts w:ascii="Arial" w:hAnsi="Arial" w:cs="Arial"/>
          <w:color w:val="222222"/>
          <w:sz w:val="22"/>
          <w:szCs w:val="22"/>
          <w:shd w:val="clear" w:color="auto" w:fill="FFFFFF"/>
        </w:rPr>
        <w:t>4.</w:t>
      </w:r>
      <w:r>
        <w:rPr>
          <w:rFonts w:ascii="Arial" w:hAnsi="Arial" w:cs="Arial"/>
          <w:b/>
          <w:bCs/>
          <w:color w:val="222222"/>
          <w:sz w:val="22"/>
          <w:szCs w:val="22"/>
          <w:shd w:val="clear" w:color="auto" w:fill="FFFFFF"/>
        </w:rPr>
        <w:t xml:space="preserve"> </w:t>
      </w:r>
      <w:proofErr w:type="spellStart"/>
      <w:r w:rsidRPr="00FD048E">
        <w:rPr>
          <w:rFonts w:ascii="Arial" w:hAnsi="Arial" w:cs="Arial"/>
          <w:color w:val="222222"/>
          <w:sz w:val="22"/>
          <w:szCs w:val="22"/>
          <w:shd w:val="clear" w:color="auto" w:fill="FFFFFF"/>
        </w:rPr>
        <w:t>Abdelnabi</w:t>
      </w:r>
      <w:proofErr w:type="spellEnd"/>
      <w:r w:rsidRPr="00FD048E">
        <w:rPr>
          <w:rFonts w:ascii="Arial" w:hAnsi="Arial" w:cs="Arial"/>
          <w:color w:val="222222"/>
          <w:sz w:val="22"/>
          <w:szCs w:val="22"/>
          <w:shd w:val="clear" w:color="auto" w:fill="FFFFFF"/>
        </w:rPr>
        <w:t xml:space="preserve"> R, Foo CS, </w:t>
      </w:r>
      <w:proofErr w:type="spellStart"/>
      <w:r w:rsidRPr="00FD048E">
        <w:rPr>
          <w:rFonts w:ascii="Arial" w:hAnsi="Arial" w:cs="Arial"/>
          <w:color w:val="222222"/>
          <w:sz w:val="22"/>
          <w:szCs w:val="22"/>
          <w:shd w:val="clear" w:color="auto" w:fill="FFFFFF"/>
        </w:rPr>
        <w:t>Kaptein</w:t>
      </w:r>
      <w:proofErr w:type="spellEnd"/>
      <w:r w:rsidRPr="00FD048E">
        <w:rPr>
          <w:rFonts w:ascii="Arial" w:hAnsi="Arial" w:cs="Arial"/>
          <w:color w:val="222222"/>
          <w:sz w:val="22"/>
          <w:szCs w:val="22"/>
          <w:shd w:val="clear" w:color="auto" w:fill="FFFFFF"/>
        </w:rPr>
        <w:t xml:space="preserve"> SJ</w:t>
      </w:r>
      <w:r w:rsidRPr="00477697" w:rsidDel="00A67F85">
        <w:rPr>
          <w:rFonts w:ascii="Arial" w:hAnsi="Arial" w:cs="Arial"/>
          <w:color w:val="222222"/>
          <w:sz w:val="22"/>
          <w:szCs w:val="22"/>
          <w:shd w:val="clear" w:color="auto" w:fill="FFFFFF"/>
        </w:rPr>
        <w:t xml:space="preserve"> </w:t>
      </w:r>
      <w:r w:rsidRPr="004160FE">
        <w:rPr>
          <w:rFonts w:ascii="Arial" w:hAnsi="Arial" w:cs="Arial"/>
          <w:i/>
          <w:iCs/>
          <w:color w:val="222222"/>
          <w:sz w:val="22"/>
          <w:szCs w:val="22"/>
          <w:shd w:val="clear" w:color="auto" w:fill="FFFFFF"/>
        </w:rPr>
        <w:t>et al</w:t>
      </w:r>
      <w:r w:rsidRPr="00477697">
        <w:rPr>
          <w:rFonts w:ascii="Arial" w:hAnsi="Arial" w:cs="Arial"/>
          <w:color w:val="222222"/>
          <w:sz w:val="22"/>
          <w:szCs w:val="22"/>
          <w:shd w:val="clear" w:color="auto" w:fill="FFFFFF"/>
        </w:rPr>
        <w:t xml:space="preserve">. </w:t>
      </w:r>
      <w:r w:rsidRPr="00C0638B">
        <w:rPr>
          <w:rFonts w:ascii="Arial" w:hAnsi="Arial" w:cs="Arial"/>
          <w:i/>
          <w:iCs/>
          <w:color w:val="222222"/>
          <w:sz w:val="22"/>
          <w:szCs w:val="22"/>
          <w:shd w:val="clear" w:color="auto" w:fill="FFFFFF"/>
        </w:rPr>
        <w:t>Molnupiravir (EIDD-2801) inhibits SARS-CoV2 replication in Syrian hamsters model.</w:t>
      </w:r>
    </w:p>
    <w:p w14:paraId="59077D5A" w14:textId="77777777" w:rsidR="007920C6" w:rsidRPr="00477697" w:rsidRDefault="007920C6" w:rsidP="007920C6">
      <w:pPr>
        <w:pStyle w:val="CommentText"/>
        <w:spacing w:after="0" w:line="480" w:lineRule="auto"/>
        <w:jc w:val="both"/>
        <w:rPr>
          <w:rFonts w:ascii="Arial" w:hAnsi="Arial" w:cs="Arial"/>
          <w:sz w:val="22"/>
          <w:szCs w:val="22"/>
        </w:rPr>
      </w:pPr>
      <w:r w:rsidRPr="00477697">
        <w:rPr>
          <w:rFonts w:ascii="Arial" w:hAnsi="Arial" w:cs="Arial"/>
          <w:color w:val="222222"/>
          <w:sz w:val="22"/>
          <w:szCs w:val="22"/>
          <w:shd w:val="clear" w:color="auto" w:fill="FFFFFF"/>
        </w:rPr>
        <w:t>https://doi.org/10.1101/2020.12.10.419242</w:t>
      </w:r>
      <w:r w:rsidRPr="00477697" w:rsidDel="004F7345">
        <w:rPr>
          <w:rFonts w:ascii="Arial" w:hAnsi="Arial" w:cs="Arial"/>
          <w:color w:val="222222"/>
          <w:sz w:val="22"/>
          <w:szCs w:val="22"/>
          <w:shd w:val="clear" w:color="auto" w:fill="FFFFFF"/>
        </w:rPr>
        <w:t xml:space="preserve"> </w:t>
      </w:r>
    </w:p>
    <w:p w14:paraId="0F60BC77" w14:textId="77777777" w:rsidR="007920C6" w:rsidRPr="00477697" w:rsidRDefault="007920C6" w:rsidP="007920C6">
      <w:pPr>
        <w:pStyle w:val="CommentText"/>
        <w:spacing w:after="0" w:line="480" w:lineRule="auto"/>
        <w:jc w:val="both"/>
        <w:rPr>
          <w:rFonts w:ascii="Arial" w:hAnsi="Arial" w:cs="Arial"/>
          <w:color w:val="222222"/>
          <w:sz w:val="22"/>
          <w:szCs w:val="22"/>
          <w:shd w:val="clear" w:color="auto" w:fill="FFFFFF"/>
        </w:rPr>
      </w:pPr>
    </w:p>
    <w:p w14:paraId="0D2AE1BF" w14:textId="77777777" w:rsidR="007920C6" w:rsidRPr="00477697" w:rsidRDefault="007920C6" w:rsidP="007920C6">
      <w:pPr>
        <w:pStyle w:val="CommentText"/>
        <w:spacing w:after="0" w:line="480" w:lineRule="auto"/>
        <w:jc w:val="both"/>
        <w:rPr>
          <w:rFonts w:ascii="Arial" w:hAnsi="Arial" w:cs="Arial"/>
          <w:sz w:val="22"/>
          <w:szCs w:val="22"/>
        </w:rPr>
      </w:pPr>
      <w:r w:rsidRPr="00865912">
        <w:rPr>
          <w:rFonts w:ascii="Arial" w:hAnsi="Arial" w:cs="Arial"/>
          <w:color w:val="222222"/>
          <w:sz w:val="22"/>
          <w:szCs w:val="22"/>
          <w:shd w:val="clear" w:color="auto" w:fill="FFFFFF"/>
        </w:rPr>
        <w:t>5.</w:t>
      </w:r>
      <w:r>
        <w:rPr>
          <w:rFonts w:ascii="Arial" w:hAnsi="Arial" w:cs="Arial"/>
          <w:b/>
          <w:bCs/>
          <w:color w:val="222222"/>
          <w:sz w:val="22"/>
          <w:szCs w:val="22"/>
          <w:shd w:val="clear" w:color="auto" w:fill="FFFFFF"/>
        </w:rPr>
        <w:t xml:space="preserve"> </w:t>
      </w:r>
      <w:r w:rsidRPr="00477697">
        <w:rPr>
          <w:rFonts w:ascii="Arial" w:hAnsi="Arial" w:cs="Arial"/>
          <w:color w:val="222222"/>
          <w:sz w:val="22"/>
          <w:szCs w:val="22"/>
          <w:shd w:val="clear" w:color="auto" w:fill="FFFFFF"/>
        </w:rPr>
        <w:t xml:space="preserve">Cox RM, Wolf JD, </w:t>
      </w:r>
      <w:proofErr w:type="spellStart"/>
      <w:r w:rsidRPr="00477697">
        <w:rPr>
          <w:rFonts w:ascii="Arial" w:hAnsi="Arial" w:cs="Arial"/>
          <w:color w:val="222222"/>
          <w:sz w:val="22"/>
          <w:szCs w:val="22"/>
          <w:shd w:val="clear" w:color="auto" w:fill="FFFFFF"/>
        </w:rPr>
        <w:t>Plemper</w:t>
      </w:r>
      <w:proofErr w:type="spellEnd"/>
      <w:r w:rsidRPr="00477697">
        <w:rPr>
          <w:rFonts w:ascii="Arial" w:hAnsi="Arial" w:cs="Arial"/>
          <w:color w:val="222222"/>
          <w:sz w:val="22"/>
          <w:szCs w:val="22"/>
          <w:shd w:val="clear" w:color="auto" w:fill="FFFFFF"/>
        </w:rPr>
        <w:t xml:space="preserve"> RK. Therapeutically administered ribonucleoside analogue MK-4482/EIDD-2801 blocks SARS-CoV-2 transmission in ferrets. </w:t>
      </w:r>
      <w:r w:rsidRPr="00477697">
        <w:rPr>
          <w:rFonts w:ascii="Arial" w:hAnsi="Arial" w:cs="Arial"/>
          <w:i/>
          <w:iCs/>
          <w:color w:val="222222"/>
          <w:sz w:val="22"/>
          <w:szCs w:val="22"/>
          <w:shd w:val="clear" w:color="auto" w:fill="FFFFFF"/>
        </w:rPr>
        <w:t xml:space="preserve">Nat </w:t>
      </w:r>
      <w:proofErr w:type="spellStart"/>
      <w:r w:rsidRPr="00477697">
        <w:rPr>
          <w:rFonts w:ascii="Arial" w:hAnsi="Arial" w:cs="Arial"/>
          <w:i/>
          <w:iCs/>
          <w:color w:val="222222"/>
          <w:sz w:val="22"/>
          <w:szCs w:val="22"/>
          <w:shd w:val="clear" w:color="auto" w:fill="FFFFFF"/>
        </w:rPr>
        <w:t>Microbio</w:t>
      </w:r>
      <w:r>
        <w:rPr>
          <w:rFonts w:ascii="Arial" w:hAnsi="Arial" w:cs="Arial"/>
          <w:i/>
          <w:iCs/>
          <w:color w:val="222222"/>
          <w:sz w:val="22"/>
          <w:szCs w:val="22"/>
          <w:shd w:val="clear" w:color="auto" w:fill="FFFFFF"/>
        </w:rPr>
        <w:t>l</w:t>
      </w:r>
      <w:proofErr w:type="spellEnd"/>
      <w:r w:rsidRPr="00477697">
        <w:rPr>
          <w:rFonts w:ascii="Arial" w:hAnsi="Arial" w:cs="Arial"/>
          <w:color w:val="222222"/>
          <w:sz w:val="22"/>
          <w:szCs w:val="22"/>
          <w:shd w:val="clear" w:color="auto" w:fill="FFFFFF"/>
        </w:rPr>
        <w:t>. 2021</w:t>
      </w:r>
      <w:r>
        <w:rPr>
          <w:rFonts w:ascii="Arial" w:hAnsi="Arial" w:cs="Arial"/>
          <w:color w:val="222222"/>
          <w:sz w:val="22"/>
          <w:szCs w:val="22"/>
          <w:shd w:val="clear" w:color="auto" w:fill="FFFFFF"/>
        </w:rPr>
        <w:t xml:space="preserve">; </w:t>
      </w:r>
      <w:r w:rsidRPr="00865912">
        <w:rPr>
          <w:rFonts w:ascii="Arial" w:hAnsi="Arial" w:cs="Arial"/>
          <w:b/>
          <w:bCs/>
          <w:color w:val="222222"/>
          <w:sz w:val="22"/>
          <w:szCs w:val="22"/>
          <w:shd w:val="clear" w:color="auto" w:fill="FFFFFF"/>
        </w:rPr>
        <w:t>6</w:t>
      </w:r>
      <w:r w:rsidRPr="00477697">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t>
      </w:r>
      <w:r w:rsidRPr="00477697">
        <w:rPr>
          <w:rFonts w:ascii="Arial" w:hAnsi="Arial" w:cs="Arial"/>
          <w:color w:val="222222"/>
          <w:sz w:val="22"/>
          <w:szCs w:val="22"/>
          <w:shd w:val="clear" w:color="auto" w:fill="FFFFFF"/>
        </w:rPr>
        <w:t xml:space="preserve">11-8 </w:t>
      </w:r>
    </w:p>
    <w:p w14:paraId="41231EEC" w14:textId="77777777" w:rsidR="007920C6" w:rsidRPr="00477697" w:rsidRDefault="007920C6" w:rsidP="007920C6">
      <w:pPr>
        <w:pStyle w:val="CommentText"/>
        <w:spacing w:after="0" w:line="480" w:lineRule="auto"/>
        <w:jc w:val="both"/>
        <w:rPr>
          <w:rFonts w:ascii="Arial" w:hAnsi="Arial" w:cs="Arial"/>
          <w:color w:val="222222"/>
          <w:sz w:val="22"/>
          <w:szCs w:val="22"/>
          <w:shd w:val="clear" w:color="auto" w:fill="FFFFFF"/>
        </w:rPr>
      </w:pPr>
    </w:p>
    <w:p w14:paraId="7B6628F6" w14:textId="77777777" w:rsidR="007920C6" w:rsidRDefault="007920C6" w:rsidP="007920C6">
      <w:pPr>
        <w:pStyle w:val="CommentText"/>
        <w:spacing w:after="0" w:line="480" w:lineRule="auto"/>
        <w:jc w:val="both"/>
        <w:rPr>
          <w:rFonts w:ascii="Arial" w:hAnsi="Arial" w:cs="Arial"/>
          <w:bCs/>
          <w:color w:val="000000" w:themeColor="text1"/>
          <w:sz w:val="22"/>
          <w:szCs w:val="22"/>
        </w:rPr>
      </w:pPr>
      <w:r w:rsidRPr="00865912">
        <w:rPr>
          <w:rFonts w:ascii="Arial" w:hAnsi="Arial" w:cs="Arial"/>
          <w:bCs/>
          <w:color w:val="000000" w:themeColor="text1"/>
          <w:sz w:val="22"/>
          <w:szCs w:val="22"/>
        </w:rPr>
        <w:t>6.</w:t>
      </w:r>
      <w:r>
        <w:rPr>
          <w:rFonts w:ascii="Arial" w:hAnsi="Arial" w:cs="Arial"/>
          <w:b/>
          <w:color w:val="000000" w:themeColor="text1"/>
          <w:sz w:val="22"/>
          <w:szCs w:val="22"/>
        </w:rPr>
        <w:t xml:space="preserve"> </w:t>
      </w:r>
      <w:r w:rsidRPr="00A67F85">
        <w:rPr>
          <w:rFonts w:ascii="Arial" w:hAnsi="Arial" w:cs="Arial"/>
          <w:bCs/>
          <w:color w:val="000000" w:themeColor="text1"/>
          <w:sz w:val="22"/>
          <w:szCs w:val="22"/>
        </w:rPr>
        <w:t>Painter WP, Holman W, Bush JA</w:t>
      </w:r>
      <w:r w:rsidRPr="00A67F85" w:rsidDel="00A67F85">
        <w:rPr>
          <w:rFonts w:ascii="Arial" w:hAnsi="Arial" w:cs="Arial"/>
          <w:bCs/>
          <w:color w:val="000000" w:themeColor="text1"/>
          <w:sz w:val="22"/>
          <w:szCs w:val="22"/>
        </w:rPr>
        <w:t xml:space="preserve"> </w:t>
      </w:r>
      <w:r w:rsidRPr="004160FE">
        <w:rPr>
          <w:rFonts w:ascii="Arial" w:hAnsi="Arial" w:cs="Arial"/>
          <w:bCs/>
          <w:i/>
          <w:iCs/>
          <w:color w:val="000000" w:themeColor="text1"/>
          <w:sz w:val="22"/>
          <w:szCs w:val="22"/>
        </w:rPr>
        <w:t>et al</w:t>
      </w:r>
      <w:r w:rsidRPr="00477697">
        <w:rPr>
          <w:rFonts w:ascii="Arial" w:hAnsi="Arial" w:cs="Arial"/>
          <w:bCs/>
          <w:color w:val="000000" w:themeColor="text1"/>
          <w:sz w:val="22"/>
          <w:szCs w:val="22"/>
        </w:rPr>
        <w:t xml:space="preserve">. Human Safety, Tolerability, and Pharmacokinetics of a Novel Broad-Spectrum Oral Antiviral Compound, Molnupiravir, with Activity Against SARS-CoV-2. </w:t>
      </w:r>
      <w:proofErr w:type="spellStart"/>
      <w:r w:rsidRPr="00477697">
        <w:rPr>
          <w:rFonts w:ascii="Arial" w:hAnsi="Arial" w:cs="Arial"/>
          <w:bCs/>
          <w:i/>
          <w:iCs/>
          <w:color w:val="000000" w:themeColor="text1"/>
          <w:sz w:val="22"/>
          <w:szCs w:val="22"/>
        </w:rPr>
        <w:t>Antimicrob</w:t>
      </w:r>
      <w:proofErr w:type="spellEnd"/>
      <w:r w:rsidRPr="00477697">
        <w:rPr>
          <w:rFonts w:ascii="Arial" w:hAnsi="Arial" w:cs="Arial"/>
          <w:bCs/>
          <w:i/>
          <w:iCs/>
          <w:color w:val="000000" w:themeColor="text1"/>
          <w:sz w:val="22"/>
          <w:szCs w:val="22"/>
        </w:rPr>
        <w:t xml:space="preserve"> Agents Chemother.</w:t>
      </w:r>
      <w:r w:rsidRPr="00477697">
        <w:rPr>
          <w:rFonts w:ascii="Arial" w:hAnsi="Arial" w:cs="Arial"/>
          <w:bCs/>
          <w:color w:val="000000" w:themeColor="text1"/>
          <w:sz w:val="22"/>
          <w:szCs w:val="22"/>
        </w:rPr>
        <w:t xml:space="preserve"> 2021</w:t>
      </w:r>
      <w:r>
        <w:rPr>
          <w:rFonts w:ascii="Arial" w:hAnsi="Arial" w:cs="Arial"/>
          <w:bCs/>
          <w:color w:val="000000" w:themeColor="text1"/>
          <w:sz w:val="22"/>
          <w:szCs w:val="22"/>
        </w:rPr>
        <w:t>;</w:t>
      </w:r>
    </w:p>
    <w:p w14:paraId="193E4E6B" w14:textId="77777777" w:rsidR="007920C6" w:rsidRPr="004F126C" w:rsidRDefault="007920C6" w:rsidP="007920C6">
      <w:pPr>
        <w:pStyle w:val="CommentText"/>
        <w:spacing w:after="0" w:line="480" w:lineRule="auto"/>
        <w:jc w:val="both"/>
        <w:rPr>
          <w:rFonts w:ascii="Arial" w:hAnsi="Arial" w:cs="Arial"/>
          <w:color w:val="212121"/>
          <w:sz w:val="22"/>
          <w:szCs w:val="22"/>
          <w:shd w:val="clear" w:color="auto" w:fill="FFFFFF"/>
        </w:rPr>
      </w:pPr>
      <w:r w:rsidRPr="004F126C">
        <w:rPr>
          <w:rFonts w:ascii="Arial" w:hAnsi="Arial" w:cs="Arial"/>
          <w:bCs/>
          <w:color w:val="000000" w:themeColor="text1"/>
          <w:sz w:val="22"/>
          <w:szCs w:val="22"/>
        </w:rPr>
        <w:t>https://doi.org/10.1128/AAC.02428-20</w:t>
      </w:r>
    </w:p>
    <w:p w14:paraId="06532BD4" w14:textId="77777777" w:rsidR="007920C6" w:rsidRPr="00477697" w:rsidRDefault="007920C6" w:rsidP="007920C6">
      <w:pPr>
        <w:pStyle w:val="CommentText"/>
        <w:spacing w:after="0" w:line="480" w:lineRule="auto"/>
        <w:jc w:val="both"/>
        <w:rPr>
          <w:rFonts w:ascii="Arial" w:hAnsi="Arial" w:cs="Arial"/>
          <w:bCs/>
          <w:color w:val="000000" w:themeColor="text1"/>
          <w:sz w:val="22"/>
          <w:szCs w:val="22"/>
        </w:rPr>
      </w:pPr>
    </w:p>
    <w:p w14:paraId="3FC50609" w14:textId="77777777" w:rsidR="007920C6" w:rsidRPr="00477697" w:rsidRDefault="007920C6" w:rsidP="007920C6">
      <w:pPr>
        <w:pStyle w:val="CommentText"/>
        <w:spacing w:after="0" w:line="480" w:lineRule="auto"/>
        <w:jc w:val="both"/>
        <w:rPr>
          <w:rFonts w:ascii="Arial" w:hAnsi="Arial" w:cs="Arial"/>
          <w:color w:val="222222"/>
          <w:sz w:val="22"/>
          <w:szCs w:val="22"/>
          <w:shd w:val="clear" w:color="auto" w:fill="FFFFFF"/>
        </w:rPr>
      </w:pPr>
      <w:r w:rsidRPr="00865912">
        <w:rPr>
          <w:rFonts w:ascii="Arial" w:hAnsi="Arial" w:cs="Arial"/>
          <w:bCs/>
          <w:color w:val="000000" w:themeColor="text1"/>
          <w:sz w:val="22"/>
          <w:szCs w:val="22"/>
        </w:rPr>
        <w:t>7.</w:t>
      </w:r>
      <w:r>
        <w:rPr>
          <w:rFonts w:ascii="Arial" w:hAnsi="Arial" w:cs="Arial"/>
          <w:b/>
          <w:color w:val="000000" w:themeColor="text1"/>
          <w:sz w:val="22"/>
          <w:szCs w:val="22"/>
        </w:rPr>
        <w:t xml:space="preserve"> </w:t>
      </w:r>
      <w:r w:rsidRPr="00477697">
        <w:rPr>
          <w:rFonts w:ascii="Arial" w:hAnsi="Arial" w:cs="Arial"/>
          <w:bCs/>
          <w:color w:val="000000" w:themeColor="text1"/>
          <w:sz w:val="22"/>
          <w:szCs w:val="22"/>
        </w:rPr>
        <w:t xml:space="preserve">Painter WP, Sheahan T, Baric R, </w:t>
      </w:r>
      <w:r w:rsidRPr="004160FE">
        <w:rPr>
          <w:rFonts w:ascii="Arial" w:hAnsi="Arial" w:cs="Arial"/>
          <w:bCs/>
          <w:i/>
          <w:iCs/>
          <w:color w:val="000000" w:themeColor="text1"/>
          <w:sz w:val="22"/>
          <w:szCs w:val="22"/>
        </w:rPr>
        <w:t>et al</w:t>
      </w:r>
      <w:r w:rsidRPr="00477697">
        <w:rPr>
          <w:rFonts w:ascii="Arial" w:hAnsi="Arial" w:cs="Arial"/>
          <w:bCs/>
          <w:color w:val="000000" w:themeColor="text1"/>
          <w:sz w:val="22"/>
          <w:szCs w:val="22"/>
        </w:rPr>
        <w:t xml:space="preserve">. Reduction in infectious SARS-CoV-2 in treatment study of COVID-19 with molnupiravir. </w:t>
      </w:r>
      <w:r w:rsidRPr="00865912">
        <w:rPr>
          <w:rFonts w:ascii="Arial" w:hAnsi="Arial" w:cs="Arial"/>
          <w:bCs/>
          <w:i/>
          <w:iCs/>
          <w:color w:val="000000" w:themeColor="text1"/>
          <w:sz w:val="22"/>
          <w:szCs w:val="22"/>
        </w:rPr>
        <w:t>Virtual Conference on Retroviruses and Opportunistic Infections (</w:t>
      </w:r>
      <w:proofErr w:type="spellStart"/>
      <w:r>
        <w:rPr>
          <w:rFonts w:ascii="Arial" w:hAnsi="Arial" w:cs="Arial"/>
          <w:bCs/>
          <w:i/>
          <w:iCs/>
          <w:color w:val="000000" w:themeColor="text1"/>
          <w:sz w:val="22"/>
          <w:szCs w:val="22"/>
        </w:rPr>
        <w:t>v</w:t>
      </w:r>
      <w:r w:rsidRPr="00865912">
        <w:rPr>
          <w:rFonts w:ascii="Arial" w:hAnsi="Arial" w:cs="Arial"/>
          <w:bCs/>
          <w:i/>
          <w:iCs/>
          <w:color w:val="000000" w:themeColor="text1"/>
          <w:sz w:val="22"/>
          <w:szCs w:val="22"/>
        </w:rPr>
        <w:t>CROI</w:t>
      </w:r>
      <w:proofErr w:type="spellEnd"/>
      <w:r w:rsidRPr="00865912">
        <w:rPr>
          <w:rFonts w:ascii="Arial" w:hAnsi="Arial" w:cs="Arial"/>
          <w:bCs/>
          <w:i/>
          <w:iCs/>
          <w:color w:val="000000" w:themeColor="text1"/>
          <w:sz w:val="22"/>
          <w:szCs w:val="22"/>
        </w:rPr>
        <w:t>) 2021</w:t>
      </w:r>
      <w:r w:rsidRPr="00477697">
        <w:rPr>
          <w:rFonts w:ascii="Arial" w:hAnsi="Arial" w:cs="Arial"/>
          <w:bCs/>
          <w:color w:val="000000" w:themeColor="text1"/>
          <w:sz w:val="22"/>
          <w:szCs w:val="22"/>
        </w:rPr>
        <w:t>. Abstract 777</w:t>
      </w:r>
    </w:p>
    <w:p w14:paraId="04854C95" w14:textId="77777777" w:rsidR="007920C6" w:rsidRPr="00477697" w:rsidRDefault="007920C6" w:rsidP="007920C6">
      <w:pPr>
        <w:pStyle w:val="CommentText"/>
        <w:spacing w:after="0" w:line="480" w:lineRule="auto"/>
        <w:jc w:val="both"/>
        <w:rPr>
          <w:rFonts w:ascii="Arial" w:hAnsi="Arial" w:cs="Arial"/>
          <w:color w:val="222222"/>
          <w:sz w:val="22"/>
          <w:szCs w:val="22"/>
          <w:shd w:val="clear" w:color="auto" w:fill="FFFFFF"/>
        </w:rPr>
      </w:pPr>
    </w:p>
    <w:p w14:paraId="08D7A448" w14:textId="77777777" w:rsidR="007920C6" w:rsidRPr="00F220A3" w:rsidRDefault="007920C6" w:rsidP="007920C6">
      <w:pPr>
        <w:spacing w:after="0" w:line="480" w:lineRule="auto"/>
        <w:jc w:val="both"/>
        <w:rPr>
          <w:rFonts w:ascii="Arial" w:hAnsi="Arial" w:cs="Arial"/>
          <w:b/>
          <w:bCs/>
          <w:color w:val="000000" w:themeColor="text1"/>
        </w:rPr>
      </w:pPr>
      <w:r w:rsidRPr="00865912">
        <w:rPr>
          <w:rFonts w:ascii="Arial" w:hAnsi="Arial" w:cs="Arial"/>
          <w:color w:val="222222"/>
          <w:shd w:val="clear" w:color="auto" w:fill="FFFFFF"/>
        </w:rPr>
        <w:lastRenderedPageBreak/>
        <w:t>8.</w:t>
      </w:r>
      <w:r>
        <w:rPr>
          <w:rFonts w:ascii="Arial" w:hAnsi="Arial" w:cs="Arial"/>
          <w:b/>
          <w:bCs/>
          <w:color w:val="222222"/>
          <w:shd w:val="clear" w:color="auto" w:fill="FFFFFF"/>
        </w:rPr>
        <w:t xml:space="preserve"> </w:t>
      </w:r>
      <w:proofErr w:type="spellStart"/>
      <w:r w:rsidRPr="00477697">
        <w:rPr>
          <w:rFonts w:ascii="Arial" w:hAnsi="Arial" w:cs="Arial"/>
          <w:color w:val="222222"/>
          <w:shd w:val="clear" w:color="auto" w:fill="FFFFFF"/>
        </w:rPr>
        <w:t>Mozgunov</w:t>
      </w:r>
      <w:proofErr w:type="spellEnd"/>
      <w:r w:rsidRPr="00477697">
        <w:rPr>
          <w:rFonts w:ascii="Arial" w:hAnsi="Arial" w:cs="Arial"/>
          <w:color w:val="222222"/>
          <w:shd w:val="clear" w:color="auto" w:fill="FFFFFF"/>
        </w:rPr>
        <w:t xml:space="preserve"> P, Jaki T, </w:t>
      </w:r>
      <w:proofErr w:type="spellStart"/>
      <w:r w:rsidRPr="00477697">
        <w:rPr>
          <w:rFonts w:ascii="Arial" w:hAnsi="Arial" w:cs="Arial"/>
          <w:color w:val="222222"/>
          <w:shd w:val="clear" w:color="auto" w:fill="FFFFFF"/>
        </w:rPr>
        <w:t>Paoletti</w:t>
      </w:r>
      <w:proofErr w:type="spellEnd"/>
      <w:r w:rsidRPr="00477697">
        <w:rPr>
          <w:rFonts w:ascii="Arial" w:hAnsi="Arial" w:cs="Arial"/>
          <w:color w:val="222222"/>
          <w:shd w:val="clear" w:color="auto" w:fill="FFFFFF"/>
        </w:rPr>
        <w:t xml:space="preserve"> X. Randomized dose-escalation designs for drug combination cancer trials with immunotherapy. </w:t>
      </w:r>
      <w:r w:rsidRPr="00477697">
        <w:rPr>
          <w:rFonts w:ascii="Arial" w:hAnsi="Arial" w:cs="Arial"/>
          <w:i/>
          <w:iCs/>
          <w:color w:val="222222"/>
          <w:shd w:val="clear" w:color="auto" w:fill="FFFFFF"/>
        </w:rPr>
        <w:t>J</w:t>
      </w:r>
      <w:r>
        <w:rPr>
          <w:rFonts w:ascii="Arial" w:hAnsi="Arial" w:cs="Arial"/>
          <w:i/>
          <w:iCs/>
          <w:color w:val="222222"/>
          <w:shd w:val="clear" w:color="auto" w:fill="FFFFFF"/>
        </w:rPr>
        <w:t xml:space="preserve"> </w:t>
      </w:r>
      <w:proofErr w:type="spellStart"/>
      <w:r w:rsidRPr="00477697">
        <w:rPr>
          <w:rFonts w:ascii="Arial" w:hAnsi="Arial" w:cs="Arial"/>
          <w:i/>
          <w:iCs/>
          <w:color w:val="222222"/>
          <w:shd w:val="clear" w:color="auto" w:fill="FFFFFF"/>
        </w:rPr>
        <w:t>Biopharm</w:t>
      </w:r>
      <w:proofErr w:type="spellEnd"/>
      <w:r w:rsidRPr="00477697">
        <w:rPr>
          <w:rFonts w:ascii="Arial" w:hAnsi="Arial" w:cs="Arial"/>
          <w:i/>
          <w:iCs/>
          <w:color w:val="222222"/>
          <w:shd w:val="clear" w:color="auto" w:fill="FFFFFF"/>
        </w:rPr>
        <w:t xml:space="preserve"> Stat</w:t>
      </w:r>
      <w:r w:rsidRPr="00477697">
        <w:rPr>
          <w:rFonts w:ascii="Arial" w:hAnsi="Arial" w:cs="Arial"/>
          <w:color w:val="222222"/>
          <w:shd w:val="clear" w:color="auto" w:fill="FFFFFF"/>
        </w:rPr>
        <w:t>. 2019</w:t>
      </w:r>
      <w:r>
        <w:rPr>
          <w:rFonts w:ascii="Arial" w:hAnsi="Arial" w:cs="Arial"/>
          <w:color w:val="222222"/>
          <w:shd w:val="clear" w:color="auto" w:fill="FFFFFF"/>
        </w:rPr>
        <w:t xml:space="preserve">; </w:t>
      </w:r>
      <w:r w:rsidRPr="00865912">
        <w:rPr>
          <w:rFonts w:ascii="Arial" w:hAnsi="Arial" w:cs="Arial"/>
          <w:b/>
          <w:bCs/>
          <w:color w:val="222222"/>
          <w:shd w:val="clear" w:color="auto" w:fill="FFFFFF"/>
        </w:rPr>
        <w:t>29</w:t>
      </w:r>
      <w:r w:rsidRPr="00477697">
        <w:rPr>
          <w:rFonts w:ascii="Arial" w:hAnsi="Arial" w:cs="Arial"/>
          <w:color w:val="222222"/>
          <w:shd w:val="clear" w:color="auto" w:fill="FFFFFF"/>
        </w:rPr>
        <w:t>:</w:t>
      </w:r>
      <w:r>
        <w:rPr>
          <w:rFonts w:ascii="Arial" w:hAnsi="Arial" w:cs="Arial"/>
          <w:color w:val="222222"/>
          <w:shd w:val="clear" w:color="auto" w:fill="FFFFFF"/>
        </w:rPr>
        <w:t xml:space="preserve"> </w:t>
      </w:r>
      <w:r w:rsidRPr="00477697">
        <w:rPr>
          <w:rFonts w:ascii="Arial" w:hAnsi="Arial" w:cs="Arial"/>
          <w:color w:val="222222"/>
          <w:shd w:val="clear" w:color="auto" w:fill="FFFFFF"/>
        </w:rPr>
        <w:t xml:space="preserve">359-77 </w:t>
      </w:r>
    </w:p>
    <w:p w14:paraId="402E69A9" w14:textId="3FA348E8" w:rsidR="00B46B6E" w:rsidRPr="00477697" w:rsidRDefault="00B46B6E" w:rsidP="007920C6">
      <w:pPr>
        <w:spacing w:after="0" w:line="480" w:lineRule="auto"/>
        <w:rPr>
          <w:rFonts w:ascii="Arial" w:hAnsi="Arial" w:cs="Arial"/>
          <w:b/>
          <w:bCs/>
          <w:color w:val="000000" w:themeColor="text1"/>
        </w:rPr>
      </w:pPr>
    </w:p>
    <w:p w14:paraId="64AD7F94" w14:textId="77777777" w:rsidR="007920C6" w:rsidRDefault="007920C6">
      <w:pPr>
        <w:rPr>
          <w:rFonts w:ascii="Arial" w:eastAsia="Times New Roman" w:hAnsi="Arial" w:cs="Arial"/>
          <w:b/>
        </w:rPr>
      </w:pPr>
      <w:bookmarkStart w:id="5" w:name="_Hlk67327961"/>
      <w:r>
        <w:rPr>
          <w:rFonts w:ascii="Arial" w:hAnsi="Arial" w:cs="Arial"/>
          <w:bCs/>
        </w:rPr>
        <w:br w:type="page"/>
      </w:r>
    </w:p>
    <w:p w14:paraId="4C034236" w14:textId="03AED1A6" w:rsidR="004B55DD" w:rsidRPr="004532E4" w:rsidRDefault="004B55DD" w:rsidP="004B55DD">
      <w:pPr>
        <w:pStyle w:val="Caption"/>
        <w:spacing w:line="480" w:lineRule="auto"/>
        <w:rPr>
          <w:rFonts w:ascii="Arial" w:hAnsi="Arial" w:cs="Arial"/>
          <w:bCs w:val="0"/>
          <w:szCs w:val="22"/>
        </w:rPr>
      </w:pPr>
      <w:r w:rsidRPr="004532E4">
        <w:rPr>
          <w:rFonts w:ascii="Arial" w:hAnsi="Arial" w:cs="Arial"/>
          <w:bCs w:val="0"/>
          <w:szCs w:val="22"/>
        </w:rPr>
        <w:lastRenderedPageBreak/>
        <w:t>TABLE 1:  Baseline characteristics</w:t>
      </w:r>
    </w:p>
    <w:tbl>
      <w:tblPr>
        <w:tblW w:w="10065" w:type="dxa"/>
        <w:tblInd w:w="-185"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170"/>
        <w:gridCol w:w="1729"/>
        <w:gridCol w:w="1729"/>
        <w:gridCol w:w="1730"/>
        <w:gridCol w:w="1353"/>
        <w:gridCol w:w="1354"/>
      </w:tblGrid>
      <w:tr w:rsidR="006B4915" w:rsidRPr="00FD048E" w14:paraId="069D514C" w14:textId="77777777" w:rsidTr="00235A9C">
        <w:trPr>
          <w:tblHeader/>
        </w:trPr>
        <w:tc>
          <w:tcPr>
            <w:tcW w:w="2170" w:type="dxa"/>
            <w:shd w:val="clear" w:color="auto" w:fill="auto"/>
          </w:tcPr>
          <w:p w14:paraId="340FDF78" w14:textId="77777777" w:rsidR="004B55DD" w:rsidRPr="00FD048E" w:rsidRDefault="004B55DD" w:rsidP="00554F7B">
            <w:pPr>
              <w:suppressAutoHyphens/>
              <w:snapToGrid w:val="0"/>
              <w:spacing w:after="0" w:line="480" w:lineRule="auto"/>
              <w:ind w:left="144"/>
              <w:rPr>
                <w:rFonts w:cstheme="minorHAnsi"/>
                <w:b/>
                <w:bCs/>
                <w:lang w:eastAsia="ar-SA"/>
              </w:rPr>
            </w:pPr>
          </w:p>
        </w:tc>
        <w:tc>
          <w:tcPr>
            <w:tcW w:w="1729" w:type="dxa"/>
            <w:shd w:val="clear" w:color="auto" w:fill="auto"/>
            <w:vAlign w:val="center"/>
          </w:tcPr>
          <w:p w14:paraId="482D1C71" w14:textId="2F9F4164" w:rsidR="004B55DD" w:rsidRPr="00FD048E" w:rsidRDefault="004B55DD" w:rsidP="00235A9C">
            <w:pPr>
              <w:spacing w:after="0" w:line="480" w:lineRule="auto"/>
              <w:jc w:val="center"/>
              <w:rPr>
                <w:rFonts w:cstheme="minorHAnsi"/>
                <w:lang w:eastAsia="ar-SA"/>
              </w:rPr>
            </w:pPr>
            <w:r w:rsidRPr="00FD048E">
              <w:rPr>
                <w:b/>
                <w:bCs/>
              </w:rPr>
              <w:t>MOLNUPIRAVIR</w:t>
            </w:r>
          </w:p>
        </w:tc>
        <w:tc>
          <w:tcPr>
            <w:tcW w:w="1729" w:type="dxa"/>
            <w:shd w:val="clear" w:color="auto" w:fill="auto"/>
            <w:vAlign w:val="center"/>
          </w:tcPr>
          <w:p w14:paraId="5538CA2C" w14:textId="7BDA7C70" w:rsidR="004B55DD" w:rsidRPr="00FD048E" w:rsidRDefault="004B55DD" w:rsidP="00235A9C">
            <w:pPr>
              <w:spacing w:after="0" w:line="480" w:lineRule="auto"/>
              <w:jc w:val="center"/>
              <w:rPr>
                <w:rFonts w:cstheme="minorHAnsi"/>
                <w:lang w:eastAsia="ar-SA"/>
              </w:rPr>
            </w:pPr>
            <w:r w:rsidRPr="00FD048E">
              <w:rPr>
                <w:b/>
                <w:bCs/>
              </w:rPr>
              <w:t>MOLNUPIRAVIR</w:t>
            </w:r>
          </w:p>
        </w:tc>
        <w:tc>
          <w:tcPr>
            <w:tcW w:w="1730" w:type="dxa"/>
            <w:shd w:val="clear" w:color="auto" w:fill="auto"/>
            <w:vAlign w:val="center"/>
          </w:tcPr>
          <w:p w14:paraId="5D39B032" w14:textId="7D176881" w:rsidR="004B55DD" w:rsidRPr="00FD048E" w:rsidRDefault="004B55DD" w:rsidP="00235A9C">
            <w:pPr>
              <w:spacing w:after="0" w:line="480" w:lineRule="auto"/>
              <w:jc w:val="center"/>
              <w:rPr>
                <w:rFonts w:cstheme="minorHAnsi"/>
                <w:lang w:eastAsia="ar-SA"/>
              </w:rPr>
            </w:pPr>
            <w:r w:rsidRPr="00FD048E">
              <w:rPr>
                <w:b/>
                <w:bCs/>
              </w:rPr>
              <w:t>MOLNUPIRAVIR</w:t>
            </w:r>
          </w:p>
        </w:tc>
        <w:tc>
          <w:tcPr>
            <w:tcW w:w="1353" w:type="dxa"/>
            <w:vAlign w:val="center"/>
          </w:tcPr>
          <w:p w14:paraId="0FD03F22" w14:textId="55896AEA" w:rsidR="004B55DD" w:rsidRPr="00FD048E" w:rsidRDefault="004B55DD" w:rsidP="004B55DD">
            <w:pPr>
              <w:suppressAutoHyphens/>
              <w:snapToGrid w:val="0"/>
              <w:spacing w:after="0" w:line="480" w:lineRule="auto"/>
              <w:jc w:val="center"/>
              <w:rPr>
                <w:rFonts w:cstheme="minorHAnsi"/>
                <w:lang w:eastAsia="ar-SA"/>
              </w:rPr>
            </w:pPr>
            <w:r w:rsidRPr="00FD048E">
              <w:rPr>
                <w:rFonts w:cstheme="minorHAnsi"/>
                <w:b/>
                <w:lang w:eastAsia="ar-SA"/>
              </w:rPr>
              <w:t>Standard Care</w:t>
            </w:r>
          </w:p>
        </w:tc>
        <w:tc>
          <w:tcPr>
            <w:tcW w:w="1354" w:type="dxa"/>
            <w:vAlign w:val="center"/>
          </w:tcPr>
          <w:p w14:paraId="4312B7E5" w14:textId="038CB06F" w:rsidR="004B55DD" w:rsidRPr="00FD048E" w:rsidRDefault="004B55DD" w:rsidP="004B55DD">
            <w:pPr>
              <w:suppressAutoHyphens/>
              <w:snapToGrid w:val="0"/>
              <w:spacing w:after="0" w:line="480" w:lineRule="auto"/>
              <w:jc w:val="center"/>
              <w:rPr>
                <w:rFonts w:cstheme="minorHAnsi"/>
                <w:lang w:eastAsia="ar-SA"/>
              </w:rPr>
            </w:pPr>
          </w:p>
        </w:tc>
      </w:tr>
      <w:tr w:rsidR="006B4915" w:rsidRPr="00FD048E" w14:paraId="65AAA009" w14:textId="77777777" w:rsidTr="00235A9C">
        <w:trPr>
          <w:tblHeader/>
        </w:trPr>
        <w:tc>
          <w:tcPr>
            <w:tcW w:w="2170" w:type="dxa"/>
            <w:shd w:val="clear" w:color="auto" w:fill="auto"/>
          </w:tcPr>
          <w:p w14:paraId="7EE8BDDC" w14:textId="77777777" w:rsidR="004B55DD" w:rsidRPr="00FD048E" w:rsidRDefault="004B55DD" w:rsidP="00554F7B">
            <w:pPr>
              <w:suppressAutoHyphens/>
              <w:snapToGrid w:val="0"/>
              <w:spacing w:after="0" w:line="480" w:lineRule="auto"/>
              <w:ind w:left="144"/>
              <w:rPr>
                <w:rFonts w:cstheme="minorHAnsi"/>
                <w:b/>
                <w:bCs/>
                <w:lang w:eastAsia="ar-SA"/>
              </w:rPr>
            </w:pPr>
          </w:p>
        </w:tc>
        <w:tc>
          <w:tcPr>
            <w:tcW w:w="1729" w:type="dxa"/>
            <w:shd w:val="clear" w:color="auto" w:fill="auto"/>
            <w:vAlign w:val="center"/>
          </w:tcPr>
          <w:p w14:paraId="41C89848" w14:textId="503BC2A9" w:rsidR="004B55DD" w:rsidRPr="00FD048E" w:rsidRDefault="004B55DD" w:rsidP="004B55DD">
            <w:pPr>
              <w:spacing w:after="0" w:line="480" w:lineRule="auto"/>
              <w:jc w:val="center"/>
              <w:rPr>
                <w:b/>
                <w:bCs/>
              </w:rPr>
            </w:pPr>
            <w:r w:rsidRPr="00FD048E">
              <w:rPr>
                <w:b/>
                <w:bCs/>
              </w:rPr>
              <w:t>(300mg)</w:t>
            </w:r>
          </w:p>
        </w:tc>
        <w:tc>
          <w:tcPr>
            <w:tcW w:w="1729" w:type="dxa"/>
            <w:shd w:val="clear" w:color="auto" w:fill="auto"/>
            <w:vAlign w:val="center"/>
          </w:tcPr>
          <w:p w14:paraId="4786E9A2" w14:textId="1154F05C" w:rsidR="004B55DD" w:rsidRPr="00FD048E" w:rsidRDefault="004B55DD" w:rsidP="004B55DD">
            <w:pPr>
              <w:spacing w:after="0" w:line="480" w:lineRule="auto"/>
              <w:jc w:val="center"/>
              <w:rPr>
                <w:b/>
                <w:bCs/>
              </w:rPr>
            </w:pPr>
            <w:r w:rsidRPr="00FD048E">
              <w:rPr>
                <w:b/>
                <w:bCs/>
              </w:rPr>
              <w:t>(600mg)</w:t>
            </w:r>
          </w:p>
        </w:tc>
        <w:tc>
          <w:tcPr>
            <w:tcW w:w="1730" w:type="dxa"/>
            <w:shd w:val="clear" w:color="auto" w:fill="auto"/>
            <w:vAlign w:val="center"/>
          </w:tcPr>
          <w:p w14:paraId="1DBDBFC6" w14:textId="74CD8869" w:rsidR="004B55DD" w:rsidRPr="00FD048E" w:rsidRDefault="004B55DD" w:rsidP="004B55DD">
            <w:pPr>
              <w:spacing w:after="0" w:line="480" w:lineRule="auto"/>
              <w:jc w:val="center"/>
              <w:rPr>
                <w:b/>
                <w:bCs/>
              </w:rPr>
            </w:pPr>
            <w:r w:rsidRPr="00FD048E">
              <w:rPr>
                <w:b/>
                <w:bCs/>
              </w:rPr>
              <w:t>(800mg)</w:t>
            </w:r>
          </w:p>
        </w:tc>
        <w:tc>
          <w:tcPr>
            <w:tcW w:w="1353" w:type="dxa"/>
            <w:vAlign w:val="center"/>
          </w:tcPr>
          <w:p w14:paraId="1372D331" w14:textId="65C7972A" w:rsidR="004B55DD" w:rsidRPr="00FD048E" w:rsidRDefault="004B55DD" w:rsidP="004B55DD">
            <w:pPr>
              <w:suppressAutoHyphens/>
              <w:snapToGrid w:val="0"/>
              <w:spacing w:after="0" w:line="480" w:lineRule="auto"/>
              <w:jc w:val="center"/>
              <w:rPr>
                <w:rFonts w:cstheme="minorHAnsi"/>
                <w:b/>
                <w:lang w:eastAsia="ar-SA"/>
              </w:rPr>
            </w:pPr>
            <w:r w:rsidRPr="00FD048E">
              <w:rPr>
                <w:rFonts w:cstheme="minorHAnsi"/>
                <w:b/>
                <w:lang w:eastAsia="ar-SA"/>
              </w:rPr>
              <w:t>Total</w:t>
            </w:r>
          </w:p>
        </w:tc>
        <w:tc>
          <w:tcPr>
            <w:tcW w:w="1354" w:type="dxa"/>
            <w:vAlign w:val="center"/>
          </w:tcPr>
          <w:p w14:paraId="371CC47C" w14:textId="4A702E15" w:rsidR="004B55DD" w:rsidRPr="00FD048E" w:rsidRDefault="004B55DD" w:rsidP="004B55DD">
            <w:pPr>
              <w:suppressAutoHyphens/>
              <w:snapToGrid w:val="0"/>
              <w:spacing w:after="0" w:line="480" w:lineRule="auto"/>
              <w:jc w:val="center"/>
              <w:rPr>
                <w:rFonts w:cstheme="minorHAnsi"/>
                <w:b/>
                <w:lang w:eastAsia="ar-SA"/>
              </w:rPr>
            </w:pPr>
            <w:r w:rsidRPr="00FD048E">
              <w:rPr>
                <w:rFonts w:cstheme="minorHAnsi"/>
                <w:b/>
                <w:lang w:eastAsia="ar-SA"/>
              </w:rPr>
              <w:t>Total</w:t>
            </w:r>
          </w:p>
        </w:tc>
      </w:tr>
      <w:tr w:rsidR="006B4915" w:rsidRPr="00FD048E" w14:paraId="0B5C0058" w14:textId="77777777" w:rsidTr="00235A9C">
        <w:trPr>
          <w:tblHeader/>
        </w:trPr>
        <w:tc>
          <w:tcPr>
            <w:tcW w:w="2170" w:type="dxa"/>
            <w:shd w:val="clear" w:color="auto" w:fill="auto"/>
          </w:tcPr>
          <w:p w14:paraId="0F1527BC" w14:textId="77777777" w:rsidR="004B55DD" w:rsidRPr="00FD048E" w:rsidRDefault="004B55DD" w:rsidP="00554F7B">
            <w:pPr>
              <w:suppressAutoHyphens/>
              <w:snapToGrid w:val="0"/>
              <w:spacing w:after="0" w:line="480" w:lineRule="auto"/>
              <w:ind w:left="144"/>
              <w:rPr>
                <w:rFonts w:cstheme="minorHAnsi"/>
                <w:b/>
                <w:bCs/>
                <w:lang w:eastAsia="ar-SA"/>
              </w:rPr>
            </w:pPr>
          </w:p>
        </w:tc>
        <w:tc>
          <w:tcPr>
            <w:tcW w:w="1729" w:type="dxa"/>
            <w:shd w:val="clear" w:color="auto" w:fill="auto"/>
            <w:vAlign w:val="center"/>
          </w:tcPr>
          <w:p w14:paraId="39A1FF03" w14:textId="10E06615" w:rsidR="004B55DD" w:rsidRPr="00FD048E" w:rsidRDefault="004B55DD" w:rsidP="00554F7B">
            <w:pPr>
              <w:spacing w:after="0" w:line="480" w:lineRule="auto"/>
              <w:jc w:val="center"/>
              <w:rPr>
                <w:b/>
                <w:bCs/>
              </w:rPr>
            </w:pPr>
            <w:r w:rsidRPr="00FD048E">
              <w:rPr>
                <w:b/>
                <w:bCs/>
              </w:rPr>
              <w:t>(n=4)</w:t>
            </w:r>
          </w:p>
        </w:tc>
        <w:tc>
          <w:tcPr>
            <w:tcW w:w="1729" w:type="dxa"/>
            <w:shd w:val="clear" w:color="auto" w:fill="auto"/>
            <w:vAlign w:val="center"/>
          </w:tcPr>
          <w:p w14:paraId="16C0DF69" w14:textId="2B20275E" w:rsidR="004B55DD" w:rsidRPr="00FD048E" w:rsidRDefault="004B55DD" w:rsidP="00554F7B">
            <w:pPr>
              <w:spacing w:after="0" w:line="480" w:lineRule="auto"/>
              <w:jc w:val="center"/>
              <w:rPr>
                <w:b/>
                <w:bCs/>
              </w:rPr>
            </w:pPr>
            <w:r w:rsidRPr="00FD048E">
              <w:rPr>
                <w:b/>
                <w:bCs/>
              </w:rPr>
              <w:t>(n=4)</w:t>
            </w:r>
          </w:p>
        </w:tc>
        <w:tc>
          <w:tcPr>
            <w:tcW w:w="1730" w:type="dxa"/>
            <w:shd w:val="clear" w:color="auto" w:fill="auto"/>
            <w:vAlign w:val="center"/>
          </w:tcPr>
          <w:p w14:paraId="00477BB1" w14:textId="2CAE5663" w:rsidR="004B55DD" w:rsidRPr="00FD048E" w:rsidRDefault="004B55DD" w:rsidP="00554F7B">
            <w:pPr>
              <w:spacing w:after="0" w:line="480" w:lineRule="auto"/>
              <w:jc w:val="center"/>
              <w:rPr>
                <w:b/>
                <w:bCs/>
              </w:rPr>
            </w:pPr>
            <w:r w:rsidRPr="00FD048E">
              <w:rPr>
                <w:b/>
                <w:bCs/>
              </w:rPr>
              <w:t>(n=4)</w:t>
            </w:r>
          </w:p>
        </w:tc>
        <w:tc>
          <w:tcPr>
            <w:tcW w:w="1353" w:type="dxa"/>
            <w:vAlign w:val="center"/>
          </w:tcPr>
          <w:p w14:paraId="5160DFC9" w14:textId="730B3205" w:rsidR="004B55DD" w:rsidRPr="00FD048E" w:rsidRDefault="004B55DD" w:rsidP="00554F7B">
            <w:pPr>
              <w:suppressAutoHyphens/>
              <w:snapToGrid w:val="0"/>
              <w:spacing w:after="0" w:line="480" w:lineRule="auto"/>
              <w:jc w:val="center"/>
              <w:rPr>
                <w:rFonts w:cstheme="minorHAnsi"/>
                <w:b/>
                <w:lang w:eastAsia="ar-SA"/>
              </w:rPr>
            </w:pPr>
            <w:r w:rsidRPr="00FD048E">
              <w:rPr>
                <w:rFonts w:cstheme="minorHAnsi"/>
                <w:b/>
                <w:lang w:eastAsia="ar-SA"/>
              </w:rPr>
              <w:t>(n=6)</w:t>
            </w:r>
          </w:p>
        </w:tc>
        <w:tc>
          <w:tcPr>
            <w:tcW w:w="1354" w:type="dxa"/>
            <w:vAlign w:val="center"/>
          </w:tcPr>
          <w:p w14:paraId="0C75FB7D" w14:textId="4CE07F2D" w:rsidR="004B55DD" w:rsidRPr="00FD048E" w:rsidRDefault="004B55DD" w:rsidP="00554F7B">
            <w:pPr>
              <w:suppressAutoHyphens/>
              <w:snapToGrid w:val="0"/>
              <w:spacing w:after="0" w:line="480" w:lineRule="auto"/>
              <w:jc w:val="center"/>
              <w:rPr>
                <w:rFonts w:cstheme="minorHAnsi"/>
                <w:b/>
                <w:lang w:eastAsia="ar-SA"/>
              </w:rPr>
            </w:pPr>
            <w:r w:rsidRPr="00FD048E">
              <w:rPr>
                <w:rFonts w:cstheme="minorHAnsi"/>
                <w:b/>
                <w:lang w:eastAsia="ar-SA"/>
              </w:rPr>
              <w:t>(n=</w:t>
            </w:r>
            <w:sdt>
              <w:sdtPr>
                <w:rPr>
                  <w:rFonts w:cstheme="minorHAnsi"/>
                  <w:b/>
                  <w:lang w:eastAsia="ar-SA"/>
                </w:rPr>
                <w:id w:val="570077513"/>
                <w:placeholder>
                  <w:docPart w:val="D17A5456E10041019FB7C83B0989313B"/>
                </w:placeholder>
              </w:sdtPr>
              <w:sdtEndPr/>
              <w:sdtContent>
                <w:r w:rsidRPr="00FD048E">
                  <w:rPr>
                    <w:rFonts w:cstheme="minorHAnsi"/>
                    <w:b/>
                    <w:lang w:eastAsia="ar-SA"/>
                  </w:rPr>
                  <w:t>18)</w:t>
                </w:r>
              </w:sdtContent>
            </w:sdt>
          </w:p>
        </w:tc>
      </w:tr>
      <w:tr w:rsidR="006B4915" w:rsidRPr="00FD048E" w14:paraId="0478DB5E" w14:textId="77777777" w:rsidTr="00235A9C">
        <w:tc>
          <w:tcPr>
            <w:tcW w:w="2170" w:type="dxa"/>
            <w:shd w:val="clear" w:color="auto" w:fill="auto"/>
          </w:tcPr>
          <w:p w14:paraId="7E066218" w14:textId="77777777" w:rsidR="004B55DD" w:rsidRPr="00FD048E" w:rsidRDefault="004B55DD" w:rsidP="00554F7B">
            <w:pPr>
              <w:suppressAutoHyphens/>
              <w:snapToGrid w:val="0"/>
              <w:spacing w:after="0" w:line="480" w:lineRule="auto"/>
              <w:ind w:left="144"/>
              <w:rPr>
                <w:rFonts w:cstheme="minorHAnsi"/>
                <w:b/>
                <w:bCs/>
                <w:lang w:eastAsia="ar-SA"/>
              </w:rPr>
            </w:pPr>
            <w:bookmarkStart w:id="6" w:name="_Hlk56249886"/>
            <w:r w:rsidRPr="00FD048E">
              <w:rPr>
                <w:rFonts w:cstheme="minorHAnsi"/>
                <w:b/>
                <w:bCs/>
                <w:lang w:eastAsia="ar-SA"/>
              </w:rPr>
              <w:t>Age at consent (years)</w:t>
            </w:r>
          </w:p>
        </w:tc>
        <w:tc>
          <w:tcPr>
            <w:tcW w:w="1729" w:type="dxa"/>
            <w:shd w:val="clear" w:color="auto" w:fill="auto"/>
          </w:tcPr>
          <w:p w14:paraId="55EE2E46" w14:textId="77777777" w:rsidR="004B55DD" w:rsidRPr="00FD048E" w:rsidRDefault="004B55DD" w:rsidP="00554F7B">
            <w:pPr>
              <w:suppressAutoHyphens/>
              <w:snapToGrid w:val="0"/>
              <w:spacing w:after="0" w:line="480" w:lineRule="auto"/>
              <w:jc w:val="center"/>
              <w:rPr>
                <w:rFonts w:cstheme="minorHAnsi"/>
                <w:lang w:eastAsia="ar-SA"/>
              </w:rPr>
            </w:pPr>
          </w:p>
        </w:tc>
        <w:tc>
          <w:tcPr>
            <w:tcW w:w="1729" w:type="dxa"/>
            <w:shd w:val="clear" w:color="auto" w:fill="auto"/>
          </w:tcPr>
          <w:p w14:paraId="2D722180" w14:textId="77777777" w:rsidR="004B55DD" w:rsidRPr="00FD048E" w:rsidRDefault="004B55DD" w:rsidP="00554F7B">
            <w:pPr>
              <w:suppressAutoHyphens/>
              <w:snapToGrid w:val="0"/>
              <w:spacing w:after="0" w:line="480" w:lineRule="auto"/>
              <w:jc w:val="center"/>
              <w:rPr>
                <w:rFonts w:cstheme="minorHAnsi"/>
                <w:lang w:eastAsia="ar-SA"/>
              </w:rPr>
            </w:pPr>
          </w:p>
        </w:tc>
        <w:tc>
          <w:tcPr>
            <w:tcW w:w="1730" w:type="dxa"/>
            <w:shd w:val="clear" w:color="auto" w:fill="auto"/>
          </w:tcPr>
          <w:p w14:paraId="0E7BFED3" w14:textId="77777777" w:rsidR="004B55DD" w:rsidRPr="00FD048E" w:rsidRDefault="004B55DD" w:rsidP="00554F7B">
            <w:pPr>
              <w:suppressAutoHyphens/>
              <w:snapToGrid w:val="0"/>
              <w:spacing w:after="0" w:line="480" w:lineRule="auto"/>
              <w:jc w:val="center"/>
              <w:rPr>
                <w:rFonts w:cstheme="minorHAnsi"/>
                <w:lang w:eastAsia="ar-SA"/>
              </w:rPr>
            </w:pPr>
          </w:p>
        </w:tc>
        <w:tc>
          <w:tcPr>
            <w:tcW w:w="1353" w:type="dxa"/>
            <w:vAlign w:val="center"/>
          </w:tcPr>
          <w:p w14:paraId="45EB9787" w14:textId="77777777" w:rsidR="004B55DD" w:rsidRPr="00FD048E" w:rsidRDefault="004B55DD" w:rsidP="00554F7B">
            <w:pPr>
              <w:suppressAutoHyphens/>
              <w:snapToGrid w:val="0"/>
              <w:spacing w:after="0" w:line="480" w:lineRule="auto"/>
              <w:jc w:val="center"/>
              <w:rPr>
                <w:rFonts w:cstheme="minorHAnsi"/>
                <w:lang w:eastAsia="ar-SA"/>
              </w:rPr>
            </w:pPr>
          </w:p>
        </w:tc>
        <w:tc>
          <w:tcPr>
            <w:tcW w:w="1354" w:type="dxa"/>
          </w:tcPr>
          <w:p w14:paraId="7A20FCB1" w14:textId="77777777" w:rsidR="004B55DD" w:rsidRPr="00FD048E" w:rsidRDefault="004B55DD" w:rsidP="00554F7B">
            <w:pPr>
              <w:suppressAutoHyphens/>
              <w:snapToGrid w:val="0"/>
              <w:spacing w:after="0" w:line="480" w:lineRule="auto"/>
              <w:jc w:val="center"/>
              <w:rPr>
                <w:rFonts w:cstheme="minorHAnsi"/>
                <w:lang w:eastAsia="ar-SA"/>
              </w:rPr>
            </w:pPr>
          </w:p>
        </w:tc>
      </w:tr>
      <w:bookmarkEnd w:id="6"/>
      <w:tr w:rsidR="006B4915" w:rsidRPr="00FD048E" w14:paraId="02B9C790" w14:textId="77777777" w:rsidTr="00235A9C">
        <w:tc>
          <w:tcPr>
            <w:tcW w:w="2170" w:type="dxa"/>
            <w:shd w:val="clear" w:color="auto" w:fill="auto"/>
          </w:tcPr>
          <w:p w14:paraId="17717AB3"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lang w:eastAsia="ar-SA"/>
              </w:rPr>
              <w:t>n</w:t>
            </w:r>
          </w:p>
        </w:tc>
        <w:tc>
          <w:tcPr>
            <w:tcW w:w="1729" w:type="dxa"/>
            <w:shd w:val="clear" w:color="auto" w:fill="auto"/>
          </w:tcPr>
          <w:p w14:paraId="777CED8E"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4</w:t>
            </w:r>
          </w:p>
        </w:tc>
        <w:tc>
          <w:tcPr>
            <w:tcW w:w="1729" w:type="dxa"/>
            <w:shd w:val="clear" w:color="auto" w:fill="auto"/>
          </w:tcPr>
          <w:p w14:paraId="0EB25A33"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4</w:t>
            </w:r>
          </w:p>
        </w:tc>
        <w:tc>
          <w:tcPr>
            <w:tcW w:w="1730" w:type="dxa"/>
            <w:shd w:val="clear" w:color="auto" w:fill="auto"/>
          </w:tcPr>
          <w:p w14:paraId="6B3B0282"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4</w:t>
            </w:r>
          </w:p>
        </w:tc>
        <w:tc>
          <w:tcPr>
            <w:tcW w:w="1353" w:type="dxa"/>
          </w:tcPr>
          <w:p w14:paraId="51DC26F8"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6</w:t>
            </w:r>
          </w:p>
        </w:tc>
        <w:tc>
          <w:tcPr>
            <w:tcW w:w="1354" w:type="dxa"/>
          </w:tcPr>
          <w:p w14:paraId="05CFC7BF" w14:textId="77777777" w:rsidR="004B55DD" w:rsidRPr="00FD048E" w:rsidRDefault="004B55DD" w:rsidP="00554F7B">
            <w:pPr>
              <w:suppressAutoHyphens/>
              <w:snapToGrid w:val="0"/>
              <w:spacing w:after="0" w:line="480" w:lineRule="auto"/>
              <w:jc w:val="center"/>
              <w:rPr>
                <w:rFonts w:cstheme="minorHAnsi"/>
                <w:color w:val="808080" w:themeColor="background1" w:themeShade="80"/>
                <w:lang w:eastAsia="ar-SA"/>
              </w:rPr>
            </w:pPr>
            <w:r w:rsidRPr="00FD048E">
              <w:rPr>
                <w:rFonts w:cstheme="minorHAnsi"/>
                <w:color w:val="000000"/>
              </w:rPr>
              <w:t>18</w:t>
            </w:r>
          </w:p>
        </w:tc>
      </w:tr>
      <w:tr w:rsidR="006B4915" w:rsidRPr="00FD048E" w14:paraId="52B6A912" w14:textId="77777777" w:rsidTr="00235A9C">
        <w:tc>
          <w:tcPr>
            <w:tcW w:w="2170" w:type="dxa"/>
            <w:shd w:val="clear" w:color="auto" w:fill="auto"/>
          </w:tcPr>
          <w:p w14:paraId="0AE69366"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lang w:eastAsia="ar-SA"/>
              </w:rPr>
              <w:t xml:space="preserve">Median </w:t>
            </w:r>
          </w:p>
        </w:tc>
        <w:tc>
          <w:tcPr>
            <w:tcW w:w="1729" w:type="dxa"/>
            <w:shd w:val="clear" w:color="auto" w:fill="auto"/>
          </w:tcPr>
          <w:p w14:paraId="4AB171B1"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56</w:t>
            </w:r>
            <w:r>
              <w:rPr>
                <w:rFonts w:ascii="Arial" w:hAnsi="Arial" w:cs="Arial"/>
              </w:rPr>
              <w:t>·</w:t>
            </w:r>
            <w:r w:rsidRPr="00FD048E">
              <w:rPr>
                <w:rFonts w:cstheme="minorHAnsi"/>
                <w:color w:val="000000"/>
              </w:rPr>
              <w:t>0</w:t>
            </w:r>
          </w:p>
        </w:tc>
        <w:tc>
          <w:tcPr>
            <w:tcW w:w="1729" w:type="dxa"/>
            <w:shd w:val="clear" w:color="auto" w:fill="auto"/>
          </w:tcPr>
          <w:p w14:paraId="146371A3"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43</w:t>
            </w:r>
            <w:r>
              <w:rPr>
                <w:rFonts w:ascii="Arial" w:hAnsi="Arial" w:cs="Arial"/>
              </w:rPr>
              <w:t>·</w:t>
            </w:r>
            <w:r w:rsidRPr="00FD048E">
              <w:rPr>
                <w:rFonts w:cstheme="minorHAnsi"/>
                <w:color w:val="000000"/>
              </w:rPr>
              <w:t>0</w:t>
            </w:r>
          </w:p>
        </w:tc>
        <w:tc>
          <w:tcPr>
            <w:tcW w:w="1730" w:type="dxa"/>
            <w:shd w:val="clear" w:color="auto" w:fill="auto"/>
          </w:tcPr>
          <w:p w14:paraId="460B47FE"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39</w:t>
            </w:r>
            <w:r>
              <w:rPr>
                <w:rFonts w:ascii="Arial" w:hAnsi="Arial" w:cs="Arial"/>
              </w:rPr>
              <w:t>·</w:t>
            </w:r>
            <w:r w:rsidRPr="00FD048E">
              <w:rPr>
                <w:rFonts w:cstheme="minorHAnsi"/>
                <w:color w:val="000000"/>
              </w:rPr>
              <w:t>0</w:t>
            </w:r>
          </w:p>
        </w:tc>
        <w:tc>
          <w:tcPr>
            <w:tcW w:w="1353" w:type="dxa"/>
          </w:tcPr>
          <w:p w14:paraId="39D5A394"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59</w:t>
            </w:r>
            <w:r>
              <w:rPr>
                <w:rFonts w:ascii="Arial" w:hAnsi="Arial" w:cs="Arial"/>
              </w:rPr>
              <w:t>·</w:t>
            </w:r>
            <w:r w:rsidRPr="00FD048E">
              <w:rPr>
                <w:rFonts w:cstheme="minorHAnsi"/>
                <w:color w:val="000000"/>
              </w:rPr>
              <w:t>0</w:t>
            </w:r>
          </w:p>
        </w:tc>
        <w:tc>
          <w:tcPr>
            <w:tcW w:w="1354" w:type="dxa"/>
          </w:tcPr>
          <w:p w14:paraId="53F14978" w14:textId="77777777" w:rsidR="004B55DD" w:rsidRPr="00FD048E" w:rsidRDefault="004B55DD" w:rsidP="00554F7B">
            <w:pPr>
              <w:suppressAutoHyphens/>
              <w:snapToGrid w:val="0"/>
              <w:spacing w:after="0" w:line="480" w:lineRule="auto"/>
              <w:jc w:val="center"/>
              <w:rPr>
                <w:rFonts w:cstheme="minorHAnsi"/>
              </w:rPr>
            </w:pPr>
            <w:r w:rsidRPr="00FD048E">
              <w:rPr>
                <w:rFonts w:cstheme="minorHAnsi"/>
                <w:color w:val="000000"/>
              </w:rPr>
              <w:t>56</w:t>
            </w:r>
            <w:r>
              <w:rPr>
                <w:rFonts w:ascii="Arial" w:hAnsi="Arial" w:cs="Arial"/>
              </w:rPr>
              <w:t>·</w:t>
            </w:r>
            <w:r w:rsidRPr="00FD048E">
              <w:rPr>
                <w:rFonts w:cstheme="minorHAnsi"/>
                <w:color w:val="000000"/>
              </w:rPr>
              <w:t>0</w:t>
            </w:r>
          </w:p>
        </w:tc>
      </w:tr>
      <w:tr w:rsidR="006B4915" w:rsidRPr="00FD048E" w14:paraId="498E56F3" w14:textId="77777777" w:rsidTr="00235A9C">
        <w:tc>
          <w:tcPr>
            <w:tcW w:w="2170" w:type="dxa"/>
            <w:shd w:val="clear" w:color="auto" w:fill="auto"/>
          </w:tcPr>
          <w:p w14:paraId="0BFE1DB9" w14:textId="77777777" w:rsidR="004B55DD" w:rsidRPr="00FD048E" w:rsidRDefault="004B55DD" w:rsidP="00554F7B">
            <w:pPr>
              <w:suppressAutoHyphens/>
              <w:spacing w:after="0" w:line="480" w:lineRule="auto"/>
              <w:ind w:left="142"/>
              <w:rPr>
                <w:rFonts w:cstheme="minorHAnsi"/>
                <w:lang w:eastAsia="ar-SA"/>
              </w:rPr>
            </w:pPr>
            <w:r w:rsidRPr="00FD048E">
              <w:rPr>
                <w:rFonts w:cstheme="minorHAnsi"/>
                <w:lang w:eastAsia="ar-SA"/>
              </w:rPr>
              <w:t>Range</w:t>
            </w:r>
          </w:p>
        </w:tc>
        <w:tc>
          <w:tcPr>
            <w:tcW w:w="1729" w:type="dxa"/>
            <w:shd w:val="clear" w:color="auto" w:fill="auto"/>
          </w:tcPr>
          <w:p w14:paraId="2EC6FA08"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51</w:t>
            </w:r>
            <w:r>
              <w:rPr>
                <w:rFonts w:ascii="Arial" w:hAnsi="Arial" w:cs="Arial"/>
              </w:rPr>
              <w:t>·</w:t>
            </w:r>
            <w:r w:rsidRPr="00FD048E">
              <w:rPr>
                <w:rFonts w:cstheme="minorHAnsi"/>
                <w:color w:val="000000"/>
              </w:rPr>
              <w:t>0 to 80</w:t>
            </w:r>
            <w:r>
              <w:rPr>
                <w:rFonts w:ascii="Arial" w:hAnsi="Arial" w:cs="Arial"/>
              </w:rPr>
              <w:t>·</w:t>
            </w:r>
            <w:r w:rsidRPr="00FD048E">
              <w:rPr>
                <w:rFonts w:cstheme="minorHAnsi"/>
                <w:color w:val="000000"/>
              </w:rPr>
              <w:t>0</w:t>
            </w:r>
          </w:p>
        </w:tc>
        <w:tc>
          <w:tcPr>
            <w:tcW w:w="1729" w:type="dxa"/>
            <w:shd w:val="clear" w:color="auto" w:fill="auto"/>
          </w:tcPr>
          <w:p w14:paraId="2272C4BF" w14:textId="77777777" w:rsidR="004B55DD" w:rsidRPr="00FD048E" w:rsidRDefault="004B55DD" w:rsidP="00554F7B">
            <w:pPr>
              <w:spacing w:after="0" w:line="480" w:lineRule="auto"/>
              <w:jc w:val="center"/>
              <w:rPr>
                <w:rFonts w:cstheme="minorHAnsi"/>
              </w:rPr>
            </w:pPr>
            <w:r w:rsidRPr="00FD048E">
              <w:rPr>
                <w:rFonts w:cstheme="minorHAnsi"/>
                <w:color w:val="000000"/>
              </w:rPr>
              <w:t>22</w:t>
            </w:r>
            <w:r>
              <w:rPr>
                <w:rFonts w:ascii="Arial" w:hAnsi="Arial" w:cs="Arial"/>
              </w:rPr>
              <w:t>·</w:t>
            </w:r>
            <w:r w:rsidRPr="00FD048E">
              <w:rPr>
                <w:rFonts w:cstheme="minorHAnsi"/>
                <w:color w:val="000000"/>
              </w:rPr>
              <w:t>0 to 60</w:t>
            </w:r>
            <w:r>
              <w:rPr>
                <w:rFonts w:ascii="Arial" w:hAnsi="Arial" w:cs="Arial"/>
              </w:rPr>
              <w:t>·</w:t>
            </w:r>
            <w:r w:rsidRPr="00FD048E">
              <w:rPr>
                <w:rFonts w:cstheme="minorHAnsi"/>
                <w:color w:val="000000"/>
              </w:rPr>
              <w:t>0</w:t>
            </w:r>
          </w:p>
        </w:tc>
        <w:tc>
          <w:tcPr>
            <w:tcW w:w="1730" w:type="dxa"/>
            <w:shd w:val="clear" w:color="auto" w:fill="auto"/>
          </w:tcPr>
          <w:p w14:paraId="27F2A3F0" w14:textId="77777777" w:rsidR="004B55DD" w:rsidRPr="00FD048E" w:rsidRDefault="004B55DD" w:rsidP="00554F7B">
            <w:pPr>
              <w:spacing w:after="0" w:line="480" w:lineRule="auto"/>
              <w:jc w:val="center"/>
              <w:rPr>
                <w:rFonts w:cstheme="minorHAnsi"/>
              </w:rPr>
            </w:pPr>
            <w:r w:rsidRPr="00FD048E">
              <w:rPr>
                <w:rFonts w:cstheme="minorHAnsi"/>
                <w:color w:val="000000"/>
              </w:rPr>
              <w:t>25</w:t>
            </w:r>
            <w:r>
              <w:rPr>
                <w:rFonts w:ascii="Arial" w:hAnsi="Arial" w:cs="Arial"/>
              </w:rPr>
              <w:t>·</w:t>
            </w:r>
            <w:r w:rsidRPr="00FD048E">
              <w:rPr>
                <w:rFonts w:cstheme="minorHAnsi"/>
                <w:color w:val="000000"/>
              </w:rPr>
              <w:t>0 to 63</w:t>
            </w:r>
            <w:r>
              <w:rPr>
                <w:rFonts w:ascii="Arial" w:hAnsi="Arial" w:cs="Arial"/>
              </w:rPr>
              <w:t>·</w:t>
            </w:r>
            <w:r w:rsidRPr="00FD048E">
              <w:rPr>
                <w:rFonts w:cstheme="minorHAnsi"/>
                <w:color w:val="000000"/>
              </w:rPr>
              <w:t>0</w:t>
            </w:r>
          </w:p>
        </w:tc>
        <w:tc>
          <w:tcPr>
            <w:tcW w:w="1353" w:type="dxa"/>
          </w:tcPr>
          <w:p w14:paraId="2287EBC8" w14:textId="77777777" w:rsidR="004B55DD" w:rsidRPr="00FD048E" w:rsidRDefault="004B55DD" w:rsidP="00554F7B">
            <w:pPr>
              <w:spacing w:after="0" w:line="480" w:lineRule="auto"/>
              <w:jc w:val="center"/>
              <w:rPr>
                <w:rFonts w:cstheme="minorHAnsi"/>
                <w:color w:val="808080" w:themeColor="background1" w:themeShade="80"/>
              </w:rPr>
            </w:pPr>
            <w:r w:rsidRPr="00FD048E">
              <w:rPr>
                <w:rFonts w:cstheme="minorHAnsi"/>
                <w:color w:val="000000"/>
              </w:rPr>
              <w:t>22</w:t>
            </w:r>
            <w:r>
              <w:rPr>
                <w:rFonts w:ascii="Arial" w:hAnsi="Arial" w:cs="Arial"/>
              </w:rPr>
              <w:t>·</w:t>
            </w:r>
            <w:r w:rsidRPr="00FD048E">
              <w:rPr>
                <w:rFonts w:cstheme="minorHAnsi"/>
                <w:color w:val="000000"/>
              </w:rPr>
              <w:t>0 to 63</w:t>
            </w:r>
            <w:r>
              <w:rPr>
                <w:rFonts w:ascii="Arial" w:hAnsi="Arial" w:cs="Arial"/>
              </w:rPr>
              <w:t>·</w:t>
            </w:r>
            <w:r w:rsidRPr="00FD048E">
              <w:rPr>
                <w:rFonts w:cstheme="minorHAnsi"/>
                <w:color w:val="000000"/>
              </w:rPr>
              <w:t>0</w:t>
            </w:r>
          </w:p>
        </w:tc>
        <w:tc>
          <w:tcPr>
            <w:tcW w:w="1354" w:type="dxa"/>
          </w:tcPr>
          <w:p w14:paraId="536D16F8" w14:textId="77777777" w:rsidR="004B55DD" w:rsidRPr="00FD048E" w:rsidRDefault="004B55DD" w:rsidP="00554F7B">
            <w:pPr>
              <w:spacing w:after="0" w:line="480" w:lineRule="auto"/>
              <w:jc w:val="center"/>
              <w:rPr>
                <w:rFonts w:cstheme="minorHAnsi"/>
              </w:rPr>
            </w:pPr>
            <w:r w:rsidRPr="00FD048E">
              <w:rPr>
                <w:rFonts w:cstheme="minorHAnsi"/>
                <w:color w:val="000000"/>
              </w:rPr>
              <w:t>22</w:t>
            </w:r>
            <w:r>
              <w:rPr>
                <w:rFonts w:ascii="Arial" w:hAnsi="Arial" w:cs="Arial"/>
              </w:rPr>
              <w:t>·</w:t>
            </w:r>
            <w:r w:rsidRPr="00FD048E">
              <w:rPr>
                <w:rFonts w:cstheme="minorHAnsi"/>
                <w:color w:val="000000"/>
              </w:rPr>
              <w:t>0 to 80</w:t>
            </w:r>
            <w:r>
              <w:rPr>
                <w:rFonts w:ascii="Arial" w:hAnsi="Arial" w:cs="Arial"/>
              </w:rPr>
              <w:t>·</w:t>
            </w:r>
            <w:r w:rsidRPr="00FD048E">
              <w:rPr>
                <w:rFonts w:cstheme="minorHAnsi"/>
                <w:color w:val="000000"/>
              </w:rPr>
              <w:t>0</w:t>
            </w:r>
          </w:p>
        </w:tc>
      </w:tr>
      <w:tr w:rsidR="006B4915" w:rsidRPr="00FD048E" w14:paraId="69BE5E89" w14:textId="77777777" w:rsidTr="00235A9C">
        <w:tc>
          <w:tcPr>
            <w:tcW w:w="2170" w:type="dxa"/>
            <w:shd w:val="clear" w:color="auto" w:fill="auto"/>
          </w:tcPr>
          <w:p w14:paraId="5F7DBF4B" w14:textId="77777777" w:rsidR="004B55DD" w:rsidRPr="00FD048E" w:rsidRDefault="004B55DD" w:rsidP="00554F7B">
            <w:pPr>
              <w:suppressAutoHyphens/>
              <w:snapToGrid w:val="0"/>
              <w:spacing w:after="0" w:line="480" w:lineRule="auto"/>
              <w:ind w:left="144"/>
              <w:rPr>
                <w:rFonts w:cstheme="minorHAnsi"/>
                <w:b/>
                <w:bCs/>
                <w:vertAlign w:val="superscript"/>
                <w:lang w:eastAsia="ar-SA"/>
              </w:rPr>
            </w:pPr>
            <w:r w:rsidRPr="00FD048E">
              <w:rPr>
                <w:rFonts w:cstheme="minorHAnsi"/>
                <w:b/>
                <w:bCs/>
                <w:lang w:eastAsia="ar-SA"/>
              </w:rPr>
              <w:t>Gender – n (%)</w:t>
            </w:r>
          </w:p>
        </w:tc>
        <w:tc>
          <w:tcPr>
            <w:tcW w:w="1729" w:type="dxa"/>
            <w:shd w:val="clear" w:color="auto" w:fill="auto"/>
          </w:tcPr>
          <w:p w14:paraId="7620834C"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5859FFC1"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0FB586C7" w14:textId="77777777" w:rsidR="004B55DD" w:rsidRPr="00FD048E" w:rsidRDefault="004B55DD" w:rsidP="00554F7B">
            <w:pPr>
              <w:spacing w:after="0" w:line="480" w:lineRule="auto"/>
              <w:jc w:val="center"/>
              <w:rPr>
                <w:rFonts w:cstheme="minorHAnsi"/>
              </w:rPr>
            </w:pPr>
          </w:p>
        </w:tc>
        <w:tc>
          <w:tcPr>
            <w:tcW w:w="1353" w:type="dxa"/>
            <w:vAlign w:val="center"/>
          </w:tcPr>
          <w:p w14:paraId="420036D7" w14:textId="77777777" w:rsidR="004B55DD" w:rsidRPr="00FD048E" w:rsidRDefault="004B55DD" w:rsidP="00554F7B">
            <w:pPr>
              <w:spacing w:after="0" w:line="480" w:lineRule="auto"/>
              <w:jc w:val="center"/>
              <w:rPr>
                <w:rFonts w:cstheme="minorHAnsi"/>
              </w:rPr>
            </w:pPr>
          </w:p>
        </w:tc>
        <w:tc>
          <w:tcPr>
            <w:tcW w:w="1354" w:type="dxa"/>
            <w:vAlign w:val="center"/>
          </w:tcPr>
          <w:p w14:paraId="1D44B8F0" w14:textId="77777777" w:rsidR="004B55DD" w:rsidRPr="00FD048E" w:rsidRDefault="004B55DD" w:rsidP="00554F7B">
            <w:pPr>
              <w:spacing w:after="0" w:line="480" w:lineRule="auto"/>
              <w:jc w:val="center"/>
              <w:rPr>
                <w:rFonts w:cstheme="minorHAnsi"/>
              </w:rPr>
            </w:pPr>
          </w:p>
        </w:tc>
      </w:tr>
      <w:tr w:rsidR="006B4915" w:rsidRPr="00FD048E" w14:paraId="5FDD06E3" w14:textId="77777777" w:rsidTr="00235A9C">
        <w:tc>
          <w:tcPr>
            <w:tcW w:w="2170" w:type="dxa"/>
            <w:shd w:val="clear" w:color="auto" w:fill="auto"/>
          </w:tcPr>
          <w:p w14:paraId="3737FEC3"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Male</w:t>
            </w:r>
          </w:p>
        </w:tc>
        <w:tc>
          <w:tcPr>
            <w:tcW w:w="1729" w:type="dxa"/>
            <w:shd w:val="clear" w:color="auto" w:fill="auto"/>
          </w:tcPr>
          <w:p w14:paraId="7A3553BB" w14:textId="77777777" w:rsidR="004B55DD" w:rsidRPr="00FD048E" w:rsidRDefault="004B55DD" w:rsidP="00554F7B">
            <w:pPr>
              <w:spacing w:after="0" w:line="480" w:lineRule="auto"/>
              <w:jc w:val="center"/>
              <w:rPr>
                <w:rFonts w:cstheme="minorHAnsi"/>
              </w:rPr>
            </w:pPr>
            <w:r w:rsidRPr="00FD048E">
              <w:rPr>
                <w:rFonts w:cstheme="minorHAnsi"/>
                <w:color w:val="000000"/>
              </w:rPr>
              <w:t>1 (25</w:t>
            </w:r>
            <w:r>
              <w:rPr>
                <w:rFonts w:ascii="Arial" w:hAnsi="Arial" w:cs="Arial"/>
              </w:rPr>
              <w:t>·</w:t>
            </w:r>
            <w:r w:rsidRPr="00FD048E">
              <w:rPr>
                <w:rFonts w:cstheme="minorHAnsi"/>
                <w:color w:val="000000"/>
              </w:rPr>
              <w:t>0%)</w:t>
            </w:r>
          </w:p>
        </w:tc>
        <w:tc>
          <w:tcPr>
            <w:tcW w:w="1729" w:type="dxa"/>
            <w:shd w:val="clear" w:color="auto" w:fill="auto"/>
          </w:tcPr>
          <w:p w14:paraId="6ADA256A" w14:textId="77777777" w:rsidR="004B55DD" w:rsidRPr="00FD048E" w:rsidRDefault="004B55DD" w:rsidP="00554F7B">
            <w:pPr>
              <w:spacing w:after="0" w:line="480" w:lineRule="auto"/>
              <w:jc w:val="center"/>
              <w:rPr>
                <w:rFonts w:cstheme="minorHAnsi"/>
              </w:rPr>
            </w:pPr>
            <w:r w:rsidRPr="00FD048E">
              <w:rPr>
                <w:rFonts w:cstheme="minorHAnsi"/>
                <w:color w:val="000000"/>
              </w:rPr>
              <w:t>2 (50</w:t>
            </w:r>
            <w:r>
              <w:rPr>
                <w:rFonts w:ascii="Arial" w:hAnsi="Arial" w:cs="Arial"/>
              </w:rPr>
              <w:t>·</w:t>
            </w:r>
            <w:r w:rsidRPr="00FD048E">
              <w:rPr>
                <w:rFonts w:cstheme="minorHAnsi"/>
                <w:color w:val="000000"/>
              </w:rPr>
              <w:t>0%)</w:t>
            </w:r>
          </w:p>
        </w:tc>
        <w:tc>
          <w:tcPr>
            <w:tcW w:w="1730" w:type="dxa"/>
            <w:shd w:val="clear" w:color="auto" w:fill="auto"/>
          </w:tcPr>
          <w:p w14:paraId="4DDA56B5" w14:textId="77777777" w:rsidR="004B55DD" w:rsidRPr="00FD048E" w:rsidRDefault="004B55DD" w:rsidP="00554F7B">
            <w:pPr>
              <w:spacing w:after="0" w:line="480" w:lineRule="auto"/>
              <w:jc w:val="center"/>
              <w:rPr>
                <w:rFonts w:cstheme="minorHAnsi"/>
              </w:rPr>
            </w:pPr>
            <w:r w:rsidRPr="00FD048E">
              <w:rPr>
                <w:rFonts w:cstheme="minorHAnsi"/>
                <w:color w:val="000000"/>
              </w:rPr>
              <w:t>0 (0</w:t>
            </w:r>
            <w:r>
              <w:rPr>
                <w:rFonts w:ascii="Arial" w:hAnsi="Arial" w:cs="Arial"/>
              </w:rPr>
              <w:t>·</w:t>
            </w:r>
            <w:r w:rsidRPr="00FD048E">
              <w:rPr>
                <w:rFonts w:cstheme="minorHAnsi"/>
                <w:color w:val="000000"/>
              </w:rPr>
              <w:t>0%)</w:t>
            </w:r>
          </w:p>
        </w:tc>
        <w:tc>
          <w:tcPr>
            <w:tcW w:w="1353" w:type="dxa"/>
          </w:tcPr>
          <w:p w14:paraId="4C3D39B1" w14:textId="77777777" w:rsidR="004B55DD" w:rsidRPr="00FD048E" w:rsidRDefault="004B55DD" w:rsidP="00554F7B">
            <w:pPr>
              <w:spacing w:after="0" w:line="480" w:lineRule="auto"/>
              <w:jc w:val="center"/>
              <w:rPr>
                <w:rFonts w:cstheme="minorHAnsi"/>
              </w:rPr>
            </w:pPr>
            <w:r w:rsidRPr="00FD048E">
              <w:rPr>
                <w:rFonts w:cstheme="minorHAnsi"/>
                <w:color w:val="000000"/>
              </w:rPr>
              <w:t>2 (33</w:t>
            </w:r>
            <w:r>
              <w:rPr>
                <w:rFonts w:ascii="Arial" w:hAnsi="Arial" w:cs="Arial"/>
              </w:rPr>
              <w:t>·</w:t>
            </w:r>
            <w:r w:rsidRPr="00FD048E">
              <w:rPr>
                <w:rFonts w:cstheme="minorHAnsi"/>
                <w:color w:val="000000"/>
              </w:rPr>
              <w:t>3%)</w:t>
            </w:r>
          </w:p>
        </w:tc>
        <w:tc>
          <w:tcPr>
            <w:tcW w:w="1354" w:type="dxa"/>
          </w:tcPr>
          <w:p w14:paraId="63DB1045" w14:textId="77777777" w:rsidR="004B55DD" w:rsidRPr="00FD048E" w:rsidRDefault="004B55DD" w:rsidP="00554F7B">
            <w:pPr>
              <w:spacing w:after="0" w:line="480" w:lineRule="auto"/>
              <w:jc w:val="center"/>
              <w:rPr>
                <w:rFonts w:cstheme="minorHAnsi"/>
              </w:rPr>
            </w:pPr>
            <w:r w:rsidRPr="00FD048E">
              <w:rPr>
                <w:rFonts w:cstheme="minorHAnsi"/>
                <w:color w:val="000000"/>
              </w:rPr>
              <w:t>5 (27</w:t>
            </w:r>
            <w:r>
              <w:rPr>
                <w:rFonts w:ascii="Arial" w:hAnsi="Arial" w:cs="Arial"/>
              </w:rPr>
              <w:t>·</w:t>
            </w:r>
            <w:r w:rsidRPr="00FD048E">
              <w:rPr>
                <w:rFonts w:cstheme="minorHAnsi"/>
                <w:color w:val="000000"/>
              </w:rPr>
              <w:t>8%)</w:t>
            </w:r>
          </w:p>
        </w:tc>
      </w:tr>
      <w:tr w:rsidR="006B4915" w:rsidRPr="00FD048E" w14:paraId="0DD240A0" w14:textId="77777777" w:rsidTr="00235A9C">
        <w:tc>
          <w:tcPr>
            <w:tcW w:w="2170" w:type="dxa"/>
            <w:shd w:val="clear" w:color="auto" w:fill="auto"/>
          </w:tcPr>
          <w:p w14:paraId="756ED73E"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Female</w:t>
            </w:r>
          </w:p>
        </w:tc>
        <w:tc>
          <w:tcPr>
            <w:tcW w:w="1729" w:type="dxa"/>
            <w:shd w:val="clear" w:color="auto" w:fill="auto"/>
          </w:tcPr>
          <w:p w14:paraId="38446820" w14:textId="77777777" w:rsidR="004B55DD" w:rsidRPr="00FD048E" w:rsidRDefault="004B55DD" w:rsidP="00554F7B">
            <w:pPr>
              <w:spacing w:after="0" w:line="480" w:lineRule="auto"/>
              <w:jc w:val="center"/>
              <w:rPr>
                <w:rFonts w:cstheme="minorHAnsi"/>
              </w:rPr>
            </w:pPr>
            <w:r w:rsidRPr="00FD048E">
              <w:rPr>
                <w:rFonts w:cstheme="minorHAnsi"/>
                <w:color w:val="000000"/>
              </w:rPr>
              <w:t>3 (75</w:t>
            </w:r>
            <w:r>
              <w:rPr>
                <w:rFonts w:ascii="Arial" w:hAnsi="Arial" w:cs="Arial"/>
              </w:rPr>
              <w:t>·</w:t>
            </w:r>
            <w:r w:rsidRPr="00FD048E">
              <w:rPr>
                <w:rFonts w:cstheme="minorHAnsi"/>
                <w:color w:val="000000"/>
              </w:rPr>
              <w:t>0%)</w:t>
            </w:r>
          </w:p>
        </w:tc>
        <w:tc>
          <w:tcPr>
            <w:tcW w:w="1729" w:type="dxa"/>
            <w:shd w:val="clear" w:color="auto" w:fill="auto"/>
          </w:tcPr>
          <w:p w14:paraId="335B5E2E" w14:textId="77777777" w:rsidR="004B55DD" w:rsidRPr="00FD048E" w:rsidRDefault="004B55DD" w:rsidP="00554F7B">
            <w:pPr>
              <w:spacing w:after="0" w:line="480" w:lineRule="auto"/>
              <w:jc w:val="center"/>
              <w:rPr>
                <w:rFonts w:cstheme="minorHAnsi"/>
              </w:rPr>
            </w:pPr>
            <w:r w:rsidRPr="00FD048E">
              <w:rPr>
                <w:rFonts w:cstheme="minorHAnsi"/>
                <w:color w:val="000000"/>
              </w:rPr>
              <w:t>2 (50</w:t>
            </w:r>
            <w:r>
              <w:rPr>
                <w:rFonts w:ascii="Arial" w:hAnsi="Arial" w:cs="Arial"/>
              </w:rPr>
              <w:t>·</w:t>
            </w:r>
            <w:r w:rsidRPr="00FD048E">
              <w:rPr>
                <w:rFonts w:cstheme="minorHAnsi"/>
                <w:color w:val="000000"/>
              </w:rPr>
              <w:t>0%)</w:t>
            </w:r>
          </w:p>
        </w:tc>
        <w:tc>
          <w:tcPr>
            <w:tcW w:w="1730" w:type="dxa"/>
            <w:shd w:val="clear" w:color="auto" w:fill="auto"/>
          </w:tcPr>
          <w:p w14:paraId="5338DA49" w14:textId="77777777" w:rsidR="004B55DD" w:rsidRPr="00FD048E" w:rsidRDefault="004B55DD" w:rsidP="00554F7B">
            <w:pPr>
              <w:spacing w:after="0" w:line="480" w:lineRule="auto"/>
              <w:jc w:val="center"/>
              <w:rPr>
                <w:rFonts w:cstheme="minorHAnsi"/>
              </w:rPr>
            </w:pPr>
            <w:r w:rsidRPr="00FD048E">
              <w:rPr>
                <w:rFonts w:cstheme="minorHAnsi"/>
                <w:color w:val="000000"/>
              </w:rPr>
              <w:t>4 (100%)</w:t>
            </w:r>
          </w:p>
        </w:tc>
        <w:tc>
          <w:tcPr>
            <w:tcW w:w="1353" w:type="dxa"/>
          </w:tcPr>
          <w:p w14:paraId="471AF89D" w14:textId="77777777" w:rsidR="004B55DD" w:rsidRPr="00FD048E" w:rsidRDefault="004B55DD" w:rsidP="00554F7B">
            <w:pPr>
              <w:spacing w:after="0" w:line="480" w:lineRule="auto"/>
              <w:jc w:val="center"/>
              <w:rPr>
                <w:rFonts w:cstheme="minorHAnsi"/>
              </w:rPr>
            </w:pPr>
            <w:r w:rsidRPr="00FD048E">
              <w:rPr>
                <w:rFonts w:cstheme="minorHAnsi"/>
                <w:color w:val="000000"/>
              </w:rPr>
              <w:t>4 (66</w:t>
            </w:r>
            <w:r>
              <w:rPr>
                <w:rFonts w:ascii="Arial" w:hAnsi="Arial" w:cs="Arial"/>
              </w:rPr>
              <w:t>·</w:t>
            </w:r>
            <w:r w:rsidRPr="00FD048E">
              <w:rPr>
                <w:rFonts w:cstheme="minorHAnsi"/>
                <w:color w:val="000000"/>
              </w:rPr>
              <w:t>7%)</w:t>
            </w:r>
          </w:p>
        </w:tc>
        <w:tc>
          <w:tcPr>
            <w:tcW w:w="1354" w:type="dxa"/>
          </w:tcPr>
          <w:p w14:paraId="70C06D8F" w14:textId="77777777" w:rsidR="004B55DD" w:rsidRPr="00FD048E" w:rsidRDefault="004B55DD" w:rsidP="00554F7B">
            <w:pPr>
              <w:spacing w:after="0" w:line="480" w:lineRule="auto"/>
              <w:jc w:val="center"/>
              <w:rPr>
                <w:rFonts w:cstheme="minorHAnsi"/>
              </w:rPr>
            </w:pPr>
            <w:r w:rsidRPr="00FD048E">
              <w:rPr>
                <w:rFonts w:cstheme="minorHAnsi"/>
                <w:color w:val="000000"/>
              </w:rPr>
              <w:t>13 (72</w:t>
            </w:r>
            <w:r>
              <w:rPr>
                <w:rFonts w:ascii="Arial" w:hAnsi="Arial" w:cs="Arial"/>
              </w:rPr>
              <w:t>·</w:t>
            </w:r>
            <w:r w:rsidRPr="00FD048E">
              <w:rPr>
                <w:rFonts w:cstheme="minorHAnsi"/>
                <w:color w:val="000000"/>
              </w:rPr>
              <w:t>2%)</w:t>
            </w:r>
          </w:p>
        </w:tc>
      </w:tr>
      <w:tr w:rsidR="006B4915" w:rsidRPr="00FD048E" w14:paraId="59983799" w14:textId="77777777" w:rsidTr="00235A9C">
        <w:tc>
          <w:tcPr>
            <w:tcW w:w="2170" w:type="dxa"/>
            <w:shd w:val="clear" w:color="auto" w:fill="auto"/>
          </w:tcPr>
          <w:p w14:paraId="79C85F55"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b/>
                <w:bCs/>
              </w:rPr>
              <w:t xml:space="preserve">Ethnicity </w:t>
            </w:r>
          </w:p>
        </w:tc>
        <w:tc>
          <w:tcPr>
            <w:tcW w:w="1729" w:type="dxa"/>
            <w:shd w:val="clear" w:color="auto" w:fill="auto"/>
          </w:tcPr>
          <w:p w14:paraId="16FE293B"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2F807EE5"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6F90F573" w14:textId="77777777" w:rsidR="004B55DD" w:rsidRPr="00FD048E" w:rsidRDefault="004B55DD" w:rsidP="00554F7B">
            <w:pPr>
              <w:spacing w:after="0" w:line="480" w:lineRule="auto"/>
              <w:jc w:val="center"/>
              <w:rPr>
                <w:rFonts w:cstheme="minorHAnsi"/>
              </w:rPr>
            </w:pPr>
          </w:p>
        </w:tc>
        <w:tc>
          <w:tcPr>
            <w:tcW w:w="1353" w:type="dxa"/>
            <w:vAlign w:val="center"/>
          </w:tcPr>
          <w:p w14:paraId="272529F3" w14:textId="77777777" w:rsidR="004B55DD" w:rsidRPr="00FD048E" w:rsidRDefault="004B55DD" w:rsidP="00554F7B">
            <w:pPr>
              <w:spacing w:after="0" w:line="480" w:lineRule="auto"/>
              <w:jc w:val="center"/>
              <w:rPr>
                <w:rFonts w:cstheme="minorHAnsi"/>
              </w:rPr>
            </w:pPr>
          </w:p>
        </w:tc>
        <w:tc>
          <w:tcPr>
            <w:tcW w:w="1354" w:type="dxa"/>
          </w:tcPr>
          <w:p w14:paraId="57C71BC7" w14:textId="77777777" w:rsidR="004B55DD" w:rsidRPr="00FD048E" w:rsidRDefault="004B55DD" w:rsidP="00554F7B">
            <w:pPr>
              <w:spacing w:after="0" w:line="480" w:lineRule="auto"/>
              <w:jc w:val="center"/>
              <w:rPr>
                <w:rFonts w:cstheme="minorHAnsi"/>
              </w:rPr>
            </w:pPr>
          </w:p>
        </w:tc>
      </w:tr>
      <w:tr w:rsidR="006B4915" w:rsidRPr="00FD048E" w14:paraId="2B60F66E" w14:textId="77777777" w:rsidTr="00235A9C">
        <w:tc>
          <w:tcPr>
            <w:tcW w:w="2170" w:type="dxa"/>
            <w:shd w:val="clear" w:color="auto" w:fill="auto"/>
          </w:tcPr>
          <w:p w14:paraId="60FB5AE4"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color w:val="000000"/>
              </w:rPr>
              <w:t>White - English / Welsh / Scottish / Northern Irish</w:t>
            </w:r>
          </w:p>
        </w:tc>
        <w:tc>
          <w:tcPr>
            <w:tcW w:w="1729" w:type="dxa"/>
            <w:shd w:val="clear" w:color="auto" w:fill="auto"/>
          </w:tcPr>
          <w:p w14:paraId="25DAB518" w14:textId="77777777" w:rsidR="004B55DD" w:rsidRPr="00FD048E" w:rsidRDefault="004B55DD" w:rsidP="00554F7B">
            <w:pPr>
              <w:spacing w:after="0" w:line="480" w:lineRule="auto"/>
              <w:jc w:val="center"/>
              <w:rPr>
                <w:rFonts w:cstheme="minorHAnsi"/>
              </w:rPr>
            </w:pPr>
            <w:r w:rsidRPr="00FD048E">
              <w:rPr>
                <w:rFonts w:cstheme="minorHAnsi"/>
                <w:color w:val="000000"/>
              </w:rPr>
              <w:t>4 (100%)</w:t>
            </w:r>
          </w:p>
        </w:tc>
        <w:tc>
          <w:tcPr>
            <w:tcW w:w="1729" w:type="dxa"/>
            <w:shd w:val="clear" w:color="auto" w:fill="auto"/>
          </w:tcPr>
          <w:p w14:paraId="52623282" w14:textId="77777777" w:rsidR="004B55DD" w:rsidRPr="00FD048E" w:rsidRDefault="004B55DD" w:rsidP="00554F7B">
            <w:pPr>
              <w:spacing w:after="0" w:line="480" w:lineRule="auto"/>
              <w:jc w:val="center"/>
              <w:rPr>
                <w:rFonts w:cstheme="minorHAnsi"/>
              </w:rPr>
            </w:pPr>
            <w:r w:rsidRPr="00FD048E">
              <w:rPr>
                <w:rFonts w:cstheme="minorHAnsi"/>
                <w:color w:val="000000"/>
              </w:rPr>
              <w:t>4 (100%)</w:t>
            </w:r>
          </w:p>
        </w:tc>
        <w:tc>
          <w:tcPr>
            <w:tcW w:w="1730" w:type="dxa"/>
            <w:shd w:val="clear" w:color="auto" w:fill="auto"/>
          </w:tcPr>
          <w:p w14:paraId="1C38886F" w14:textId="77777777" w:rsidR="004B55DD" w:rsidRPr="00FD048E" w:rsidRDefault="004B55DD" w:rsidP="00554F7B">
            <w:pPr>
              <w:spacing w:after="0" w:line="480" w:lineRule="auto"/>
              <w:jc w:val="center"/>
              <w:rPr>
                <w:rFonts w:cstheme="minorHAnsi"/>
              </w:rPr>
            </w:pPr>
            <w:r w:rsidRPr="00FD048E">
              <w:rPr>
                <w:rFonts w:cstheme="minorHAnsi"/>
                <w:color w:val="000000"/>
              </w:rPr>
              <w:t>4 (100%)</w:t>
            </w:r>
          </w:p>
        </w:tc>
        <w:tc>
          <w:tcPr>
            <w:tcW w:w="1353" w:type="dxa"/>
          </w:tcPr>
          <w:p w14:paraId="3FD6D0AF" w14:textId="77777777" w:rsidR="004B55DD" w:rsidRPr="00FD048E" w:rsidRDefault="004B55DD" w:rsidP="00554F7B">
            <w:pPr>
              <w:spacing w:after="0" w:line="480" w:lineRule="auto"/>
              <w:jc w:val="center"/>
              <w:rPr>
                <w:rFonts w:cstheme="minorHAnsi"/>
              </w:rPr>
            </w:pPr>
            <w:r w:rsidRPr="00FD048E">
              <w:rPr>
                <w:rFonts w:cstheme="minorHAnsi"/>
                <w:color w:val="000000"/>
              </w:rPr>
              <w:t>6 (100%)</w:t>
            </w:r>
          </w:p>
        </w:tc>
        <w:tc>
          <w:tcPr>
            <w:tcW w:w="1354" w:type="dxa"/>
          </w:tcPr>
          <w:p w14:paraId="2F10928E" w14:textId="77777777" w:rsidR="004B55DD" w:rsidRPr="00FD048E" w:rsidRDefault="004B55DD" w:rsidP="00554F7B">
            <w:pPr>
              <w:spacing w:after="0" w:line="480" w:lineRule="auto"/>
              <w:jc w:val="center"/>
              <w:rPr>
                <w:rFonts w:cstheme="minorHAnsi"/>
              </w:rPr>
            </w:pPr>
            <w:r w:rsidRPr="00FD048E">
              <w:rPr>
                <w:rFonts w:cstheme="minorHAnsi"/>
                <w:color w:val="000000"/>
              </w:rPr>
              <w:t>18 (100%)</w:t>
            </w:r>
          </w:p>
        </w:tc>
      </w:tr>
      <w:tr w:rsidR="006B4915" w:rsidRPr="00FD048E" w14:paraId="0A4453B6" w14:textId="77777777" w:rsidTr="00235A9C">
        <w:tc>
          <w:tcPr>
            <w:tcW w:w="2170" w:type="dxa"/>
            <w:shd w:val="clear" w:color="auto" w:fill="auto"/>
          </w:tcPr>
          <w:p w14:paraId="24BD0BB4"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b/>
                <w:bCs/>
                <w:lang w:eastAsia="ar-SA"/>
              </w:rPr>
              <w:t>BMI</w:t>
            </w:r>
          </w:p>
        </w:tc>
        <w:tc>
          <w:tcPr>
            <w:tcW w:w="1729" w:type="dxa"/>
            <w:shd w:val="clear" w:color="auto" w:fill="auto"/>
          </w:tcPr>
          <w:p w14:paraId="0376BF0D"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7D8C1436"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01F04831" w14:textId="77777777" w:rsidR="004B55DD" w:rsidRPr="00FD048E" w:rsidRDefault="004B55DD" w:rsidP="00554F7B">
            <w:pPr>
              <w:spacing w:after="0" w:line="480" w:lineRule="auto"/>
              <w:jc w:val="center"/>
              <w:rPr>
                <w:rFonts w:cstheme="minorHAnsi"/>
              </w:rPr>
            </w:pPr>
          </w:p>
        </w:tc>
        <w:tc>
          <w:tcPr>
            <w:tcW w:w="1353" w:type="dxa"/>
          </w:tcPr>
          <w:p w14:paraId="7A0E3AEA" w14:textId="77777777" w:rsidR="004B55DD" w:rsidRPr="00FD048E" w:rsidRDefault="004B55DD" w:rsidP="00554F7B">
            <w:pPr>
              <w:spacing w:after="0" w:line="480" w:lineRule="auto"/>
              <w:jc w:val="center"/>
              <w:rPr>
                <w:rFonts w:cstheme="minorHAnsi"/>
              </w:rPr>
            </w:pPr>
          </w:p>
        </w:tc>
        <w:tc>
          <w:tcPr>
            <w:tcW w:w="1354" w:type="dxa"/>
          </w:tcPr>
          <w:p w14:paraId="0EF72F47" w14:textId="77777777" w:rsidR="004B55DD" w:rsidRPr="00FD048E" w:rsidRDefault="004B55DD" w:rsidP="00554F7B">
            <w:pPr>
              <w:spacing w:after="0" w:line="480" w:lineRule="auto"/>
              <w:jc w:val="center"/>
              <w:rPr>
                <w:rFonts w:cstheme="minorHAnsi"/>
              </w:rPr>
            </w:pPr>
          </w:p>
        </w:tc>
      </w:tr>
      <w:tr w:rsidR="006B4915" w:rsidRPr="00FD048E" w14:paraId="4469F10D" w14:textId="77777777" w:rsidTr="00235A9C">
        <w:tc>
          <w:tcPr>
            <w:tcW w:w="2170" w:type="dxa"/>
            <w:shd w:val="clear" w:color="auto" w:fill="auto"/>
          </w:tcPr>
          <w:p w14:paraId="3BE600D6"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lang w:eastAsia="ar-SA"/>
              </w:rPr>
              <w:t>n</w:t>
            </w:r>
          </w:p>
        </w:tc>
        <w:tc>
          <w:tcPr>
            <w:tcW w:w="1729" w:type="dxa"/>
            <w:shd w:val="clear" w:color="auto" w:fill="auto"/>
          </w:tcPr>
          <w:p w14:paraId="01BAF2A1"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4</w:t>
            </w:r>
          </w:p>
        </w:tc>
        <w:tc>
          <w:tcPr>
            <w:tcW w:w="1729" w:type="dxa"/>
            <w:shd w:val="clear" w:color="auto" w:fill="auto"/>
          </w:tcPr>
          <w:p w14:paraId="7BFAB8A4"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4</w:t>
            </w:r>
          </w:p>
        </w:tc>
        <w:tc>
          <w:tcPr>
            <w:tcW w:w="1730" w:type="dxa"/>
            <w:shd w:val="clear" w:color="auto" w:fill="auto"/>
          </w:tcPr>
          <w:p w14:paraId="5C8A6796"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4</w:t>
            </w:r>
          </w:p>
        </w:tc>
        <w:tc>
          <w:tcPr>
            <w:tcW w:w="1353" w:type="dxa"/>
          </w:tcPr>
          <w:p w14:paraId="44B4C793"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6</w:t>
            </w:r>
          </w:p>
        </w:tc>
        <w:tc>
          <w:tcPr>
            <w:tcW w:w="1354" w:type="dxa"/>
          </w:tcPr>
          <w:p w14:paraId="66592353" w14:textId="77777777" w:rsidR="004B55DD" w:rsidRPr="00FD048E" w:rsidRDefault="004B55DD" w:rsidP="00554F7B">
            <w:pPr>
              <w:suppressAutoHyphens/>
              <w:snapToGrid w:val="0"/>
              <w:spacing w:after="0" w:line="480" w:lineRule="auto"/>
              <w:jc w:val="center"/>
              <w:rPr>
                <w:rFonts w:cstheme="minorHAnsi"/>
                <w:color w:val="808080" w:themeColor="background1" w:themeShade="80"/>
                <w:lang w:eastAsia="ar-SA"/>
              </w:rPr>
            </w:pPr>
            <w:r w:rsidRPr="00FD048E">
              <w:rPr>
                <w:rFonts w:cstheme="minorHAnsi"/>
                <w:color w:val="000000"/>
              </w:rPr>
              <w:t>18</w:t>
            </w:r>
          </w:p>
        </w:tc>
      </w:tr>
      <w:tr w:rsidR="006B4915" w:rsidRPr="00FD048E" w14:paraId="623621B8" w14:textId="77777777" w:rsidTr="00235A9C">
        <w:tc>
          <w:tcPr>
            <w:tcW w:w="2170" w:type="dxa"/>
            <w:shd w:val="clear" w:color="auto" w:fill="auto"/>
          </w:tcPr>
          <w:p w14:paraId="7D08D690"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lang w:eastAsia="ar-SA"/>
              </w:rPr>
              <w:t xml:space="preserve">Median </w:t>
            </w:r>
          </w:p>
        </w:tc>
        <w:tc>
          <w:tcPr>
            <w:tcW w:w="1729" w:type="dxa"/>
            <w:shd w:val="clear" w:color="auto" w:fill="auto"/>
          </w:tcPr>
          <w:p w14:paraId="571C40AE"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28</w:t>
            </w:r>
            <w:r>
              <w:rPr>
                <w:rFonts w:ascii="Arial" w:hAnsi="Arial" w:cs="Arial"/>
              </w:rPr>
              <w:t>·</w:t>
            </w:r>
            <w:r w:rsidRPr="00FD048E">
              <w:rPr>
                <w:rFonts w:cstheme="minorHAnsi"/>
                <w:color w:val="000000"/>
              </w:rPr>
              <w:t>1</w:t>
            </w:r>
          </w:p>
        </w:tc>
        <w:tc>
          <w:tcPr>
            <w:tcW w:w="1729" w:type="dxa"/>
            <w:shd w:val="clear" w:color="auto" w:fill="auto"/>
          </w:tcPr>
          <w:p w14:paraId="71EA427A"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33</w:t>
            </w:r>
            <w:r>
              <w:rPr>
                <w:rFonts w:ascii="Arial" w:hAnsi="Arial" w:cs="Arial"/>
              </w:rPr>
              <w:t>·</w:t>
            </w:r>
            <w:r w:rsidRPr="00FD048E">
              <w:rPr>
                <w:rFonts w:cstheme="minorHAnsi"/>
                <w:color w:val="000000"/>
              </w:rPr>
              <w:t>9</w:t>
            </w:r>
          </w:p>
        </w:tc>
        <w:tc>
          <w:tcPr>
            <w:tcW w:w="1730" w:type="dxa"/>
            <w:shd w:val="clear" w:color="auto" w:fill="auto"/>
          </w:tcPr>
          <w:p w14:paraId="43053868"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21</w:t>
            </w:r>
            <w:r>
              <w:rPr>
                <w:rFonts w:ascii="Arial" w:hAnsi="Arial" w:cs="Arial"/>
              </w:rPr>
              <w:t>·</w:t>
            </w:r>
            <w:r w:rsidRPr="00FD048E">
              <w:rPr>
                <w:rFonts w:cstheme="minorHAnsi"/>
                <w:color w:val="000000"/>
              </w:rPr>
              <w:t>0</w:t>
            </w:r>
          </w:p>
        </w:tc>
        <w:tc>
          <w:tcPr>
            <w:tcW w:w="1353" w:type="dxa"/>
          </w:tcPr>
          <w:p w14:paraId="3A51D1D0"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31</w:t>
            </w:r>
            <w:r>
              <w:rPr>
                <w:rFonts w:ascii="Arial" w:hAnsi="Arial" w:cs="Arial"/>
              </w:rPr>
              <w:t>·</w:t>
            </w:r>
            <w:r w:rsidRPr="00FD048E">
              <w:rPr>
                <w:rFonts w:cstheme="minorHAnsi"/>
                <w:color w:val="000000"/>
              </w:rPr>
              <w:t>3</w:t>
            </w:r>
          </w:p>
        </w:tc>
        <w:tc>
          <w:tcPr>
            <w:tcW w:w="1354" w:type="dxa"/>
          </w:tcPr>
          <w:p w14:paraId="6FEADED8" w14:textId="77777777" w:rsidR="004B55DD" w:rsidRPr="00FD048E" w:rsidRDefault="004B55DD" w:rsidP="00554F7B">
            <w:pPr>
              <w:suppressAutoHyphens/>
              <w:snapToGrid w:val="0"/>
              <w:spacing w:after="0" w:line="480" w:lineRule="auto"/>
              <w:jc w:val="center"/>
              <w:rPr>
                <w:rFonts w:cstheme="minorHAnsi"/>
              </w:rPr>
            </w:pPr>
            <w:r w:rsidRPr="00FD048E">
              <w:rPr>
                <w:rFonts w:cstheme="minorHAnsi"/>
                <w:color w:val="000000"/>
              </w:rPr>
              <w:t>29</w:t>
            </w:r>
            <w:r>
              <w:rPr>
                <w:rFonts w:ascii="Arial" w:hAnsi="Arial" w:cs="Arial"/>
              </w:rPr>
              <w:t>·</w:t>
            </w:r>
            <w:r w:rsidRPr="00FD048E">
              <w:rPr>
                <w:rFonts w:cstheme="minorHAnsi"/>
                <w:color w:val="000000"/>
              </w:rPr>
              <w:t>5</w:t>
            </w:r>
          </w:p>
        </w:tc>
      </w:tr>
      <w:tr w:rsidR="006B4915" w:rsidRPr="00FD048E" w14:paraId="282EA825" w14:textId="77777777" w:rsidTr="00235A9C">
        <w:tc>
          <w:tcPr>
            <w:tcW w:w="2170" w:type="dxa"/>
            <w:shd w:val="clear" w:color="auto" w:fill="auto"/>
          </w:tcPr>
          <w:p w14:paraId="1A51F55C" w14:textId="77777777" w:rsidR="004B55DD" w:rsidRPr="00FD048E" w:rsidRDefault="004B55DD" w:rsidP="00554F7B">
            <w:pPr>
              <w:suppressAutoHyphens/>
              <w:spacing w:after="0" w:line="480" w:lineRule="auto"/>
              <w:ind w:left="142"/>
              <w:rPr>
                <w:rFonts w:cstheme="minorHAnsi"/>
                <w:lang w:eastAsia="ar-SA"/>
              </w:rPr>
            </w:pPr>
            <w:r w:rsidRPr="00FD048E">
              <w:rPr>
                <w:rFonts w:cstheme="minorHAnsi"/>
                <w:lang w:eastAsia="ar-SA"/>
              </w:rPr>
              <w:t>Range</w:t>
            </w:r>
          </w:p>
        </w:tc>
        <w:tc>
          <w:tcPr>
            <w:tcW w:w="1729" w:type="dxa"/>
            <w:shd w:val="clear" w:color="auto" w:fill="auto"/>
          </w:tcPr>
          <w:p w14:paraId="553E8A8F" w14:textId="77777777" w:rsidR="004B55DD" w:rsidRPr="00FD048E" w:rsidRDefault="004B55DD" w:rsidP="00554F7B">
            <w:pPr>
              <w:suppressAutoHyphens/>
              <w:snapToGrid w:val="0"/>
              <w:spacing w:after="0" w:line="480" w:lineRule="auto"/>
              <w:jc w:val="center"/>
              <w:rPr>
                <w:rFonts w:cstheme="minorHAnsi"/>
                <w:lang w:eastAsia="ar-SA"/>
              </w:rPr>
            </w:pPr>
            <w:r w:rsidRPr="00FD048E">
              <w:rPr>
                <w:rFonts w:cstheme="minorHAnsi"/>
                <w:color w:val="000000"/>
              </w:rPr>
              <w:t>25</w:t>
            </w:r>
            <w:r>
              <w:rPr>
                <w:rFonts w:ascii="Arial" w:hAnsi="Arial" w:cs="Arial"/>
              </w:rPr>
              <w:t>·</w:t>
            </w:r>
            <w:r w:rsidRPr="00FD048E">
              <w:rPr>
                <w:rFonts w:cstheme="minorHAnsi"/>
                <w:color w:val="000000"/>
              </w:rPr>
              <w:t>6 to 32</w:t>
            </w:r>
            <w:r>
              <w:rPr>
                <w:rFonts w:ascii="Arial" w:hAnsi="Arial" w:cs="Arial"/>
              </w:rPr>
              <w:t>·</w:t>
            </w:r>
            <w:r w:rsidRPr="00FD048E">
              <w:rPr>
                <w:rFonts w:cstheme="minorHAnsi"/>
                <w:color w:val="000000"/>
              </w:rPr>
              <w:t>7</w:t>
            </w:r>
          </w:p>
        </w:tc>
        <w:tc>
          <w:tcPr>
            <w:tcW w:w="1729" w:type="dxa"/>
            <w:shd w:val="clear" w:color="auto" w:fill="auto"/>
          </w:tcPr>
          <w:p w14:paraId="5B567C5E" w14:textId="77777777" w:rsidR="004B55DD" w:rsidRPr="00FD048E" w:rsidRDefault="004B55DD" w:rsidP="00554F7B">
            <w:pPr>
              <w:spacing w:after="0" w:line="480" w:lineRule="auto"/>
              <w:jc w:val="center"/>
              <w:rPr>
                <w:rFonts w:cstheme="minorHAnsi"/>
              </w:rPr>
            </w:pPr>
            <w:r w:rsidRPr="00FD048E">
              <w:rPr>
                <w:rFonts w:cstheme="minorHAnsi"/>
                <w:color w:val="000000"/>
              </w:rPr>
              <w:t>30</w:t>
            </w:r>
            <w:r>
              <w:rPr>
                <w:rFonts w:ascii="Arial" w:hAnsi="Arial" w:cs="Arial"/>
              </w:rPr>
              <w:t>·</w:t>
            </w:r>
            <w:r w:rsidRPr="00FD048E">
              <w:rPr>
                <w:rFonts w:cstheme="minorHAnsi"/>
                <w:color w:val="000000"/>
              </w:rPr>
              <w:t>0 to 51</w:t>
            </w:r>
            <w:r>
              <w:rPr>
                <w:rFonts w:ascii="Arial" w:hAnsi="Arial" w:cs="Arial"/>
              </w:rPr>
              <w:t>·</w:t>
            </w:r>
            <w:r w:rsidRPr="00FD048E">
              <w:rPr>
                <w:rFonts w:cstheme="minorHAnsi"/>
                <w:color w:val="000000"/>
              </w:rPr>
              <w:t>1</w:t>
            </w:r>
          </w:p>
        </w:tc>
        <w:tc>
          <w:tcPr>
            <w:tcW w:w="1730" w:type="dxa"/>
            <w:shd w:val="clear" w:color="auto" w:fill="auto"/>
          </w:tcPr>
          <w:p w14:paraId="1FEE1BFC" w14:textId="77777777" w:rsidR="004B55DD" w:rsidRPr="00FD048E" w:rsidRDefault="004B55DD" w:rsidP="00554F7B">
            <w:pPr>
              <w:spacing w:after="0" w:line="480" w:lineRule="auto"/>
              <w:jc w:val="center"/>
              <w:rPr>
                <w:rFonts w:cstheme="minorHAnsi"/>
              </w:rPr>
            </w:pPr>
            <w:r w:rsidRPr="00FD048E">
              <w:rPr>
                <w:rFonts w:cstheme="minorHAnsi"/>
                <w:color w:val="000000"/>
              </w:rPr>
              <w:t>20</w:t>
            </w:r>
            <w:r>
              <w:rPr>
                <w:rFonts w:ascii="Arial" w:hAnsi="Arial" w:cs="Arial"/>
              </w:rPr>
              <w:t>·</w:t>
            </w:r>
            <w:r w:rsidRPr="00FD048E">
              <w:rPr>
                <w:rFonts w:cstheme="minorHAnsi"/>
                <w:color w:val="000000"/>
              </w:rPr>
              <w:t>4 to 34</w:t>
            </w:r>
            <w:r>
              <w:rPr>
                <w:rFonts w:ascii="Arial" w:hAnsi="Arial" w:cs="Arial"/>
              </w:rPr>
              <w:t>·</w:t>
            </w:r>
            <w:r w:rsidRPr="00FD048E">
              <w:rPr>
                <w:rFonts w:cstheme="minorHAnsi"/>
                <w:color w:val="000000"/>
              </w:rPr>
              <w:t>0</w:t>
            </w:r>
          </w:p>
        </w:tc>
        <w:tc>
          <w:tcPr>
            <w:tcW w:w="1353" w:type="dxa"/>
          </w:tcPr>
          <w:p w14:paraId="0CB4535D" w14:textId="77777777" w:rsidR="004B55DD" w:rsidRPr="00FD048E" w:rsidRDefault="004B55DD" w:rsidP="00554F7B">
            <w:pPr>
              <w:spacing w:after="0" w:line="480" w:lineRule="auto"/>
              <w:jc w:val="center"/>
              <w:rPr>
                <w:rFonts w:cstheme="minorHAnsi"/>
                <w:color w:val="808080" w:themeColor="background1" w:themeShade="80"/>
              </w:rPr>
            </w:pPr>
            <w:r w:rsidRPr="00FD048E">
              <w:rPr>
                <w:rFonts w:cstheme="minorHAnsi"/>
                <w:color w:val="000000"/>
              </w:rPr>
              <w:t>27</w:t>
            </w:r>
            <w:r>
              <w:rPr>
                <w:rFonts w:ascii="Arial" w:hAnsi="Arial" w:cs="Arial"/>
              </w:rPr>
              <w:t>·</w:t>
            </w:r>
            <w:r w:rsidRPr="00FD048E">
              <w:rPr>
                <w:rFonts w:cstheme="minorHAnsi"/>
                <w:color w:val="000000"/>
              </w:rPr>
              <w:t>2 to 36</w:t>
            </w:r>
            <w:r>
              <w:rPr>
                <w:rFonts w:ascii="Arial" w:hAnsi="Arial" w:cs="Arial"/>
              </w:rPr>
              <w:t>·</w:t>
            </w:r>
            <w:r w:rsidRPr="00FD048E">
              <w:rPr>
                <w:rFonts w:cstheme="minorHAnsi"/>
                <w:color w:val="000000"/>
              </w:rPr>
              <w:t>2</w:t>
            </w:r>
          </w:p>
        </w:tc>
        <w:tc>
          <w:tcPr>
            <w:tcW w:w="1354" w:type="dxa"/>
          </w:tcPr>
          <w:p w14:paraId="7CEECED4" w14:textId="77777777" w:rsidR="004B55DD" w:rsidRPr="00FD048E" w:rsidRDefault="004B55DD" w:rsidP="00554F7B">
            <w:pPr>
              <w:spacing w:after="0" w:line="480" w:lineRule="auto"/>
              <w:jc w:val="center"/>
              <w:rPr>
                <w:rFonts w:cstheme="minorHAnsi"/>
              </w:rPr>
            </w:pPr>
            <w:r w:rsidRPr="00FD048E">
              <w:rPr>
                <w:rFonts w:cstheme="minorHAnsi"/>
                <w:color w:val="000000"/>
              </w:rPr>
              <w:t>20</w:t>
            </w:r>
            <w:r>
              <w:rPr>
                <w:rFonts w:ascii="Arial" w:hAnsi="Arial" w:cs="Arial"/>
              </w:rPr>
              <w:t>·</w:t>
            </w:r>
            <w:r w:rsidRPr="00FD048E">
              <w:rPr>
                <w:rFonts w:cstheme="minorHAnsi"/>
                <w:color w:val="000000"/>
              </w:rPr>
              <w:t>4 to 51</w:t>
            </w:r>
            <w:r>
              <w:rPr>
                <w:rFonts w:ascii="Arial" w:hAnsi="Arial" w:cs="Arial"/>
              </w:rPr>
              <w:t>·</w:t>
            </w:r>
            <w:r w:rsidRPr="00FD048E">
              <w:rPr>
                <w:rFonts w:cstheme="minorHAnsi"/>
                <w:color w:val="000000"/>
              </w:rPr>
              <w:t>1</w:t>
            </w:r>
          </w:p>
        </w:tc>
      </w:tr>
      <w:tr w:rsidR="006B4915" w:rsidRPr="00FD048E" w14:paraId="4E9F2D12" w14:textId="77777777" w:rsidTr="00235A9C">
        <w:tc>
          <w:tcPr>
            <w:tcW w:w="2170" w:type="dxa"/>
            <w:shd w:val="clear" w:color="auto" w:fill="auto"/>
          </w:tcPr>
          <w:p w14:paraId="36690DE3"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b/>
                <w:bCs/>
                <w:lang w:eastAsia="ar-SA"/>
              </w:rPr>
              <w:t>WHO Score (day 1) – n (%)</w:t>
            </w:r>
          </w:p>
        </w:tc>
        <w:tc>
          <w:tcPr>
            <w:tcW w:w="1729" w:type="dxa"/>
            <w:shd w:val="clear" w:color="auto" w:fill="auto"/>
          </w:tcPr>
          <w:p w14:paraId="77468338"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6724FFAA"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11711492" w14:textId="77777777" w:rsidR="004B55DD" w:rsidRPr="00FD048E" w:rsidRDefault="004B55DD" w:rsidP="00554F7B">
            <w:pPr>
              <w:spacing w:after="0" w:line="480" w:lineRule="auto"/>
              <w:jc w:val="center"/>
              <w:rPr>
                <w:rFonts w:cstheme="minorHAnsi"/>
              </w:rPr>
            </w:pPr>
          </w:p>
        </w:tc>
        <w:tc>
          <w:tcPr>
            <w:tcW w:w="1353" w:type="dxa"/>
          </w:tcPr>
          <w:p w14:paraId="3A2EE986" w14:textId="77777777" w:rsidR="004B55DD" w:rsidRPr="00FD048E" w:rsidRDefault="004B55DD" w:rsidP="00554F7B">
            <w:pPr>
              <w:spacing w:after="0" w:line="480" w:lineRule="auto"/>
              <w:jc w:val="center"/>
              <w:rPr>
                <w:rFonts w:cstheme="minorHAnsi"/>
              </w:rPr>
            </w:pPr>
          </w:p>
        </w:tc>
        <w:tc>
          <w:tcPr>
            <w:tcW w:w="1354" w:type="dxa"/>
          </w:tcPr>
          <w:p w14:paraId="34C19445" w14:textId="77777777" w:rsidR="004B55DD" w:rsidRPr="00FD048E" w:rsidRDefault="004B55DD" w:rsidP="00554F7B">
            <w:pPr>
              <w:spacing w:after="0" w:line="480" w:lineRule="auto"/>
              <w:jc w:val="center"/>
              <w:rPr>
                <w:rFonts w:cstheme="minorHAnsi"/>
              </w:rPr>
            </w:pPr>
          </w:p>
        </w:tc>
      </w:tr>
      <w:tr w:rsidR="006B4915" w:rsidRPr="00FD048E" w14:paraId="498B628D" w14:textId="77777777" w:rsidTr="00235A9C">
        <w:tc>
          <w:tcPr>
            <w:tcW w:w="2170" w:type="dxa"/>
            <w:shd w:val="clear" w:color="auto" w:fill="auto"/>
          </w:tcPr>
          <w:p w14:paraId="23B5B435"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color w:val="000000"/>
              </w:rPr>
              <w:t xml:space="preserve">1. Ambulatory mild disease, asymptomatic; viral </w:t>
            </w:r>
            <w:r w:rsidRPr="00FD048E">
              <w:rPr>
                <w:rFonts w:cstheme="minorHAnsi"/>
                <w:color w:val="000000"/>
              </w:rPr>
              <w:lastRenderedPageBreak/>
              <w:t>RNA detected</w:t>
            </w:r>
          </w:p>
        </w:tc>
        <w:tc>
          <w:tcPr>
            <w:tcW w:w="1729" w:type="dxa"/>
            <w:shd w:val="clear" w:color="auto" w:fill="auto"/>
          </w:tcPr>
          <w:p w14:paraId="0CCF273B" w14:textId="77777777" w:rsidR="004B55DD" w:rsidRPr="00FD048E" w:rsidRDefault="004B55DD" w:rsidP="00554F7B">
            <w:pPr>
              <w:spacing w:after="0" w:line="480" w:lineRule="auto"/>
              <w:jc w:val="center"/>
              <w:rPr>
                <w:rFonts w:cstheme="minorHAnsi"/>
              </w:rPr>
            </w:pPr>
            <w:r w:rsidRPr="00FD048E">
              <w:rPr>
                <w:rFonts w:cstheme="minorHAnsi"/>
                <w:color w:val="000000"/>
              </w:rPr>
              <w:lastRenderedPageBreak/>
              <w:t>2 (50</w:t>
            </w:r>
            <w:r>
              <w:rPr>
                <w:rFonts w:ascii="Arial" w:hAnsi="Arial" w:cs="Arial"/>
              </w:rPr>
              <w:t>·</w:t>
            </w:r>
            <w:r w:rsidRPr="00FD048E">
              <w:rPr>
                <w:rFonts w:cstheme="minorHAnsi"/>
                <w:color w:val="000000"/>
              </w:rPr>
              <w:t>0%)</w:t>
            </w:r>
          </w:p>
        </w:tc>
        <w:tc>
          <w:tcPr>
            <w:tcW w:w="1729" w:type="dxa"/>
            <w:shd w:val="clear" w:color="auto" w:fill="auto"/>
          </w:tcPr>
          <w:p w14:paraId="0220B67A" w14:textId="77777777" w:rsidR="004B55DD" w:rsidRPr="00FD048E" w:rsidRDefault="004B55DD" w:rsidP="00554F7B">
            <w:pPr>
              <w:spacing w:after="0" w:line="480" w:lineRule="auto"/>
              <w:jc w:val="center"/>
              <w:rPr>
                <w:rFonts w:cstheme="minorHAnsi"/>
              </w:rPr>
            </w:pPr>
            <w:r w:rsidRPr="00FD048E">
              <w:rPr>
                <w:rFonts w:cstheme="minorHAnsi"/>
                <w:color w:val="000000"/>
              </w:rPr>
              <w:t>0 (0</w:t>
            </w:r>
            <w:r>
              <w:rPr>
                <w:rFonts w:ascii="Arial" w:hAnsi="Arial" w:cs="Arial"/>
              </w:rPr>
              <w:t>·</w:t>
            </w:r>
            <w:r w:rsidRPr="00FD048E">
              <w:rPr>
                <w:rFonts w:cstheme="minorHAnsi"/>
                <w:color w:val="000000"/>
              </w:rPr>
              <w:t>0%)</w:t>
            </w:r>
          </w:p>
        </w:tc>
        <w:tc>
          <w:tcPr>
            <w:tcW w:w="1730" w:type="dxa"/>
            <w:shd w:val="clear" w:color="auto" w:fill="auto"/>
          </w:tcPr>
          <w:p w14:paraId="3C050C59" w14:textId="77777777" w:rsidR="004B55DD" w:rsidRPr="00FD048E" w:rsidRDefault="004B55DD" w:rsidP="00554F7B">
            <w:pPr>
              <w:spacing w:after="0" w:line="480" w:lineRule="auto"/>
              <w:jc w:val="center"/>
              <w:rPr>
                <w:rFonts w:cstheme="minorHAnsi"/>
              </w:rPr>
            </w:pPr>
            <w:r w:rsidRPr="00FD048E">
              <w:rPr>
                <w:rFonts w:cstheme="minorHAnsi"/>
                <w:color w:val="000000"/>
              </w:rPr>
              <w:t>1 (25</w:t>
            </w:r>
            <w:r>
              <w:rPr>
                <w:rFonts w:ascii="Arial" w:hAnsi="Arial" w:cs="Arial"/>
              </w:rPr>
              <w:t>·</w:t>
            </w:r>
            <w:r w:rsidRPr="00FD048E">
              <w:rPr>
                <w:rFonts w:cstheme="minorHAnsi"/>
                <w:color w:val="000000"/>
              </w:rPr>
              <w:t>0%)</w:t>
            </w:r>
          </w:p>
        </w:tc>
        <w:tc>
          <w:tcPr>
            <w:tcW w:w="1353" w:type="dxa"/>
          </w:tcPr>
          <w:p w14:paraId="28B78000" w14:textId="77777777" w:rsidR="004B55DD" w:rsidRPr="00FD048E" w:rsidRDefault="004B55DD" w:rsidP="00554F7B">
            <w:pPr>
              <w:spacing w:after="0" w:line="480" w:lineRule="auto"/>
              <w:jc w:val="center"/>
              <w:rPr>
                <w:rFonts w:cstheme="minorHAnsi"/>
              </w:rPr>
            </w:pPr>
            <w:r w:rsidRPr="00FD048E">
              <w:rPr>
                <w:rFonts w:cstheme="minorHAnsi"/>
                <w:color w:val="000000"/>
              </w:rPr>
              <w:t>3 (50</w:t>
            </w:r>
            <w:r>
              <w:rPr>
                <w:rFonts w:ascii="Arial" w:hAnsi="Arial" w:cs="Arial"/>
              </w:rPr>
              <w:t>·</w:t>
            </w:r>
            <w:r w:rsidRPr="00FD048E">
              <w:rPr>
                <w:rFonts w:cstheme="minorHAnsi"/>
                <w:color w:val="000000"/>
              </w:rPr>
              <w:t>0%)</w:t>
            </w:r>
          </w:p>
        </w:tc>
        <w:tc>
          <w:tcPr>
            <w:tcW w:w="1354" w:type="dxa"/>
          </w:tcPr>
          <w:p w14:paraId="22B641A4" w14:textId="77777777" w:rsidR="004B55DD" w:rsidRPr="00FD048E" w:rsidRDefault="004B55DD" w:rsidP="00554F7B">
            <w:pPr>
              <w:spacing w:after="0" w:line="480" w:lineRule="auto"/>
              <w:jc w:val="center"/>
              <w:rPr>
                <w:rFonts w:cstheme="minorHAnsi"/>
              </w:rPr>
            </w:pPr>
            <w:r w:rsidRPr="00FD048E">
              <w:rPr>
                <w:rFonts w:cstheme="minorHAnsi"/>
              </w:rPr>
              <w:t>6 (33</w:t>
            </w:r>
            <w:r>
              <w:rPr>
                <w:rFonts w:ascii="Arial" w:hAnsi="Arial" w:cs="Arial"/>
              </w:rPr>
              <w:t>·</w:t>
            </w:r>
            <w:r w:rsidRPr="00FD048E">
              <w:rPr>
                <w:rFonts w:cstheme="minorHAnsi"/>
              </w:rPr>
              <w:t>3%)</w:t>
            </w:r>
          </w:p>
        </w:tc>
      </w:tr>
      <w:tr w:rsidR="006B4915" w:rsidRPr="00FD048E" w14:paraId="684A82D0" w14:textId="77777777" w:rsidTr="00235A9C">
        <w:tc>
          <w:tcPr>
            <w:tcW w:w="2170" w:type="dxa"/>
            <w:shd w:val="clear" w:color="auto" w:fill="auto"/>
          </w:tcPr>
          <w:p w14:paraId="4EE636FF"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color w:val="000000"/>
              </w:rPr>
              <w:t>2. Ambulatory mild disease, symptomatic; independent</w:t>
            </w:r>
          </w:p>
        </w:tc>
        <w:tc>
          <w:tcPr>
            <w:tcW w:w="1729" w:type="dxa"/>
            <w:shd w:val="clear" w:color="auto" w:fill="auto"/>
          </w:tcPr>
          <w:p w14:paraId="70D8C34E" w14:textId="77777777" w:rsidR="004B55DD" w:rsidRPr="00FD048E" w:rsidRDefault="004B55DD" w:rsidP="00554F7B">
            <w:pPr>
              <w:spacing w:after="0" w:line="480" w:lineRule="auto"/>
              <w:jc w:val="center"/>
              <w:rPr>
                <w:rFonts w:cstheme="minorHAnsi"/>
              </w:rPr>
            </w:pPr>
            <w:r w:rsidRPr="00FD048E">
              <w:rPr>
                <w:rFonts w:cstheme="minorHAnsi"/>
                <w:color w:val="000000"/>
              </w:rPr>
              <w:t>1 (25</w:t>
            </w:r>
            <w:r>
              <w:rPr>
                <w:rFonts w:ascii="Arial" w:hAnsi="Arial" w:cs="Arial"/>
              </w:rPr>
              <w:t>·</w:t>
            </w:r>
            <w:r w:rsidRPr="00FD048E">
              <w:rPr>
                <w:rFonts w:cstheme="minorHAnsi"/>
                <w:color w:val="000000"/>
              </w:rPr>
              <w:t>0%)</w:t>
            </w:r>
          </w:p>
        </w:tc>
        <w:tc>
          <w:tcPr>
            <w:tcW w:w="1729" w:type="dxa"/>
            <w:shd w:val="clear" w:color="auto" w:fill="auto"/>
          </w:tcPr>
          <w:p w14:paraId="46C96C0A" w14:textId="77777777" w:rsidR="004B55DD" w:rsidRPr="00FD048E" w:rsidRDefault="004B55DD" w:rsidP="00554F7B">
            <w:pPr>
              <w:spacing w:after="0" w:line="480" w:lineRule="auto"/>
              <w:jc w:val="center"/>
              <w:rPr>
                <w:rFonts w:cstheme="minorHAnsi"/>
              </w:rPr>
            </w:pPr>
            <w:r w:rsidRPr="00FD048E">
              <w:rPr>
                <w:rFonts w:cstheme="minorHAnsi"/>
                <w:color w:val="000000"/>
              </w:rPr>
              <w:t>4 (100%)</w:t>
            </w:r>
          </w:p>
        </w:tc>
        <w:tc>
          <w:tcPr>
            <w:tcW w:w="1730" w:type="dxa"/>
            <w:shd w:val="clear" w:color="auto" w:fill="auto"/>
          </w:tcPr>
          <w:p w14:paraId="38429A45" w14:textId="77777777" w:rsidR="004B55DD" w:rsidRPr="00FD048E" w:rsidRDefault="004B55DD" w:rsidP="00554F7B">
            <w:pPr>
              <w:spacing w:after="0" w:line="480" w:lineRule="auto"/>
              <w:jc w:val="center"/>
              <w:rPr>
                <w:rFonts w:cstheme="minorHAnsi"/>
              </w:rPr>
            </w:pPr>
            <w:r w:rsidRPr="00FD048E">
              <w:rPr>
                <w:rFonts w:cstheme="minorHAnsi"/>
                <w:color w:val="000000"/>
              </w:rPr>
              <w:t>3 (75</w:t>
            </w:r>
            <w:r>
              <w:rPr>
                <w:rFonts w:ascii="Arial" w:hAnsi="Arial" w:cs="Arial"/>
              </w:rPr>
              <w:t>·</w:t>
            </w:r>
            <w:r w:rsidRPr="00FD048E">
              <w:rPr>
                <w:rFonts w:cstheme="minorHAnsi"/>
                <w:color w:val="000000"/>
              </w:rPr>
              <w:t>0%)</w:t>
            </w:r>
          </w:p>
        </w:tc>
        <w:tc>
          <w:tcPr>
            <w:tcW w:w="1353" w:type="dxa"/>
          </w:tcPr>
          <w:p w14:paraId="6E250C59" w14:textId="77777777" w:rsidR="004B55DD" w:rsidRPr="00FD048E" w:rsidRDefault="004B55DD" w:rsidP="00554F7B">
            <w:pPr>
              <w:spacing w:after="0" w:line="480" w:lineRule="auto"/>
              <w:jc w:val="center"/>
              <w:rPr>
                <w:rFonts w:cstheme="minorHAnsi"/>
              </w:rPr>
            </w:pPr>
            <w:r w:rsidRPr="00FD048E">
              <w:rPr>
                <w:rFonts w:cstheme="minorHAnsi"/>
                <w:color w:val="000000"/>
              </w:rPr>
              <w:t>3 (50</w:t>
            </w:r>
            <w:r>
              <w:rPr>
                <w:rFonts w:ascii="Arial" w:hAnsi="Arial" w:cs="Arial"/>
              </w:rPr>
              <w:t>·</w:t>
            </w:r>
            <w:r w:rsidRPr="00FD048E">
              <w:rPr>
                <w:rFonts w:cstheme="minorHAnsi"/>
                <w:color w:val="000000"/>
              </w:rPr>
              <w:t>0%)</w:t>
            </w:r>
          </w:p>
        </w:tc>
        <w:tc>
          <w:tcPr>
            <w:tcW w:w="1354" w:type="dxa"/>
          </w:tcPr>
          <w:p w14:paraId="1E57B6E2" w14:textId="77777777" w:rsidR="004B55DD" w:rsidRPr="00FD048E" w:rsidRDefault="004B55DD" w:rsidP="00554F7B">
            <w:pPr>
              <w:spacing w:after="0" w:line="480" w:lineRule="auto"/>
              <w:jc w:val="center"/>
              <w:rPr>
                <w:rFonts w:cstheme="minorHAnsi"/>
              </w:rPr>
            </w:pPr>
            <w:r w:rsidRPr="00FD048E">
              <w:rPr>
                <w:rFonts w:cstheme="minorHAnsi"/>
              </w:rPr>
              <w:t>11 (61</w:t>
            </w:r>
            <w:r>
              <w:rPr>
                <w:rFonts w:ascii="Arial" w:hAnsi="Arial" w:cs="Arial"/>
              </w:rPr>
              <w:t>·</w:t>
            </w:r>
            <w:r w:rsidRPr="00FD048E">
              <w:rPr>
                <w:rFonts w:cstheme="minorHAnsi"/>
              </w:rPr>
              <w:t>1%)</w:t>
            </w:r>
          </w:p>
        </w:tc>
      </w:tr>
      <w:tr w:rsidR="006B4915" w:rsidRPr="00FD048E" w14:paraId="5A4E36D1" w14:textId="77777777" w:rsidTr="00235A9C">
        <w:tc>
          <w:tcPr>
            <w:tcW w:w="2170" w:type="dxa"/>
            <w:shd w:val="clear" w:color="auto" w:fill="auto"/>
          </w:tcPr>
          <w:p w14:paraId="44ACBCF8"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color w:val="000000"/>
              </w:rPr>
              <w:t>3. Ambulatory mild disease, symptomatic; assistance needed</w:t>
            </w:r>
          </w:p>
        </w:tc>
        <w:tc>
          <w:tcPr>
            <w:tcW w:w="1729" w:type="dxa"/>
            <w:shd w:val="clear" w:color="auto" w:fill="auto"/>
          </w:tcPr>
          <w:p w14:paraId="31DA55EE" w14:textId="77777777" w:rsidR="004B55DD" w:rsidRPr="00FD048E" w:rsidRDefault="004B55DD" w:rsidP="00554F7B">
            <w:pPr>
              <w:spacing w:after="0" w:line="480" w:lineRule="auto"/>
              <w:jc w:val="center"/>
              <w:rPr>
                <w:rFonts w:cstheme="minorHAnsi"/>
              </w:rPr>
            </w:pPr>
            <w:r w:rsidRPr="00FD048E">
              <w:rPr>
                <w:rFonts w:cstheme="minorHAnsi"/>
                <w:color w:val="000000"/>
              </w:rPr>
              <w:t>1 (25</w:t>
            </w:r>
            <w:r>
              <w:rPr>
                <w:rFonts w:ascii="Arial" w:hAnsi="Arial" w:cs="Arial"/>
              </w:rPr>
              <w:t>·</w:t>
            </w:r>
            <w:r w:rsidRPr="00FD048E">
              <w:rPr>
                <w:rFonts w:cstheme="minorHAnsi"/>
                <w:color w:val="000000"/>
              </w:rPr>
              <w:t>0%)</w:t>
            </w:r>
          </w:p>
        </w:tc>
        <w:tc>
          <w:tcPr>
            <w:tcW w:w="1729" w:type="dxa"/>
            <w:shd w:val="clear" w:color="auto" w:fill="auto"/>
          </w:tcPr>
          <w:p w14:paraId="201F4B27" w14:textId="77777777" w:rsidR="004B55DD" w:rsidRPr="00FD048E" w:rsidRDefault="004B55DD" w:rsidP="00554F7B">
            <w:pPr>
              <w:spacing w:after="0" w:line="480" w:lineRule="auto"/>
              <w:jc w:val="center"/>
              <w:rPr>
                <w:rFonts w:cstheme="minorHAnsi"/>
              </w:rPr>
            </w:pPr>
            <w:r w:rsidRPr="00FD048E">
              <w:rPr>
                <w:rFonts w:cstheme="minorHAnsi"/>
                <w:color w:val="000000"/>
              </w:rPr>
              <w:t>0 (0</w:t>
            </w:r>
            <w:r>
              <w:rPr>
                <w:rFonts w:ascii="Arial" w:hAnsi="Arial" w:cs="Arial"/>
              </w:rPr>
              <w:t>·</w:t>
            </w:r>
            <w:r w:rsidRPr="00FD048E">
              <w:rPr>
                <w:rFonts w:cstheme="minorHAnsi"/>
                <w:color w:val="000000"/>
              </w:rPr>
              <w:t>0%)</w:t>
            </w:r>
          </w:p>
        </w:tc>
        <w:tc>
          <w:tcPr>
            <w:tcW w:w="1730" w:type="dxa"/>
            <w:shd w:val="clear" w:color="auto" w:fill="auto"/>
          </w:tcPr>
          <w:p w14:paraId="6B92D9C7" w14:textId="77777777" w:rsidR="004B55DD" w:rsidRPr="00FD048E" w:rsidRDefault="004B55DD" w:rsidP="00554F7B">
            <w:pPr>
              <w:spacing w:after="0" w:line="480" w:lineRule="auto"/>
              <w:jc w:val="center"/>
              <w:rPr>
                <w:rFonts w:cstheme="minorHAnsi"/>
              </w:rPr>
            </w:pPr>
            <w:r w:rsidRPr="00FD048E">
              <w:rPr>
                <w:rFonts w:cstheme="minorHAnsi"/>
                <w:color w:val="000000"/>
              </w:rPr>
              <w:t>0 (0</w:t>
            </w:r>
            <w:r>
              <w:rPr>
                <w:rFonts w:ascii="Arial" w:hAnsi="Arial" w:cs="Arial"/>
              </w:rPr>
              <w:t>·</w:t>
            </w:r>
            <w:r w:rsidRPr="00FD048E">
              <w:rPr>
                <w:rFonts w:cstheme="minorHAnsi"/>
                <w:color w:val="000000"/>
              </w:rPr>
              <w:t>0%)</w:t>
            </w:r>
          </w:p>
        </w:tc>
        <w:tc>
          <w:tcPr>
            <w:tcW w:w="1353" w:type="dxa"/>
          </w:tcPr>
          <w:p w14:paraId="7BB9937C" w14:textId="77777777" w:rsidR="004B55DD" w:rsidRPr="00FD048E" w:rsidRDefault="004B55DD" w:rsidP="00554F7B">
            <w:pPr>
              <w:spacing w:after="0" w:line="480" w:lineRule="auto"/>
              <w:jc w:val="center"/>
              <w:rPr>
                <w:rFonts w:cstheme="minorHAnsi"/>
              </w:rPr>
            </w:pPr>
            <w:r w:rsidRPr="00FD048E">
              <w:rPr>
                <w:rFonts w:cstheme="minorHAnsi"/>
                <w:color w:val="000000"/>
              </w:rPr>
              <w:t>0 (0</w:t>
            </w:r>
            <w:r>
              <w:rPr>
                <w:rFonts w:ascii="Arial" w:hAnsi="Arial" w:cs="Arial"/>
              </w:rPr>
              <w:t>·</w:t>
            </w:r>
            <w:r w:rsidRPr="00FD048E">
              <w:rPr>
                <w:rFonts w:cstheme="minorHAnsi"/>
                <w:color w:val="000000"/>
              </w:rPr>
              <w:t>0%)</w:t>
            </w:r>
          </w:p>
        </w:tc>
        <w:tc>
          <w:tcPr>
            <w:tcW w:w="1354" w:type="dxa"/>
          </w:tcPr>
          <w:p w14:paraId="195C0757" w14:textId="77777777" w:rsidR="004B55DD" w:rsidRPr="00FD048E" w:rsidRDefault="004B55DD" w:rsidP="00554F7B">
            <w:pPr>
              <w:spacing w:after="0" w:line="480" w:lineRule="auto"/>
              <w:jc w:val="center"/>
              <w:rPr>
                <w:rFonts w:cstheme="minorHAnsi"/>
              </w:rPr>
            </w:pPr>
            <w:r w:rsidRPr="00FD048E">
              <w:rPr>
                <w:rFonts w:cstheme="minorHAnsi"/>
              </w:rPr>
              <w:t>1 (5</w:t>
            </w:r>
            <w:r>
              <w:rPr>
                <w:rFonts w:ascii="Arial" w:hAnsi="Arial" w:cs="Arial"/>
              </w:rPr>
              <w:t>·</w:t>
            </w:r>
            <w:r w:rsidRPr="00FD048E">
              <w:rPr>
                <w:rFonts w:cstheme="minorHAnsi"/>
              </w:rPr>
              <w:t>6%)</w:t>
            </w:r>
          </w:p>
        </w:tc>
      </w:tr>
      <w:tr w:rsidR="006B4915" w:rsidRPr="00FD048E" w14:paraId="1CD26599" w14:textId="77777777" w:rsidTr="00235A9C">
        <w:tc>
          <w:tcPr>
            <w:tcW w:w="2170" w:type="dxa"/>
            <w:shd w:val="clear" w:color="auto" w:fill="auto"/>
          </w:tcPr>
          <w:p w14:paraId="5CC0F2D0"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b/>
                <w:bCs/>
                <w:lang w:eastAsia="ar-SA"/>
              </w:rPr>
              <w:t>WHO Score (day 1)</w:t>
            </w:r>
          </w:p>
        </w:tc>
        <w:tc>
          <w:tcPr>
            <w:tcW w:w="1729" w:type="dxa"/>
            <w:shd w:val="clear" w:color="auto" w:fill="auto"/>
          </w:tcPr>
          <w:p w14:paraId="712FF0E6"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57399181"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568FD5B5" w14:textId="77777777" w:rsidR="004B55DD" w:rsidRPr="00FD048E" w:rsidRDefault="004B55DD" w:rsidP="00554F7B">
            <w:pPr>
              <w:spacing w:after="0" w:line="480" w:lineRule="auto"/>
              <w:jc w:val="center"/>
              <w:rPr>
                <w:rFonts w:cstheme="minorHAnsi"/>
              </w:rPr>
            </w:pPr>
          </w:p>
        </w:tc>
        <w:tc>
          <w:tcPr>
            <w:tcW w:w="1353" w:type="dxa"/>
          </w:tcPr>
          <w:p w14:paraId="67066468" w14:textId="77777777" w:rsidR="004B55DD" w:rsidRPr="00FD048E" w:rsidRDefault="004B55DD" w:rsidP="00554F7B">
            <w:pPr>
              <w:spacing w:after="0" w:line="480" w:lineRule="auto"/>
              <w:jc w:val="center"/>
              <w:rPr>
                <w:rFonts w:cstheme="minorHAnsi"/>
              </w:rPr>
            </w:pPr>
          </w:p>
        </w:tc>
        <w:tc>
          <w:tcPr>
            <w:tcW w:w="1354" w:type="dxa"/>
          </w:tcPr>
          <w:p w14:paraId="7B46D9F2" w14:textId="77777777" w:rsidR="004B55DD" w:rsidRPr="00FD048E" w:rsidRDefault="004B55DD" w:rsidP="00554F7B">
            <w:pPr>
              <w:spacing w:after="0" w:line="480" w:lineRule="auto"/>
              <w:jc w:val="center"/>
              <w:rPr>
                <w:rFonts w:cstheme="minorHAnsi"/>
              </w:rPr>
            </w:pPr>
          </w:p>
        </w:tc>
      </w:tr>
      <w:tr w:rsidR="006B4915" w:rsidRPr="00FD048E" w14:paraId="1DC8647D" w14:textId="77777777" w:rsidTr="00235A9C">
        <w:tc>
          <w:tcPr>
            <w:tcW w:w="2170" w:type="dxa"/>
            <w:shd w:val="clear" w:color="auto" w:fill="auto"/>
          </w:tcPr>
          <w:p w14:paraId="4B68CB22"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 xml:space="preserve">   n</w:t>
            </w:r>
          </w:p>
        </w:tc>
        <w:tc>
          <w:tcPr>
            <w:tcW w:w="1729" w:type="dxa"/>
            <w:shd w:val="clear" w:color="auto" w:fill="auto"/>
          </w:tcPr>
          <w:p w14:paraId="0E45A222" w14:textId="77777777" w:rsidR="004B55DD" w:rsidRPr="00FD048E" w:rsidRDefault="004B55DD" w:rsidP="00554F7B">
            <w:pPr>
              <w:spacing w:after="0" w:line="480" w:lineRule="auto"/>
              <w:jc w:val="center"/>
              <w:rPr>
                <w:rFonts w:cstheme="minorHAnsi"/>
              </w:rPr>
            </w:pPr>
            <w:r w:rsidRPr="00FD048E">
              <w:rPr>
                <w:rFonts w:cstheme="minorHAnsi"/>
              </w:rPr>
              <w:t>4</w:t>
            </w:r>
          </w:p>
        </w:tc>
        <w:tc>
          <w:tcPr>
            <w:tcW w:w="1729" w:type="dxa"/>
            <w:shd w:val="clear" w:color="auto" w:fill="auto"/>
          </w:tcPr>
          <w:p w14:paraId="2069B078" w14:textId="77777777" w:rsidR="004B55DD" w:rsidRPr="00FD048E" w:rsidRDefault="004B55DD" w:rsidP="00554F7B">
            <w:pPr>
              <w:spacing w:after="0" w:line="480" w:lineRule="auto"/>
              <w:jc w:val="center"/>
              <w:rPr>
                <w:rFonts w:cstheme="minorHAnsi"/>
              </w:rPr>
            </w:pPr>
            <w:r w:rsidRPr="00FD048E">
              <w:rPr>
                <w:rFonts w:cstheme="minorHAnsi"/>
              </w:rPr>
              <w:t>4</w:t>
            </w:r>
          </w:p>
        </w:tc>
        <w:tc>
          <w:tcPr>
            <w:tcW w:w="1730" w:type="dxa"/>
            <w:shd w:val="clear" w:color="auto" w:fill="auto"/>
          </w:tcPr>
          <w:p w14:paraId="11A3B554" w14:textId="77777777" w:rsidR="004B55DD" w:rsidRPr="00FD048E" w:rsidRDefault="004B55DD" w:rsidP="00554F7B">
            <w:pPr>
              <w:spacing w:after="0" w:line="480" w:lineRule="auto"/>
              <w:jc w:val="center"/>
              <w:rPr>
                <w:rFonts w:cstheme="minorHAnsi"/>
              </w:rPr>
            </w:pPr>
            <w:r w:rsidRPr="00FD048E">
              <w:rPr>
                <w:rFonts w:cstheme="minorHAnsi"/>
              </w:rPr>
              <w:t>4</w:t>
            </w:r>
          </w:p>
        </w:tc>
        <w:tc>
          <w:tcPr>
            <w:tcW w:w="1353" w:type="dxa"/>
          </w:tcPr>
          <w:p w14:paraId="507000CD" w14:textId="77777777" w:rsidR="004B55DD" w:rsidRPr="00FD048E" w:rsidRDefault="004B55DD" w:rsidP="00554F7B">
            <w:pPr>
              <w:spacing w:after="0" w:line="480" w:lineRule="auto"/>
              <w:jc w:val="center"/>
              <w:rPr>
                <w:rFonts w:cstheme="minorHAnsi"/>
              </w:rPr>
            </w:pPr>
            <w:r w:rsidRPr="00FD048E">
              <w:rPr>
                <w:rFonts w:cstheme="minorHAnsi"/>
              </w:rPr>
              <w:t>6</w:t>
            </w:r>
          </w:p>
        </w:tc>
        <w:tc>
          <w:tcPr>
            <w:tcW w:w="1354" w:type="dxa"/>
          </w:tcPr>
          <w:p w14:paraId="73DB9588" w14:textId="77777777" w:rsidR="004B55DD" w:rsidRPr="00FD048E" w:rsidRDefault="004B55DD" w:rsidP="00554F7B">
            <w:pPr>
              <w:spacing w:after="0" w:line="480" w:lineRule="auto"/>
              <w:jc w:val="center"/>
              <w:rPr>
                <w:rFonts w:cstheme="minorHAnsi"/>
              </w:rPr>
            </w:pPr>
            <w:r w:rsidRPr="00FD048E">
              <w:rPr>
                <w:rFonts w:cstheme="minorHAnsi"/>
              </w:rPr>
              <w:t>18</w:t>
            </w:r>
          </w:p>
        </w:tc>
      </w:tr>
      <w:tr w:rsidR="006B4915" w:rsidRPr="00FD048E" w14:paraId="5BD576EF" w14:textId="77777777" w:rsidTr="00235A9C">
        <w:tc>
          <w:tcPr>
            <w:tcW w:w="2170" w:type="dxa"/>
            <w:shd w:val="clear" w:color="auto" w:fill="auto"/>
          </w:tcPr>
          <w:p w14:paraId="27C34710"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 xml:space="preserve">   Median </w:t>
            </w:r>
          </w:p>
        </w:tc>
        <w:tc>
          <w:tcPr>
            <w:tcW w:w="1729" w:type="dxa"/>
            <w:shd w:val="clear" w:color="auto" w:fill="auto"/>
          </w:tcPr>
          <w:p w14:paraId="0989EFC2" w14:textId="77777777" w:rsidR="004B55DD" w:rsidRPr="00FD048E" w:rsidRDefault="004B55DD" w:rsidP="00554F7B">
            <w:pPr>
              <w:spacing w:after="0" w:line="480" w:lineRule="auto"/>
              <w:jc w:val="center"/>
              <w:rPr>
                <w:rFonts w:cstheme="minorHAnsi"/>
              </w:rPr>
            </w:pPr>
            <w:r w:rsidRPr="00FD048E">
              <w:rPr>
                <w:rFonts w:cstheme="minorHAnsi"/>
              </w:rPr>
              <w:t>1</w:t>
            </w:r>
            <w:r>
              <w:rPr>
                <w:rFonts w:ascii="Arial" w:hAnsi="Arial" w:cs="Arial"/>
              </w:rPr>
              <w:t>·</w:t>
            </w:r>
            <w:r w:rsidRPr="00FD048E">
              <w:rPr>
                <w:rFonts w:cstheme="minorHAnsi"/>
              </w:rPr>
              <w:t>5</w:t>
            </w:r>
          </w:p>
        </w:tc>
        <w:tc>
          <w:tcPr>
            <w:tcW w:w="1729" w:type="dxa"/>
            <w:shd w:val="clear" w:color="auto" w:fill="auto"/>
          </w:tcPr>
          <w:p w14:paraId="0BBF88C5" w14:textId="77777777" w:rsidR="004B55DD" w:rsidRPr="00FD048E" w:rsidRDefault="004B55DD" w:rsidP="00554F7B">
            <w:pPr>
              <w:spacing w:after="0" w:line="480" w:lineRule="auto"/>
              <w:jc w:val="center"/>
              <w:rPr>
                <w:rFonts w:cstheme="minorHAnsi"/>
              </w:rPr>
            </w:pPr>
            <w:r w:rsidRPr="00FD048E">
              <w:rPr>
                <w:rFonts w:cstheme="minorHAnsi"/>
              </w:rPr>
              <w:t>2</w:t>
            </w:r>
          </w:p>
        </w:tc>
        <w:tc>
          <w:tcPr>
            <w:tcW w:w="1730" w:type="dxa"/>
            <w:shd w:val="clear" w:color="auto" w:fill="auto"/>
          </w:tcPr>
          <w:p w14:paraId="4DEEB63F" w14:textId="77777777" w:rsidR="004B55DD" w:rsidRPr="00FD048E" w:rsidRDefault="004B55DD" w:rsidP="00554F7B">
            <w:pPr>
              <w:spacing w:after="0" w:line="480" w:lineRule="auto"/>
              <w:jc w:val="center"/>
              <w:rPr>
                <w:rFonts w:cstheme="minorHAnsi"/>
              </w:rPr>
            </w:pPr>
            <w:r w:rsidRPr="00FD048E">
              <w:rPr>
                <w:rFonts w:cstheme="minorHAnsi"/>
              </w:rPr>
              <w:t>2</w:t>
            </w:r>
          </w:p>
        </w:tc>
        <w:tc>
          <w:tcPr>
            <w:tcW w:w="1353" w:type="dxa"/>
          </w:tcPr>
          <w:p w14:paraId="59D27011" w14:textId="77777777" w:rsidR="004B55DD" w:rsidRPr="00FD048E" w:rsidRDefault="004B55DD" w:rsidP="00554F7B">
            <w:pPr>
              <w:spacing w:after="0" w:line="480" w:lineRule="auto"/>
              <w:jc w:val="center"/>
              <w:rPr>
                <w:rFonts w:cstheme="minorHAnsi"/>
              </w:rPr>
            </w:pPr>
            <w:r w:rsidRPr="00FD048E">
              <w:rPr>
                <w:rFonts w:cstheme="minorHAnsi"/>
              </w:rPr>
              <w:t>1</w:t>
            </w:r>
            <w:r>
              <w:rPr>
                <w:rFonts w:ascii="Arial" w:hAnsi="Arial" w:cs="Arial"/>
              </w:rPr>
              <w:t>·</w:t>
            </w:r>
            <w:r w:rsidRPr="00FD048E">
              <w:rPr>
                <w:rFonts w:cstheme="minorHAnsi"/>
              </w:rPr>
              <w:t>5</w:t>
            </w:r>
          </w:p>
        </w:tc>
        <w:tc>
          <w:tcPr>
            <w:tcW w:w="1354" w:type="dxa"/>
          </w:tcPr>
          <w:p w14:paraId="79222C91" w14:textId="77777777" w:rsidR="004B55DD" w:rsidRPr="00FD048E" w:rsidRDefault="004B55DD" w:rsidP="00554F7B">
            <w:pPr>
              <w:spacing w:after="0" w:line="480" w:lineRule="auto"/>
              <w:jc w:val="center"/>
              <w:rPr>
                <w:rFonts w:cstheme="minorHAnsi"/>
              </w:rPr>
            </w:pPr>
            <w:r w:rsidRPr="00FD048E">
              <w:rPr>
                <w:rFonts w:cstheme="minorHAnsi"/>
              </w:rPr>
              <w:t>2</w:t>
            </w:r>
          </w:p>
        </w:tc>
      </w:tr>
      <w:tr w:rsidR="006B4915" w:rsidRPr="00FD048E" w14:paraId="22C0EE3E" w14:textId="77777777" w:rsidTr="00235A9C">
        <w:tc>
          <w:tcPr>
            <w:tcW w:w="2170" w:type="dxa"/>
            <w:shd w:val="clear" w:color="auto" w:fill="auto"/>
          </w:tcPr>
          <w:p w14:paraId="459F4B2E"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 xml:space="preserve">   Range</w:t>
            </w:r>
          </w:p>
        </w:tc>
        <w:tc>
          <w:tcPr>
            <w:tcW w:w="1729" w:type="dxa"/>
            <w:shd w:val="clear" w:color="auto" w:fill="auto"/>
          </w:tcPr>
          <w:p w14:paraId="0B13F696" w14:textId="77777777" w:rsidR="004B55DD" w:rsidRPr="00FD048E" w:rsidRDefault="004B55DD" w:rsidP="00554F7B">
            <w:pPr>
              <w:spacing w:after="0" w:line="480" w:lineRule="auto"/>
              <w:jc w:val="center"/>
              <w:rPr>
                <w:rFonts w:cstheme="minorHAnsi"/>
              </w:rPr>
            </w:pPr>
            <w:r w:rsidRPr="00FD048E">
              <w:rPr>
                <w:rFonts w:cstheme="minorHAnsi"/>
              </w:rPr>
              <w:t>1 to 3</w:t>
            </w:r>
          </w:p>
        </w:tc>
        <w:tc>
          <w:tcPr>
            <w:tcW w:w="1729" w:type="dxa"/>
            <w:shd w:val="clear" w:color="auto" w:fill="auto"/>
          </w:tcPr>
          <w:p w14:paraId="17E787ED" w14:textId="77777777" w:rsidR="004B55DD" w:rsidRPr="00FD048E" w:rsidRDefault="004B55DD" w:rsidP="00554F7B">
            <w:pPr>
              <w:spacing w:after="0" w:line="480" w:lineRule="auto"/>
              <w:jc w:val="center"/>
              <w:rPr>
                <w:rFonts w:cstheme="minorHAnsi"/>
              </w:rPr>
            </w:pPr>
            <w:r w:rsidRPr="00FD048E">
              <w:rPr>
                <w:rFonts w:cstheme="minorHAnsi"/>
              </w:rPr>
              <w:t>2 to 2</w:t>
            </w:r>
          </w:p>
        </w:tc>
        <w:tc>
          <w:tcPr>
            <w:tcW w:w="1730" w:type="dxa"/>
            <w:shd w:val="clear" w:color="auto" w:fill="auto"/>
          </w:tcPr>
          <w:p w14:paraId="285641C0" w14:textId="77777777" w:rsidR="004B55DD" w:rsidRPr="00FD048E" w:rsidRDefault="004B55DD" w:rsidP="00554F7B">
            <w:pPr>
              <w:spacing w:after="0" w:line="480" w:lineRule="auto"/>
              <w:jc w:val="center"/>
              <w:rPr>
                <w:rFonts w:cstheme="minorHAnsi"/>
              </w:rPr>
            </w:pPr>
            <w:r w:rsidRPr="00FD048E">
              <w:rPr>
                <w:rFonts w:cstheme="minorHAnsi"/>
              </w:rPr>
              <w:t>1 to 2</w:t>
            </w:r>
          </w:p>
        </w:tc>
        <w:tc>
          <w:tcPr>
            <w:tcW w:w="1353" w:type="dxa"/>
          </w:tcPr>
          <w:p w14:paraId="10253480" w14:textId="77777777" w:rsidR="004B55DD" w:rsidRPr="00FD048E" w:rsidRDefault="004B55DD" w:rsidP="00554F7B">
            <w:pPr>
              <w:spacing w:after="0" w:line="480" w:lineRule="auto"/>
              <w:jc w:val="center"/>
              <w:rPr>
                <w:rFonts w:cstheme="minorHAnsi"/>
              </w:rPr>
            </w:pPr>
            <w:r w:rsidRPr="00FD048E">
              <w:rPr>
                <w:rFonts w:cstheme="minorHAnsi"/>
              </w:rPr>
              <w:t>1 to 2</w:t>
            </w:r>
          </w:p>
        </w:tc>
        <w:tc>
          <w:tcPr>
            <w:tcW w:w="1354" w:type="dxa"/>
          </w:tcPr>
          <w:p w14:paraId="7E5BCC7E" w14:textId="77777777" w:rsidR="004B55DD" w:rsidRPr="00FD048E" w:rsidRDefault="004B55DD" w:rsidP="00554F7B">
            <w:pPr>
              <w:spacing w:after="0" w:line="480" w:lineRule="auto"/>
              <w:jc w:val="center"/>
              <w:rPr>
                <w:rFonts w:cstheme="minorHAnsi"/>
              </w:rPr>
            </w:pPr>
            <w:r w:rsidRPr="00FD048E">
              <w:rPr>
                <w:rFonts w:cstheme="minorHAnsi"/>
              </w:rPr>
              <w:t>1 to 3</w:t>
            </w:r>
          </w:p>
        </w:tc>
      </w:tr>
      <w:tr w:rsidR="006B4915" w:rsidRPr="00FD048E" w14:paraId="315E0F38" w14:textId="77777777" w:rsidTr="00235A9C">
        <w:tc>
          <w:tcPr>
            <w:tcW w:w="2170" w:type="dxa"/>
            <w:shd w:val="clear" w:color="auto" w:fill="auto"/>
          </w:tcPr>
          <w:p w14:paraId="5E808CB9"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b/>
                <w:bCs/>
                <w:lang w:eastAsia="ar-SA"/>
              </w:rPr>
              <w:t>NEWS2 Score (day 1)</w:t>
            </w:r>
          </w:p>
        </w:tc>
        <w:tc>
          <w:tcPr>
            <w:tcW w:w="1729" w:type="dxa"/>
            <w:shd w:val="clear" w:color="auto" w:fill="auto"/>
          </w:tcPr>
          <w:p w14:paraId="04A38B00"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111820CC"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65AEE283" w14:textId="77777777" w:rsidR="004B55DD" w:rsidRPr="00FD048E" w:rsidRDefault="004B55DD" w:rsidP="00554F7B">
            <w:pPr>
              <w:spacing w:after="0" w:line="480" w:lineRule="auto"/>
              <w:jc w:val="center"/>
              <w:rPr>
                <w:rFonts w:cstheme="minorHAnsi"/>
              </w:rPr>
            </w:pPr>
          </w:p>
        </w:tc>
        <w:tc>
          <w:tcPr>
            <w:tcW w:w="1353" w:type="dxa"/>
          </w:tcPr>
          <w:p w14:paraId="0134A278" w14:textId="77777777" w:rsidR="004B55DD" w:rsidRPr="00FD048E" w:rsidRDefault="004B55DD" w:rsidP="00554F7B">
            <w:pPr>
              <w:spacing w:after="0" w:line="480" w:lineRule="auto"/>
              <w:jc w:val="center"/>
              <w:rPr>
                <w:rFonts w:cstheme="minorHAnsi"/>
              </w:rPr>
            </w:pPr>
          </w:p>
        </w:tc>
        <w:tc>
          <w:tcPr>
            <w:tcW w:w="1354" w:type="dxa"/>
          </w:tcPr>
          <w:p w14:paraId="5B499821" w14:textId="77777777" w:rsidR="004B55DD" w:rsidRPr="00FD048E" w:rsidRDefault="004B55DD" w:rsidP="00554F7B">
            <w:pPr>
              <w:spacing w:after="0" w:line="480" w:lineRule="auto"/>
              <w:jc w:val="center"/>
              <w:rPr>
                <w:rFonts w:cstheme="minorHAnsi"/>
              </w:rPr>
            </w:pPr>
          </w:p>
        </w:tc>
      </w:tr>
      <w:tr w:rsidR="006B4915" w:rsidRPr="00FD048E" w14:paraId="67C4BCFC" w14:textId="77777777" w:rsidTr="00235A9C">
        <w:tc>
          <w:tcPr>
            <w:tcW w:w="2170" w:type="dxa"/>
            <w:shd w:val="clear" w:color="auto" w:fill="auto"/>
          </w:tcPr>
          <w:p w14:paraId="007AA580" w14:textId="77777777" w:rsidR="004B55DD" w:rsidRPr="00FD048E" w:rsidRDefault="004B55DD" w:rsidP="00554F7B">
            <w:pPr>
              <w:suppressAutoHyphens/>
              <w:snapToGrid w:val="0"/>
              <w:spacing w:after="0" w:line="480" w:lineRule="auto"/>
              <w:ind w:left="144"/>
              <w:rPr>
                <w:rFonts w:cstheme="minorHAnsi"/>
                <w:color w:val="000000"/>
              </w:rPr>
            </w:pPr>
            <w:r w:rsidRPr="00FD048E">
              <w:rPr>
                <w:rFonts w:cstheme="minorHAnsi"/>
                <w:lang w:eastAsia="ar-SA"/>
              </w:rPr>
              <w:t xml:space="preserve">   n</w:t>
            </w:r>
          </w:p>
        </w:tc>
        <w:tc>
          <w:tcPr>
            <w:tcW w:w="1729" w:type="dxa"/>
            <w:shd w:val="clear" w:color="auto" w:fill="auto"/>
          </w:tcPr>
          <w:p w14:paraId="7C2BBDEB"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4</w:t>
            </w:r>
          </w:p>
        </w:tc>
        <w:tc>
          <w:tcPr>
            <w:tcW w:w="1729" w:type="dxa"/>
            <w:shd w:val="clear" w:color="auto" w:fill="auto"/>
          </w:tcPr>
          <w:p w14:paraId="3521D6D6"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4</w:t>
            </w:r>
          </w:p>
        </w:tc>
        <w:tc>
          <w:tcPr>
            <w:tcW w:w="1730" w:type="dxa"/>
            <w:shd w:val="clear" w:color="auto" w:fill="auto"/>
          </w:tcPr>
          <w:p w14:paraId="6E3B957F"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4</w:t>
            </w:r>
          </w:p>
        </w:tc>
        <w:tc>
          <w:tcPr>
            <w:tcW w:w="1353" w:type="dxa"/>
          </w:tcPr>
          <w:p w14:paraId="7EE32D75"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6</w:t>
            </w:r>
          </w:p>
        </w:tc>
        <w:tc>
          <w:tcPr>
            <w:tcW w:w="1354" w:type="dxa"/>
          </w:tcPr>
          <w:p w14:paraId="6C53D950" w14:textId="77777777" w:rsidR="004B55DD" w:rsidRPr="00FD048E" w:rsidRDefault="004B55DD" w:rsidP="00554F7B">
            <w:pPr>
              <w:spacing w:after="0" w:line="480" w:lineRule="auto"/>
              <w:jc w:val="center"/>
              <w:rPr>
                <w:rFonts w:cstheme="minorHAnsi"/>
              </w:rPr>
            </w:pPr>
            <w:r w:rsidRPr="00FD048E">
              <w:rPr>
                <w:rFonts w:cstheme="minorHAnsi"/>
              </w:rPr>
              <w:t>18</w:t>
            </w:r>
          </w:p>
        </w:tc>
      </w:tr>
      <w:tr w:rsidR="006B4915" w:rsidRPr="00FD048E" w14:paraId="54E3A225" w14:textId="77777777" w:rsidTr="00235A9C">
        <w:tc>
          <w:tcPr>
            <w:tcW w:w="2170" w:type="dxa"/>
            <w:shd w:val="clear" w:color="auto" w:fill="auto"/>
          </w:tcPr>
          <w:p w14:paraId="0192F12F" w14:textId="77777777" w:rsidR="004B55DD" w:rsidRPr="00FD048E" w:rsidRDefault="004B55DD" w:rsidP="00554F7B">
            <w:pPr>
              <w:suppressAutoHyphens/>
              <w:snapToGrid w:val="0"/>
              <w:spacing w:after="0" w:line="480" w:lineRule="auto"/>
              <w:ind w:left="144"/>
              <w:rPr>
                <w:rFonts w:cstheme="minorHAnsi"/>
                <w:color w:val="000000"/>
              </w:rPr>
            </w:pPr>
            <w:r w:rsidRPr="00FD048E">
              <w:rPr>
                <w:rFonts w:cstheme="minorHAnsi"/>
                <w:lang w:eastAsia="ar-SA"/>
              </w:rPr>
              <w:t xml:space="preserve">   Median </w:t>
            </w:r>
          </w:p>
        </w:tc>
        <w:tc>
          <w:tcPr>
            <w:tcW w:w="1729" w:type="dxa"/>
            <w:shd w:val="clear" w:color="auto" w:fill="auto"/>
          </w:tcPr>
          <w:p w14:paraId="7D3B3F2F"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0</w:t>
            </w:r>
          </w:p>
        </w:tc>
        <w:tc>
          <w:tcPr>
            <w:tcW w:w="1729" w:type="dxa"/>
            <w:shd w:val="clear" w:color="auto" w:fill="auto"/>
          </w:tcPr>
          <w:p w14:paraId="64F3E73C"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0</w:t>
            </w:r>
          </w:p>
        </w:tc>
        <w:tc>
          <w:tcPr>
            <w:tcW w:w="1730" w:type="dxa"/>
            <w:shd w:val="clear" w:color="auto" w:fill="auto"/>
          </w:tcPr>
          <w:p w14:paraId="7BFAC33B"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0.5</w:t>
            </w:r>
          </w:p>
        </w:tc>
        <w:tc>
          <w:tcPr>
            <w:tcW w:w="1353" w:type="dxa"/>
          </w:tcPr>
          <w:p w14:paraId="5E20B7DA"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0</w:t>
            </w:r>
          </w:p>
        </w:tc>
        <w:tc>
          <w:tcPr>
            <w:tcW w:w="1354" w:type="dxa"/>
          </w:tcPr>
          <w:p w14:paraId="283A0522" w14:textId="77777777" w:rsidR="004B55DD" w:rsidRPr="00FD048E" w:rsidRDefault="004B55DD" w:rsidP="00554F7B">
            <w:pPr>
              <w:spacing w:after="0" w:line="480" w:lineRule="auto"/>
              <w:jc w:val="center"/>
              <w:rPr>
                <w:rFonts w:cstheme="minorHAnsi"/>
              </w:rPr>
            </w:pPr>
            <w:r w:rsidRPr="00FD048E">
              <w:rPr>
                <w:rFonts w:cstheme="minorHAnsi"/>
              </w:rPr>
              <w:t>0</w:t>
            </w:r>
          </w:p>
        </w:tc>
      </w:tr>
      <w:tr w:rsidR="006B4915" w:rsidRPr="00FD048E" w14:paraId="19E7401F" w14:textId="77777777" w:rsidTr="00235A9C">
        <w:tc>
          <w:tcPr>
            <w:tcW w:w="2170" w:type="dxa"/>
            <w:shd w:val="clear" w:color="auto" w:fill="auto"/>
          </w:tcPr>
          <w:p w14:paraId="3BD05982" w14:textId="77777777" w:rsidR="004B55DD" w:rsidRPr="00FD048E" w:rsidRDefault="004B55DD" w:rsidP="00554F7B">
            <w:pPr>
              <w:suppressAutoHyphens/>
              <w:snapToGrid w:val="0"/>
              <w:spacing w:after="0" w:line="480" w:lineRule="auto"/>
              <w:ind w:left="144"/>
              <w:rPr>
                <w:rFonts w:cstheme="minorHAnsi"/>
                <w:color w:val="000000"/>
              </w:rPr>
            </w:pPr>
            <w:r w:rsidRPr="00FD048E">
              <w:rPr>
                <w:rFonts w:cstheme="minorHAnsi"/>
                <w:lang w:eastAsia="ar-SA"/>
              </w:rPr>
              <w:t xml:space="preserve">   Range</w:t>
            </w:r>
          </w:p>
        </w:tc>
        <w:tc>
          <w:tcPr>
            <w:tcW w:w="1729" w:type="dxa"/>
            <w:shd w:val="clear" w:color="auto" w:fill="auto"/>
          </w:tcPr>
          <w:p w14:paraId="43069190"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0 to 1</w:t>
            </w:r>
          </w:p>
        </w:tc>
        <w:tc>
          <w:tcPr>
            <w:tcW w:w="1729" w:type="dxa"/>
            <w:shd w:val="clear" w:color="auto" w:fill="auto"/>
          </w:tcPr>
          <w:p w14:paraId="6E0B2A22"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0 to 0</w:t>
            </w:r>
          </w:p>
        </w:tc>
        <w:tc>
          <w:tcPr>
            <w:tcW w:w="1730" w:type="dxa"/>
            <w:shd w:val="clear" w:color="auto" w:fill="auto"/>
          </w:tcPr>
          <w:p w14:paraId="3D5C5EFA"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0 to 1</w:t>
            </w:r>
          </w:p>
        </w:tc>
        <w:tc>
          <w:tcPr>
            <w:tcW w:w="1353" w:type="dxa"/>
          </w:tcPr>
          <w:p w14:paraId="1BB463C8" w14:textId="77777777" w:rsidR="004B55DD" w:rsidRPr="00FD048E" w:rsidRDefault="004B55DD" w:rsidP="00554F7B">
            <w:pPr>
              <w:spacing w:after="0" w:line="480" w:lineRule="auto"/>
              <w:jc w:val="center"/>
              <w:rPr>
                <w:rFonts w:cstheme="minorHAnsi"/>
                <w:color w:val="000000"/>
              </w:rPr>
            </w:pPr>
            <w:r w:rsidRPr="00FD048E">
              <w:rPr>
                <w:rFonts w:cstheme="minorHAnsi"/>
                <w:color w:val="000000"/>
              </w:rPr>
              <w:t>0 to 0</w:t>
            </w:r>
          </w:p>
        </w:tc>
        <w:tc>
          <w:tcPr>
            <w:tcW w:w="1354" w:type="dxa"/>
          </w:tcPr>
          <w:p w14:paraId="7264A3A7" w14:textId="77777777" w:rsidR="004B55DD" w:rsidRPr="00FD048E" w:rsidRDefault="004B55DD" w:rsidP="00554F7B">
            <w:pPr>
              <w:spacing w:after="0" w:line="480" w:lineRule="auto"/>
              <w:jc w:val="center"/>
              <w:rPr>
                <w:rFonts w:cstheme="minorHAnsi"/>
              </w:rPr>
            </w:pPr>
            <w:r w:rsidRPr="00FD048E">
              <w:rPr>
                <w:rFonts w:cstheme="minorHAnsi"/>
              </w:rPr>
              <w:t>0 to 1</w:t>
            </w:r>
          </w:p>
        </w:tc>
      </w:tr>
      <w:tr w:rsidR="006B4915" w:rsidRPr="00FD048E" w14:paraId="436B158C" w14:textId="77777777" w:rsidTr="00235A9C">
        <w:tc>
          <w:tcPr>
            <w:tcW w:w="2170" w:type="dxa"/>
            <w:shd w:val="clear" w:color="auto" w:fill="auto"/>
          </w:tcPr>
          <w:p w14:paraId="5793A1E1"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b/>
                <w:bCs/>
                <w:lang w:eastAsia="ar-SA"/>
              </w:rPr>
              <w:t>O</w:t>
            </w:r>
            <w:r w:rsidRPr="00FD048E">
              <w:rPr>
                <w:rFonts w:cstheme="minorHAnsi"/>
                <w:b/>
                <w:bCs/>
                <w:vertAlign w:val="subscript"/>
                <w:lang w:eastAsia="ar-SA"/>
              </w:rPr>
              <w:t>2</w:t>
            </w:r>
            <w:r w:rsidRPr="00FD048E">
              <w:rPr>
                <w:rFonts w:cstheme="minorHAnsi"/>
                <w:b/>
                <w:bCs/>
                <w:lang w:eastAsia="ar-SA"/>
              </w:rPr>
              <w:t xml:space="preserve"> Saturation % (day 1)</w:t>
            </w:r>
          </w:p>
        </w:tc>
        <w:tc>
          <w:tcPr>
            <w:tcW w:w="1729" w:type="dxa"/>
            <w:shd w:val="clear" w:color="auto" w:fill="auto"/>
          </w:tcPr>
          <w:p w14:paraId="55B60C8E"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440C78EE"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2D881808" w14:textId="77777777" w:rsidR="004B55DD" w:rsidRPr="00FD048E" w:rsidRDefault="004B55DD" w:rsidP="00554F7B">
            <w:pPr>
              <w:spacing w:after="0" w:line="480" w:lineRule="auto"/>
              <w:jc w:val="center"/>
              <w:rPr>
                <w:rFonts w:cstheme="minorHAnsi"/>
              </w:rPr>
            </w:pPr>
          </w:p>
        </w:tc>
        <w:tc>
          <w:tcPr>
            <w:tcW w:w="1353" w:type="dxa"/>
          </w:tcPr>
          <w:p w14:paraId="590EAF04" w14:textId="77777777" w:rsidR="004B55DD" w:rsidRPr="00FD048E" w:rsidRDefault="004B55DD" w:rsidP="00554F7B">
            <w:pPr>
              <w:spacing w:after="0" w:line="480" w:lineRule="auto"/>
              <w:jc w:val="center"/>
              <w:rPr>
                <w:rFonts w:cstheme="minorHAnsi"/>
              </w:rPr>
            </w:pPr>
          </w:p>
        </w:tc>
        <w:tc>
          <w:tcPr>
            <w:tcW w:w="1354" w:type="dxa"/>
          </w:tcPr>
          <w:p w14:paraId="235D0A91" w14:textId="77777777" w:rsidR="004B55DD" w:rsidRPr="00FD048E" w:rsidRDefault="004B55DD" w:rsidP="00554F7B">
            <w:pPr>
              <w:spacing w:after="0" w:line="480" w:lineRule="auto"/>
              <w:jc w:val="center"/>
              <w:rPr>
                <w:rFonts w:cstheme="minorHAnsi"/>
              </w:rPr>
            </w:pPr>
          </w:p>
        </w:tc>
      </w:tr>
      <w:tr w:rsidR="006B4915" w:rsidRPr="00FD048E" w14:paraId="613E0370" w14:textId="77777777" w:rsidTr="00235A9C">
        <w:tc>
          <w:tcPr>
            <w:tcW w:w="2170" w:type="dxa"/>
            <w:shd w:val="clear" w:color="auto" w:fill="auto"/>
          </w:tcPr>
          <w:p w14:paraId="7E267086"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lang w:eastAsia="ar-SA"/>
              </w:rPr>
              <w:t xml:space="preserve">   n</w:t>
            </w:r>
          </w:p>
        </w:tc>
        <w:tc>
          <w:tcPr>
            <w:tcW w:w="1729" w:type="dxa"/>
            <w:shd w:val="clear" w:color="auto" w:fill="auto"/>
          </w:tcPr>
          <w:p w14:paraId="23B7CEA0" w14:textId="77777777" w:rsidR="004B55DD" w:rsidRPr="00FD048E" w:rsidRDefault="004B55DD" w:rsidP="00554F7B">
            <w:pPr>
              <w:spacing w:after="0" w:line="480" w:lineRule="auto"/>
              <w:jc w:val="center"/>
              <w:rPr>
                <w:rFonts w:cstheme="minorHAnsi"/>
              </w:rPr>
            </w:pPr>
            <w:r w:rsidRPr="00FD048E">
              <w:rPr>
                <w:rFonts w:cstheme="minorHAnsi"/>
              </w:rPr>
              <w:t>4</w:t>
            </w:r>
          </w:p>
        </w:tc>
        <w:tc>
          <w:tcPr>
            <w:tcW w:w="1729" w:type="dxa"/>
            <w:shd w:val="clear" w:color="auto" w:fill="auto"/>
          </w:tcPr>
          <w:p w14:paraId="5D7E9309" w14:textId="77777777" w:rsidR="004B55DD" w:rsidRPr="00FD048E" w:rsidRDefault="004B55DD" w:rsidP="00554F7B">
            <w:pPr>
              <w:spacing w:after="0" w:line="480" w:lineRule="auto"/>
              <w:jc w:val="center"/>
              <w:rPr>
                <w:rFonts w:cstheme="minorHAnsi"/>
              </w:rPr>
            </w:pPr>
            <w:r w:rsidRPr="00FD048E">
              <w:rPr>
                <w:rFonts w:cstheme="minorHAnsi"/>
              </w:rPr>
              <w:t>4</w:t>
            </w:r>
          </w:p>
        </w:tc>
        <w:tc>
          <w:tcPr>
            <w:tcW w:w="1730" w:type="dxa"/>
            <w:shd w:val="clear" w:color="auto" w:fill="auto"/>
          </w:tcPr>
          <w:p w14:paraId="5BDBA1FA" w14:textId="77777777" w:rsidR="004B55DD" w:rsidRPr="00FD048E" w:rsidRDefault="004B55DD" w:rsidP="00554F7B">
            <w:pPr>
              <w:spacing w:after="0" w:line="480" w:lineRule="auto"/>
              <w:jc w:val="center"/>
              <w:rPr>
                <w:rFonts w:cstheme="minorHAnsi"/>
              </w:rPr>
            </w:pPr>
            <w:r w:rsidRPr="00FD048E">
              <w:rPr>
                <w:rFonts w:cstheme="minorHAnsi"/>
              </w:rPr>
              <w:t>4</w:t>
            </w:r>
          </w:p>
        </w:tc>
        <w:tc>
          <w:tcPr>
            <w:tcW w:w="1353" w:type="dxa"/>
          </w:tcPr>
          <w:p w14:paraId="13E1C844" w14:textId="77777777" w:rsidR="004B55DD" w:rsidRPr="00FD048E" w:rsidRDefault="004B55DD" w:rsidP="00554F7B">
            <w:pPr>
              <w:spacing w:after="0" w:line="480" w:lineRule="auto"/>
              <w:jc w:val="center"/>
              <w:rPr>
                <w:rFonts w:cstheme="minorHAnsi"/>
              </w:rPr>
            </w:pPr>
            <w:r w:rsidRPr="00FD048E">
              <w:rPr>
                <w:rFonts w:cstheme="minorHAnsi"/>
              </w:rPr>
              <w:t>6</w:t>
            </w:r>
          </w:p>
        </w:tc>
        <w:tc>
          <w:tcPr>
            <w:tcW w:w="1354" w:type="dxa"/>
          </w:tcPr>
          <w:p w14:paraId="57CCA760" w14:textId="77777777" w:rsidR="004B55DD" w:rsidRPr="00FD048E" w:rsidRDefault="004B55DD" w:rsidP="00554F7B">
            <w:pPr>
              <w:spacing w:after="0" w:line="480" w:lineRule="auto"/>
              <w:jc w:val="center"/>
              <w:rPr>
                <w:rFonts w:cstheme="minorHAnsi"/>
              </w:rPr>
            </w:pPr>
            <w:r w:rsidRPr="00FD048E">
              <w:rPr>
                <w:rFonts w:cstheme="minorHAnsi"/>
              </w:rPr>
              <w:t>18</w:t>
            </w:r>
          </w:p>
        </w:tc>
      </w:tr>
      <w:tr w:rsidR="006B4915" w:rsidRPr="00FD048E" w14:paraId="03F6DFCE" w14:textId="77777777" w:rsidTr="00235A9C">
        <w:tc>
          <w:tcPr>
            <w:tcW w:w="2170" w:type="dxa"/>
            <w:shd w:val="clear" w:color="auto" w:fill="auto"/>
          </w:tcPr>
          <w:p w14:paraId="2316B94E"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lang w:eastAsia="ar-SA"/>
              </w:rPr>
              <w:t xml:space="preserve">   Median </w:t>
            </w:r>
          </w:p>
        </w:tc>
        <w:tc>
          <w:tcPr>
            <w:tcW w:w="1729" w:type="dxa"/>
            <w:shd w:val="clear" w:color="auto" w:fill="auto"/>
          </w:tcPr>
          <w:p w14:paraId="39CFA21A" w14:textId="77777777" w:rsidR="004B55DD" w:rsidRPr="00FD048E" w:rsidRDefault="004B55DD" w:rsidP="00554F7B">
            <w:pPr>
              <w:spacing w:after="0" w:line="480" w:lineRule="auto"/>
              <w:jc w:val="center"/>
              <w:rPr>
                <w:rFonts w:cstheme="minorHAnsi"/>
              </w:rPr>
            </w:pPr>
            <w:r w:rsidRPr="00FD048E">
              <w:rPr>
                <w:rFonts w:cstheme="minorHAnsi"/>
              </w:rPr>
              <w:t>97</w:t>
            </w:r>
            <w:r>
              <w:rPr>
                <w:rFonts w:ascii="Arial" w:hAnsi="Arial" w:cs="Arial"/>
              </w:rPr>
              <w:t>·</w:t>
            </w:r>
            <w:r w:rsidRPr="00FD048E">
              <w:rPr>
                <w:rFonts w:cstheme="minorHAnsi"/>
              </w:rPr>
              <w:t>5</w:t>
            </w:r>
          </w:p>
        </w:tc>
        <w:tc>
          <w:tcPr>
            <w:tcW w:w="1729" w:type="dxa"/>
            <w:shd w:val="clear" w:color="auto" w:fill="auto"/>
          </w:tcPr>
          <w:p w14:paraId="6D8AA532" w14:textId="77777777" w:rsidR="004B55DD" w:rsidRPr="00FD048E" w:rsidRDefault="004B55DD" w:rsidP="00554F7B">
            <w:pPr>
              <w:spacing w:after="0" w:line="480" w:lineRule="auto"/>
              <w:jc w:val="center"/>
              <w:rPr>
                <w:rFonts w:cstheme="minorHAnsi"/>
              </w:rPr>
            </w:pPr>
            <w:r w:rsidRPr="00FD048E">
              <w:rPr>
                <w:rFonts w:cstheme="minorHAnsi"/>
              </w:rPr>
              <w:t>96</w:t>
            </w:r>
            <w:r>
              <w:rPr>
                <w:rFonts w:ascii="Arial" w:hAnsi="Arial" w:cs="Arial"/>
              </w:rPr>
              <w:t>·</w:t>
            </w:r>
            <w:r w:rsidRPr="00FD048E">
              <w:rPr>
                <w:rFonts w:cstheme="minorHAnsi"/>
              </w:rPr>
              <w:t>5</w:t>
            </w:r>
          </w:p>
        </w:tc>
        <w:tc>
          <w:tcPr>
            <w:tcW w:w="1730" w:type="dxa"/>
            <w:shd w:val="clear" w:color="auto" w:fill="auto"/>
          </w:tcPr>
          <w:p w14:paraId="7AF062A0" w14:textId="77777777" w:rsidR="004B55DD" w:rsidRPr="00FD048E" w:rsidRDefault="004B55DD" w:rsidP="00554F7B">
            <w:pPr>
              <w:spacing w:after="0" w:line="480" w:lineRule="auto"/>
              <w:jc w:val="center"/>
              <w:rPr>
                <w:rFonts w:cstheme="minorHAnsi"/>
              </w:rPr>
            </w:pPr>
            <w:r w:rsidRPr="00FD048E">
              <w:rPr>
                <w:rFonts w:cstheme="minorHAnsi"/>
              </w:rPr>
              <w:t>99</w:t>
            </w:r>
            <w:r>
              <w:rPr>
                <w:rFonts w:ascii="Arial" w:hAnsi="Arial" w:cs="Arial"/>
              </w:rPr>
              <w:t>·</w:t>
            </w:r>
            <w:r w:rsidRPr="00FD048E">
              <w:rPr>
                <w:rFonts w:cstheme="minorHAnsi"/>
              </w:rPr>
              <w:t>0</w:t>
            </w:r>
          </w:p>
        </w:tc>
        <w:tc>
          <w:tcPr>
            <w:tcW w:w="1353" w:type="dxa"/>
          </w:tcPr>
          <w:p w14:paraId="730490E1" w14:textId="77777777" w:rsidR="004B55DD" w:rsidRPr="00FD048E" w:rsidRDefault="004B55DD" w:rsidP="00554F7B">
            <w:pPr>
              <w:spacing w:after="0" w:line="480" w:lineRule="auto"/>
              <w:jc w:val="center"/>
              <w:rPr>
                <w:rFonts w:cstheme="minorHAnsi"/>
              </w:rPr>
            </w:pPr>
            <w:r w:rsidRPr="00FD048E">
              <w:rPr>
                <w:rFonts w:cstheme="minorHAnsi"/>
              </w:rPr>
              <w:t>98</w:t>
            </w:r>
            <w:r>
              <w:rPr>
                <w:rFonts w:ascii="Arial" w:hAnsi="Arial" w:cs="Arial"/>
              </w:rPr>
              <w:t>·</w:t>
            </w:r>
            <w:r w:rsidRPr="00FD048E">
              <w:rPr>
                <w:rFonts w:cstheme="minorHAnsi"/>
              </w:rPr>
              <w:t>0</w:t>
            </w:r>
          </w:p>
        </w:tc>
        <w:tc>
          <w:tcPr>
            <w:tcW w:w="1354" w:type="dxa"/>
          </w:tcPr>
          <w:p w14:paraId="1136F237" w14:textId="77777777" w:rsidR="004B55DD" w:rsidRPr="00FD048E" w:rsidRDefault="004B55DD" w:rsidP="00554F7B">
            <w:pPr>
              <w:spacing w:after="0" w:line="480" w:lineRule="auto"/>
              <w:jc w:val="center"/>
              <w:rPr>
                <w:rFonts w:cstheme="minorHAnsi"/>
              </w:rPr>
            </w:pPr>
            <w:r w:rsidRPr="00FD048E">
              <w:rPr>
                <w:rFonts w:cstheme="minorHAnsi"/>
              </w:rPr>
              <w:t>97</w:t>
            </w:r>
            <w:r>
              <w:rPr>
                <w:rFonts w:ascii="Arial" w:hAnsi="Arial" w:cs="Arial"/>
              </w:rPr>
              <w:t>·</w:t>
            </w:r>
            <w:r w:rsidRPr="00FD048E">
              <w:rPr>
                <w:rFonts w:cstheme="minorHAnsi"/>
              </w:rPr>
              <w:t>5</w:t>
            </w:r>
          </w:p>
        </w:tc>
      </w:tr>
      <w:tr w:rsidR="006B4915" w:rsidRPr="00FD048E" w14:paraId="53F6768B" w14:textId="77777777" w:rsidTr="00235A9C">
        <w:tc>
          <w:tcPr>
            <w:tcW w:w="2170" w:type="dxa"/>
            <w:shd w:val="clear" w:color="auto" w:fill="auto"/>
          </w:tcPr>
          <w:p w14:paraId="30F4A1AD"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lang w:eastAsia="ar-SA"/>
              </w:rPr>
              <w:lastRenderedPageBreak/>
              <w:t xml:space="preserve">   Range</w:t>
            </w:r>
          </w:p>
        </w:tc>
        <w:tc>
          <w:tcPr>
            <w:tcW w:w="1729" w:type="dxa"/>
            <w:shd w:val="clear" w:color="auto" w:fill="auto"/>
          </w:tcPr>
          <w:p w14:paraId="33EB3A66" w14:textId="77777777" w:rsidR="004B55DD" w:rsidRPr="00FD048E" w:rsidRDefault="004B55DD" w:rsidP="00554F7B">
            <w:pPr>
              <w:spacing w:after="0" w:line="480" w:lineRule="auto"/>
              <w:jc w:val="center"/>
              <w:rPr>
                <w:rFonts w:cstheme="minorHAnsi"/>
                <w:sz w:val="20"/>
                <w:szCs w:val="20"/>
              </w:rPr>
            </w:pPr>
            <w:r w:rsidRPr="00FD048E">
              <w:rPr>
                <w:rFonts w:cstheme="minorHAnsi"/>
                <w:sz w:val="20"/>
                <w:szCs w:val="20"/>
              </w:rPr>
              <w:t>95</w:t>
            </w:r>
            <w:r>
              <w:rPr>
                <w:rFonts w:ascii="Arial" w:hAnsi="Arial" w:cs="Arial"/>
              </w:rPr>
              <w:t>·</w:t>
            </w:r>
            <w:r w:rsidRPr="00FD048E">
              <w:rPr>
                <w:rFonts w:cstheme="minorHAnsi"/>
                <w:sz w:val="20"/>
                <w:szCs w:val="20"/>
              </w:rPr>
              <w:t>0 to 98</w:t>
            </w:r>
            <w:r>
              <w:rPr>
                <w:rFonts w:ascii="Arial" w:hAnsi="Arial" w:cs="Arial"/>
              </w:rPr>
              <w:t>·</w:t>
            </w:r>
            <w:r w:rsidRPr="00FD048E">
              <w:rPr>
                <w:rFonts w:cstheme="minorHAnsi"/>
                <w:sz w:val="20"/>
                <w:szCs w:val="20"/>
              </w:rPr>
              <w:t>0</w:t>
            </w:r>
          </w:p>
        </w:tc>
        <w:tc>
          <w:tcPr>
            <w:tcW w:w="1729" w:type="dxa"/>
            <w:shd w:val="clear" w:color="auto" w:fill="auto"/>
          </w:tcPr>
          <w:p w14:paraId="622C18A5" w14:textId="77777777" w:rsidR="004B55DD" w:rsidRPr="00FD048E" w:rsidRDefault="004B55DD" w:rsidP="00554F7B">
            <w:pPr>
              <w:spacing w:after="0" w:line="480" w:lineRule="auto"/>
              <w:jc w:val="center"/>
              <w:rPr>
                <w:rFonts w:cstheme="minorHAnsi"/>
                <w:sz w:val="20"/>
                <w:szCs w:val="20"/>
              </w:rPr>
            </w:pPr>
            <w:r w:rsidRPr="00FD048E">
              <w:rPr>
                <w:rFonts w:cstheme="minorHAnsi"/>
                <w:sz w:val="20"/>
                <w:szCs w:val="20"/>
              </w:rPr>
              <w:t>96</w:t>
            </w:r>
            <w:r>
              <w:rPr>
                <w:rFonts w:ascii="Arial" w:hAnsi="Arial" w:cs="Arial"/>
              </w:rPr>
              <w:t>·</w:t>
            </w:r>
            <w:r w:rsidRPr="00FD048E">
              <w:rPr>
                <w:rFonts w:cstheme="minorHAnsi"/>
                <w:sz w:val="20"/>
                <w:szCs w:val="20"/>
              </w:rPr>
              <w:t>0 to 99</w:t>
            </w:r>
            <w:r>
              <w:rPr>
                <w:rFonts w:ascii="Arial" w:hAnsi="Arial" w:cs="Arial"/>
              </w:rPr>
              <w:t>·</w:t>
            </w:r>
            <w:r w:rsidRPr="00FD048E">
              <w:rPr>
                <w:rFonts w:cstheme="minorHAnsi"/>
                <w:sz w:val="20"/>
                <w:szCs w:val="20"/>
              </w:rPr>
              <w:t>0</w:t>
            </w:r>
          </w:p>
        </w:tc>
        <w:tc>
          <w:tcPr>
            <w:tcW w:w="1730" w:type="dxa"/>
            <w:shd w:val="clear" w:color="auto" w:fill="auto"/>
          </w:tcPr>
          <w:p w14:paraId="50BA579E" w14:textId="77777777" w:rsidR="004B55DD" w:rsidRPr="00FD048E" w:rsidRDefault="004B55DD" w:rsidP="00554F7B">
            <w:pPr>
              <w:spacing w:after="0" w:line="480" w:lineRule="auto"/>
              <w:jc w:val="center"/>
              <w:rPr>
                <w:rFonts w:cstheme="minorHAnsi"/>
                <w:sz w:val="20"/>
                <w:szCs w:val="20"/>
              </w:rPr>
            </w:pPr>
            <w:r w:rsidRPr="00FD048E">
              <w:rPr>
                <w:rFonts w:cstheme="minorHAnsi"/>
                <w:sz w:val="20"/>
                <w:szCs w:val="20"/>
              </w:rPr>
              <w:t>95</w:t>
            </w:r>
            <w:r>
              <w:rPr>
                <w:rFonts w:ascii="Arial" w:hAnsi="Arial" w:cs="Arial"/>
              </w:rPr>
              <w:t>·</w:t>
            </w:r>
            <w:r w:rsidRPr="00FD048E">
              <w:rPr>
                <w:rFonts w:cstheme="minorHAnsi"/>
                <w:sz w:val="20"/>
                <w:szCs w:val="20"/>
              </w:rPr>
              <w:t>0 to 100</w:t>
            </w:r>
            <w:r>
              <w:rPr>
                <w:rFonts w:ascii="Arial" w:hAnsi="Arial" w:cs="Arial"/>
              </w:rPr>
              <w:t>·</w:t>
            </w:r>
            <w:r w:rsidRPr="00FD048E">
              <w:rPr>
                <w:rFonts w:cstheme="minorHAnsi"/>
                <w:sz w:val="20"/>
                <w:szCs w:val="20"/>
              </w:rPr>
              <w:t>0</w:t>
            </w:r>
          </w:p>
        </w:tc>
        <w:tc>
          <w:tcPr>
            <w:tcW w:w="1353" w:type="dxa"/>
          </w:tcPr>
          <w:p w14:paraId="17C034E6" w14:textId="77777777" w:rsidR="004B55DD" w:rsidRPr="00FD048E" w:rsidRDefault="004B55DD" w:rsidP="00554F7B">
            <w:pPr>
              <w:spacing w:after="0" w:line="480" w:lineRule="auto"/>
              <w:jc w:val="center"/>
              <w:rPr>
                <w:rFonts w:cstheme="minorHAnsi"/>
                <w:sz w:val="20"/>
                <w:szCs w:val="20"/>
              </w:rPr>
            </w:pPr>
            <w:r w:rsidRPr="00FD048E">
              <w:rPr>
                <w:rFonts w:cstheme="minorHAnsi"/>
                <w:sz w:val="20"/>
                <w:szCs w:val="20"/>
              </w:rPr>
              <w:t>96</w:t>
            </w:r>
            <w:r>
              <w:rPr>
                <w:rFonts w:ascii="Arial" w:hAnsi="Arial" w:cs="Arial"/>
              </w:rPr>
              <w:t>·</w:t>
            </w:r>
            <w:r w:rsidRPr="00FD048E">
              <w:rPr>
                <w:rFonts w:cstheme="minorHAnsi"/>
                <w:sz w:val="20"/>
                <w:szCs w:val="20"/>
              </w:rPr>
              <w:t>0 to 100</w:t>
            </w:r>
            <w:r>
              <w:rPr>
                <w:rFonts w:ascii="Arial" w:hAnsi="Arial" w:cs="Arial"/>
              </w:rPr>
              <w:t>·</w:t>
            </w:r>
            <w:r w:rsidRPr="00FD048E">
              <w:rPr>
                <w:rFonts w:cstheme="minorHAnsi"/>
                <w:sz w:val="20"/>
                <w:szCs w:val="20"/>
              </w:rPr>
              <w:t>0</w:t>
            </w:r>
          </w:p>
        </w:tc>
        <w:tc>
          <w:tcPr>
            <w:tcW w:w="1354" w:type="dxa"/>
          </w:tcPr>
          <w:p w14:paraId="43BA0FA1" w14:textId="77777777" w:rsidR="004B55DD" w:rsidRPr="00FD048E" w:rsidRDefault="004B55DD" w:rsidP="00554F7B">
            <w:pPr>
              <w:spacing w:after="0" w:line="480" w:lineRule="auto"/>
              <w:jc w:val="center"/>
              <w:rPr>
                <w:rFonts w:cstheme="minorHAnsi"/>
                <w:sz w:val="20"/>
                <w:szCs w:val="20"/>
              </w:rPr>
            </w:pPr>
            <w:r w:rsidRPr="00FD048E">
              <w:rPr>
                <w:rFonts w:cstheme="minorHAnsi"/>
                <w:sz w:val="20"/>
                <w:szCs w:val="20"/>
              </w:rPr>
              <w:t>95</w:t>
            </w:r>
            <w:r>
              <w:rPr>
                <w:rFonts w:ascii="Arial" w:hAnsi="Arial" w:cs="Arial"/>
              </w:rPr>
              <w:t>·</w:t>
            </w:r>
            <w:r w:rsidRPr="00FD048E">
              <w:rPr>
                <w:rFonts w:cstheme="minorHAnsi"/>
                <w:sz w:val="20"/>
                <w:szCs w:val="20"/>
              </w:rPr>
              <w:t>0 to 100</w:t>
            </w:r>
          </w:p>
        </w:tc>
      </w:tr>
      <w:tr w:rsidR="006B4915" w:rsidRPr="00FD048E" w14:paraId="776C26D6" w14:textId="77777777" w:rsidTr="00235A9C">
        <w:tc>
          <w:tcPr>
            <w:tcW w:w="2170" w:type="dxa"/>
            <w:shd w:val="clear" w:color="auto" w:fill="auto"/>
          </w:tcPr>
          <w:p w14:paraId="312E9148"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b/>
                <w:bCs/>
                <w:lang w:eastAsia="ar-SA"/>
              </w:rPr>
              <w:t>FLU-PRO total (day 1)</w:t>
            </w:r>
          </w:p>
        </w:tc>
        <w:tc>
          <w:tcPr>
            <w:tcW w:w="1729" w:type="dxa"/>
            <w:shd w:val="clear" w:color="auto" w:fill="auto"/>
          </w:tcPr>
          <w:p w14:paraId="62884860"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214D872F"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3647D6AA" w14:textId="77777777" w:rsidR="004B55DD" w:rsidRPr="00FD048E" w:rsidRDefault="004B55DD" w:rsidP="00554F7B">
            <w:pPr>
              <w:spacing w:after="0" w:line="480" w:lineRule="auto"/>
              <w:jc w:val="center"/>
              <w:rPr>
                <w:rFonts w:cstheme="minorHAnsi"/>
              </w:rPr>
            </w:pPr>
          </w:p>
        </w:tc>
        <w:tc>
          <w:tcPr>
            <w:tcW w:w="1353" w:type="dxa"/>
          </w:tcPr>
          <w:p w14:paraId="7D030142" w14:textId="77777777" w:rsidR="004B55DD" w:rsidRPr="00FD048E" w:rsidRDefault="004B55DD" w:rsidP="00554F7B">
            <w:pPr>
              <w:spacing w:after="0" w:line="480" w:lineRule="auto"/>
              <w:jc w:val="center"/>
              <w:rPr>
                <w:rFonts w:cstheme="minorHAnsi"/>
              </w:rPr>
            </w:pPr>
          </w:p>
        </w:tc>
        <w:tc>
          <w:tcPr>
            <w:tcW w:w="1354" w:type="dxa"/>
          </w:tcPr>
          <w:p w14:paraId="77544872" w14:textId="77777777" w:rsidR="004B55DD" w:rsidRPr="00FD048E" w:rsidRDefault="004B55DD" w:rsidP="00554F7B">
            <w:pPr>
              <w:spacing w:after="0" w:line="480" w:lineRule="auto"/>
              <w:jc w:val="center"/>
              <w:rPr>
                <w:rFonts w:cstheme="minorHAnsi"/>
              </w:rPr>
            </w:pPr>
          </w:p>
        </w:tc>
      </w:tr>
      <w:tr w:rsidR="006B4915" w:rsidRPr="00FD048E" w14:paraId="38F911B2" w14:textId="77777777" w:rsidTr="00235A9C">
        <w:tc>
          <w:tcPr>
            <w:tcW w:w="2170" w:type="dxa"/>
            <w:shd w:val="clear" w:color="auto" w:fill="auto"/>
          </w:tcPr>
          <w:p w14:paraId="0B1ACF77"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 xml:space="preserve">   n</w:t>
            </w:r>
          </w:p>
        </w:tc>
        <w:tc>
          <w:tcPr>
            <w:tcW w:w="1729" w:type="dxa"/>
            <w:shd w:val="clear" w:color="auto" w:fill="auto"/>
          </w:tcPr>
          <w:p w14:paraId="1E95B51D" w14:textId="77777777" w:rsidR="004B55DD" w:rsidRPr="00FD048E" w:rsidRDefault="004B55DD" w:rsidP="00554F7B">
            <w:pPr>
              <w:spacing w:after="0" w:line="480" w:lineRule="auto"/>
              <w:jc w:val="center"/>
              <w:rPr>
                <w:rFonts w:cstheme="minorHAnsi"/>
              </w:rPr>
            </w:pPr>
            <w:r w:rsidRPr="00FD048E">
              <w:rPr>
                <w:rFonts w:cstheme="minorHAnsi"/>
                <w:color w:val="000000"/>
              </w:rPr>
              <w:t>3</w:t>
            </w:r>
          </w:p>
        </w:tc>
        <w:tc>
          <w:tcPr>
            <w:tcW w:w="1729" w:type="dxa"/>
            <w:shd w:val="clear" w:color="auto" w:fill="auto"/>
          </w:tcPr>
          <w:p w14:paraId="7051EBCE" w14:textId="77777777" w:rsidR="004B55DD" w:rsidRPr="00FD048E" w:rsidRDefault="004B55DD" w:rsidP="00554F7B">
            <w:pPr>
              <w:spacing w:after="0" w:line="480" w:lineRule="auto"/>
              <w:jc w:val="center"/>
              <w:rPr>
                <w:rFonts w:cstheme="minorHAnsi"/>
              </w:rPr>
            </w:pPr>
            <w:r w:rsidRPr="00FD048E">
              <w:rPr>
                <w:rFonts w:cstheme="minorHAnsi"/>
                <w:color w:val="000000"/>
              </w:rPr>
              <w:t>4</w:t>
            </w:r>
          </w:p>
        </w:tc>
        <w:tc>
          <w:tcPr>
            <w:tcW w:w="1730" w:type="dxa"/>
            <w:shd w:val="clear" w:color="auto" w:fill="auto"/>
          </w:tcPr>
          <w:p w14:paraId="11D0289D" w14:textId="77777777" w:rsidR="004B55DD" w:rsidRPr="00FD048E" w:rsidRDefault="004B55DD" w:rsidP="00554F7B">
            <w:pPr>
              <w:spacing w:after="0" w:line="480" w:lineRule="auto"/>
              <w:jc w:val="center"/>
              <w:rPr>
                <w:rFonts w:cstheme="minorHAnsi"/>
              </w:rPr>
            </w:pPr>
            <w:r w:rsidRPr="00FD048E">
              <w:rPr>
                <w:rFonts w:cstheme="minorHAnsi"/>
                <w:color w:val="000000"/>
              </w:rPr>
              <w:t>4</w:t>
            </w:r>
          </w:p>
        </w:tc>
        <w:tc>
          <w:tcPr>
            <w:tcW w:w="1353" w:type="dxa"/>
          </w:tcPr>
          <w:p w14:paraId="79B2BC5D" w14:textId="77777777" w:rsidR="004B55DD" w:rsidRPr="00FD048E" w:rsidRDefault="004B55DD" w:rsidP="00554F7B">
            <w:pPr>
              <w:spacing w:after="0" w:line="480" w:lineRule="auto"/>
              <w:jc w:val="center"/>
              <w:rPr>
                <w:rFonts w:cstheme="minorHAnsi"/>
              </w:rPr>
            </w:pPr>
            <w:r w:rsidRPr="00FD048E">
              <w:rPr>
                <w:rFonts w:cstheme="minorHAnsi"/>
                <w:color w:val="000000"/>
              </w:rPr>
              <w:t>6</w:t>
            </w:r>
          </w:p>
        </w:tc>
        <w:tc>
          <w:tcPr>
            <w:tcW w:w="1354" w:type="dxa"/>
          </w:tcPr>
          <w:p w14:paraId="58F137DD" w14:textId="77777777" w:rsidR="004B55DD" w:rsidRPr="00FD048E" w:rsidRDefault="004B55DD" w:rsidP="00554F7B">
            <w:pPr>
              <w:spacing w:after="0" w:line="480" w:lineRule="auto"/>
              <w:jc w:val="center"/>
              <w:rPr>
                <w:rFonts w:cstheme="minorHAnsi"/>
              </w:rPr>
            </w:pPr>
            <w:r w:rsidRPr="00FD048E">
              <w:rPr>
                <w:rFonts w:cstheme="minorHAnsi"/>
              </w:rPr>
              <w:t>17</w:t>
            </w:r>
          </w:p>
        </w:tc>
      </w:tr>
      <w:tr w:rsidR="006B4915" w:rsidRPr="00FD048E" w14:paraId="2A5E97A9" w14:textId="77777777" w:rsidTr="00235A9C">
        <w:tc>
          <w:tcPr>
            <w:tcW w:w="2170" w:type="dxa"/>
            <w:shd w:val="clear" w:color="auto" w:fill="auto"/>
          </w:tcPr>
          <w:p w14:paraId="4628AF88"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 xml:space="preserve">   Median </w:t>
            </w:r>
          </w:p>
        </w:tc>
        <w:tc>
          <w:tcPr>
            <w:tcW w:w="1729" w:type="dxa"/>
            <w:shd w:val="clear" w:color="auto" w:fill="auto"/>
          </w:tcPr>
          <w:p w14:paraId="21E2D464" w14:textId="77777777" w:rsidR="004B55DD" w:rsidRPr="00FD048E" w:rsidRDefault="004B55DD" w:rsidP="00554F7B">
            <w:pPr>
              <w:spacing w:after="0" w:line="480" w:lineRule="auto"/>
              <w:jc w:val="center"/>
              <w:rPr>
                <w:rFonts w:cstheme="minorHAnsi"/>
              </w:rPr>
            </w:pPr>
            <w:r w:rsidRPr="00FD048E">
              <w:rPr>
                <w:rFonts w:cstheme="minorHAnsi"/>
                <w:color w:val="000000"/>
              </w:rPr>
              <w:t>0</w:t>
            </w:r>
            <w:r>
              <w:rPr>
                <w:rFonts w:ascii="Arial" w:hAnsi="Arial" w:cs="Arial"/>
              </w:rPr>
              <w:t>·</w:t>
            </w:r>
            <w:r w:rsidRPr="00FD048E">
              <w:rPr>
                <w:rFonts w:cstheme="minorHAnsi"/>
                <w:color w:val="000000"/>
              </w:rPr>
              <w:t>7</w:t>
            </w:r>
          </w:p>
        </w:tc>
        <w:tc>
          <w:tcPr>
            <w:tcW w:w="1729" w:type="dxa"/>
            <w:shd w:val="clear" w:color="auto" w:fill="auto"/>
          </w:tcPr>
          <w:p w14:paraId="15FACDF5" w14:textId="77777777" w:rsidR="004B55DD" w:rsidRPr="00FD048E" w:rsidRDefault="004B55DD" w:rsidP="00554F7B">
            <w:pPr>
              <w:spacing w:after="0" w:line="480" w:lineRule="auto"/>
              <w:jc w:val="center"/>
              <w:rPr>
                <w:rFonts w:cstheme="minorHAnsi"/>
              </w:rPr>
            </w:pPr>
            <w:r w:rsidRPr="00FD048E">
              <w:rPr>
                <w:rFonts w:cstheme="minorHAnsi"/>
                <w:color w:val="000000"/>
              </w:rPr>
              <w:t>0</w:t>
            </w:r>
            <w:r>
              <w:rPr>
                <w:rFonts w:ascii="Arial" w:hAnsi="Arial" w:cs="Arial"/>
              </w:rPr>
              <w:t>·</w:t>
            </w:r>
            <w:r w:rsidRPr="00FD048E">
              <w:rPr>
                <w:rFonts w:cstheme="minorHAnsi"/>
                <w:color w:val="000000"/>
              </w:rPr>
              <w:t>8</w:t>
            </w:r>
          </w:p>
        </w:tc>
        <w:tc>
          <w:tcPr>
            <w:tcW w:w="1730" w:type="dxa"/>
            <w:shd w:val="clear" w:color="auto" w:fill="auto"/>
          </w:tcPr>
          <w:p w14:paraId="51BBEA5F" w14:textId="77777777" w:rsidR="004B55DD" w:rsidRPr="00FD048E" w:rsidRDefault="004B55DD" w:rsidP="00554F7B">
            <w:pPr>
              <w:spacing w:after="0" w:line="480" w:lineRule="auto"/>
              <w:jc w:val="center"/>
              <w:rPr>
                <w:rFonts w:cstheme="minorHAnsi"/>
              </w:rPr>
            </w:pPr>
            <w:r w:rsidRPr="00FD048E">
              <w:rPr>
                <w:rFonts w:cstheme="minorHAnsi"/>
                <w:color w:val="000000"/>
              </w:rPr>
              <w:t>1</w:t>
            </w:r>
            <w:r>
              <w:rPr>
                <w:rFonts w:ascii="Arial" w:hAnsi="Arial" w:cs="Arial"/>
              </w:rPr>
              <w:t>·</w:t>
            </w:r>
            <w:r w:rsidRPr="00FD048E">
              <w:rPr>
                <w:rFonts w:cstheme="minorHAnsi"/>
                <w:color w:val="000000"/>
              </w:rPr>
              <w:t>0</w:t>
            </w:r>
          </w:p>
        </w:tc>
        <w:tc>
          <w:tcPr>
            <w:tcW w:w="1353" w:type="dxa"/>
          </w:tcPr>
          <w:p w14:paraId="311B2B75" w14:textId="77777777" w:rsidR="004B55DD" w:rsidRPr="00FD048E" w:rsidRDefault="004B55DD" w:rsidP="00554F7B">
            <w:pPr>
              <w:spacing w:after="0" w:line="480" w:lineRule="auto"/>
              <w:jc w:val="center"/>
              <w:rPr>
                <w:rFonts w:cstheme="minorHAnsi"/>
              </w:rPr>
            </w:pPr>
            <w:r w:rsidRPr="00FD048E">
              <w:rPr>
                <w:rFonts w:cstheme="minorHAnsi"/>
                <w:color w:val="000000"/>
              </w:rPr>
              <w:t>0</w:t>
            </w:r>
            <w:r>
              <w:rPr>
                <w:rFonts w:ascii="Arial" w:hAnsi="Arial" w:cs="Arial"/>
              </w:rPr>
              <w:t>·</w:t>
            </w:r>
            <w:r w:rsidRPr="00FD048E">
              <w:rPr>
                <w:rFonts w:cstheme="minorHAnsi"/>
                <w:color w:val="000000"/>
              </w:rPr>
              <w:t>6</w:t>
            </w:r>
          </w:p>
        </w:tc>
        <w:tc>
          <w:tcPr>
            <w:tcW w:w="1354" w:type="dxa"/>
          </w:tcPr>
          <w:p w14:paraId="7A5F0563" w14:textId="77777777" w:rsidR="004B55DD" w:rsidRPr="00FD048E" w:rsidRDefault="004B55DD" w:rsidP="00554F7B">
            <w:pPr>
              <w:spacing w:after="0" w:line="480" w:lineRule="auto"/>
              <w:jc w:val="center"/>
              <w:rPr>
                <w:rFonts w:cstheme="minorHAnsi"/>
              </w:rPr>
            </w:pPr>
          </w:p>
        </w:tc>
      </w:tr>
      <w:tr w:rsidR="006B4915" w:rsidRPr="00FD048E" w14:paraId="502035B9" w14:textId="77777777" w:rsidTr="00235A9C">
        <w:tc>
          <w:tcPr>
            <w:tcW w:w="2170" w:type="dxa"/>
            <w:shd w:val="clear" w:color="auto" w:fill="auto"/>
          </w:tcPr>
          <w:p w14:paraId="09ECE911"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 xml:space="preserve">   Range</w:t>
            </w:r>
          </w:p>
        </w:tc>
        <w:tc>
          <w:tcPr>
            <w:tcW w:w="1729" w:type="dxa"/>
            <w:shd w:val="clear" w:color="auto" w:fill="auto"/>
          </w:tcPr>
          <w:p w14:paraId="60B5ED44" w14:textId="77777777" w:rsidR="004B55DD" w:rsidRPr="00FD048E" w:rsidRDefault="004B55DD" w:rsidP="00554F7B">
            <w:pPr>
              <w:spacing w:after="0" w:line="480" w:lineRule="auto"/>
              <w:jc w:val="center"/>
              <w:rPr>
                <w:rFonts w:cstheme="minorHAnsi"/>
              </w:rPr>
            </w:pPr>
            <w:r w:rsidRPr="00FD048E">
              <w:rPr>
                <w:rFonts w:cstheme="minorHAnsi"/>
                <w:color w:val="000000"/>
              </w:rPr>
              <w:t>0</w:t>
            </w:r>
            <w:r>
              <w:rPr>
                <w:rFonts w:ascii="Arial" w:hAnsi="Arial" w:cs="Arial"/>
              </w:rPr>
              <w:t>·</w:t>
            </w:r>
            <w:r w:rsidRPr="00FD048E">
              <w:rPr>
                <w:rFonts w:cstheme="minorHAnsi"/>
                <w:color w:val="000000"/>
              </w:rPr>
              <w:t>4 to 1</w:t>
            </w:r>
            <w:r>
              <w:rPr>
                <w:rFonts w:ascii="Arial" w:hAnsi="Arial" w:cs="Arial"/>
              </w:rPr>
              <w:t>·</w:t>
            </w:r>
            <w:r w:rsidRPr="00FD048E">
              <w:rPr>
                <w:rFonts w:cstheme="minorHAnsi"/>
                <w:color w:val="000000"/>
              </w:rPr>
              <w:t>3</w:t>
            </w:r>
          </w:p>
        </w:tc>
        <w:tc>
          <w:tcPr>
            <w:tcW w:w="1729" w:type="dxa"/>
            <w:shd w:val="clear" w:color="auto" w:fill="auto"/>
          </w:tcPr>
          <w:p w14:paraId="3E5C3D78" w14:textId="77777777" w:rsidR="004B55DD" w:rsidRPr="00FD048E" w:rsidRDefault="004B55DD" w:rsidP="00554F7B">
            <w:pPr>
              <w:spacing w:after="0" w:line="480" w:lineRule="auto"/>
              <w:jc w:val="center"/>
              <w:rPr>
                <w:rFonts w:cstheme="minorHAnsi"/>
              </w:rPr>
            </w:pPr>
            <w:r w:rsidRPr="00FD048E">
              <w:rPr>
                <w:rFonts w:cstheme="minorHAnsi"/>
                <w:color w:val="000000"/>
              </w:rPr>
              <w:t>0</w:t>
            </w:r>
            <w:r>
              <w:rPr>
                <w:rFonts w:ascii="Arial" w:hAnsi="Arial" w:cs="Arial"/>
              </w:rPr>
              <w:t>·</w:t>
            </w:r>
            <w:r w:rsidRPr="00FD048E">
              <w:rPr>
                <w:rFonts w:cstheme="minorHAnsi"/>
                <w:color w:val="000000"/>
              </w:rPr>
              <w:t>8 to 1</w:t>
            </w:r>
            <w:r>
              <w:rPr>
                <w:rFonts w:ascii="Arial" w:hAnsi="Arial" w:cs="Arial"/>
              </w:rPr>
              <w:t>·</w:t>
            </w:r>
            <w:r w:rsidRPr="00FD048E">
              <w:rPr>
                <w:rFonts w:cstheme="minorHAnsi"/>
                <w:color w:val="000000"/>
              </w:rPr>
              <w:t>4</w:t>
            </w:r>
          </w:p>
        </w:tc>
        <w:tc>
          <w:tcPr>
            <w:tcW w:w="1730" w:type="dxa"/>
            <w:shd w:val="clear" w:color="auto" w:fill="auto"/>
          </w:tcPr>
          <w:p w14:paraId="73AEF06B" w14:textId="77777777" w:rsidR="004B55DD" w:rsidRPr="00FD048E" w:rsidRDefault="004B55DD" w:rsidP="00554F7B">
            <w:pPr>
              <w:spacing w:after="0" w:line="480" w:lineRule="auto"/>
              <w:jc w:val="center"/>
              <w:rPr>
                <w:rFonts w:cstheme="minorHAnsi"/>
              </w:rPr>
            </w:pPr>
            <w:r w:rsidRPr="00FD048E">
              <w:rPr>
                <w:rFonts w:cstheme="minorHAnsi"/>
                <w:color w:val="000000"/>
              </w:rPr>
              <w:t>0</w:t>
            </w:r>
            <w:r>
              <w:rPr>
                <w:rFonts w:ascii="Arial" w:hAnsi="Arial" w:cs="Arial"/>
              </w:rPr>
              <w:t>·</w:t>
            </w:r>
            <w:r w:rsidRPr="00FD048E">
              <w:rPr>
                <w:rFonts w:cstheme="minorHAnsi"/>
                <w:color w:val="000000"/>
              </w:rPr>
              <w:t>5 to 1</w:t>
            </w:r>
            <w:r>
              <w:rPr>
                <w:rFonts w:ascii="Arial" w:hAnsi="Arial" w:cs="Arial"/>
              </w:rPr>
              <w:t>·</w:t>
            </w:r>
            <w:r w:rsidRPr="00FD048E">
              <w:rPr>
                <w:rFonts w:cstheme="minorHAnsi"/>
                <w:color w:val="000000"/>
              </w:rPr>
              <w:t>6</w:t>
            </w:r>
          </w:p>
        </w:tc>
        <w:tc>
          <w:tcPr>
            <w:tcW w:w="1353" w:type="dxa"/>
          </w:tcPr>
          <w:p w14:paraId="194A322F" w14:textId="77777777" w:rsidR="004B55DD" w:rsidRPr="00FD048E" w:rsidRDefault="004B55DD" w:rsidP="00554F7B">
            <w:pPr>
              <w:spacing w:after="0" w:line="480" w:lineRule="auto"/>
              <w:jc w:val="center"/>
              <w:rPr>
                <w:rFonts w:cstheme="minorHAnsi"/>
              </w:rPr>
            </w:pPr>
            <w:r w:rsidRPr="00FD048E">
              <w:rPr>
                <w:rFonts w:cstheme="minorHAnsi"/>
                <w:color w:val="000000"/>
              </w:rPr>
              <w:t>0</w:t>
            </w:r>
            <w:r>
              <w:rPr>
                <w:rFonts w:ascii="Arial" w:hAnsi="Arial" w:cs="Arial"/>
              </w:rPr>
              <w:t>·</w:t>
            </w:r>
            <w:r w:rsidRPr="00FD048E">
              <w:rPr>
                <w:rFonts w:cstheme="minorHAnsi"/>
                <w:color w:val="000000"/>
              </w:rPr>
              <w:t>3 to 1</w:t>
            </w:r>
            <w:r>
              <w:rPr>
                <w:rFonts w:ascii="Arial" w:hAnsi="Arial" w:cs="Arial"/>
              </w:rPr>
              <w:t>·</w:t>
            </w:r>
            <w:r w:rsidRPr="00FD048E">
              <w:rPr>
                <w:rFonts w:cstheme="minorHAnsi"/>
                <w:color w:val="000000"/>
              </w:rPr>
              <w:t>6</w:t>
            </w:r>
          </w:p>
        </w:tc>
        <w:tc>
          <w:tcPr>
            <w:tcW w:w="1354" w:type="dxa"/>
          </w:tcPr>
          <w:p w14:paraId="4E73EB8C" w14:textId="77777777" w:rsidR="004B55DD" w:rsidRPr="00FD048E" w:rsidRDefault="004B55DD" w:rsidP="00554F7B">
            <w:pPr>
              <w:spacing w:after="0" w:line="480" w:lineRule="auto"/>
              <w:jc w:val="center"/>
              <w:rPr>
                <w:rFonts w:cstheme="minorHAnsi"/>
              </w:rPr>
            </w:pPr>
            <w:r w:rsidRPr="00FD048E">
              <w:rPr>
                <w:rFonts w:cstheme="minorHAnsi"/>
              </w:rPr>
              <w:t>0</w:t>
            </w:r>
            <w:r>
              <w:rPr>
                <w:rFonts w:ascii="Arial" w:hAnsi="Arial" w:cs="Arial"/>
              </w:rPr>
              <w:t>·</w:t>
            </w:r>
            <w:r w:rsidRPr="00FD048E">
              <w:rPr>
                <w:rFonts w:cstheme="minorHAnsi"/>
              </w:rPr>
              <w:t>3 to 1</w:t>
            </w:r>
            <w:r>
              <w:rPr>
                <w:rFonts w:ascii="Arial" w:hAnsi="Arial" w:cs="Arial"/>
              </w:rPr>
              <w:t>·</w:t>
            </w:r>
            <w:r w:rsidRPr="00FD048E">
              <w:rPr>
                <w:rFonts w:cstheme="minorHAnsi"/>
              </w:rPr>
              <w:t>6</w:t>
            </w:r>
          </w:p>
        </w:tc>
      </w:tr>
      <w:tr w:rsidR="006B4915" w:rsidRPr="00FD048E" w14:paraId="4BAFE503" w14:textId="77777777" w:rsidTr="00235A9C">
        <w:tc>
          <w:tcPr>
            <w:tcW w:w="2170" w:type="dxa"/>
            <w:shd w:val="clear" w:color="auto" w:fill="auto"/>
          </w:tcPr>
          <w:p w14:paraId="7EB9C834" w14:textId="77777777" w:rsidR="004B55DD" w:rsidRPr="00FD048E" w:rsidRDefault="004B55DD" w:rsidP="00554F7B">
            <w:pPr>
              <w:suppressAutoHyphens/>
              <w:snapToGrid w:val="0"/>
              <w:spacing w:after="0" w:line="480" w:lineRule="auto"/>
              <w:ind w:left="144"/>
              <w:rPr>
                <w:rFonts w:cstheme="minorHAnsi"/>
                <w:lang w:eastAsia="ar-SA"/>
              </w:rPr>
            </w:pPr>
            <w:r w:rsidRPr="00FD048E">
              <w:rPr>
                <w:rFonts w:cstheme="minorHAnsi"/>
                <w:lang w:eastAsia="ar-SA"/>
              </w:rPr>
              <w:t>Missing from eCRF – n (%)</w:t>
            </w:r>
          </w:p>
        </w:tc>
        <w:tc>
          <w:tcPr>
            <w:tcW w:w="1729" w:type="dxa"/>
            <w:shd w:val="clear" w:color="auto" w:fill="auto"/>
          </w:tcPr>
          <w:p w14:paraId="38427677" w14:textId="77777777" w:rsidR="004B55DD" w:rsidRPr="00FD048E" w:rsidRDefault="004B55DD" w:rsidP="00554F7B">
            <w:pPr>
              <w:spacing w:after="0" w:line="480" w:lineRule="auto"/>
              <w:jc w:val="center"/>
              <w:rPr>
                <w:rFonts w:cstheme="minorHAnsi"/>
              </w:rPr>
            </w:pPr>
            <w:r w:rsidRPr="00FD048E">
              <w:rPr>
                <w:rFonts w:cstheme="minorHAnsi"/>
              </w:rPr>
              <w:t>1 (25</w:t>
            </w:r>
            <w:r>
              <w:rPr>
                <w:rFonts w:ascii="Arial" w:hAnsi="Arial" w:cs="Arial"/>
              </w:rPr>
              <w:t>·</w:t>
            </w:r>
            <w:r w:rsidRPr="00FD048E">
              <w:rPr>
                <w:rFonts w:cstheme="minorHAnsi"/>
              </w:rPr>
              <w:t>0%)</w:t>
            </w:r>
          </w:p>
        </w:tc>
        <w:tc>
          <w:tcPr>
            <w:tcW w:w="1729" w:type="dxa"/>
            <w:shd w:val="clear" w:color="auto" w:fill="auto"/>
          </w:tcPr>
          <w:p w14:paraId="68C78B92" w14:textId="77777777" w:rsidR="004B55DD" w:rsidRPr="00FD048E" w:rsidRDefault="004B55DD" w:rsidP="00554F7B">
            <w:pPr>
              <w:spacing w:after="0" w:line="480" w:lineRule="auto"/>
              <w:jc w:val="center"/>
              <w:rPr>
                <w:rFonts w:cstheme="minorHAnsi"/>
              </w:rPr>
            </w:pPr>
            <w:r w:rsidRPr="00FD048E">
              <w:rPr>
                <w:rFonts w:cstheme="minorHAnsi"/>
              </w:rPr>
              <w:t>0 (0</w:t>
            </w:r>
            <w:r>
              <w:rPr>
                <w:rFonts w:ascii="Arial" w:hAnsi="Arial" w:cs="Arial"/>
              </w:rPr>
              <w:t>·</w:t>
            </w:r>
            <w:r w:rsidRPr="00FD048E">
              <w:rPr>
                <w:rFonts w:cstheme="minorHAnsi"/>
              </w:rPr>
              <w:t>0%)</w:t>
            </w:r>
          </w:p>
        </w:tc>
        <w:tc>
          <w:tcPr>
            <w:tcW w:w="1730" w:type="dxa"/>
            <w:shd w:val="clear" w:color="auto" w:fill="auto"/>
          </w:tcPr>
          <w:p w14:paraId="4A423FCC" w14:textId="77777777" w:rsidR="004B55DD" w:rsidRPr="00FD048E" w:rsidRDefault="004B55DD" w:rsidP="00554F7B">
            <w:pPr>
              <w:spacing w:after="0" w:line="480" w:lineRule="auto"/>
              <w:jc w:val="center"/>
              <w:rPr>
                <w:rFonts w:cstheme="minorHAnsi"/>
              </w:rPr>
            </w:pPr>
            <w:r w:rsidRPr="00FD048E">
              <w:rPr>
                <w:rFonts w:cstheme="minorHAnsi"/>
              </w:rPr>
              <w:t>0 (0</w:t>
            </w:r>
            <w:r>
              <w:rPr>
                <w:rFonts w:ascii="Arial" w:hAnsi="Arial" w:cs="Arial"/>
              </w:rPr>
              <w:t>·</w:t>
            </w:r>
            <w:r w:rsidRPr="00FD048E">
              <w:rPr>
                <w:rFonts w:cstheme="minorHAnsi"/>
              </w:rPr>
              <w:t>0%)</w:t>
            </w:r>
          </w:p>
        </w:tc>
        <w:tc>
          <w:tcPr>
            <w:tcW w:w="1353" w:type="dxa"/>
          </w:tcPr>
          <w:p w14:paraId="6A965431" w14:textId="77777777" w:rsidR="004B55DD" w:rsidRPr="00FD048E" w:rsidRDefault="004B55DD" w:rsidP="00554F7B">
            <w:pPr>
              <w:spacing w:after="0" w:line="480" w:lineRule="auto"/>
              <w:jc w:val="center"/>
              <w:rPr>
                <w:rFonts w:cstheme="minorHAnsi"/>
              </w:rPr>
            </w:pPr>
            <w:r w:rsidRPr="00FD048E">
              <w:rPr>
                <w:rFonts w:cstheme="minorHAnsi"/>
              </w:rPr>
              <w:t>0 (0</w:t>
            </w:r>
            <w:r>
              <w:rPr>
                <w:rFonts w:ascii="Arial" w:hAnsi="Arial" w:cs="Arial"/>
              </w:rPr>
              <w:t>·</w:t>
            </w:r>
            <w:r w:rsidRPr="00FD048E">
              <w:rPr>
                <w:rFonts w:cstheme="minorHAnsi"/>
              </w:rPr>
              <w:t>0%)</w:t>
            </w:r>
          </w:p>
        </w:tc>
        <w:tc>
          <w:tcPr>
            <w:tcW w:w="1354" w:type="dxa"/>
          </w:tcPr>
          <w:p w14:paraId="2428C8E6" w14:textId="77777777" w:rsidR="004B55DD" w:rsidRPr="00FD048E" w:rsidRDefault="004B55DD" w:rsidP="00554F7B">
            <w:pPr>
              <w:spacing w:after="0" w:line="480" w:lineRule="auto"/>
              <w:jc w:val="center"/>
              <w:rPr>
                <w:rFonts w:cstheme="minorHAnsi"/>
              </w:rPr>
            </w:pPr>
            <w:r w:rsidRPr="00FD048E">
              <w:rPr>
                <w:rFonts w:cstheme="minorHAnsi"/>
              </w:rPr>
              <w:t>1 (5</w:t>
            </w:r>
            <w:r>
              <w:rPr>
                <w:rFonts w:ascii="Arial" w:hAnsi="Arial" w:cs="Arial"/>
              </w:rPr>
              <w:t>·</w:t>
            </w:r>
            <w:r w:rsidRPr="00FD048E">
              <w:rPr>
                <w:rFonts w:cstheme="minorHAnsi"/>
              </w:rPr>
              <w:t>6%)</w:t>
            </w:r>
          </w:p>
        </w:tc>
      </w:tr>
      <w:tr w:rsidR="006B4915" w:rsidRPr="00FD048E" w14:paraId="7C2E129B" w14:textId="77777777" w:rsidTr="00235A9C">
        <w:tc>
          <w:tcPr>
            <w:tcW w:w="2170" w:type="dxa"/>
            <w:shd w:val="clear" w:color="auto" w:fill="auto"/>
          </w:tcPr>
          <w:p w14:paraId="35F18C8A" w14:textId="77777777" w:rsidR="004B55DD" w:rsidRPr="00FD048E" w:rsidRDefault="004B55DD" w:rsidP="00554F7B">
            <w:pPr>
              <w:suppressAutoHyphens/>
              <w:snapToGrid w:val="0"/>
              <w:spacing w:after="0" w:line="480" w:lineRule="auto"/>
              <w:ind w:left="144"/>
              <w:rPr>
                <w:rFonts w:cstheme="minorHAnsi"/>
                <w:b/>
                <w:bCs/>
                <w:lang w:eastAsia="ar-SA"/>
              </w:rPr>
            </w:pPr>
            <w:r w:rsidRPr="00FD048E">
              <w:rPr>
                <w:rFonts w:cstheme="minorHAnsi"/>
                <w:b/>
                <w:bCs/>
              </w:rPr>
              <w:t>Time from symptom onset to randomisation (days)</w:t>
            </w:r>
            <w:r w:rsidRPr="00FD048E">
              <w:rPr>
                <w:rFonts w:cstheme="minorHAnsi"/>
                <w:b/>
                <w:bCs/>
                <w:vertAlign w:val="superscript"/>
              </w:rPr>
              <w:t>2</w:t>
            </w:r>
          </w:p>
        </w:tc>
        <w:tc>
          <w:tcPr>
            <w:tcW w:w="1729" w:type="dxa"/>
            <w:shd w:val="clear" w:color="auto" w:fill="auto"/>
          </w:tcPr>
          <w:p w14:paraId="0EA96BEB" w14:textId="77777777" w:rsidR="004B55DD" w:rsidRPr="00FD048E" w:rsidRDefault="004B55DD" w:rsidP="00554F7B">
            <w:pPr>
              <w:spacing w:after="0" w:line="480" w:lineRule="auto"/>
              <w:jc w:val="center"/>
              <w:rPr>
                <w:rFonts w:cstheme="minorHAnsi"/>
              </w:rPr>
            </w:pPr>
          </w:p>
        </w:tc>
        <w:tc>
          <w:tcPr>
            <w:tcW w:w="1729" w:type="dxa"/>
            <w:shd w:val="clear" w:color="auto" w:fill="auto"/>
          </w:tcPr>
          <w:p w14:paraId="149DCB6C" w14:textId="77777777" w:rsidR="004B55DD" w:rsidRPr="00FD048E" w:rsidRDefault="004B55DD" w:rsidP="00554F7B">
            <w:pPr>
              <w:spacing w:after="0" w:line="480" w:lineRule="auto"/>
              <w:jc w:val="center"/>
              <w:rPr>
                <w:rFonts w:cstheme="minorHAnsi"/>
              </w:rPr>
            </w:pPr>
          </w:p>
        </w:tc>
        <w:tc>
          <w:tcPr>
            <w:tcW w:w="1730" w:type="dxa"/>
            <w:shd w:val="clear" w:color="auto" w:fill="auto"/>
          </w:tcPr>
          <w:p w14:paraId="0491B8CB" w14:textId="77777777" w:rsidR="004B55DD" w:rsidRPr="00FD048E" w:rsidRDefault="004B55DD" w:rsidP="00554F7B">
            <w:pPr>
              <w:spacing w:after="0" w:line="480" w:lineRule="auto"/>
              <w:jc w:val="center"/>
              <w:rPr>
                <w:rFonts w:cstheme="minorHAnsi"/>
              </w:rPr>
            </w:pPr>
          </w:p>
        </w:tc>
        <w:tc>
          <w:tcPr>
            <w:tcW w:w="1353" w:type="dxa"/>
          </w:tcPr>
          <w:p w14:paraId="656AECF4" w14:textId="77777777" w:rsidR="004B55DD" w:rsidRPr="00FD048E" w:rsidRDefault="004B55DD" w:rsidP="00554F7B">
            <w:pPr>
              <w:spacing w:after="0" w:line="480" w:lineRule="auto"/>
              <w:jc w:val="center"/>
              <w:rPr>
                <w:rFonts w:cstheme="minorHAnsi"/>
              </w:rPr>
            </w:pPr>
          </w:p>
        </w:tc>
        <w:tc>
          <w:tcPr>
            <w:tcW w:w="1354" w:type="dxa"/>
          </w:tcPr>
          <w:p w14:paraId="52114919" w14:textId="77777777" w:rsidR="004B55DD" w:rsidRPr="00FD048E" w:rsidRDefault="004B55DD" w:rsidP="00554F7B">
            <w:pPr>
              <w:spacing w:after="0" w:line="480" w:lineRule="auto"/>
              <w:jc w:val="center"/>
              <w:rPr>
                <w:rFonts w:cstheme="minorHAnsi"/>
              </w:rPr>
            </w:pPr>
          </w:p>
        </w:tc>
      </w:tr>
      <w:tr w:rsidR="006B4915" w:rsidRPr="00FD048E" w14:paraId="091BB949" w14:textId="77777777" w:rsidTr="00235A9C">
        <w:tc>
          <w:tcPr>
            <w:tcW w:w="2170" w:type="dxa"/>
            <w:shd w:val="clear" w:color="auto" w:fill="auto"/>
          </w:tcPr>
          <w:p w14:paraId="0E8CABF0" w14:textId="77777777" w:rsidR="004B55DD" w:rsidRPr="00FD048E" w:rsidRDefault="004B55DD" w:rsidP="00554F7B">
            <w:pPr>
              <w:suppressAutoHyphens/>
              <w:snapToGrid w:val="0"/>
              <w:spacing w:after="0" w:line="480" w:lineRule="auto"/>
              <w:ind w:left="144"/>
              <w:rPr>
                <w:rFonts w:cstheme="minorHAnsi"/>
              </w:rPr>
            </w:pPr>
            <w:r w:rsidRPr="00FD048E">
              <w:rPr>
                <w:rFonts w:cstheme="minorHAnsi"/>
                <w:lang w:eastAsia="ar-SA"/>
              </w:rPr>
              <w:t xml:space="preserve">   n</w:t>
            </w:r>
          </w:p>
        </w:tc>
        <w:tc>
          <w:tcPr>
            <w:tcW w:w="1729" w:type="dxa"/>
            <w:shd w:val="clear" w:color="auto" w:fill="auto"/>
          </w:tcPr>
          <w:p w14:paraId="45ACD1C1"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4</w:t>
            </w:r>
          </w:p>
        </w:tc>
        <w:tc>
          <w:tcPr>
            <w:tcW w:w="1729" w:type="dxa"/>
            <w:shd w:val="clear" w:color="auto" w:fill="auto"/>
          </w:tcPr>
          <w:p w14:paraId="11F7C277"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4</w:t>
            </w:r>
          </w:p>
        </w:tc>
        <w:tc>
          <w:tcPr>
            <w:tcW w:w="1730" w:type="dxa"/>
            <w:shd w:val="clear" w:color="auto" w:fill="auto"/>
          </w:tcPr>
          <w:p w14:paraId="68EC118A"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4</w:t>
            </w:r>
          </w:p>
        </w:tc>
        <w:tc>
          <w:tcPr>
            <w:tcW w:w="1353" w:type="dxa"/>
          </w:tcPr>
          <w:p w14:paraId="4369D1D2"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6</w:t>
            </w:r>
          </w:p>
        </w:tc>
        <w:tc>
          <w:tcPr>
            <w:tcW w:w="1354" w:type="dxa"/>
          </w:tcPr>
          <w:p w14:paraId="4DA33457"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18</w:t>
            </w:r>
          </w:p>
        </w:tc>
      </w:tr>
      <w:tr w:rsidR="006B4915" w:rsidRPr="00FD048E" w14:paraId="3FA38597" w14:textId="77777777" w:rsidTr="00235A9C">
        <w:tc>
          <w:tcPr>
            <w:tcW w:w="2170" w:type="dxa"/>
            <w:shd w:val="clear" w:color="auto" w:fill="auto"/>
          </w:tcPr>
          <w:p w14:paraId="079FEA88" w14:textId="77777777" w:rsidR="004B55DD" w:rsidRPr="00FD048E" w:rsidRDefault="004B55DD" w:rsidP="00554F7B">
            <w:pPr>
              <w:suppressAutoHyphens/>
              <w:snapToGrid w:val="0"/>
              <w:spacing w:after="0" w:line="480" w:lineRule="auto"/>
              <w:ind w:left="144"/>
              <w:rPr>
                <w:rFonts w:cstheme="minorHAnsi"/>
              </w:rPr>
            </w:pPr>
            <w:r w:rsidRPr="00FD048E">
              <w:rPr>
                <w:rFonts w:cstheme="minorHAnsi"/>
                <w:lang w:eastAsia="ar-SA"/>
              </w:rPr>
              <w:t xml:space="preserve">   Median </w:t>
            </w:r>
          </w:p>
        </w:tc>
        <w:tc>
          <w:tcPr>
            <w:tcW w:w="1729" w:type="dxa"/>
            <w:shd w:val="clear" w:color="auto" w:fill="auto"/>
          </w:tcPr>
          <w:p w14:paraId="1CF5220C"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4</w:t>
            </w:r>
            <w:r>
              <w:rPr>
                <w:rFonts w:ascii="Arial" w:hAnsi="Arial" w:cs="Arial"/>
              </w:rPr>
              <w:t>·</w:t>
            </w:r>
            <w:r w:rsidRPr="00FD048E">
              <w:rPr>
                <w:rFonts w:cstheme="minorHAnsi"/>
                <w:color w:val="000000"/>
              </w:rPr>
              <w:t>0</w:t>
            </w:r>
          </w:p>
        </w:tc>
        <w:tc>
          <w:tcPr>
            <w:tcW w:w="1729" w:type="dxa"/>
            <w:shd w:val="clear" w:color="auto" w:fill="auto"/>
          </w:tcPr>
          <w:p w14:paraId="0327FA82"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4</w:t>
            </w:r>
            <w:r>
              <w:rPr>
                <w:rFonts w:ascii="Arial" w:hAnsi="Arial" w:cs="Arial"/>
              </w:rPr>
              <w:t>·</w:t>
            </w:r>
            <w:r w:rsidRPr="00FD048E">
              <w:rPr>
                <w:rFonts w:cstheme="minorHAnsi"/>
                <w:color w:val="000000"/>
              </w:rPr>
              <w:t>0</w:t>
            </w:r>
          </w:p>
        </w:tc>
        <w:tc>
          <w:tcPr>
            <w:tcW w:w="1730" w:type="dxa"/>
            <w:shd w:val="clear" w:color="auto" w:fill="auto"/>
          </w:tcPr>
          <w:p w14:paraId="2FC20007"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3</w:t>
            </w:r>
            <w:r>
              <w:rPr>
                <w:rFonts w:ascii="Arial" w:hAnsi="Arial" w:cs="Arial"/>
              </w:rPr>
              <w:t>·</w:t>
            </w:r>
            <w:r w:rsidRPr="00FD048E">
              <w:rPr>
                <w:rFonts w:cstheme="minorHAnsi"/>
                <w:color w:val="000000"/>
              </w:rPr>
              <w:t>5</w:t>
            </w:r>
          </w:p>
        </w:tc>
        <w:tc>
          <w:tcPr>
            <w:tcW w:w="1353" w:type="dxa"/>
          </w:tcPr>
          <w:p w14:paraId="4087EC3B"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4</w:t>
            </w:r>
            <w:r>
              <w:rPr>
                <w:rFonts w:ascii="Arial" w:hAnsi="Arial" w:cs="Arial"/>
              </w:rPr>
              <w:t>·</w:t>
            </w:r>
            <w:r w:rsidRPr="00FD048E">
              <w:rPr>
                <w:rFonts w:cstheme="minorHAnsi"/>
                <w:color w:val="000000"/>
              </w:rPr>
              <w:t>0</w:t>
            </w:r>
          </w:p>
        </w:tc>
        <w:tc>
          <w:tcPr>
            <w:tcW w:w="1354" w:type="dxa"/>
          </w:tcPr>
          <w:p w14:paraId="397E5C31"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4</w:t>
            </w:r>
            <w:r>
              <w:rPr>
                <w:rFonts w:ascii="Arial" w:hAnsi="Arial" w:cs="Arial"/>
              </w:rPr>
              <w:t>·</w:t>
            </w:r>
            <w:r w:rsidRPr="00FD048E">
              <w:rPr>
                <w:rFonts w:cstheme="minorHAnsi"/>
                <w:color w:val="000000"/>
              </w:rPr>
              <w:t>0</w:t>
            </w:r>
          </w:p>
        </w:tc>
      </w:tr>
      <w:tr w:rsidR="006B4915" w:rsidRPr="00FD048E" w14:paraId="0759F1EF" w14:textId="77777777" w:rsidTr="00235A9C">
        <w:tc>
          <w:tcPr>
            <w:tcW w:w="2170" w:type="dxa"/>
            <w:shd w:val="clear" w:color="auto" w:fill="auto"/>
          </w:tcPr>
          <w:p w14:paraId="7F48B7C3" w14:textId="77777777" w:rsidR="004B55DD" w:rsidRPr="00FD048E" w:rsidRDefault="004B55DD" w:rsidP="00554F7B">
            <w:pPr>
              <w:suppressAutoHyphens/>
              <w:snapToGrid w:val="0"/>
              <w:spacing w:after="0" w:line="480" w:lineRule="auto"/>
              <w:ind w:left="144"/>
              <w:rPr>
                <w:rFonts w:cstheme="minorHAnsi"/>
              </w:rPr>
            </w:pPr>
            <w:r w:rsidRPr="00FD048E">
              <w:rPr>
                <w:rFonts w:cstheme="minorHAnsi"/>
                <w:lang w:eastAsia="ar-SA"/>
              </w:rPr>
              <w:t xml:space="preserve">   Range</w:t>
            </w:r>
          </w:p>
        </w:tc>
        <w:tc>
          <w:tcPr>
            <w:tcW w:w="1729" w:type="dxa"/>
            <w:shd w:val="clear" w:color="auto" w:fill="auto"/>
          </w:tcPr>
          <w:p w14:paraId="23BE9FBD"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3</w:t>
            </w:r>
            <w:r>
              <w:rPr>
                <w:rFonts w:ascii="Arial" w:hAnsi="Arial" w:cs="Arial"/>
              </w:rPr>
              <w:t>·</w:t>
            </w:r>
            <w:r w:rsidRPr="00FD048E">
              <w:rPr>
                <w:rFonts w:cstheme="minorHAnsi"/>
                <w:color w:val="000000"/>
              </w:rPr>
              <w:t>0 to 4</w:t>
            </w:r>
            <w:r>
              <w:rPr>
                <w:rFonts w:ascii="Arial" w:hAnsi="Arial" w:cs="Arial"/>
              </w:rPr>
              <w:t>·</w:t>
            </w:r>
            <w:r w:rsidRPr="00FD048E">
              <w:rPr>
                <w:rFonts w:cstheme="minorHAnsi"/>
                <w:color w:val="000000"/>
              </w:rPr>
              <w:t>0</w:t>
            </w:r>
          </w:p>
        </w:tc>
        <w:tc>
          <w:tcPr>
            <w:tcW w:w="1729" w:type="dxa"/>
            <w:shd w:val="clear" w:color="auto" w:fill="auto"/>
          </w:tcPr>
          <w:p w14:paraId="6302DEB7"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4</w:t>
            </w:r>
            <w:r>
              <w:rPr>
                <w:rFonts w:ascii="Arial" w:hAnsi="Arial" w:cs="Arial"/>
              </w:rPr>
              <w:t>·</w:t>
            </w:r>
            <w:r w:rsidRPr="00FD048E">
              <w:rPr>
                <w:rFonts w:cstheme="minorHAnsi"/>
                <w:color w:val="000000"/>
              </w:rPr>
              <w:t>0 to 4</w:t>
            </w:r>
            <w:r>
              <w:rPr>
                <w:rFonts w:ascii="Arial" w:hAnsi="Arial" w:cs="Arial"/>
              </w:rPr>
              <w:t>·</w:t>
            </w:r>
            <w:r w:rsidRPr="00FD048E">
              <w:rPr>
                <w:rFonts w:cstheme="minorHAnsi"/>
                <w:color w:val="000000"/>
              </w:rPr>
              <w:t>0</w:t>
            </w:r>
          </w:p>
        </w:tc>
        <w:tc>
          <w:tcPr>
            <w:tcW w:w="1730" w:type="dxa"/>
            <w:shd w:val="clear" w:color="auto" w:fill="auto"/>
          </w:tcPr>
          <w:p w14:paraId="0026F025"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2</w:t>
            </w:r>
            <w:r>
              <w:rPr>
                <w:rFonts w:ascii="Arial" w:hAnsi="Arial" w:cs="Arial"/>
              </w:rPr>
              <w:t>·</w:t>
            </w:r>
            <w:r w:rsidRPr="00FD048E">
              <w:rPr>
                <w:rFonts w:cstheme="minorHAnsi"/>
                <w:color w:val="000000"/>
              </w:rPr>
              <w:t>0 to 4</w:t>
            </w:r>
            <w:r>
              <w:rPr>
                <w:rFonts w:ascii="Arial" w:hAnsi="Arial" w:cs="Arial"/>
              </w:rPr>
              <w:t>·</w:t>
            </w:r>
            <w:r w:rsidRPr="00FD048E">
              <w:rPr>
                <w:rFonts w:cstheme="minorHAnsi"/>
                <w:color w:val="000000"/>
              </w:rPr>
              <w:t>0</w:t>
            </w:r>
          </w:p>
        </w:tc>
        <w:tc>
          <w:tcPr>
            <w:tcW w:w="1353" w:type="dxa"/>
          </w:tcPr>
          <w:p w14:paraId="70D770DD"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1</w:t>
            </w:r>
            <w:r>
              <w:rPr>
                <w:rFonts w:ascii="Arial" w:hAnsi="Arial" w:cs="Arial"/>
              </w:rPr>
              <w:t>·</w:t>
            </w:r>
            <w:r w:rsidRPr="00FD048E">
              <w:rPr>
                <w:rFonts w:cstheme="minorHAnsi"/>
                <w:color w:val="000000"/>
              </w:rPr>
              <w:t>0 to 5</w:t>
            </w:r>
            <w:r>
              <w:rPr>
                <w:rFonts w:ascii="Arial" w:hAnsi="Arial" w:cs="Arial"/>
              </w:rPr>
              <w:t>·</w:t>
            </w:r>
            <w:r w:rsidRPr="00FD048E">
              <w:rPr>
                <w:rFonts w:cstheme="minorHAnsi"/>
                <w:color w:val="000000"/>
              </w:rPr>
              <w:t>0</w:t>
            </w:r>
          </w:p>
        </w:tc>
        <w:tc>
          <w:tcPr>
            <w:tcW w:w="1354" w:type="dxa"/>
          </w:tcPr>
          <w:p w14:paraId="1411BBAF" w14:textId="77777777" w:rsidR="004B55DD" w:rsidRPr="00FD048E" w:rsidDel="008B3E3F" w:rsidRDefault="004B55DD" w:rsidP="00554F7B">
            <w:pPr>
              <w:spacing w:after="0" w:line="480" w:lineRule="auto"/>
              <w:jc w:val="center"/>
              <w:rPr>
                <w:rFonts w:cstheme="minorHAnsi"/>
              </w:rPr>
            </w:pPr>
            <w:r w:rsidRPr="00FD048E">
              <w:rPr>
                <w:rFonts w:cstheme="minorHAnsi"/>
                <w:color w:val="000000"/>
              </w:rPr>
              <w:t>1</w:t>
            </w:r>
            <w:r>
              <w:rPr>
                <w:rFonts w:ascii="Arial" w:hAnsi="Arial" w:cs="Arial"/>
              </w:rPr>
              <w:t>·</w:t>
            </w:r>
            <w:r w:rsidRPr="00FD048E">
              <w:rPr>
                <w:rFonts w:cstheme="minorHAnsi"/>
                <w:color w:val="000000"/>
              </w:rPr>
              <w:t>0 to 5</w:t>
            </w:r>
            <w:r>
              <w:rPr>
                <w:rFonts w:ascii="Arial" w:hAnsi="Arial" w:cs="Arial"/>
              </w:rPr>
              <w:t>·</w:t>
            </w:r>
            <w:r w:rsidRPr="00FD048E">
              <w:rPr>
                <w:rFonts w:cstheme="minorHAnsi"/>
                <w:color w:val="000000"/>
              </w:rPr>
              <w:t>0</w:t>
            </w:r>
          </w:p>
        </w:tc>
      </w:tr>
    </w:tbl>
    <w:p w14:paraId="40008DD8" w14:textId="77777777" w:rsidR="004B55DD" w:rsidRPr="00FD048E" w:rsidRDefault="004B55DD" w:rsidP="004B55DD">
      <w:pPr>
        <w:spacing w:line="480" w:lineRule="auto"/>
        <w:jc w:val="both"/>
      </w:pPr>
      <w:r w:rsidRPr="00FD048E">
        <w:rPr>
          <w:rFonts w:cstheme="minorHAnsi"/>
          <w:b/>
          <w:sz w:val="20"/>
          <w:szCs w:val="20"/>
          <w:lang w:eastAsia="ar-SA"/>
        </w:rPr>
        <w:t>NOTE:</w:t>
      </w:r>
      <w:r w:rsidRPr="00FD048E">
        <w:rPr>
          <w:rFonts w:cstheme="minorHAnsi"/>
          <w:sz w:val="20"/>
          <w:szCs w:val="20"/>
          <w:lang w:eastAsia="ar-SA"/>
        </w:rPr>
        <w:t xml:space="preserve"> Percentages are based on the number of patients in the study arm</w:t>
      </w:r>
    </w:p>
    <w:p w14:paraId="704E7115" w14:textId="77777777" w:rsidR="004B55DD" w:rsidRPr="00FD048E" w:rsidRDefault="004B55DD" w:rsidP="004B55DD">
      <w:pPr>
        <w:suppressAutoHyphens/>
        <w:spacing w:line="480" w:lineRule="auto"/>
        <w:jc w:val="both"/>
        <w:rPr>
          <w:rFonts w:cstheme="minorHAnsi"/>
          <w:sz w:val="20"/>
          <w:szCs w:val="20"/>
          <w:lang w:eastAsia="ar-SA"/>
        </w:rPr>
      </w:pPr>
      <w:r w:rsidRPr="00FD048E">
        <w:rPr>
          <w:rFonts w:cstheme="minorHAnsi"/>
          <w:sz w:val="20"/>
          <w:szCs w:val="20"/>
          <w:lang w:eastAsia="ar-SA"/>
        </w:rPr>
        <w:t>¹Reason for missing FLU-PRO:</w:t>
      </w:r>
    </w:p>
    <w:p w14:paraId="0C5515C3" w14:textId="77777777" w:rsidR="004B55DD" w:rsidRPr="00FD048E" w:rsidRDefault="004B55DD" w:rsidP="004B55DD">
      <w:pPr>
        <w:spacing w:after="200" w:line="480" w:lineRule="auto"/>
        <w:jc w:val="both"/>
        <w:rPr>
          <w:sz w:val="20"/>
          <w:szCs w:val="20"/>
        </w:rPr>
      </w:pPr>
      <w:r w:rsidRPr="00FD048E">
        <w:rPr>
          <w:sz w:val="20"/>
          <w:szCs w:val="20"/>
          <w:vertAlign w:val="superscript"/>
        </w:rPr>
        <w:t>2</w:t>
      </w:r>
      <w:r w:rsidRPr="00FD048E">
        <w:rPr>
          <w:b/>
          <w:sz w:val="20"/>
          <w:szCs w:val="20"/>
        </w:rPr>
        <w:t xml:space="preserve">NOTE: </w:t>
      </w:r>
      <w:r w:rsidRPr="00FD048E">
        <w:rPr>
          <w:sz w:val="20"/>
          <w:szCs w:val="20"/>
        </w:rPr>
        <w:t>Date of randomisation is the same as date of first dose for all patients randomised to molnupiravir</w:t>
      </w:r>
    </w:p>
    <w:p w14:paraId="3730994E" w14:textId="77777777" w:rsidR="004B55DD" w:rsidRPr="00FD048E" w:rsidRDefault="004B55DD" w:rsidP="004B55DD">
      <w:pPr>
        <w:spacing w:line="480" w:lineRule="auto"/>
        <w:rPr>
          <w:rFonts w:ascii="Times New Roman" w:hAnsi="Times New Roman" w:cstheme="minorHAnsi"/>
          <w:b/>
          <w:color w:val="000000"/>
          <w:sz w:val="20"/>
          <w:szCs w:val="20"/>
          <w:lang w:eastAsia="ar-SA"/>
        </w:rPr>
      </w:pPr>
      <w:r w:rsidRPr="00FD048E">
        <w:rPr>
          <w:rFonts w:cstheme="minorHAnsi"/>
          <w:b/>
          <w:sz w:val="20"/>
          <w:szCs w:val="20"/>
          <w:lang w:eastAsia="ar-SA"/>
        </w:rPr>
        <w:br w:type="page"/>
      </w:r>
    </w:p>
    <w:p w14:paraId="5E761967" w14:textId="77777777" w:rsidR="004B55DD" w:rsidRPr="00A66EED" w:rsidRDefault="004B55DD" w:rsidP="004B55DD">
      <w:pPr>
        <w:spacing w:line="480" w:lineRule="auto"/>
        <w:rPr>
          <w:rFonts w:ascii="Arial" w:hAnsi="Arial" w:cs="Arial"/>
          <w:b/>
          <w:bCs/>
        </w:rPr>
      </w:pPr>
      <w:r w:rsidRPr="00A66EED">
        <w:rPr>
          <w:rFonts w:ascii="Arial" w:hAnsi="Arial" w:cs="Arial"/>
          <w:b/>
          <w:bCs/>
        </w:rPr>
        <w:lastRenderedPageBreak/>
        <w:t xml:space="preserve">TABLE 2: </w:t>
      </w:r>
      <w:bookmarkStart w:id="7" w:name="_Ref57894748"/>
      <w:bookmarkStart w:id="8" w:name="_Toc59528746"/>
      <w:r w:rsidRPr="00A66EED">
        <w:rPr>
          <w:rFonts w:ascii="Arial" w:hAnsi="Arial" w:cs="Arial"/>
          <w:b/>
          <w:bCs/>
        </w:rPr>
        <w:t>Overall toxicity Summary by CTCAE version 5 term - Safety population</w:t>
      </w:r>
      <w:bookmarkEnd w:id="7"/>
      <w:bookmarkEnd w:id="8"/>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1685"/>
        <w:gridCol w:w="1685"/>
        <w:gridCol w:w="1685"/>
        <w:gridCol w:w="1273"/>
      </w:tblGrid>
      <w:tr w:rsidR="004B55DD" w:rsidRPr="00FD048E" w14:paraId="67B85EF8" w14:textId="77777777" w:rsidTr="00235A9C">
        <w:trPr>
          <w:tblHeader/>
        </w:trPr>
        <w:tc>
          <w:tcPr>
            <w:tcW w:w="0" w:type="auto"/>
            <w:tcBorders>
              <w:top w:val="single" w:sz="4" w:space="0" w:color="auto"/>
              <w:left w:val="single" w:sz="4" w:space="0" w:color="auto"/>
              <w:bottom w:val="nil"/>
              <w:right w:val="nil"/>
            </w:tcBorders>
            <w:vAlign w:val="center"/>
            <w:hideMark/>
          </w:tcPr>
          <w:p w14:paraId="73B97CFA" w14:textId="77777777" w:rsidR="004B55DD" w:rsidRPr="00FD048E" w:rsidRDefault="004B55DD" w:rsidP="00554F7B">
            <w:pPr>
              <w:spacing w:after="0" w:line="480" w:lineRule="auto"/>
              <w:rPr>
                <w:rFonts w:cstheme="minorHAnsi"/>
                <w:b/>
                <w:bCs/>
              </w:rPr>
            </w:pPr>
            <w:r w:rsidRPr="00FD048E">
              <w:rPr>
                <w:rFonts w:cstheme="minorHAnsi"/>
                <w:b/>
                <w:bCs/>
              </w:rPr>
              <w:t>Characteristic</w:t>
            </w:r>
          </w:p>
        </w:tc>
        <w:tc>
          <w:tcPr>
            <w:tcW w:w="0" w:type="auto"/>
            <w:tcBorders>
              <w:top w:val="single" w:sz="4" w:space="0" w:color="auto"/>
              <w:left w:val="nil"/>
              <w:bottom w:val="nil"/>
              <w:right w:val="nil"/>
            </w:tcBorders>
            <w:vAlign w:val="center"/>
            <w:hideMark/>
          </w:tcPr>
          <w:p w14:paraId="7B0E1605" w14:textId="6BBCC524" w:rsidR="004B55DD" w:rsidRPr="00FD048E" w:rsidRDefault="004B55DD" w:rsidP="009371F3">
            <w:pPr>
              <w:spacing w:after="0" w:line="480" w:lineRule="auto"/>
              <w:jc w:val="center"/>
              <w:rPr>
                <w:rFonts w:cstheme="minorHAnsi"/>
                <w:b/>
              </w:rPr>
            </w:pPr>
            <w:r w:rsidRPr="00FD048E">
              <w:rPr>
                <w:b/>
                <w:bCs/>
              </w:rPr>
              <w:t>MOLNUPIRAVIR</w:t>
            </w:r>
          </w:p>
        </w:tc>
        <w:tc>
          <w:tcPr>
            <w:tcW w:w="0" w:type="auto"/>
            <w:tcBorders>
              <w:top w:val="single" w:sz="4" w:space="0" w:color="auto"/>
              <w:left w:val="nil"/>
              <w:bottom w:val="nil"/>
              <w:right w:val="nil"/>
            </w:tcBorders>
            <w:vAlign w:val="center"/>
            <w:hideMark/>
          </w:tcPr>
          <w:p w14:paraId="450B7BE4" w14:textId="27B52261" w:rsidR="004B55DD" w:rsidRPr="00FD048E" w:rsidRDefault="004B55DD" w:rsidP="009371F3">
            <w:pPr>
              <w:spacing w:after="0" w:line="480" w:lineRule="auto"/>
              <w:jc w:val="center"/>
              <w:rPr>
                <w:rFonts w:cstheme="minorHAnsi"/>
                <w:b/>
              </w:rPr>
            </w:pPr>
            <w:r w:rsidRPr="00FD048E">
              <w:rPr>
                <w:b/>
                <w:bCs/>
              </w:rPr>
              <w:t>MOLNUPIRAVIR</w:t>
            </w:r>
          </w:p>
        </w:tc>
        <w:tc>
          <w:tcPr>
            <w:tcW w:w="0" w:type="auto"/>
            <w:tcBorders>
              <w:top w:val="single" w:sz="4" w:space="0" w:color="auto"/>
              <w:left w:val="nil"/>
              <w:bottom w:val="nil"/>
              <w:right w:val="nil"/>
            </w:tcBorders>
            <w:vAlign w:val="center"/>
            <w:hideMark/>
          </w:tcPr>
          <w:p w14:paraId="2494DD31" w14:textId="2F27519C" w:rsidR="004B55DD" w:rsidRPr="00FD048E" w:rsidRDefault="004B55DD" w:rsidP="009371F3">
            <w:pPr>
              <w:spacing w:after="0" w:line="480" w:lineRule="auto"/>
              <w:jc w:val="center"/>
              <w:rPr>
                <w:rFonts w:cstheme="minorHAnsi"/>
                <w:b/>
              </w:rPr>
            </w:pPr>
            <w:r w:rsidRPr="00FD048E">
              <w:rPr>
                <w:b/>
                <w:bCs/>
              </w:rPr>
              <w:t>MOLNUPIRAVIR</w:t>
            </w:r>
          </w:p>
        </w:tc>
        <w:tc>
          <w:tcPr>
            <w:tcW w:w="0" w:type="auto"/>
            <w:tcBorders>
              <w:top w:val="single" w:sz="4" w:space="0" w:color="auto"/>
              <w:left w:val="nil"/>
              <w:bottom w:val="nil"/>
              <w:right w:val="single" w:sz="4" w:space="0" w:color="auto"/>
            </w:tcBorders>
            <w:vAlign w:val="center"/>
          </w:tcPr>
          <w:p w14:paraId="7133B51F" w14:textId="621D8C24" w:rsidR="004B55DD" w:rsidRPr="00FD048E" w:rsidRDefault="004B55DD" w:rsidP="009371F3">
            <w:pPr>
              <w:suppressAutoHyphens/>
              <w:snapToGrid w:val="0"/>
              <w:spacing w:after="0" w:line="480" w:lineRule="auto"/>
              <w:jc w:val="center"/>
              <w:rPr>
                <w:rFonts w:cstheme="minorHAnsi"/>
                <w:b/>
                <w:lang w:eastAsia="ar-SA"/>
              </w:rPr>
            </w:pPr>
            <w:r w:rsidRPr="00FD048E">
              <w:rPr>
                <w:rFonts w:cstheme="minorHAnsi"/>
                <w:b/>
                <w:lang w:eastAsia="ar-SA"/>
              </w:rPr>
              <w:t>Standard Care</w:t>
            </w:r>
          </w:p>
        </w:tc>
      </w:tr>
      <w:tr w:rsidR="009371F3" w:rsidRPr="00FD048E" w14:paraId="3473076A" w14:textId="77777777" w:rsidTr="00235A9C">
        <w:trPr>
          <w:tblHeader/>
        </w:trPr>
        <w:tc>
          <w:tcPr>
            <w:tcW w:w="0" w:type="auto"/>
            <w:tcBorders>
              <w:top w:val="nil"/>
              <w:left w:val="single" w:sz="4" w:space="0" w:color="auto"/>
              <w:bottom w:val="nil"/>
              <w:right w:val="nil"/>
            </w:tcBorders>
            <w:vAlign w:val="center"/>
          </w:tcPr>
          <w:p w14:paraId="7B6E8EE7" w14:textId="77777777" w:rsidR="009371F3" w:rsidRPr="00FD048E" w:rsidRDefault="009371F3" w:rsidP="00554F7B">
            <w:pPr>
              <w:spacing w:after="0" w:line="480" w:lineRule="auto"/>
              <w:rPr>
                <w:rFonts w:cstheme="minorHAnsi"/>
                <w:b/>
                <w:bCs/>
              </w:rPr>
            </w:pPr>
          </w:p>
        </w:tc>
        <w:tc>
          <w:tcPr>
            <w:tcW w:w="0" w:type="auto"/>
            <w:tcBorders>
              <w:top w:val="nil"/>
              <w:left w:val="nil"/>
              <w:bottom w:val="nil"/>
              <w:right w:val="nil"/>
            </w:tcBorders>
            <w:vAlign w:val="center"/>
          </w:tcPr>
          <w:p w14:paraId="5B6D4128" w14:textId="2D911012" w:rsidR="009371F3" w:rsidRPr="00FD048E" w:rsidRDefault="009371F3" w:rsidP="009371F3">
            <w:pPr>
              <w:spacing w:after="0" w:line="480" w:lineRule="auto"/>
              <w:jc w:val="center"/>
              <w:rPr>
                <w:b/>
                <w:bCs/>
              </w:rPr>
            </w:pPr>
            <w:r w:rsidRPr="00FD048E">
              <w:rPr>
                <w:b/>
                <w:bCs/>
              </w:rPr>
              <w:t>(300mg)</w:t>
            </w:r>
          </w:p>
        </w:tc>
        <w:tc>
          <w:tcPr>
            <w:tcW w:w="0" w:type="auto"/>
            <w:tcBorders>
              <w:top w:val="nil"/>
              <w:left w:val="nil"/>
              <w:bottom w:val="nil"/>
              <w:right w:val="nil"/>
            </w:tcBorders>
            <w:vAlign w:val="center"/>
          </w:tcPr>
          <w:p w14:paraId="09698482" w14:textId="541F115D" w:rsidR="009371F3" w:rsidRPr="00FD048E" w:rsidRDefault="009371F3" w:rsidP="009371F3">
            <w:pPr>
              <w:spacing w:after="0" w:line="480" w:lineRule="auto"/>
              <w:jc w:val="center"/>
              <w:rPr>
                <w:b/>
                <w:bCs/>
              </w:rPr>
            </w:pPr>
            <w:r w:rsidRPr="00FD048E">
              <w:rPr>
                <w:b/>
                <w:bCs/>
              </w:rPr>
              <w:t>(600mg)</w:t>
            </w:r>
          </w:p>
        </w:tc>
        <w:tc>
          <w:tcPr>
            <w:tcW w:w="0" w:type="auto"/>
            <w:tcBorders>
              <w:top w:val="nil"/>
              <w:left w:val="nil"/>
              <w:bottom w:val="nil"/>
              <w:right w:val="nil"/>
            </w:tcBorders>
            <w:vAlign w:val="center"/>
          </w:tcPr>
          <w:p w14:paraId="300D3510" w14:textId="6C951AF8" w:rsidR="009371F3" w:rsidRPr="00FD048E" w:rsidRDefault="009371F3" w:rsidP="009371F3">
            <w:pPr>
              <w:spacing w:after="0" w:line="480" w:lineRule="auto"/>
              <w:jc w:val="center"/>
              <w:rPr>
                <w:b/>
                <w:bCs/>
              </w:rPr>
            </w:pPr>
            <w:r w:rsidRPr="00FD048E">
              <w:rPr>
                <w:b/>
                <w:bCs/>
              </w:rPr>
              <w:t>(800mg)</w:t>
            </w:r>
          </w:p>
        </w:tc>
        <w:tc>
          <w:tcPr>
            <w:tcW w:w="0" w:type="auto"/>
            <w:tcBorders>
              <w:top w:val="nil"/>
              <w:left w:val="nil"/>
              <w:bottom w:val="nil"/>
              <w:right w:val="single" w:sz="4" w:space="0" w:color="auto"/>
            </w:tcBorders>
            <w:vAlign w:val="center"/>
          </w:tcPr>
          <w:p w14:paraId="05B96562" w14:textId="67BB366E" w:rsidR="009371F3" w:rsidRPr="00FD048E" w:rsidRDefault="009371F3" w:rsidP="00554F7B">
            <w:pPr>
              <w:suppressAutoHyphens/>
              <w:snapToGrid w:val="0"/>
              <w:spacing w:after="0" w:line="480" w:lineRule="auto"/>
              <w:jc w:val="center"/>
              <w:rPr>
                <w:rFonts w:cstheme="minorHAnsi"/>
                <w:b/>
                <w:lang w:eastAsia="ar-SA"/>
              </w:rPr>
            </w:pPr>
            <w:r w:rsidRPr="00FD048E">
              <w:rPr>
                <w:rFonts w:cstheme="minorHAnsi"/>
                <w:b/>
                <w:lang w:eastAsia="ar-SA"/>
              </w:rPr>
              <w:t>Total</w:t>
            </w:r>
          </w:p>
        </w:tc>
      </w:tr>
      <w:tr w:rsidR="009371F3" w:rsidRPr="00FD048E" w14:paraId="2C4A23BA" w14:textId="77777777" w:rsidTr="00235A9C">
        <w:trPr>
          <w:tblHeader/>
        </w:trPr>
        <w:tc>
          <w:tcPr>
            <w:tcW w:w="0" w:type="auto"/>
            <w:tcBorders>
              <w:top w:val="nil"/>
              <w:left w:val="single" w:sz="4" w:space="0" w:color="auto"/>
              <w:bottom w:val="single" w:sz="4" w:space="0" w:color="auto"/>
              <w:right w:val="nil"/>
            </w:tcBorders>
            <w:vAlign w:val="center"/>
          </w:tcPr>
          <w:p w14:paraId="1FA8B2CD" w14:textId="77777777" w:rsidR="009371F3" w:rsidRPr="00FD048E" w:rsidRDefault="009371F3" w:rsidP="00554F7B">
            <w:pPr>
              <w:spacing w:after="0" w:line="480" w:lineRule="auto"/>
              <w:rPr>
                <w:rFonts w:cstheme="minorHAnsi"/>
                <w:b/>
                <w:bCs/>
              </w:rPr>
            </w:pPr>
          </w:p>
        </w:tc>
        <w:tc>
          <w:tcPr>
            <w:tcW w:w="0" w:type="auto"/>
            <w:tcBorders>
              <w:top w:val="nil"/>
              <w:left w:val="nil"/>
              <w:bottom w:val="single" w:sz="4" w:space="0" w:color="auto"/>
              <w:right w:val="nil"/>
            </w:tcBorders>
            <w:vAlign w:val="center"/>
          </w:tcPr>
          <w:p w14:paraId="25E0174D" w14:textId="6759C5DA" w:rsidR="009371F3" w:rsidRPr="00FD048E" w:rsidRDefault="009371F3" w:rsidP="00554F7B">
            <w:pPr>
              <w:spacing w:after="0" w:line="480" w:lineRule="auto"/>
              <w:jc w:val="center"/>
              <w:rPr>
                <w:b/>
                <w:bCs/>
              </w:rPr>
            </w:pPr>
            <w:r w:rsidRPr="00FD048E">
              <w:rPr>
                <w:b/>
                <w:bCs/>
              </w:rPr>
              <w:t>(n=4)</w:t>
            </w:r>
          </w:p>
        </w:tc>
        <w:tc>
          <w:tcPr>
            <w:tcW w:w="0" w:type="auto"/>
            <w:tcBorders>
              <w:top w:val="nil"/>
              <w:left w:val="nil"/>
              <w:bottom w:val="single" w:sz="4" w:space="0" w:color="auto"/>
              <w:right w:val="nil"/>
            </w:tcBorders>
            <w:vAlign w:val="center"/>
          </w:tcPr>
          <w:p w14:paraId="20EA9AA0" w14:textId="717E8B35" w:rsidR="009371F3" w:rsidRPr="00FD048E" w:rsidRDefault="009371F3" w:rsidP="00554F7B">
            <w:pPr>
              <w:spacing w:after="0" w:line="480" w:lineRule="auto"/>
              <w:jc w:val="center"/>
              <w:rPr>
                <w:b/>
                <w:bCs/>
              </w:rPr>
            </w:pPr>
            <w:r w:rsidRPr="00FD048E">
              <w:rPr>
                <w:b/>
                <w:bCs/>
              </w:rPr>
              <w:t>(n=4)</w:t>
            </w:r>
          </w:p>
        </w:tc>
        <w:tc>
          <w:tcPr>
            <w:tcW w:w="0" w:type="auto"/>
            <w:tcBorders>
              <w:top w:val="nil"/>
              <w:left w:val="nil"/>
              <w:bottom w:val="single" w:sz="4" w:space="0" w:color="auto"/>
              <w:right w:val="nil"/>
            </w:tcBorders>
            <w:vAlign w:val="center"/>
          </w:tcPr>
          <w:p w14:paraId="633AA1B2" w14:textId="50E0920E" w:rsidR="009371F3" w:rsidRPr="00FD048E" w:rsidRDefault="009371F3" w:rsidP="00554F7B">
            <w:pPr>
              <w:spacing w:after="0" w:line="480" w:lineRule="auto"/>
              <w:jc w:val="center"/>
              <w:rPr>
                <w:b/>
                <w:bCs/>
              </w:rPr>
            </w:pPr>
            <w:r w:rsidRPr="00FD048E">
              <w:rPr>
                <w:b/>
                <w:bCs/>
              </w:rPr>
              <w:t>(n=4)</w:t>
            </w:r>
          </w:p>
        </w:tc>
        <w:tc>
          <w:tcPr>
            <w:tcW w:w="0" w:type="auto"/>
            <w:tcBorders>
              <w:top w:val="nil"/>
              <w:left w:val="nil"/>
              <w:bottom w:val="single" w:sz="4" w:space="0" w:color="auto"/>
              <w:right w:val="single" w:sz="4" w:space="0" w:color="auto"/>
            </w:tcBorders>
            <w:vAlign w:val="center"/>
          </w:tcPr>
          <w:p w14:paraId="5B5A24FF" w14:textId="76D25CE8" w:rsidR="009371F3" w:rsidRPr="00FD048E" w:rsidRDefault="009371F3" w:rsidP="00554F7B">
            <w:pPr>
              <w:suppressAutoHyphens/>
              <w:snapToGrid w:val="0"/>
              <w:spacing w:after="0" w:line="480" w:lineRule="auto"/>
              <w:jc w:val="center"/>
              <w:rPr>
                <w:rFonts w:cstheme="minorHAnsi"/>
                <w:b/>
                <w:lang w:eastAsia="ar-SA"/>
              </w:rPr>
            </w:pPr>
            <w:r w:rsidRPr="00FD048E">
              <w:rPr>
                <w:rFonts w:cstheme="minorHAnsi"/>
                <w:b/>
                <w:lang w:eastAsia="ar-SA"/>
              </w:rPr>
              <w:t>(n=6)</w:t>
            </w:r>
          </w:p>
        </w:tc>
      </w:tr>
      <w:tr w:rsidR="004B55DD" w:rsidRPr="00FD048E" w14:paraId="6433ED53" w14:textId="77777777" w:rsidTr="00235A9C">
        <w:tc>
          <w:tcPr>
            <w:tcW w:w="0" w:type="auto"/>
            <w:tcBorders>
              <w:top w:val="single" w:sz="4" w:space="0" w:color="auto"/>
              <w:left w:val="single" w:sz="4" w:space="0" w:color="auto"/>
              <w:bottom w:val="single" w:sz="4" w:space="0" w:color="auto"/>
              <w:right w:val="nil"/>
            </w:tcBorders>
            <w:vAlign w:val="center"/>
          </w:tcPr>
          <w:p w14:paraId="272041E9" w14:textId="77777777" w:rsidR="004B55DD" w:rsidRPr="00FD048E" w:rsidRDefault="004B55DD" w:rsidP="00554F7B">
            <w:pPr>
              <w:spacing w:before="120" w:after="0" w:line="480" w:lineRule="auto"/>
              <w:rPr>
                <w:rFonts w:cstheme="minorHAnsi"/>
              </w:rPr>
            </w:pPr>
            <w:r w:rsidRPr="00FD048E">
              <w:rPr>
                <w:rFonts w:cstheme="minorHAnsi"/>
              </w:rPr>
              <w:t>Number of patients that experienced at least one AE – n (%) *</w:t>
            </w:r>
          </w:p>
        </w:tc>
        <w:tc>
          <w:tcPr>
            <w:tcW w:w="0" w:type="auto"/>
            <w:tcBorders>
              <w:top w:val="single" w:sz="4" w:space="0" w:color="auto"/>
              <w:left w:val="nil"/>
              <w:bottom w:val="single" w:sz="4" w:space="0" w:color="auto"/>
              <w:right w:val="nil"/>
            </w:tcBorders>
            <w:vAlign w:val="center"/>
            <w:hideMark/>
          </w:tcPr>
          <w:p w14:paraId="1B8D5E1D" w14:textId="77777777" w:rsidR="004B55DD" w:rsidRPr="00FD048E" w:rsidRDefault="004B55DD" w:rsidP="00554F7B">
            <w:pPr>
              <w:spacing w:after="0" w:line="480" w:lineRule="auto"/>
              <w:jc w:val="center"/>
              <w:rPr>
                <w:rFonts w:cstheme="minorHAnsi"/>
              </w:rPr>
            </w:pPr>
            <w:r w:rsidRPr="00FD048E">
              <w:rPr>
                <w:rFonts w:cstheme="minorHAnsi"/>
                <w:color w:val="000000"/>
              </w:rPr>
              <w:t>4 (100%)</w:t>
            </w:r>
          </w:p>
        </w:tc>
        <w:tc>
          <w:tcPr>
            <w:tcW w:w="0" w:type="auto"/>
            <w:tcBorders>
              <w:top w:val="single" w:sz="4" w:space="0" w:color="auto"/>
              <w:left w:val="nil"/>
              <w:bottom w:val="single" w:sz="4" w:space="0" w:color="auto"/>
              <w:right w:val="nil"/>
            </w:tcBorders>
            <w:vAlign w:val="center"/>
            <w:hideMark/>
          </w:tcPr>
          <w:p w14:paraId="1960498B" w14:textId="77777777" w:rsidR="004B55DD" w:rsidRPr="00FD048E" w:rsidRDefault="004B55DD" w:rsidP="00554F7B">
            <w:pPr>
              <w:spacing w:after="0" w:line="480" w:lineRule="auto"/>
              <w:jc w:val="center"/>
              <w:rPr>
                <w:rFonts w:cstheme="minorHAnsi"/>
              </w:rPr>
            </w:pPr>
            <w:r w:rsidRPr="00FD048E">
              <w:rPr>
                <w:rFonts w:cstheme="minorHAnsi"/>
                <w:color w:val="000000"/>
              </w:rPr>
              <w:t>4 (100%)</w:t>
            </w:r>
          </w:p>
        </w:tc>
        <w:tc>
          <w:tcPr>
            <w:tcW w:w="0" w:type="auto"/>
            <w:tcBorders>
              <w:top w:val="single" w:sz="4" w:space="0" w:color="auto"/>
              <w:left w:val="nil"/>
              <w:bottom w:val="single" w:sz="4" w:space="0" w:color="auto"/>
              <w:right w:val="nil"/>
            </w:tcBorders>
            <w:vAlign w:val="center"/>
            <w:hideMark/>
          </w:tcPr>
          <w:p w14:paraId="1DF20628" w14:textId="77777777" w:rsidR="004B55DD" w:rsidRPr="00FD048E" w:rsidRDefault="004B55DD" w:rsidP="00554F7B">
            <w:pPr>
              <w:spacing w:after="0" w:line="480" w:lineRule="auto"/>
              <w:jc w:val="center"/>
              <w:rPr>
                <w:rFonts w:cstheme="minorHAnsi"/>
              </w:rPr>
            </w:pPr>
            <w:r w:rsidRPr="00FD048E">
              <w:rPr>
                <w:rFonts w:cstheme="minorHAnsi"/>
                <w:color w:val="000000"/>
              </w:rPr>
              <w:t>1 (25%)</w:t>
            </w:r>
          </w:p>
        </w:tc>
        <w:tc>
          <w:tcPr>
            <w:tcW w:w="0" w:type="auto"/>
            <w:tcBorders>
              <w:top w:val="single" w:sz="4" w:space="0" w:color="auto"/>
              <w:left w:val="nil"/>
              <w:bottom w:val="single" w:sz="4" w:space="0" w:color="auto"/>
              <w:right w:val="single" w:sz="4" w:space="0" w:color="auto"/>
            </w:tcBorders>
            <w:vAlign w:val="center"/>
          </w:tcPr>
          <w:p w14:paraId="68E2E9E5" w14:textId="77777777" w:rsidR="004B55DD" w:rsidRPr="00FD048E" w:rsidRDefault="004B55DD" w:rsidP="00554F7B">
            <w:pPr>
              <w:spacing w:after="0" w:line="480" w:lineRule="auto"/>
              <w:jc w:val="center"/>
              <w:rPr>
                <w:rFonts w:cstheme="minorHAnsi"/>
              </w:rPr>
            </w:pPr>
            <w:r w:rsidRPr="00FD048E">
              <w:rPr>
                <w:rFonts w:cstheme="minorHAnsi"/>
                <w:color w:val="000000"/>
              </w:rPr>
              <w:t>5 (83</w:t>
            </w:r>
            <w:r>
              <w:rPr>
                <w:rFonts w:ascii="Arial" w:hAnsi="Arial" w:cs="Arial"/>
              </w:rPr>
              <w:t>·</w:t>
            </w:r>
            <w:r w:rsidRPr="00FD048E">
              <w:rPr>
                <w:rFonts w:cstheme="minorHAnsi"/>
                <w:color w:val="000000"/>
              </w:rPr>
              <w:t>3%)</w:t>
            </w:r>
          </w:p>
        </w:tc>
      </w:tr>
      <w:tr w:rsidR="004B55DD" w:rsidRPr="00FD048E" w14:paraId="7EC2556B" w14:textId="77777777" w:rsidTr="00235A9C">
        <w:tc>
          <w:tcPr>
            <w:tcW w:w="0" w:type="auto"/>
            <w:tcBorders>
              <w:top w:val="single" w:sz="4" w:space="0" w:color="auto"/>
              <w:left w:val="single" w:sz="4" w:space="0" w:color="auto"/>
              <w:bottom w:val="single" w:sz="4" w:space="0" w:color="auto"/>
              <w:right w:val="nil"/>
            </w:tcBorders>
          </w:tcPr>
          <w:p w14:paraId="37248203" w14:textId="77777777" w:rsidR="004B55DD" w:rsidRPr="00FD048E" w:rsidRDefault="004B55DD" w:rsidP="00554F7B">
            <w:pPr>
              <w:spacing w:after="0" w:line="480" w:lineRule="auto"/>
              <w:rPr>
                <w:rFonts w:cstheme="minorHAnsi"/>
              </w:rPr>
            </w:pPr>
            <w:r w:rsidRPr="00FD048E">
              <w:rPr>
                <w:rFonts w:cstheme="minorHAnsi"/>
              </w:rPr>
              <w:t>Summary of AEs – n (%)</w:t>
            </w:r>
          </w:p>
        </w:tc>
        <w:tc>
          <w:tcPr>
            <w:tcW w:w="0" w:type="auto"/>
            <w:tcBorders>
              <w:top w:val="single" w:sz="4" w:space="0" w:color="auto"/>
              <w:left w:val="nil"/>
              <w:bottom w:val="single" w:sz="4" w:space="0" w:color="auto"/>
              <w:right w:val="nil"/>
            </w:tcBorders>
            <w:vAlign w:val="center"/>
          </w:tcPr>
          <w:p w14:paraId="0E9C8668" w14:textId="77777777" w:rsidR="004B55DD" w:rsidRPr="004532E4" w:rsidRDefault="004B55DD" w:rsidP="00554F7B">
            <w:pPr>
              <w:spacing w:after="0" w:line="480" w:lineRule="auto"/>
              <w:rPr>
                <w:rFonts w:cstheme="minorHAnsi"/>
              </w:rPr>
            </w:pPr>
          </w:p>
        </w:tc>
        <w:tc>
          <w:tcPr>
            <w:tcW w:w="0" w:type="auto"/>
            <w:tcBorders>
              <w:top w:val="single" w:sz="4" w:space="0" w:color="auto"/>
              <w:left w:val="nil"/>
              <w:bottom w:val="single" w:sz="4" w:space="0" w:color="auto"/>
              <w:right w:val="nil"/>
            </w:tcBorders>
            <w:vAlign w:val="center"/>
          </w:tcPr>
          <w:p w14:paraId="25DD0B0A" w14:textId="77777777" w:rsidR="004B55DD" w:rsidRPr="004532E4" w:rsidRDefault="004B55DD" w:rsidP="00554F7B">
            <w:pPr>
              <w:spacing w:after="0" w:line="480" w:lineRule="auto"/>
              <w:rPr>
                <w:rFonts w:cstheme="minorHAnsi"/>
              </w:rPr>
            </w:pPr>
          </w:p>
        </w:tc>
        <w:tc>
          <w:tcPr>
            <w:tcW w:w="0" w:type="auto"/>
            <w:tcBorders>
              <w:top w:val="single" w:sz="4" w:space="0" w:color="auto"/>
              <w:left w:val="nil"/>
              <w:bottom w:val="single" w:sz="4" w:space="0" w:color="auto"/>
              <w:right w:val="nil"/>
            </w:tcBorders>
            <w:vAlign w:val="center"/>
          </w:tcPr>
          <w:p w14:paraId="2BFD4E82" w14:textId="77777777" w:rsidR="004B55DD" w:rsidRPr="004532E4" w:rsidRDefault="004B55DD" w:rsidP="00554F7B">
            <w:pPr>
              <w:spacing w:after="0" w:line="480" w:lineRule="auto"/>
              <w:rPr>
                <w:rFonts w:cstheme="minorHAnsi"/>
              </w:rPr>
            </w:pPr>
          </w:p>
        </w:tc>
        <w:tc>
          <w:tcPr>
            <w:tcW w:w="0" w:type="auto"/>
            <w:tcBorders>
              <w:top w:val="single" w:sz="4" w:space="0" w:color="auto"/>
              <w:left w:val="nil"/>
              <w:bottom w:val="single" w:sz="4" w:space="0" w:color="auto"/>
              <w:right w:val="single" w:sz="4" w:space="0" w:color="auto"/>
            </w:tcBorders>
            <w:vAlign w:val="center"/>
          </w:tcPr>
          <w:p w14:paraId="2FB99CD5" w14:textId="77777777" w:rsidR="004B55DD" w:rsidRPr="004532E4" w:rsidRDefault="004B55DD" w:rsidP="00554F7B">
            <w:pPr>
              <w:spacing w:after="0" w:line="480" w:lineRule="auto"/>
              <w:rPr>
                <w:rFonts w:cstheme="minorHAnsi"/>
              </w:rPr>
            </w:pPr>
          </w:p>
        </w:tc>
      </w:tr>
      <w:tr w:rsidR="004B55DD" w:rsidRPr="00FD048E" w14:paraId="57435FC9" w14:textId="77777777" w:rsidTr="00235A9C">
        <w:tc>
          <w:tcPr>
            <w:tcW w:w="0" w:type="auto"/>
            <w:tcBorders>
              <w:top w:val="single" w:sz="4" w:space="0" w:color="auto"/>
              <w:left w:val="single" w:sz="4" w:space="0" w:color="auto"/>
              <w:bottom w:val="single" w:sz="4" w:space="0" w:color="auto"/>
              <w:right w:val="nil"/>
            </w:tcBorders>
          </w:tcPr>
          <w:p w14:paraId="0053D300" w14:textId="77777777" w:rsidR="004B55DD" w:rsidRPr="00FD048E" w:rsidRDefault="004B55DD" w:rsidP="00554F7B">
            <w:pPr>
              <w:spacing w:after="0" w:line="480" w:lineRule="auto"/>
              <w:ind w:left="113"/>
              <w:rPr>
                <w:rFonts w:cstheme="minorHAnsi"/>
              </w:rPr>
            </w:pPr>
            <w:r w:rsidRPr="00FD048E">
              <w:rPr>
                <w:rFonts w:cstheme="minorHAnsi"/>
                <w:b/>
                <w:bCs/>
                <w:color w:val="000000"/>
              </w:rPr>
              <w:t>Cardiac disorders</w:t>
            </w:r>
          </w:p>
        </w:tc>
        <w:tc>
          <w:tcPr>
            <w:tcW w:w="0" w:type="auto"/>
            <w:tcBorders>
              <w:top w:val="single" w:sz="4" w:space="0" w:color="auto"/>
              <w:left w:val="nil"/>
              <w:bottom w:val="single" w:sz="4" w:space="0" w:color="auto"/>
              <w:right w:val="nil"/>
            </w:tcBorders>
          </w:tcPr>
          <w:p w14:paraId="2AD2547C"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61FFD657"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2ECE9FCC"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47D526EE"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r>
      <w:tr w:rsidR="004B55DD" w:rsidRPr="00FD048E" w14:paraId="0CDCBD92" w14:textId="77777777" w:rsidTr="00235A9C">
        <w:tc>
          <w:tcPr>
            <w:tcW w:w="0" w:type="auto"/>
            <w:tcBorders>
              <w:top w:val="single" w:sz="4" w:space="0" w:color="auto"/>
              <w:left w:val="single" w:sz="4" w:space="0" w:color="auto"/>
              <w:bottom w:val="nil"/>
              <w:right w:val="nil"/>
            </w:tcBorders>
          </w:tcPr>
          <w:p w14:paraId="4EBE8E5E" w14:textId="77777777" w:rsidR="004B55DD" w:rsidRPr="00FD048E" w:rsidRDefault="004B55DD" w:rsidP="00554F7B">
            <w:pPr>
              <w:spacing w:after="0" w:line="480" w:lineRule="auto"/>
              <w:ind w:left="113"/>
              <w:rPr>
                <w:rFonts w:cstheme="minorHAnsi"/>
              </w:rPr>
            </w:pPr>
            <w:r w:rsidRPr="00FD048E">
              <w:rPr>
                <w:rFonts w:cstheme="minorHAnsi"/>
                <w:color w:val="000000"/>
              </w:rPr>
              <w:t>Palpitations</w:t>
            </w:r>
          </w:p>
        </w:tc>
        <w:tc>
          <w:tcPr>
            <w:tcW w:w="0" w:type="auto"/>
            <w:tcBorders>
              <w:top w:val="single" w:sz="4" w:space="0" w:color="auto"/>
              <w:left w:val="nil"/>
              <w:bottom w:val="nil"/>
              <w:right w:val="nil"/>
            </w:tcBorders>
          </w:tcPr>
          <w:p w14:paraId="7F6878A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65E9639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459EE8FB"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7C5CBD72"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459BC66B" w14:textId="77777777" w:rsidTr="00235A9C">
        <w:tc>
          <w:tcPr>
            <w:tcW w:w="0" w:type="auto"/>
            <w:tcBorders>
              <w:top w:val="single" w:sz="4" w:space="0" w:color="auto"/>
              <w:left w:val="single" w:sz="4" w:space="0" w:color="auto"/>
              <w:bottom w:val="single" w:sz="4" w:space="0" w:color="auto"/>
              <w:right w:val="nil"/>
            </w:tcBorders>
          </w:tcPr>
          <w:p w14:paraId="0B6146F6" w14:textId="77777777" w:rsidR="004B55DD" w:rsidRPr="00FD048E" w:rsidRDefault="004B55DD" w:rsidP="00554F7B">
            <w:pPr>
              <w:spacing w:after="0" w:line="480" w:lineRule="auto"/>
              <w:ind w:left="113"/>
              <w:rPr>
                <w:rFonts w:cstheme="minorHAnsi"/>
              </w:rPr>
            </w:pPr>
            <w:r w:rsidRPr="00FD048E">
              <w:rPr>
                <w:rFonts w:cstheme="minorHAnsi"/>
                <w:b/>
                <w:bCs/>
                <w:color w:val="000000"/>
              </w:rPr>
              <w:t>Ear and labyrinth disorders</w:t>
            </w:r>
          </w:p>
        </w:tc>
        <w:tc>
          <w:tcPr>
            <w:tcW w:w="0" w:type="auto"/>
            <w:tcBorders>
              <w:top w:val="single" w:sz="4" w:space="0" w:color="auto"/>
              <w:left w:val="nil"/>
              <w:bottom w:val="single" w:sz="4" w:space="0" w:color="auto"/>
              <w:right w:val="nil"/>
            </w:tcBorders>
          </w:tcPr>
          <w:p w14:paraId="2DEBF255"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4FBC6BBD"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0A7E08BB"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2021A3F6"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(16</w:t>
            </w:r>
            <w:r w:rsidRPr="004532E4">
              <w:rPr>
                <w:rFonts w:ascii="Arial" w:hAnsi="Arial" w:cs="Arial"/>
                <w:b/>
                <w:bCs/>
              </w:rPr>
              <w:t>·</w:t>
            </w:r>
            <w:r w:rsidRPr="00FD048E">
              <w:rPr>
                <w:rFonts w:cstheme="minorHAnsi"/>
                <w:b/>
                <w:bCs/>
                <w:color w:val="000000"/>
              </w:rPr>
              <w:t>7%)</w:t>
            </w:r>
          </w:p>
        </w:tc>
      </w:tr>
      <w:tr w:rsidR="004B55DD" w:rsidRPr="00FD048E" w14:paraId="5B16C967" w14:textId="77777777" w:rsidTr="00235A9C">
        <w:tc>
          <w:tcPr>
            <w:tcW w:w="0" w:type="auto"/>
            <w:tcBorders>
              <w:top w:val="single" w:sz="4" w:space="0" w:color="auto"/>
              <w:left w:val="single" w:sz="4" w:space="0" w:color="auto"/>
              <w:bottom w:val="nil"/>
              <w:right w:val="nil"/>
            </w:tcBorders>
          </w:tcPr>
          <w:p w14:paraId="0417DD9A" w14:textId="77777777" w:rsidR="004B55DD" w:rsidRPr="00FD048E" w:rsidRDefault="004B55DD" w:rsidP="00554F7B">
            <w:pPr>
              <w:spacing w:after="0" w:line="480" w:lineRule="auto"/>
              <w:ind w:left="113"/>
              <w:rPr>
                <w:rFonts w:cstheme="minorHAnsi"/>
              </w:rPr>
            </w:pPr>
            <w:r w:rsidRPr="00FD048E">
              <w:rPr>
                <w:rFonts w:cstheme="minorHAnsi"/>
                <w:color w:val="000000"/>
              </w:rPr>
              <w:t>Tinnitus</w:t>
            </w:r>
          </w:p>
        </w:tc>
        <w:tc>
          <w:tcPr>
            <w:tcW w:w="0" w:type="auto"/>
            <w:tcBorders>
              <w:top w:val="single" w:sz="4" w:space="0" w:color="auto"/>
              <w:left w:val="nil"/>
              <w:bottom w:val="nil"/>
              <w:right w:val="nil"/>
            </w:tcBorders>
          </w:tcPr>
          <w:p w14:paraId="229D118C"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7EB6EEF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4AFA6208"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028FA0C1"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3536DC4A" w14:textId="77777777" w:rsidTr="00235A9C">
        <w:tc>
          <w:tcPr>
            <w:tcW w:w="0" w:type="auto"/>
            <w:tcBorders>
              <w:top w:val="single" w:sz="4" w:space="0" w:color="auto"/>
              <w:left w:val="single" w:sz="4" w:space="0" w:color="auto"/>
              <w:bottom w:val="single" w:sz="4" w:space="0" w:color="auto"/>
              <w:right w:val="nil"/>
            </w:tcBorders>
          </w:tcPr>
          <w:p w14:paraId="14396497" w14:textId="77777777" w:rsidR="004B55DD" w:rsidRPr="00FD048E" w:rsidRDefault="004B55DD" w:rsidP="00554F7B">
            <w:pPr>
              <w:spacing w:after="0" w:line="480" w:lineRule="auto"/>
              <w:ind w:left="113"/>
              <w:rPr>
                <w:rFonts w:cstheme="minorHAnsi"/>
              </w:rPr>
            </w:pPr>
            <w:r w:rsidRPr="00FD048E">
              <w:rPr>
                <w:rFonts w:cstheme="minorHAnsi"/>
                <w:b/>
                <w:bCs/>
                <w:color w:val="000000"/>
              </w:rPr>
              <w:t>Eye disorders</w:t>
            </w:r>
          </w:p>
        </w:tc>
        <w:tc>
          <w:tcPr>
            <w:tcW w:w="0" w:type="auto"/>
            <w:tcBorders>
              <w:top w:val="single" w:sz="4" w:space="0" w:color="auto"/>
              <w:left w:val="nil"/>
              <w:bottom w:val="single" w:sz="4" w:space="0" w:color="auto"/>
              <w:right w:val="nil"/>
            </w:tcBorders>
          </w:tcPr>
          <w:p w14:paraId="78D4BC1C"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14417469"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2E1BABE6"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769E6287"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r>
      <w:tr w:rsidR="004B55DD" w:rsidRPr="00FD048E" w14:paraId="517746B7" w14:textId="77777777" w:rsidTr="00235A9C">
        <w:tc>
          <w:tcPr>
            <w:tcW w:w="0" w:type="auto"/>
            <w:tcBorders>
              <w:top w:val="single" w:sz="4" w:space="0" w:color="auto"/>
              <w:left w:val="single" w:sz="4" w:space="0" w:color="auto"/>
              <w:bottom w:val="nil"/>
              <w:right w:val="nil"/>
            </w:tcBorders>
          </w:tcPr>
          <w:p w14:paraId="14ADD77B" w14:textId="77777777" w:rsidR="004B55DD" w:rsidRPr="00FD048E" w:rsidRDefault="004B55DD" w:rsidP="00554F7B">
            <w:pPr>
              <w:spacing w:after="0" w:line="480" w:lineRule="auto"/>
              <w:ind w:left="113"/>
              <w:rPr>
                <w:rFonts w:cstheme="minorHAnsi"/>
              </w:rPr>
            </w:pPr>
            <w:r w:rsidRPr="00FD048E">
              <w:rPr>
                <w:rFonts w:cstheme="minorHAnsi"/>
                <w:color w:val="000000"/>
              </w:rPr>
              <w:t>Blurred Vision</w:t>
            </w:r>
          </w:p>
        </w:tc>
        <w:tc>
          <w:tcPr>
            <w:tcW w:w="0" w:type="auto"/>
            <w:tcBorders>
              <w:top w:val="single" w:sz="4" w:space="0" w:color="auto"/>
              <w:left w:val="nil"/>
              <w:bottom w:val="nil"/>
              <w:right w:val="nil"/>
            </w:tcBorders>
          </w:tcPr>
          <w:p w14:paraId="6C303FEE"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12117AC9"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43A02518"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71BBECC5"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31015196" w14:textId="77777777" w:rsidTr="00235A9C">
        <w:tc>
          <w:tcPr>
            <w:tcW w:w="0" w:type="auto"/>
            <w:tcBorders>
              <w:top w:val="single" w:sz="4" w:space="0" w:color="auto"/>
              <w:left w:val="single" w:sz="4" w:space="0" w:color="auto"/>
              <w:bottom w:val="single" w:sz="4" w:space="0" w:color="auto"/>
              <w:right w:val="nil"/>
            </w:tcBorders>
          </w:tcPr>
          <w:p w14:paraId="67E0ABC7" w14:textId="77777777" w:rsidR="004B55DD" w:rsidRPr="00FD048E" w:rsidRDefault="004B55DD" w:rsidP="00554F7B">
            <w:pPr>
              <w:spacing w:after="0" w:line="480" w:lineRule="auto"/>
              <w:ind w:left="113"/>
              <w:rPr>
                <w:rFonts w:cstheme="minorHAnsi"/>
              </w:rPr>
            </w:pPr>
            <w:r w:rsidRPr="00FD048E">
              <w:rPr>
                <w:rFonts w:cstheme="minorHAnsi"/>
                <w:b/>
                <w:bCs/>
                <w:color w:val="000000"/>
              </w:rPr>
              <w:t>Gastrointestinal disorders</w:t>
            </w:r>
          </w:p>
        </w:tc>
        <w:tc>
          <w:tcPr>
            <w:tcW w:w="0" w:type="auto"/>
            <w:tcBorders>
              <w:top w:val="single" w:sz="4" w:space="0" w:color="auto"/>
              <w:left w:val="nil"/>
              <w:bottom w:val="single" w:sz="4" w:space="0" w:color="auto"/>
              <w:right w:val="nil"/>
            </w:tcBorders>
          </w:tcPr>
          <w:p w14:paraId="312ACE35"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2 (50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523583B8"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3 (75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6A0B1A16"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46F49B94"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2 (33</w:t>
            </w:r>
            <w:r w:rsidRPr="004532E4">
              <w:rPr>
                <w:rFonts w:ascii="Arial" w:hAnsi="Arial" w:cs="Arial"/>
                <w:b/>
                <w:bCs/>
              </w:rPr>
              <w:t>·</w:t>
            </w:r>
            <w:r w:rsidRPr="00FD048E">
              <w:rPr>
                <w:rFonts w:cstheme="minorHAnsi"/>
                <w:b/>
                <w:bCs/>
                <w:color w:val="000000"/>
              </w:rPr>
              <w:t>3%)</w:t>
            </w:r>
          </w:p>
        </w:tc>
      </w:tr>
      <w:tr w:rsidR="004B55DD" w:rsidRPr="00FD048E" w14:paraId="576B2308" w14:textId="77777777" w:rsidTr="00235A9C">
        <w:tc>
          <w:tcPr>
            <w:tcW w:w="0" w:type="auto"/>
            <w:tcBorders>
              <w:top w:val="single" w:sz="4" w:space="0" w:color="auto"/>
              <w:left w:val="single" w:sz="4" w:space="0" w:color="auto"/>
              <w:bottom w:val="nil"/>
              <w:right w:val="nil"/>
            </w:tcBorders>
          </w:tcPr>
          <w:p w14:paraId="1AA3B2A6" w14:textId="77777777" w:rsidR="004B55DD" w:rsidRPr="00FD048E" w:rsidRDefault="004B55DD" w:rsidP="00554F7B">
            <w:pPr>
              <w:spacing w:after="0" w:line="480" w:lineRule="auto"/>
              <w:ind w:left="113"/>
              <w:rPr>
                <w:rFonts w:cstheme="minorHAnsi"/>
              </w:rPr>
            </w:pPr>
            <w:r w:rsidRPr="00FD048E">
              <w:rPr>
                <w:rFonts w:cstheme="minorHAnsi"/>
                <w:color w:val="000000"/>
              </w:rPr>
              <w:t>Abdominal Pain</w:t>
            </w:r>
          </w:p>
        </w:tc>
        <w:tc>
          <w:tcPr>
            <w:tcW w:w="0" w:type="auto"/>
            <w:tcBorders>
              <w:top w:val="single" w:sz="4" w:space="0" w:color="auto"/>
              <w:left w:val="nil"/>
              <w:bottom w:val="nil"/>
              <w:right w:val="nil"/>
            </w:tcBorders>
          </w:tcPr>
          <w:p w14:paraId="150944E7"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1FA5070B"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190C0285"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7CC973C4"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06AD0745" w14:textId="77777777" w:rsidTr="00235A9C">
        <w:tc>
          <w:tcPr>
            <w:tcW w:w="0" w:type="auto"/>
            <w:tcBorders>
              <w:top w:val="nil"/>
              <w:left w:val="single" w:sz="4" w:space="0" w:color="auto"/>
              <w:bottom w:val="nil"/>
              <w:right w:val="nil"/>
            </w:tcBorders>
          </w:tcPr>
          <w:p w14:paraId="442BDB6C" w14:textId="77777777" w:rsidR="004B55DD" w:rsidRPr="00FD048E" w:rsidRDefault="004B55DD" w:rsidP="00554F7B">
            <w:pPr>
              <w:spacing w:after="0" w:line="480" w:lineRule="auto"/>
              <w:ind w:left="113"/>
              <w:rPr>
                <w:rFonts w:cstheme="minorHAnsi"/>
              </w:rPr>
            </w:pPr>
            <w:proofErr w:type="spellStart"/>
            <w:r w:rsidRPr="00FD048E">
              <w:rPr>
                <w:rFonts w:cstheme="minorHAnsi"/>
                <w:color w:val="000000"/>
              </w:rPr>
              <w:t>Diarrhea</w:t>
            </w:r>
            <w:proofErr w:type="spellEnd"/>
          </w:p>
        </w:tc>
        <w:tc>
          <w:tcPr>
            <w:tcW w:w="0" w:type="auto"/>
            <w:tcBorders>
              <w:top w:val="nil"/>
              <w:left w:val="nil"/>
              <w:bottom w:val="nil"/>
              <w:right w:val="nil"/>
            </w:tcBorders>
          </w:tcPr>
          <w:p w14:paraId="618D9F31" w14:textId="77777777" w:rsidR="004B55DD" w:rsidRPr="00FD048E" w:rsidRDefault="004B55DD" w:rsidP="00554F7B">
            <w:pPr>
              <w:spacing w:after="0" w:line="480" w:lineRule="auto"/>
              <w:jc w:val="center"/>
              <w:rPr>
                <w:rFonts w:cstheme="minorHAnsi"/>
                <w:b/>
                <w:bCs/>
              </w:rPr>
            </w:pPr>
            <w:r w:rsidRPr="00FD048E">
              <w:rPr>
                <w:rFonts w:cstheme="minorHAnsi"/>
                <w:color w:val="000000"/>
              </w:rPr>
              <w:t>2 (50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1120F64B"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38954668"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51BACF3C"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336C7B08" w14:textId="77777777" w:rsidTr="00235A9C">
        <w:tc>
          <w:tcPr>
            <w:tcW w:w="0" w:type="auto"/>
            <w:tcBorders>
              <w:top w:val="nil"/>
              <w:left w:val="single" w:sz="4" w:space="0" w:color="auto"/>
              <w:bottom w:val="nil"/>
              <w:right w:val="nil"/>
            </w:tcBorders>
          </w:tcPr>
          <w:p w14:paraId="36FC86B5" w14:textId="77777777" w:rsidR="004B55DD" w:rsidRPr="00FD048E" w:rsidRDefault="004B55DD" w:rsidP="00554F7B">
            <w:pPr>
              <w:spacing w:after="0" w:line="480" w:lineRule="auto"/>
              <w:ind w:left="113"/>
              <w:rPr>
                <w:rFonts w:cstheme="minorHAnsi"/>
              </w:rPr>
            </w:pPr>
            <w:r w:rsidRPr="00FD048E">
              <w:rPr>
                <w:rFonts w:cstheme="minorHAnsi"/>
                <w:color w:val="000000"/>
              </w:rPr>
              <w:t>Dyspepsia</w:t>
            </w:r>
          </w:p>
        </w:tc>
        <w:tc>
          <w:tcPr>
            <w:tcW w:w="0" w:type="auto"/>
            <w:tcBorders>
              <w:top w:val="nil"/>
              <w:left w:val="nil"/>
              <w:bottom w:val="nil"/>
              <w:right w:val="nil"/>
            </w:tcBorders>
          </w:tcPr>
          <w:p w14:paraId="10C8A0C7"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7BCCAFA8"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767BB72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032EBF45"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751B0CE7" w14:textId="77777777" w:rsidTr="00235A9C">
        <w:tc>
          <w:tcPr>
            <w:tcW w:w="0" w:type="auto"/>
            <w:tcBorders>
              <w:top w:val="nil"/>
              <w:left w:val="single" w:sz="4" w:space="0" w:color="auto"/>
              <w:bottom w:val="nil"/>
              <w:right w:val="nil"/>
            </w:tcBorders>
          </w:tcPr>
          <w:p w14:paraId="63B8A7E4" w14:textId="77777777" w:rsidR="004B55DD" w:rsidRPr="00FD048E" w:rsidRDefault="004B55DD" w:rsidP="00554F7B">
            <w:pPr>
              <w:spacing w:after="0" w:line="480" w:lineRule="auto"/>
              <w:ind w:left="113"/>
              <w:rPr>
                <w:rFonts w:cstheme="minorHAnsi"/>
              </w:rPr>
            </w:pPr>
            <w:r w:rsidRPr="00FD048E">
              <w:rPr>
                <w:rFonts w:cstheme="minorHAnsi"/>
                <w:color w:val="000000"/>
              </w:rPr>
              <w:t>Nausea</w:t>
            </w:r>
          </w:p>
        </w:tc>
        <w:tc>
          <w:tcPr>
            <w:tcW w:w="0" w:type="auto"/>
            <w:tcBorders>
              <w:top w:val="nil"/>
              <w:left w:val="nil"/>
              <w:bottom w:val="nil"/>
              <w:right w:val="nil"/>
            </w:tcBorders>
          </w:tcPr>
          <w:p w14:paraId="3E0DB955"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2F8BD41C" w14:textId="77777777" w:rsidR="004B55DD" w:rsidRPr="00FD048E" w:rsidRDefault="004B55DD" w:rsidP="00554F7B">
            <w:pPr>
              <w:spacing w:after="0" w:line="480" w:lineRule="auto"/>
              <w:jc w:val="center"/>
              <w:rPr>
                <w:rFonts w:cstheme="minorHAnsi"/>
                <w:b/>
                <w:bCs/>
              </w:rPr>
            </w:pPr>
            <w:r w:rsidRPr="00FD048E">
              <w:rPr>
                <w:rFonts w:cstheme="minorHAnsi"/>
                <w:color w:val="000000"/>
              </w:rPr>
              <w:t>2 (50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22551509"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3514AC19"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20085A23" w14:textId="77777777" w:rsidTr="00235A9C">
        <w:tc>
          <w:tcPr>
            <w:tcW w:w="0" w:type="auto"/>
            <w:tcBorders>
              <w:top w:val="nil"/>
              <w:left w:val="single" w:sz="4" w:space="0" w:color="auto"/>
              <w:bottom w:val="nil"/>
              <w:right w:val="nil"/>
            </w:tcBorders>
          </w:tcPr>
          <w:p w14:paraId="29CAE13F" w14:textId="77777777" w:rsidR="004B55DD" w:rsidRPr="00FD048E" w:rsidRDefault="004B55DD" w:rsidP="00554F7B">
            <w:pPr>
              <w:spacing w:after="0" w:line="480" w:lineRule="auto"/>
              <w:ind w:left="113"/>
              <w:rPr>
                <w:rFonts w:cstheme="minorHAnsi"/>
              </w:rPr>
            </w:pPr>
            <w:r w:rsidRPr="00FD048E">
              <w:rPr>
                <w:rFonts w:cstheme="minorHAnsi"/>
                <w:color w:val="000000"/>
              </w:rPr>
              <w:t>Oral Dysesthesia</w:t>
            </w:r>
          </w:p>
        </w:tc>
        <w:tc>
          <w:tcPr>
            <w:tcW w:w="0" w:type="auto"/>
            <w:tcBorders>
              <w:top w:val="nil"/>
              <w:left w:val="nil"/>
              <w:bottom w:val="nil"/>
              <w:right w:val="nil"/>
            </w:tcBorders>
          </w:tcPr>
          <w:p w14:paraId="672FF3F1"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35AE5E63"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7D67BCC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0FC1FCB5"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69748AC8" w14:textId="77777777" w:rsidTr="00235A9C">
        <w:tc>
          <w:tcPr>
            <w:tcW w:w="0" w:type="auto"/>
            <w:tcBorders>
              <w:top w:val="nil"/>
              <w:left w:val="single" w:sz="4" w:space="0" w:color="auto"/>
              <w:bottom w:val="nil"/>
              <w:right w:val="nil"/>
            </w:tcBorders>
          </w:tcPr>
          <w:p w14:paraId="7B76B4E5" w14:textId="77777777" w:rsidR="004B55DD" w:rsidRPr="00FD048E" w:rsidRDefault="004B55DD" w:rsidP="00554F7B">
            <w:pPr>
              <w:spacing w:after="0" w:line="480" w:lineRule="auto"/>
              <w:ind w:left="113"/>
              <w:rPr>
                <w:rFonts w:cstheme="minorHAnsi"/>
              </w:rPr>
            </w:pPr>
            <w:r w:rsidRPr="00FD048E">
              <w:rPr>
                <w:rFonts w:cstheme="minorHAnsi"/>
                <w:color w:val="000000"/>
              </w:rPr>
              <w:t>Vomiting</w:t>
            </w:r>
          </w:p>
        </w:tc>
        <w:tc>
          <w:tcPr>
            <w:tcW w:w="0" w:type="auto"/>
            <w:tcBorders>
              <w:top w:val="nil"/>
              <w:left w:val="nil"/>
              <w:bottom w:val="nil"/>
              <w:right w:val="nil"/>
            </w:tcBorders>
          </w:tcPr>
          <w:p w14:paraId="1406C0A3"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6218E20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6FA475A4"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134216E2"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6F9143D0" w14:textId="77777777" w:rsidTr="00235A9C">
        <w:tc>
          <w:tcPr>
            <w:tcW w:w="0" w:type="auto"/>
            <w:tcBorders>
              <w:top w:val="single" w:sz="4" w:space="0" w:color="auto"/>
              <w:left w:val="single" w:sz="4" w:space="0" w:color="auto"/>
              <w:bottom w:val="single" w:sz="4" w:space="0" w:color="auto"/>
              <w:right w:val="nil"/>
            </w:tcBorders>
          </w:tcPr>
          <w:p w14:paraId="36FCFAB7" w14:textId="77777777" w:rsidR="004B55DD" w:rsidRPr="00FD048E" w:rsidRDefault="004B55DD" w:rsidP="00554F7B">
            <w:pPr>
              <w:spacing w:after="0" w:line="480" w:lineRule="auto"/>
              <w:ind w:left="113"/>
              <w:rPr>
                <w:rFonts w:cstheme="minorHAnsi"/>
              </w:rPr>
            </w:pPr>
            <w:r w:rsidRPr="00FD048E">
              <w:rPr>
                <w:rFonts w:cstheme="minorHAnsi"/>
                <w:b/>
                <w:bCs/>
                <w:color w:val="000000"/>
              </w:rPr>
              <w:t>General disorders and administration site conditions</w:t>
            </w:r>
          </w:p>
        </w:tc>
        <w:tc>
          <w:tcPr>
            <w:tcW w:w="0" w:type="auto"/>
            <w:tcBorders>
              <w:top w:val="single" w:sz="4" w:space="0" w:color="auto"/>
              <w:left w:val="nil"/>
              <w:bottom w:val="single" w:sz="4" w:space="0" w:color="auto"/>
              <w:right w:val="nil"/>
            </w:tcBorders>
          </w:tcPr>
          <w:p w14:paraId="222B1314"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69879C83"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128C3AEA"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28BCD703"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2 (33</w:t>
            </w:r>
            <w:r w:rsidRPr="004532E4">
              <w:rPr>
                <w:rFonts w:ascii="Arial" w:hAnsi="Arial" w:cs="Arial"/>
                <w:b/>
                <w:bCs/>
              </w:rPr>
              <w:t>·</w:t>
            </w:r>
            <w:r w:rsidRPr="00FD048E">
              <w:rPr>
                <w:rFonts w:cstheme="minorHAnsi"/>
                <w:b/>
                <w:bCs/>
                <w:color w:val="000000"/>
              </w:rPr>
              <w:t>3%)</w:t>
            </w:r>
          </w:p>
        </w:tc>
      </w:tr>
      <w:tr w:rsidR="004B55DD" w:rsidRPr="00FD048E" w14:paraId="1F0BC40B" w14:textId="77777777" w:rsidTr="00235A9C">
        <w:tc>
          <w:tcPr>
            <w:tcW w:w="0" w:type="auto"/>
            <w:tcBorders>
              <w:top w:val="single" w:sz="4" w:space="0" w:color="auto"/>
              <w:left w:val="single" w:sz="4" w:space="0" w:color="auto"/>
              <w:bottom w:val="nil"/>
              <w:right w:val="nil"/>
            </w:tcBorders>
          </w:tcPr>
          <w:p w14:paraId="32E36578" w14:textId="77777777" w:rsidR="004B55DD" w:rsidRPr="00FD048E" w:rsidRDefault="004B55DD" w:rsidP="00554F7B">
            <w:pPr>
              <w:spacing w:after="0" w:line="480" w:lineRule="auto"/>
              <w:ind w:left="113"/>
              <w:rPr>
                <w:rFonts w:cstheme="minorHAnsi"/>
              </w:rPr>
            </w:pPr>
            <w:r w:rsidRPr="00FD048E">
              <w:rPr>
                <w:rFonts w:cstheme="minorHAnsi"/>
                <w:color w:val="000000"/>
              </w:rPr>
              <w:t>Fatigue</w:t>
            </w:r>
          </w:p>
        </w:tc>
        <w:tc>
          <w:tcPr>
            <w:tcW w:w="0" w:type="auto"/>
            <w:tcBorders>
              <w:top w:val="single" w:sz="4" w:space="0" w:color="auto"/>
              <w:left w:val="nil"/>
              <w:bottom w:val="nil"/>
              <w:right w:val="nil"/>
            </w:tcBorders>
          </w:tcPr>
          <w:p w14:paraId="58B87D71"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38B13184"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00C56A27"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3085FB70"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64F20748" w14:textId="77777777" w:rsidTr="00235A9C">
        <w:tc>
          <w:tcPr>
            <w:tcW w:w="0" w:type="auto"/>
            <w:tcBorders>
              <w:top w:val="nil"/>
              <w:left w:val="single" w:sz="4" w:space="0" w:color="auto"/>
              <w:bottom w:val="nil"/>
              <w:right w:val="nil"/>
            </w:tcBorders>
          </w:tcPr>
          <w:p w14:paraId="216C9C7F" w14:textId="77777777" w:rsidR="004B55DD" w:rsidRPr="00FD048E" w:rsidRDefault="004B55DD" w:rsidP="00554F7B">
            <w:pPr>
              <w:spacing w:after="0" w:line="480" w:lineRule="auto"/>
              <w:ind w:left="113"/>
              <w:rPr>
                <w:rFonts w:cstheme="minorHAnsi"/>
              </w:rPr>
            </w:pPr>
            <w:r w:rsidRPr="00FD048E">
              <w:rPr>
                <w:rFonts w:cstheme="minorHAnsi"/>
                <w:color w:val="000000"/>
              </w:rPr>
              <w:t>Flu Like Symptoms</w:t>
            </w:r>
          </w:p>
        </w:tc>
        <w:tc>
          <w:tcPr>
            <w:tcW w:w="0" w:type="auto"/>
            <w:tcBorders>
              <w:top w:val="nil"/>
              <w:left w:val="nil"/>
              <w:bottom w:val="nil"/>
              <w:right w:val="nil"/>
            </w:tcBorders>
          </w:tcPr>
          <w:p w14:paraId="5EBC82B3"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00EEE4F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67D25794"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0B76BB09" w14:textId="77777777" w:rsidR="004B55DD" w:rsidRPr="00FD048E" w:rsidRDefault="004B55DD" w:rsidP="00554F7B">
            <w:pPr>
              <w:spacing w:after="0" w:line="480" w:lineRule="auto"/>
              <w:jc w:val="center"/>
              <w:rPr>
                <w:rFonts w:cstheme="minorHAnsi"/>
                <w:b/>
                <w:bCs/>
              </w:rPr>
            </w:pPr>
            <w:r w:rsidRPr="00FD048E">
              <w:rPr>
                <w:rFonts w:cstheme="minorHAnsi"/>
                <w:color w:val="000000"/>
              </w:rPr>
              <w:t>2 (33</w:t>
            </w:r>
            <w:r>
              <w:rPr>
                <w:rFonts w:ascii="Arial" w:hAnsi="Arial" w:cs="Arial"/>
              </w:rPr>
              <w:t>·</w:t>
            </w:r>
            <w:r w:rsidRPr="00FD048E">
              <w:rPr>
                <w:rFonts w:cstheme="minorHAnsi"/>
                <w:color w:val="000000"/>
              </w:rPr>
              <w:t>3%)</w:t>
            </w:r>
          </w:p>
        </w:tc>
      </w:tr>
      <w:tr w:rsidR="004B55DD" w:rsidRPr="00FD048E" w14:paraId="2CB665B0" w14:textId="77777777" w:rsidTr="00235A9C">
        <w:tc>
          <w:tcPr>
            <w:tcW w:w="0" w:type="auto"/>
            <w:tcBorders>
              <w:top w:val="nil"/>
              <w:left w:val="single" w:sz="4" w:space="0" w:color="auto"/>
              <w:bottom w:val="nil"/>
              <w:right w:val="nil"/>
            </w:tcBorders>
          </w:tcPr>
          <w:p w14:paraId="340E4C25" w14:textId="77777777" w:rsidR="004B55DD" w:rsidRPr="00FD048E" w:rsidRDefault="004B55DD" w:rsidP="00554F7B">
            <w:pPr>
              <w:spacing w:after="0" w:line="480" w:lineRule="auto"/>
              <w:ind w:left="113"/>
              <w:rPr>
                <w:rFonts w:cstheme="minorHAnsi"/>
              </w:rPr>
            </w:pPr>
            <w:r w:rsidRPr="00FD048E">
              <w:rPr>
                <w:rFonts w:cstheme="minorHAnsi"/>
                <w:color w:val="000000"/>
              </w:rPr>
              <w:t>Non-Cardiac Chest Pain</w:t>
            </w:r>
          </w:p>
        </w:tc>
        <w:tc>
          <w:tcPr>
            <w:tcW w:w="0" w:type="auto"/>
            <w:tcBorders>
              <w:top w:val="nil"/>
              <w:left w:val="nil"/>
              <w:bottom w:val="nil"/>
              <w:right w:val="nil"/>
            </w:tcBorders>
          </w:tcPr>
          <w:p w14:paraId="238BEC01"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49E99D8E"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224E3D75"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2E98886C"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175CBBD4" w14:textId="77777777" w:rsidTr="00235A9C">
        <w:tc>
          <w:tcPr>
            <w:tcW w:w="0" w:type="auto"/>
            <w:tcBorders>
              <w:top w:val="single" w:sz="4" w:space="0" w:color="auto"/>
              <w:left w:val="single" w:sz="4" w:space="0" w:color="auto"/>
              <w:bottom w:val="single" w:sz="4" w:space="0" w:color="auto"/>
              <w:right w:val="nil"/>
            </w:tcBorders>
          </w:tcPr>
          <w:p w14:paraId="6C67CB3B" w14:textId="77777777" w:rsidR="004B55DD" w:rsidRPr="00FD048E" w:rsidRDefault="004B55DD" w:rsidP="00554F7B">
            <w:pPr>
              <w:spacing w:after="0" w:line="480" w:lineRule="auto"/>
              <w:ind w:left="113"/>
              <w:rPr>
                <w:rFonts w:cstheme="minorHAnsi"/>
              </w:rPr>
            </w:pPr>
            <w:r w:rsidRPr="00FD048E">
              <w:rPr>
                <w:rFonts w:cstheme="minorHAnsi"/>
                <w:b/>
                <w:bCs/>
                <w:color w:val="000000"/>
              </w:rPr>
              <w:lastRenderedPageBreak/>
              <w:t>Infections and infestations</w:t>
            </w:r>
          </w:p>
        </w:tc>
        <w:tc>
          <w:tcPr>
            <w:tcW w:w="0" w:type="auto"/>
            <w:tcBorders>
              <w:top w:val="single" w:sz="4" w:space="0" w:color="auto"/>
              <w:left w:val="nil"/>
              <w:bottom w:val="single" w:sz="4" w:space="0" w:color="auto"/>
              <w:right w:val="nil"/>
            </w:tcBorders>
          </w:tcPr>
          <w:p w14:paraId="64EC7C69"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5F6DAA39"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2 (50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0D2843FF"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5CC547B4"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r>
      <w:tr w:rsidR="004B55DD" w:rsidRPr="00FD048E" w14:paraId="561FA8C2" w14:textId="77777777" w:rsidTr="00235A9C">
        <w:tc>
          <w:tcPr>
            <w:tcW w:w="0" w:type="auto"/>
            <w:tcBorders>
              <w:top w:val="single" w:sz="4" w:space="0" w:color="auto"/>
              <w:left w:val="single" w:sz="4" w:space="0" w:color="auto"/>
              <w:bottom w:val="nil"/>
              <w:right w:val="nil"/>
            </w:tcBorders>
          </w:tcPr>
          <w:p w14:paraId="5B9E7C05" w14:textId="77777777" w:rsidR="004B55DD" w:rsidRPr="00FD048E" w:rsidRDefault="004B55DD" w:rsidP="00554F7B">
            <w:pPr>
              <w:spacing w:after="0" w:line="480" w:lineRule="auto"/>
              <w:ind w:left="113"/>
              <w:rPr>
                <w:rFonts w:cstheme="minorHAnsi"/>
              </w:rPr>
            </w:pPr>
            <w:r w:rsidRPr="00FD048E">
              <w:rPr>
                <w:rFonts w:cstheme="minorHAnsi"/>
                <w:color w:val="000000"/>
              </w:rPr>
              <w:t>Herpes Simplex Reactivation</w:t>
            </w:r>
          </w:p>
        </w:tc>
        <w:tc>
          <w:tcPr>
            <w:tcW w:w="0" w:type="auto"/>
            <w:tcBorders>
              <w:top w:val="single" w:sz="4" w:space="0" w:color="auto"/>
              <w:left w:val="nil"/>
              <w:bottom w:val="nil"/>
              <w:right w:val="nil"/>
            </w:tcBorders>
          </w:tcPr>
          <w:p w14:paraId="6A08BB02"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6BFB2AD8"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1DA7889F"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3F3101D2"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3D772557" w14:textId="77777777" w:rsidTr="00235A9C">
        <w:tc>
          <w:tcPr>
            <w:tcW w:w="0" w:type="auto"/>
            <w:tcBorders>
              <w:top w:val="nil"/>
              <w:left w:val="single" w:sz="4" w:space="0" w:color="auto"/>
              <w:bottom w:val="nil"/>
              <w:right w:val="nil"/>
            </w:tcBorders>
          </w:tcPr>
          <w:p w14:paraId="179A01A8" w14:textId="77777777" w:rsidR="004B55DD" w:rsidRPr="00FD048E" w:rsidRDefault="004B55DD" w:rsidP="00554F7B">
            <w:pPr>
              <w:spacing w:after="0" w:line="480" w:lineRule="auto"/>
              <w:ind w:left="113"/>
              <w:rPr>
                <w:rFonts w:cstheme="minorHAnsi"/>
              </w:rPr>
            </w:pPr>
            <w:r w:rsidRPr="00FD048E">
              <w:rPr>
                <w:rFonts w:cstheme="minorHAnsi"/>
                <w:color w:val="000000"/>
              </w:rPr>
              <w:t>Infections And Infestations - Other, Specify</w:t>
            </w:r>
            <w:r w:rsidRPr="00FD048E">
              <w:rPr>
                <w:rFonts w:cstheme="minorHAnsi"/>
                <w:color w:val="000000"/>
                <w:vertAlign w:val="superscript"/>
              </w:rPr>
              <w:t>1</w:t>
            </w:r>
          </w:p>
        </w:tc>
        <w:tc>
          <w:tcPr>
            <w:tcW w:w="0" w:type="auto"/>
            <w:tcBorders>
              <w:top w:val="nil"/>
              <w:left w:val="nil"/>
              <w:bottom w:val="nil"/>
              <w:right w:val="nil"/>
            </w:tcBorders>
          </w:tcPr>
          <w:p w14:paraId="0A3E4215"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1179CE03"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08E10D47"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3CC71B82"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6EF92087" w14:textId="77777777" w:rsidTr="00235A9C">
        <w:tc>
          <w:tcPr>
            <w:tcW w:w="0" w:type="auto"/>
            <w:tcBorders>
              <w:top w:val="nil"/>
              <w:left w:val="single" w:sz="4" w:space="0" w:color="auto"/>
              <w:bottom w:val="nil"/>
              <w:right w:val="nil"/>
            </w:tcBorders>
          </w:tcPr>
          <w:p w14:paraId="1EE04FA7" w14:textId="77777777" w:rsidR="004B55DD" w:rsidRPr="00FD048E" w:rsidRDefault="004B55DD" w:rsidP="00554F7B">
            <w:pPr>
              <w:spacing w:after="0" w:line="480" w:lineRule="auto"/>
              <w:ind w:left="113"/>
              <w:rPr>
                <w:rFonts w:cstheme="minorHAnsi"/>
              </w:rPr>
            </w:pPr>
            <w:r w:rsidRPr="00FD048E">
              <w:rPr>
                <w:rFonts w:cstheme="minorHAnsi"/>
                <w:color w:val="000000"/>
              </w:rPr>
              <w:t>Thrush</w:t>
            </w:r>
          </w:p>
        </w:tc>
        <w:tc>
          <w:tcPr>
            <w:tcW w:w="0" w:type="auto"/>
            <w:tcBorders>
              <w:top w:val="nil"/>
              <w:left w:val="nil"/>
              <w:bottom w:val="nil"/>
              <w:right w:val="nil"/>
            </w:tcBorders>
          </w:tcPr>
          <w:p w14:paraId="1E5C735D"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5BC28B61"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5169E4D9"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667D462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0964E0E5" w14:textId="77777777" w:rsidTr="00235A9C">
        <w:tc>
          <w:tcPr>
            <w:tcW w:w="0" w:type="auto"/>
            <w:tcBorders>
              <w:top w:val="single" w:sz="4" w:space="0" w:color="auto"/>
              <w:left w:val="single" w:sz="4" w:space="0" w:color="auto"/>
              <w:bottom w:val="single" w:sz="4" w:space="0" w:color="auto"/>
              <w:right w:val="nil"/>
            </w:tcBorders>
          </w:tcPr>
          <w:p w14:paraId="6661DD7E" w14:textId="77777777" w:rsidR="004B55DD" w:rsidRPr="00FD048E" w:rsidRDefault="004B55DD" w:rsidP="00554F7B">
            <w:pPr>
              <w:spacing w:after="0" w:line="480" w:lineRule="auto"/>
              <w:ind w:left="113"/>
              <w:rPr>
                <w:rFonts w:cstheme="minorHAnsi"/>
              </w:rPr>
            </w:pPr>
            <w:r w:rsidRPr="00FD048E">
              <w:rPr>
                <w:rFonts w:cstheme="minorHAnsi"/>
                <w:b/>
                <w:bCs/>
                <w:color w:val="000000"/>
              </w:rPr>
              <w:t>Investigations</w:t>
            </w:r>
          </w:p>
        </w:tc>
        <w:tc>
          <w:tcPr>
            <w:tcW w:w="0" w:type="auto"/>
            <w:tcBorders>
              <w:top w:val="single" w:sz="4" w:space="0" w:color="auto"/>
              <w:left w:val="nil"/>
              <w:bottom w:val="single" w:sz="4" w:space="0" w:color="auto"/>
              <w:right w:val="nil"/>
            </w:tcBorders>
          </w:tcPr>
          <w:p w14:paraId="537B0DC1"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32CB7CEE"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43848BCE"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4EF43367"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r>
      <w:tr w:rsidR="004B55DD" w:rsidRPr="00FD048E" w14:paraId="77BC5B38" w14:textId="77777777" w:rsidTr="00235A9C">
        <w:tc>
          <w:tcPr>
            <w:tcW w:w="0" w:type="auto"/>
            <w:tcBorders>
              <w:top w:val="single" w:sz="4" w:space="0" w:color="auto"/>
              <w:left w:val="single" w:sz="4" w:space="0" w:color="auto"/>
              <w:bottom w:val="nil"/>
              <w:right w:val="nil"/>
            </w:tcBorders>
          </w:tcPr>
          <w:p w14:paraId="7E1468EF" w14:textId="77777777" w:rsidR="004B55DD" w:rsidRPr="00FD048E" w:rsidRDefault="004B55DD" w:rsidP="00554F7B">
            <w:pPr>
              <w:spacing w:after="0" w:line="480" w:lineRule="auto"/>
              <w:ind w:left="113"/>
              <w:rPr>
                <w:rFonts w:cstheme="minorHAnsi"/>
              </w:rPr>
            </w:pPr>
            <w:r w:rsidRPr="00FD048E">
              <w:rPr>
                <w:rFonts w:cstheme="minorHAnsi"/>
                <w:color w:val="000000"/>
              </w:rPr>
              <w:t>Alanine Aminotransferase Increased</w:t>
            </w:r>
          </w:p>
        </w:tc>
        <w:tc>
          <w:tcPr>
            <w:tcW w:w="0" w:type="auto"/>
            <w:tcBorders>
              <w:top w:val="single" w:sz="4" w:space="0" w:color="auto"/>
              <w:left w:val="nil"/>
              <w:bottom w:val="nil"/>
              <w:right w:val="nil"/>
            </w:tcBorders>
          </w:tcPr>
          <w:p w14:paraId="700A9E6B"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626C69FA"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742A8671"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1E74891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037A9D79" w14:textId="77777777" w:rsidTr="00235A9C">
        <w:tc>
          <w:tcPr>
            <w:tcW w:w="0" w:type="auto"/>
            <w:tcBorders>
              <w:top w:val="nil"/>
              <w:left w:val="single" w:sz="4" w:space="0" w:color="auto"/>
              <w:bottom w:val="nil"/>
              <w:right w:val="nil"/>
            </w:tcBorders>
          </w:tcPr>
          <w:p w14:paraId="10047D11" w14:textId="77777777" w:rsidR="004B55DD" w:rsidRPr="00FD048E" w:rsidRDefault="004B55DD" w:rsidP="00554F7B">
            <w:pPr>
              <w:spacing w:after="0" w:line="480" w:lineRule="auto"/>
              <w:ind w:left="113"/>
              <w:rPr>
                <w:rFonts w:cstheme="minorHAnsi"/>
              </w:rPr>
            </w:pPr>
            <w:r w:rsidRPr="00FD048E">
              <w:rPr>
                <w:rFonts w:cstheme="minorHAnsi"/>
                <w:color w:val="000000"/>
              </w:rPr>
              <w:t>GGT Increased</w:t>
            </w:r>
          </w:p>
        </w:tc>
        <w:tc>
          <w:tcPr>
            <w:tcW w:w="0" w:type="auto"/>
            <w:tcBorders>
              <w:top w:val="nil"/>
              <w:left w:val="nil"/>
              <w:bottom w:val="nil"/>
              <w:right w:val="nil"/>
            </w:tcBorders>
          </w:tcPr>
          <w:p w14:paraId="173EA342"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5909E9A6"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6C557ADD"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26577044"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5D23F40A" w14:textId="77777777" w:rsidTr="00235A9C">
        <w:tc>
          <w:tcPr>
            <w:tcW w:w="0" w:type="auto"/>
            <w:tcBorders>
              <w:top w:val="single" w:sz="4" w:space="0" w:color="auto"/>
              <w:left w:val="single" w:sz="4" w:space="0" w:color="auto"/>
              <w:bottom w:val="single" w:sz="4" w:space="0" w:color="auto"/>
              <w:right w:val="nil"/>
            </w:tcBorders>
          </w:tcPr>
          <w:p w14:paraId="11F7EA59" w14:textId="77777777" w:rsidR="004B55DD" w:rsidRPr="00FD048E" w:rsidRDefault="004B55DD" w:rsidP="00554F7B">
            <w:pPr>
              <w:spacing w:after="0" w:line="480" w:lineRule="auto"/>
              <w:ind w:left="113"/>
              <w:rPr>
                <w:rFonts w:cstheme="minorHAnsi"/>
              </w:rPr>
            </w:pPr>
            <w:r w:rsidRPr="00FD048E">
              <w:rPr>
                <w:rFonts w:cstheme="minorHAnsi"/>
                <w:b/>
                <w:bCs/>
                <w:color w:val="000000"/>
              </w:rPr>
              <w:t>Musculoskeletal and connective tissue disorders</w:t>
            </w:r>
          </w:p>
        </w:tc>
        <w:tc>
          <w:tcPr>
            <w:tcW w:w="0" w:type="auto"/>
            <w:tcBorders>
              <w:top w:val="single" w:sz="4" w:space="0" w:color="auto"/>
              <w:left w:val="nil"/>
              <w:bottom w:val="single" w:sz="4" w:space="0" w:color="auto"/>
              <w:right w:val="nil"/>
            </w:tcBorders>
          </w:tcPr>
          <w:p w14:paraId="6EE6256E"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0E36E9A5"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6BAE1C01"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117553FE"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(16</w:t>
            </w:r>
            <w:r w:rsidRPr="004532E4">
              <w:rPr>
                <w:rFonts w:ascii="Arial" w:hAnsi="Arial" w:cs="Arial"/>
                <w:b/>
                <w:bCs/>
              </w:rPr>
              <w:t>·</w:t>
            </w:r>
            <w:r w:rsidRPr="00FD048E">
              <w:rPr>
                <w:rFonts w:cstheme="minorHAnsi"/>
                <w:b/>
                <w:bCs/>
                <w:color w:val="000000"/>
              </w:rPr>
              <w:t>7%)</w:t>
            </w:r>
          </w:p>
        </w:tc>
      </w:tr>
      <w:tr w:rsidR="004B55DD" w:rsidRPr="00FD048E" w14:paraId="06DE0827" w14:textId="77777777" w:rsidTr="00235A9C">
        <w:tc>
          <w:tcPr>
            <w:tcW w:w="0" w:type="auto"/>
            <w:tcBorders>
              <w:top w:val="single" w:sz="4" w:space="0" w:color="auto"/>
              <w:left w:val="single" w:sz="4" w:space="0" w:color="auto"/>
              <w:bottom w:val="nil"/>
              <w:right w:val="nil"/>
            </w:tcBorders>
          </w:tcPr>
          <w:p w14:paraId="47560963" w14:textId="77777777" w:rsidR="004B55DD" w:rsidRPr="00FD048E" w:rsidRDefault="004B55DD" w:rsidP="00554F7B">
            <w:pPr>
              <w:spacing w:after="0" w:line="480" w:lineRule="auto"/>
              <w:ind w:left="113"/>
              <w:rPr>
                <w:rFonts w:cstheme="minorHAnsi"/>
              </w:rPr>
            </w:pPr>
            <w:r w:rsidRPr="00FD048E">
              <w:rPr>
                <w:rFonts w:cstheme="minorHAnsi"/>
                <w:color w:val="000000"/>
              </w:rPr>
              <w:t>Chest Wall Pain</w:t>
            </w:r>
          </w:p>
        </w:tc>
        <w:tc>
          <w:tcPr>
            <w:tcW w:w="0" w:type="auto"/>
            <w:tcBorders>
              <w:top w:val="single" w:sz="4" w:space="0" w:color="auto"/>
              <w:left w:val="nil"/>
              <w:bottom w:val="nil"/>
              <w:right w:val="nil"/>
            </w:tcBorders>
          </w:tcPr>
          <w:p w14:paraId="4AB2E811"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4C7DAA7E"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0C028735"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5809B127"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4F2CF611" w14:textId="77777777" w:rsidTr="00235A9C">
        <w:tc>
          <w:tcPr>
            <w:tcW w:w="0" w:type="auto"/>
            <w:tcBorders>
              <w:top w:val="nil"/>
              <w:left w:val="single" w:sz="4" w:space="0" w:color="auto"/>
              <w:bottom w:val="nil"/>
              <w:right w:val="nil"/>
            </w:tcBorders>
          </w:tcPr>
          <w:p w14:paraId="0EEB71A0" w14:textId="77777777" w:rsidR="004B55DD" w:rsidRPr="00FD048E" w:rsidRDefault="004B55DD" w:rsidP="00554F7B">
            <w:pPr>
              <w:spacing w:after="0" w:line="480" w:lineRule="auto"/>
              <w:ind w:left="113"/>
              <w:rPr>
                <w:rFonts w:cstheme="minorHAnsi"/>
              </w:rPr>
            </w:pPr>
            <w:r w:rsidRPr="00FD048E">
              <w:rPr>
                <w:rFonts w:cstheme="minorHAnsi"/>
                <w:color w:val="000000"/>
              </w:rPr>
              <w:t>Myalgia</w:t>
            </w:r>
          </w:p>
        </w:tc>
        <w:tc>
          <w:tcPr>
            <w:tcW w:w="0" w:type="auto"/>
            <w:tcBorders>
              <w:top w:val="nil"/>
              <w:left w:val="nil"/>
              <w:bottom w:val="nil"/>
              <w:right w:val="nil"/>
            </w:tcBorders>
          </w:tcPr>
          <w:p w14:paraId="7972B61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40C0FF61"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4711F07F"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16442430"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75F2F13A" w14:textId="77777777" w:rsidTr="00235A9C">
        <w:tc>
          <w:tcPr>
            <w:tcW w:w="0" w:type="auto"/>
            <w:tcBorders>
              <w:top w:val="single" w:sz="4" w:space="0" w:color="auto"/>
              <w:left w:val="single" w:sz="4" w:space="0" w:color="auto"/>
              <w:bottom w:val="single" w:sz="4" w:space="0" w:color="auto"/>
              <w:right w:val="nil"/>
            </w:tcBorders>
          </w:tcPr>
          <w:p w14:paraId="0AE8BF99" w14:textId="77777777" w:rsidR="004B55DD" w:rsidRPr="00FD048E" w:rsidRDefault="004B55DD" w:rsidP="00554F7B">
            <w:pPr>
              <w:spacing w:after="0" w:line="480" w:lineRule="auto"/>
              <w:ind w:left="113"/>
              <w:rPr>
                <w:rFonts w:cstheme="minorHAnsi"/>
              </w:rPr>
            </w:pPr>
            <w:r w:rsidRPr="00FD048E">
              <w:rPr>
                <w:rFonts w:cstheme="minorHAnsi"/>
                <w:b/>
                <w:bCs/>
                <w:color w:val="000000"/>
              </w:rPr>
              <w:t>Nervous system disorders</w:t>
            </w:r>
          </w:p>
        </w:tc>
        <w:tc>
          <w:tcPr>
            <w:tcW w:w="0" w:type="auto"/>
            <w:tcBorders>
              <w:top w:val="single" w:sz="4" w:space="0" w:color="auto"/>
              <w:left w:val="nil"/>
              <w:bottom w:val="single" w:sz="4" w:space="0" w:color="auto"/>
              <w:right w:val="nil"/>
            </w:tcBorders>
          </w:tcPr>
          <w:p w14:paraId="1E0B06C2"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2 (50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280F0078"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6291B3B7"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0AA84F32"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2 (33</w:t>
            </w:r>
            <w:r w:rsidRPr="004532E4">
              <w:rPr>
                <w:rFonts w:ascii="Arial" w:hAnsi="Arial" w:cs="Arial"/>
                <w:b/>
                <w:bCs/>
              </w:rPr>
              <w:t>·</w:t>
            </w:r>
            <w:r w:rsidRPr="00FD048E">
              <w:rPr>
                <w:rFonts w:cstheme="minorHAnsi"/>
                <w:b/>
                <w:bCs/>
                <w:color w:val="000000"/>
              </w:rPr>
              <w:t>3%)</w:t>
            </w:r>
          </w:p>
        </w:tc>
      </w:tr>
      <w:tr w:rsidR="004B55DD" w:rsidRPr="00FD048E" w14:paraId="32F138BB" w14:textId="77777777" w:rsidTr="00235A9C">
        <w:tc>
          <w:tcPr>
            <w:tcW w:w="0" w:type="auto"/>
            <w:tcBorders>
              <w:top w:val="single" w:sz="4" w:space="0" w:color="auto"/>
              <w:left w:val="single" w:sz="4" w:space="0" w:color="auto"/>
              <w:bottom w:val="nil"/>
              <w:right w:val="nil"/>
            </w:tcBorders>
          </w:tcPr>
          <w:p w14:paraId="041D2387" w14:textId="77777777" w:rsidR="004B55DD" w:rsidRPr="00FD048E" w:rsidRDefault="004B55DD" w:rsidP="00554F7B">
            <w:pPr>
              <w:spacing w:after="0" w:line="480" w:lineRule="auto"/>
              <w:ind w:left="113"/>
              <w:rPr>
                <w:rFonts w:cstheme="minorHAnsi"/>
              </w:rPr>
            </w:pPr>
            <w:r w:rsidRPr="00FD048E">
              <w:rPr>
                <w:rFonts w:cstheme="minorHAnsi"/>
                <w:color w:val="000000"/>
              </w:rPr>
              <w:t>Anosmia</w:t>
            </w:r>
          </w:p>
        </w:tc>
        <w:tc>
          <w:tcPr>
            <w:tcW w:w="0" w:type="auto"/>
            <w:tcBorders>
              <w:top w:val="single" w:sz="4" w:space="0" w:color="auto"/>
              <w:left w:val="nil"/>
              <w:bottom w:val="nil"/>
              <w:right w:val="nil"/>
            </w:tcBorders>
          </w:tcPr>
          <w:p w14:paraId="6CE8A36B"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33D2349C"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22391E83"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04545944"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21928CC2" w14:textId="77777777" w:rsidTr="00235A9C">
        <w:tc>
          <w:tcPr>
            <w:tcW w:w="0" w:type="auto"/>
            <w:tcBorders>
              <w:top w:val="nil"/>
              <w:left w:val="single" w:sz="4" w:space="0" w:color="auto"/>
              <w:bottom w:val="nil"/>
              <w:right w:val="nil"/>
            </w:tcBorders>
          </w:tcPr>
          <w:p w14:paraId="6B1A2C28" w14:textId="77777777" w:rsidR="004B55DD" w:rsidRPr="00FD048E" w:rsidRDefault="004B55DD" w:rsidP="00554F7B">
            <w:pPr>
              <w:spacing w:after="0" w:line="480" w:lineRule="auto"/>
              <w:ind w:left="113"/>
              <w:rPr>
                <w:rFonts w:cstheme="minorHAnsi"/>
              </w:rPr>
            </w:pPr>
            <w:r w:rsidRPr="00FD048E">
              <w:rPr>
                <w:rFonts w:cstheme="minorHAnsi"/>
                <w:color w:val="000000"/>
              </w:rPr>
              <w:t>Dizziness</w:t>
            </w:r>
          </w:p>
        </w:tc>
        <w:tc>
          <w:tcPr>
            <w:tcW w:w="0" w:type="auto"/>
            <w:tcBorders>
              <w:top w:val="nil"/>
              <w:left w:val="nil"/>
              <w:bottom w:val="nil"/>
              <w:right w:val="nil"/>
            </w:tcBorders>
          </w:tcPr>
          <w:p w14:paraId="661CECA5"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7EAF685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2A4352E9"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73D08531"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0538E4EE" w14:textId="77777777" w:rsidTr="00235A9C">
        <w:tc>
          <w:tcPr>
            <w:tcW w:w="0" w:type="auto"/>
            <w:tcBorders>
              <w:top w:val="nil"/>
              <w:left w:val="single" w:sz="4" w:space="0" w:color="auto"/>
              <w:bottom w:val="nil"/>
              <w:right w:val="nil"/>
            </w:tcBorders>
          </w:tcPr>
          <w:p w14:paraId="0E2EADF2" w14:textId="77777777" w:rsidR="004B55DD" w:rsidRPr="00FD048E" w:rsidRDefault="004B55DD" w:rsidP="00554F7B">
            <w:pPr>
              <w:spacing w:after="0" w:line="480" w:lineRule="auto"/>
              <w:ind w:left="113"/>
              <w:rPr>
                <w:rFonts w:cstheme="minorHAnsi"/>
              </w:rPr>
            </w:pPr>
            <w:r w:rsidRPr="00FD048E">
              <w:rPr>
                <w:rFonts w:cstheme="minorHAnsi"/>
                <w:color w:val="000000"/>
              </w:rPr>
              <w:t>Dysgeusia</w:t>
            </w:r>
          </w:p>
        </w:tc>
        <w:tc>
          <w:tcPr>
            <w:tcW w:w="0" w:type="auto"/>
            <w:tcBorders>
              <w:top w:val="nil"/>
              <w:left w:val="nil"/>
              <w:bottom w:val="nil"/>
              <w:right w:val="nil"/>
            </w:tcBorders>
          </w:tcPr>
          <w:p w14:paraId="2FD3CA9F"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6B1107F5"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076B25D0"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34964DF1"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7640EA74" w14:textId="77777777" w:rsidTr="00235A9C">
        <w:tc>
          <w:tcPr>
            <w:tcW w:w="0" w:type="auto"/>
            <w:tcBorders>
              <w:top w:val="nil"/>
              <w:left w:val="single" w:sz="4" w:space="0" w:color="auto"/>
              <w:bottom w:val="nil"/>
              <w:right w:val="nil"/>
            </w:tcBorders>
          </w:tcPr>
          <w:p w14:paraId="72B331C9" w14:textId="77777777" w:rsidR="004B55DD" w:rsidRPr="00FD048E" w:rsidRDefault="004B55DD" w:rsidP="00554F7B">
            <w:pPr>
              <w:spacing w:after="0" w:line="480" w:lineRule="auto"/>
              <w:ind w:left="113"/>
              <w:rPr>
                <w:rFonts w:cstheme="minorHAnsi"/>
              </w:rPr>
            </w:pPr>
            <w:r w:rsidRPr="00FD048E">
              <w:rPr>
                <w:rFonts w:cstheme="minorHAnsi"/>
                <w:color w:val="000000"/>
              </w:rPr>
              <w:t>Headache</w:t>
            </w:r>
          </w:p>
        </w:tc>
        <w:tc>
          <w:tcPr>
            <w:tcW w:w="0" w:type="auto"/>
            <w:tcBorders>
              <w:top w:val="nil"/>
              <w:left w:val="nil"/>
              <w:bottom w:val="nil"/>
              <w:right w:val="nil"/>
            </w:tcBorders>
          </w:tcPr>
          <w:p w14:paraId="5F89D61E"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45E81E88"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74E814E1"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0675F4E7" w14:textId="77777777" w:rsidR="004B55DD" w:rsidRPr="00FD048E" w:rsidRDefault="004B55DD" w:rsidP="00554F7B">
            <w:pPr>
              <w:spacing w:after="0" w:line="480" w:lineRule="auto"/>
              <w:jc w:val="center"/>
              <w:rPr>
                <w:rFonts w:cstheme="minorHAnsi"/>
                <w:b/>
                <w:bCs/>
              </w:rPr>
            </w:pPr>
            <w:r w:rsidRPr="00FD048E">
              <w:rPr>
                <w:rFonts w:cstheme="minorHAnsi"/>
                <w:color w:val="000000"/>
              </w:rPr>
              <w:t>2 (33</w:t>
            </w:r>
            <w:r>
              <w:rPr>
                <w:rFonts w:ascii="Arial" w:hAnsi="Arial" w:cs="Arial"/>
              </w:rPr>
              <w:t>·</w:t>
            </w:r>
            <w:r w:rsidRPr="00FD048E">
              <w:rPr>
                <w:rFonts w:cstheme="minorHAnsi"/>
                <w:color w:val="000000"/>
              </w:rPr>
              <w:t>3%)</w:t>
            </w:r>
          </w:p>
        </w:tc>
      </w:tr>
      <w:tr w:rsidR="004B55DD" w:rsidRPr="00FD048E" w14:paraId="47308F90" w14:textId="77777777" w:rsidTr="00235A9C">
        <w:tc>
          <w:tcPr>
            <w:tcW w:w="0" w:type="auto"/>
            <w:tcBorders>
              <w:top w:val="single" w:sz="4" w:space="0" w:color="auto"/>
              <w:left w:val="single" w:sz="4" w:space="0" w:color="auto"/>
              <w:bottom w:val="single" w:sz="4" w:space="0" w:color="auto"/>
              <w:right w:val="nil"/>
            </w:tcBorders>
          </w:tcPr>
          <w:p w14:paraId="336F483F" w14:textId="77777777" w:rsidR="004B55DD" w:rsidRPr="00FD048E" w:rsidRDefault="004B55DD" w:rsidP="00554F7B">
            <w:pPr>
              <w:spacing w:after="0" w:line="480" w:lineRule="auto"/>
              <w:ind w:left="113"/>
              <w:rPr>
                <w:rFonts w:cstheme="minorHAnsi"/>
              </w:rPr>
            </w:pPr>
            <w:r w:rsidRPr="00FD048E">
              <w:rPr>
                <w:rFonts w:cstheme="minorHAnsi"/>
                <w:b/>
                <w:bCs/>
                <w:color w:val="000000"/>
              </w:rPr>
              <w:t>Psychiatric disorders</w:t>
            </w:r>
          </w:p>
        </w:tc>
        <w:tc>
          <w:tcPr>
            <w:tcW w:w="0" w:type="auto"/>
            <w:tcBorders>
              <w:top w:val="single" w:sz="4" w:space="0" w:color="auto"/>
              <w:left w:val="nil"/>
              <w:bottom w:val="single" w:sz="4" w:space="0" w:color="auto"/>
              <w:right w:val="nil"/>
            </w:tcBorders>
          </w:tcPr>
          <w:p w14:paraId="4F336623"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01E230F9"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5D7D7548"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3109272C"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r>
      <w:tr w:rsidR="004B55DD" w:rsidRPr="00FD048E" w14:paraId="24FD29AA" w14:textId="77777777" w:rsidTr="00235A9C">
        <w:tc>
          <w:tcPr>
            <w:tcW w:w="0" w:type="auto"/>
            <w:tcBorders>
              <w:top w:val="single" w:sz="4" w:space="0" w:color="auto"/>
              <w:left w:val="single" w:sz="4" w:space="0" w:color="auto"/>
              <w:bottom w:val="nil"/>
              <w:right w:val="nil"/>
            </w:tcBorders>
          </w:tcPr>
          <w:p w14:paraId="2D005337" w14:textId="77777777" w:rsidR="004B55DD" w:rsidRPr="00FD048E" w:rsidRDefault="004B55DD" w:rsidP="00554F7B">
            <w:pPr>
              <w:spacing w:after="0" w:line="480" w:lineRule="auto"/>
              <w:ind w:left="113"/>
              <w:rPr>
                <w:rFonts w:cstheme="minorHAnsi"/>
              </w:rPr>
            </w:pPr>
            <w:r w:rsidRPr="00FD048E">
              <w:rPr>
                <w:rFonts w:cstheme="minorHAnsi"/>
                <w:color w:val="000000"/>
              </w:rPr>
              <w:t>Anxiety</w:t>
            </w:r>
          </w:p>
        </w:tc>
        <w:tc>
          <w:tcPr>
            <w:tcW w:w="0" w:type="auto"/>
            <w:tcBorders>
              <w:top w:val="single" w:sz="4" w:space="0" w:color="auto"/>
              <w:left w:val="nil"/>
              <w:bottom w:val="nil"/>
              <w:right w:val="nil"/>
            </w:tcBorders>
          </w:tcPr>
          <w:p w14:paraId="00853EE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12CAAFD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04C853A7"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143DE169"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61B37DBC" w14:textId="77777777" w:rsidTr="00235A9C">
        <w:tc>
          <w:tcPr>
            <w:tcW w:w="0" w:type="auto"/>
            <w:tcBorders>
              <w:top w:val="single" w:sz="4" w:space="0" w:color="auto"/>
              <w:left w:val="single" w:sz="4" w:space="0" w:color="auto"/>
              <w:bottom w:val="single" w:sz="4" w:space="0" w:color="auto"/>
              <w:right w:val="nil"/>
            </w:tcBorders>
          </w:tcPr>
          <w:p w14:paraId="1F34168B" w14:textId="77777777" w:rsidR="004B55DD" w:rsidRPr="00FD048E" w:rsidRDefault="004B55DD" w:rsidP="00554F7B">
            <w:pPr>
              <w:spacing w:after="0" w:line="480" w:lineRule="auto"/>
              <w:ind w:left="113"/>
              <w:rPr>
                <w:rFonts w:cstheme="minorHAnsi"/>
              </w:rPr>
            </w:pPr>
            <w:r w:rsidRPr="00FD048E">
              <w:rPr>
                <w:rFonts w:cstheme="minorHAnsi"/>
                <w:b/>
                <w:bCs/>
                <w:color w:val="000000"/>
              </w:rPr>
              <w:t>Renal and urinary disorders</w:t>
            </w:r>
          </w:p>
        </w:tc>
        <w:tc>
          <w:tcPr>
            <w:tcW w:w="0" w:type="auto"/>
            <w:tcBorders>
              <w:top w:val="single" w:sz="4" w:space="0" w:color="auto"/>
              <w:left w:val="nil"/>
              <w:bottom w:val="single" w:sz="4" w:space="0" w:color="auto"/>
              <w:right w:val="nil"/>
            </w:tcBorders>
          </w:tcPr>
          <w:p w14:paraId="2C51A209"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52C1F2B2"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75887A6E"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0FCDB55E"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(16</w:t>
            </w:r>
            <w:r w:rsidRPr="004532E4">
              <w:rPr>
                <w:rFonts w:ascii="Arial" w:hAnsi="Arial" w:cs="Arial"/>
                <w:b/>
                <w:bCs/>
              </w:rPr>
              <w:t>·</w:t>
            </w:r>
            <w:r w:rsidRPr="00FD048E">
              <w:rPr>
                <w:rFonts w:cstheme="minorHAnsi"/>
                <w:b/>
                <w:bCs/>
                <w:color w:val="000000"/>
              </w:rPr>
              <w:t>7%)</w:t>
            </w:r>
          </w:p>
        </w:tc>
      </w:tr>
      <w:tr w:rsidR="004B55DD" w:rsidRPr="00FD048E" w14:paraId="6A2C774D" w14:textId="77777777" w:rsidTr="00235A9C">
        <w:tc>
          <w:tcPr>
            <w:tcW w:w="0" w:type="auto"/>
            <w:tcBorders>
              <w:top w:val="single" w:sz="4" w:space="0" w:color="auto"/>
              <w:left w:val="single" w:sz="4" w:space="0" w:color="auto"/>
              <w:bottom w:val="nil"/>
              <w:right w:val="nil"/>
            </w:tcBorders>
          </w:tcPr>
          <w:p w14:paraId="3DEB840B" w14:textId="77777777" w:rsidR="004B55DD" w:rsidRPr="00FD048E" w:rsidRDefault="004B55DD" w:rsidP="00554F7B">
            <w:pPr>
              <w:spacing w:after="0" w:line="480" w:lineRule="auto"/>
              <w:ind w:left="113"/>
              <w:rPr>
                <w:rFonts w:cstheme="minorHAnsi"/>
              </w:rPr>
            </w:pPr>
            <w:r w:rsidRPr="00FD048E">
              <w:rPr>
                <w:rFonts w:cstheme="minorHAnsi"/>
                <w:color w:val="000000"/>
              </w:rPr>
              <w:t>Chronic Kidney Disease</w:t>
            </w:r>
          </w:p>
        </w:tc>
        <w:tc>
          <w:tcPr>
            <w:tcW w:w="0" w:type="auto"/>
            <w:tcBorders>
              <w:top w:val="single" w:sz="4" w:space="0" w:color="auto"/>
              <w:left w:val="nil"/>
              <w:bottom w:val="nil"/>
              <w:right w:val="nil"/>
            </w:tcBorders>
          </w:tcPr>
          <w:p w14:paraId="0F355F4F"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0D960DD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509E27DB"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5E6BD738"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22A18BCD" w14:textId="77777777" w:rsidTr="00235A9C">
        <w:tc>
          <w:tcPr>
            <w:tcW w:w="0" w:type="auto"/>
            <w:tcBorders>
              <w:top w:val="nil"/>
              <w:left w:val="single" w:sz="4" w:space="0" w:color="auto"/>
              <w:bottom w:val="nil"/>
              <w:right w:val="nil"/>
            </w:tcBorders>
          </w:tcPr>
          <w:p w14:paraId="46E9BDC2" w14:textId="77777777" w:rsidR="004B55DD" w:rsidRPr="00FD048E" w:rsidRDefault="004B55DD" w:rsidP="00554F7B">
            <w:pPr>
              <w:spacing w:after="0" w:line="480" w:lineRule="auto"/>
              <w:ind w:left="113"/>
              <w:rPr>
                <w:rFonts w:cstheme="minorHAnsi"/>
              </w:rPr>
            </w:pPr>
            <w:r w:rsidRPr="00FD048E">
              <w:rPr>
                <w:rFonts w:cstheme="minorHAnsi"/>
                <w:color w:val="000000"/>
              </w:rPr>
              <w:t>Urine Discoloration</w:t>
            </w:r>
          </w:p>
        </w:tc>
        <w:tc>
          <w:tcPr>
            <w:tcW w:w="0" w:type="auto"/>
            <w:tcBorders>
              <w:top w:val="nil"/>
              <w:left w:val="nil"/>
              <w:bottom w:val="nil"/>
              <w:right w:val="nil"/>
            </w:tcBorders>
          </w:tcPr>
          <w:p w14:paraId="10218DD3"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724AA307"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345D3968"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777019F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653E545E" w14:textId="77777777" w:rsidTr="00235A9C">
        <w:tc>
          <w:tcPr>
            <w:tcW w:w="0" w:type="auto"/>
            <w:tcBorders>
              <w:top w:val="single" w:sz="4" w:space="0" w:color="auto"/>
              <w:left w:val="single" w:sz="4" w:space="0" w:color="auto"/>
              <w:bottom w:val="single" w:sz="4" w:space="0" w:color="auto"/>
              <w:right w:val="nil"/>
            </w:tcBorders>
          </w:tcPr>
          <w:p w14:paraId="2A7CF43E" w14:textId="77777777" w:rsidR="004B55DD" w:rsidRPr="00FD048E" w:rsidRDefault="004B55DD" w:rsidP="00554F7B">
            <w:pPr>
              <w:spacing w:after="0" w:line="480" w:lineRule="auto"/>
              <w:ind w:left="113"/>
              <w:rPr>
                <w:rFonts w:cstheme="minorHAnsi"/>
              </w:rPr>
            </w:pPr>
            <w:r w:rsidRPr="00FD048E">
              <w:rPr>
                <w:rFonts w:cstheme="minorHAnsi"/>
                <w:b/>
                <w:bCs/>
                <w:color w:val="000000"/>
              </w:rPr>
              <w:lastRenderedPageBreak/>
              <w:t>Respiratory, thoracic and mediastinal disorders</w:t>
            </w:r>
          </w:p>
        </w:tc>
        <w:tc>
          <w:tcPr>
            <w:tcW w:w="0" w:type="auto"/>
            <w:tcBorders>
              <w:top w:val="single" w:sz="4" w:space="0" w:color="auto"/>
              <w:left w:val="nil"/>
              <w:bottom w:val="single" w:sz="4" w:space="0" w:color="auto"/>
              <w:right w:val="nil"/>
            </w:tcBorders>
          </w:tcPr>
          <w:p w14:paraId="16B2ADEA"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5FC6B71B"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656B837D"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68A035D6"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(16</w:t>
            </w:r>
            <w:r w:rsidRPr="004532E4">
              <w:rPr>
                <w:rFonts w:ascii="Arial" w:hAnsi="Arial" w:cs="Arial"/>
                <w:b/>
                <w:bCs/>
              </w:rPr>
              <w:t>·</w:t>
            </w:r>
            <w:r w:rsidRPr="00FD048E">
              <w:rPr>
                <w:rFonts w:cstheme="minorHAnsi"/>
                <w:b/>
                <w:bCs/>
                <w:color w:val="000000"/>
              </w:rPr>
              <w:t>7%)</w:t>
            </w:r>
          </w:p>
        </w:tc>
      </w:tr>
      <w:tr w:rsidR="004B55DD" w:rsidRPr="00FD048E" w14:paraId="4497C48E" w14:textId="77777777" w:rsidTr="00235A9C">
        <w:tc>
          <w:tcPr>
            <w:tcW w:w="0" w:type="auto"/>
            <w:tcBorders>
              <w:top w:val="single" w:sz="4" w:space="0" w:color="auto"/>
              <w:left w:val="single" w:sz="4" w:space="0" w:color="auto"/>
              <w:bottom w:val="nil"/>
              <w:right w:val="nil"/>
            </w:tcBorders>
          </w:tcPr>
          <w:p w14:paraId="23377D21" w14:textId="77777777" w:rsidR="004B55DD" w:rsidRPr="00FD048E" w:rsidRDefault="004B55DD" w:rsidP="00554F7B">
            <w:pPr>
              <w:spacing w:after="0" w:line="480" w:lineRule="auto"/>
              <w:ind w:left="113"/>
              <w:rPr>
                <w:rFonts w:cstheme="minorHAnsi"/>
              </w:rPr>
            </w:pPr>
            <w:r w:rsidRPr="00FD048E">
              <w:rPr>
                <w:rFonts w:cstheme="minorHAnsi"/>
                <w:color w:val="000000"/>
              </w:rPr>
              <w:t>Cough</w:t>
            </w:r>
          </w:p>
        </w:tc>
        <w:tc>
          <w:tcPr>
            <w:tcW w:w="0" w:type="auto"/>
            <w:tcBorders>
              <w:top w:val="single" w:sz="4" w:space="0" w:color="auto"/>
              <w:left w:val="nil"/>
              <w:bottom w:val="nil"/>
              <w:right w:val="nil"/>
            </w:tcBorders>
          </w:tcPr>
          <w:p w14:paraId="22C832CE"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7551DE2D"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60C56047"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0F0B6E6B" w14:textId="77777777" w:rsidR="004B55DD" w:rsidRPr="00FD048E" w:rsidRDefault="004B55DD" w:rsidP="00554F7B">
            <w:pPr>
              <w:spacing w:after="0" w:line="480" w:lineRule="auto"/>
              <w:jc w:val="center"/>
              <w:rPr>
                <w:rFonts w:cstheme="minorHAnsi"/>
                <w:b/>
                <w:bCs/>
              </w:rPr>
            </w:pPr>
            <w:r w:rsidRPr="00FD048E">
              <w:rPr>
                <w:rFonts w:cstheme="minorHAnsi"/>
                <w:color w:val="000000"/>
              </w:rPr>
              <w:t>1 (16</w:t>
            </w:r>
            <w:r>
              <w:rPr>
                <w:rFonts w:ascii="Arial" w:hAnsi="Arial" w:cs="Arial"/>
              </w:rPr>
              <w:t>·</w:t>
            </w:r>
            <w:r w:rsidRPr="00FD048E">
              <w:rPr>
                <w:rFonts w:cstheme="minorHAnsi"/>
                <w:color w:val="000000"/>
              </w:rPr>
              <w:t>7%)</w:t>
            </w:r>
          </w:p>
        </w:tc>
      </w:tr>
      <w:tr w:rsidR="004B55DD" w:rsidRPr="00FD048E" w14:paraId="0880E837" w14:textId="77777777" w:rsidTr="00235A9C">
        <w:tc>
          <w:tcPr>
            <w:tcW w:w="0" w:type="auto"/>
            <w:tcBorders>
              <w:top w:val="nil"/>
              <w:left w:val="single" w:sz="4" w:space="0" w:color="auto"/>
              <w:bottom w:val="nil"/>
              <w:right w:val="nil"/>
            </w:tcBorders>
          </w:tcPr>
          <w:p w14:paraId="0D5C5295" w14:textId="77777777" w:rsidR="004B55DD" w:rsidRPr="00FD048E" w:rsidRDefault="004B55DD" w:rsidP="00554F7B">
            <w:pPr>
              <w:spacing w:after="0" w:line="480" w:lineRule="auto"/>
              <w:ind w:left="113"/>
              <w:rPr>
                <w:rFonts w:cstheme="minorHAnsi"/>
              </w:rPr>
            </w:pPr>
            <w:r w:rsidRPr="00FD048E">
              <w:rPr>
                <w:rFonts w:cstheme="minorHAnsi"/>
                <w:color w:val="000000"/>
              </w:rPr>
              <w:t>Hoarseness</w:t>
            </w:r>
          </w:p>
        </w:tc>
        <w:tc>
          <w:tcPr>
            <w:tcW w:w="0" w:type="auto"/>
            <w:tcBorders>
              <w:top w:val="nil"/>
              <w:left w:val="nil"/>
              <w:bottom w:val="nil"/>
              <w:right w:val="nil"/>
            </w:tcBorders>
          </w:tcPr>
          <w:p w14:paraId="29D8CD30"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7D44609B"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433B270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4F54EFD0"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121FA4CA" w14:textId="77777777" w:rsidTr="00235A9C">
        <w:tc>
          <w:tcPr>
            <w:tcW w:w="0" w:type="auto"/>
            <w:tcBorders>
              <w:top w:val="nil"/>
              <w:left w:val="single" w:sz="4" w:space="0" w:color="auto"/>
              <w:bottom w:val="nil"/>
              <w:right w:val="nil"/>
            </w:tcBorders>
          </w:tcPr>
          <w:p w14:paraId="54593DCD" w14:textId="77777777" w:rsidR="004B55DD" w:rsidRPr="00FD048E" w:rsidRDefault="004B55DD" w:rsidP="00554F7B">
            <w:pPr>
              <w:spacing w:after="0" w:line="480" w:lineRule="auto"/>
              <w:ind w:left="113"/>
              <w:rPr>
                <w:rFonts w:cstheme="minorHAnsi"/>
              </w:rPr>
            </w:pPr>
            <w:proofErr w:type="spellStart"/>
            <w:r w:rsidRPr="00FD048E">
              <w:rPr>
                <w:rFonts w:cstheme="minorHAnsi"/>
                <w:color w:val="000000"/>
              </w:rPr>
              <w:t>Rhinorrhea</w:t>
            </w:r>
            <w:proofErr w:type="spellEnd"/>
          </w:p>
        </w:tc>
        <w:tc>
          <w:tcPr>
            <w:tcW w:w="0" w:type="auto"/>
            <w:tcBorders>
              <w:top w:val="nil"/>
              <w:left w:val="nil"/>
              <w:bottom w:val="nil"/>
              <w:right w:val="nil"/>
            </w:tcBorders>
          </w:tcPr>
          <w:p w14:paraId="7EA4C7AC"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128D0866"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4787EEB8"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44DDF57D"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6FF65275" w14:textId="77777777" w:rsidTr="00235A9C">
        <w:tc>
          <w:tcPr>
            <w:tcW w:w="0" w:type="auto"/>
            <w:tcBorders>
              <w:top w:val="nil"/>
              <w:left w:val="single" w:sz="4" w:space="0" w:color="auto"/>
              <w:bottom w:val="nil"/>
              <w:right w:val="nil"/>
            </w:tcBorders>
          </w:tcPr>
          <w:p w14:paraId="63018DD5" w14:textId="77777777" w:rsidR="004B55DD" w:rsidRPr="00FD048E" w:rsidRDefault="004B55DD" w:rsidP="00554F7B">
            <w:pPr>
              <w:spacing w:after="0" w:line="480" w:lineRule="auto"/>
              <w:ind w:left="113"/>
              <w:rPr>
                <w:rFonts w:cstheme="minorHAnsi"/>
              </w:rPr>
            </w:pPr>
            <w:r w:rsidRPr="00FD048E">
              <w:rPr>
                <w:rFonts w:cstheme="minorHAnsi"/>
                <w:color w:val="000000"/>
              </w:rPr>
              <w:t>Sore Throat</w:t>
            </w:r>
          </w:p>
        </w:tc>
        <w:tc>
          <w:tcPr>
            <w:tcW w:w="0" w:type="auto"/>
            <w:tcBorders>
              <w:top w:val="nil"/>
              <w:left w:val="nil"/>
              <w:bottom w:val="nil"/>
              <w:right w:val="nil"/>
            </w:tcBorders>
          </w:tcPr>
          <w:p w14:paraId="4DAB03E9"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34C1F230"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0F74EE89"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13EFC21B"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0D61A6CB" w14:textId="77777777" w:rsidTr="00235A9C">
        <w:tc>
          <w:tcPr>
            <w:tcW w:w="0" w:type="auto"/>
            <w:tcBorders>
              <w:top w:val="single" w:sz="4" w:space="0" w:color="auto"/>
              <w:left w:val="single" w:sz="4" w:space="0" w:color="auto"/>
              <w:bottom w:val="single" w:sz="4" w:space="0" w:color="auto"/>
              <w:right w:val="nil"/>
            </w:tcBorders>
          </w:tcPr>
          <w:p w14:paraId="57C64BBD" w14:textId="77777777" w:rsidR="004B55DD" w:rsidRPr="00FD048E" w:rsidRDefault="004B55DD" w:rsidP="00554F7B">
            <w:pPr>
              <w:spacing w:after="0" w:line="480" w:lineRule="auto"/>
              <w:ind w:left="113"/>
              <w:rPr>
                <w:rFonts w:cstheme="minorHAnsi"/>
              </w:rPr>
            </w:pPr>
            <w:r w:rsidRPr="00FD048E">
              <w:rPr>
                <w:rFonts w:cstheme="minorHAnsi"/>
                <w:b/>
                <w:bCs/>
                <w:color w:val="000000"/>
              </w:rPr>
              <w:t>Unclassified</w:t>
            </w:r>
          </w:p>
        </w:tc>
        <w:tc>
          <w:tcPr>
            <w:tcW w:w="0" w:type="auto"/>
            <w:tcBorders>
              <w:top w:val="single" w:sz="4" w:space="0" w:color="auto"/>
              <w:left w:val="nil"/>
              <w:bottom w:val="single" w:sz="4" w:space="0" w:color="auto"/>
              <w:right w:val="nil"/>
            </w:tcBorders>
          </w:tcPr>
          <w:p w14:paraId="6D54679A"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5A1765E5"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nil"/>
            </w:tcBorders>
          </w:tcPr>
          <w:p w14:paraId="4EACF235"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1 (25</w:t>
            </w:r>
            <w:r w:rsidRPr="004532E4">
              <w:rPr>
                <w:rFonts w:ascii="Arial" w:hAnsi="Arial" w:cs="Arial"/>
                <w:b/>
                <w:bCs/>
              </w:rPr>
              <w:t>·</w:t>
            </w:r>
            <w:r w:rsidRPr="00FD048E">
              <w:rPr>
                <w:rFonts w:cstheme="minorHAnsi"/>
                <w:b/>
                <w:bCs/>
                <w:color w:val="000000"/>
              </w:rPr>
              <w:t>0%)</w:t>
            </w:r>
          </w:p>
        </w:tc>
        <w:tc>
          <w:tcPr>
            <w:tcW w:w="0" w:type="auto"/>
            <w:tcBorders>
              <w:top w:val="single" w:sz="4" w:space="0" w:color="auto"/>
              <w:left w:val="nil"/>
              <w:bottom w:val="single" w:sz="4" w:space="0" w:color="auto"/>
              <w:right w:val="single" w:sz="4" w:space="0" w:color="auto"/>
            </w:tcBorders>
          </w:tcPr>
          <w:p w14:paraId="5BD4CA4C" w14:textId="77777777" w:rsidR="004B55DD" w:rsidRPr="00FD048E" w:rsidRDefault="004B55DD" w:rsidP="00554F7B">
            <w:pPr>
              <w:spacing w:after="0" w:line="480" w:lineRule="auto"/>
              <w:jc w:val="center"/>
              <w:rPr>
                <w:rFonts w:cstheme="minorHAnsi"/>
                <w:b/>
                <w:bCs/>
              </w:rPr>
            </w:pPr>
            <w:r w:rsidRPr="00FD048E">
              <w:rPr>
                <w:rFonts w:cstheme="minorHAnsi"/>
                <w:b/>
                <w:bCs/>
                <w:color w:val="000000"/>
              </w:rPr>
              <w:t>0 (0</w:t>
            </w:r>
            <w:r w:rsidRPr="004532E4">
              <w:rPr>
                <w:rFonts w:ascii="Arial" w:hAnsi="Arial" w:cs="Arial"/>
                <w:b/>
                <w:bCs/>
              </w:rPr>
              <w:t>·</w:t>
            </w:r>
            <w:r w:rsidRPr="00FD048E">
              <w:rPr>
                <w:rFonts w:cstheme="minorHAnsi"/>
                <w:b/>
                <w:bCs/>
                <w:color w:val="000000"/>
              </w:rPr>
              <w:t>0%)</w:t>
            </w:r>
          </w:p>
        </w:tc>
      </w:tr>
      <w:tr w:rsidR="004B55DD" w:rsidRPr="00FD048E" w14:paraId="67EBA98E" w14:textId="77777777" w:rsidTr="00235A9C">
        <w:tc>
          <w:tcPr>
            <w:tcW w:w="0" w:type="auto"/>
            <w:tcBorders>
              <w:top w:val="single" w:sz="4" w:space="0" w:color="auto"/>
              <w:left w:val="single" w:sz="4" w:space="0" w:color="auto"/>
              <w:bottom w:val="nil"/>
              <w:right w:val="nil"/>
            </w:tcBorders>
          </w:tcPr>
          <w:p w14:paraId="764883C6" w14:textId="77777777" w:rsidR="004B55DD" w:rsidRPr="00FD048E" w:rsidRDefault="004B55DD" w:rsidP="00554F7B">
            <w:pPr>
              <w:spacing w:after="0" w:line="480" w:lineRule="auto"/>
              <w:ind w:left="113"/>
              <w:rPr>
                <w:rFonts w:cstheme="minorHAnsi"/>
              </w:rPr>
            </w:pPr>
            <w:r w:rsidRPr="00FD048E">
              <w:rPr>
                <w:rFonts w:cstheme="minorHAnsi"/>
                <w:color w:val="000000"/>
              </w:rPr>
              <w:t>Other - Bilateral Thigh Pain</w:t>
            </w:r>
          </w:p>
        </w:tc>
        <w:tc>
          <w:tcPr>
            <w:tcW w:w="0" w:type="auto"/>
            <w:tcBorders>
              <w:top w:val="single" w:sz="4" w:space="0" w:color="auto"/>
              <w:left w:val="nil"/>
              <w:bottom w:val="nil"/>
              <w:right w:val="nil"/>
            </w:tcBorders>
          </w:tcPr>
          <w:p w14:paraId="56F42E73"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70A6E4CA"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nil"/>
            </w:tcBorders>
          </w:tcPr>
          <w:p w14:paraId="4DA4129E"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single" w:sz="4" w:space="0" w:color="auto"/>
              <w:left w:val="nil"/>
              <w:bottom w:val="nil"/>
              <w:right w:val="single" w:sz="4" w:space="0" w:color="auto"/>
            </w:tcBorders>
          </w:tcPr>
          <w:p w14:paraId="2A6B0D58"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03610A27" w14:textId="77777777" w:rsidTr="00235A9C">
        <w:tc>
          <w:tcPr>
            <w:tcW w:w="0" w:type="auto"/>
            <w:tcBorders>
              <w:top w:val="nil"/>
              <w:left w:val="single" w:sz="4" w:space="0" w:color="auto"/>
              <w:bottom w:val="nil"/>
              <w:right w:val="nil"/>
            </w:tcBorders>
          </w:tcPr>
          <w:p w14:paraId="56D49C74" w14:textId="77777777" w:rsidR="004B55DD" w:rsidRPr="00FD048E" w:rsidRDefault="004B55DD" w:rsidP="00554F7B">
            <w:pPr>
              <w:spacing w:after="0" w:line="480" w:lineRule="auto"/>
              <w:ind w:left="113"/>
              <w:rPr>
                <w:rFonts w:cstheme="minorHAnsi"/>
              </w:rPr>
            </w:pPr>
            <w:r w:rsidRPr="00FD048E">
              <w:rPr>
                <w:rFonts w:cstheme="minorHAnsi"/>
                <w:color w:val="000000"/>
              </w:rPr>
              <w:t>Other - Loose Stools</w:t>
            </w:r>
          </w:p>
        </w:tc>
        <w:tc>
          <w:tcPr>
            <w:tcW w:w="0" w:type="auto"/>
            <w:tcBorders>
              <w:top w:val="nil"/>
              <w:left w:val="nil"/>
              <w:bottom w:val="nil"/>
              <w:right w:val="nil"/>
            </w:tcBorders>
          </w:tcPr>
          <w:p w14:paraId="3582EF40"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7B212D4F"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nil"/>
              <w:right w:val="nil"/>
            </w:tcBorders>
          </w:tcPr>
          <w:p w14:paraId="42D41F58"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nil"/>
              <w:right w:val="single" w:sz="4" w:space="0" w:color="auto"/>
            </w:tcBorders>
          </w:tcPr>
          <w:p w14:paraId="5EC33F52"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r w:rsidR="004B55DD" w:rsidRPr="00FD048E" w14:paraId="1A6A2F1F" w14:textId="77777777" w:rsidTr="00235A9C">
        <w:tc>
          <w:tcPr>
            <w:tcW w:w="0" w:type="auto"/>
            <w:tcBorders>
              <w:top w:val="nil"/>
              <w:left w:val="single" w:sz="4" w:space="0" w:color="auto"/>
              <w:bottom w:val="single" w:sz="4" w:space="0" w:color="auto"/>
              <w:right w:val="nil"/>
            </w:tcBorders>
          </w:tcPr>
          <w:p w14:paraId="3CCF3A15" w14:textId="77777777" w:rsidR="004B55DD" w:rsidRPr="00FD048E" w:rsidRDefault="004B55DD" w:rsidP="00554F7B">
            <w:pPr>
              <w:spacing w:after="0" w:line="480" w:lineRule="auto"/>
              <w:ind w:left="113"/>
              <w:rPr>
                <w:rFonts w:cstheme="minorHAnsi"/>
              </w:rPr>
            </w:pPr>
            <w:r w:rsidRPr="00FD048E">
              <w:rPr>
                <w:rFonts w:cstheme="minorHAnsi"/>
                <w:color w:val="000000"/>
              </w:rPr>
              <w:t>Other - Worsening Fatigue</w:t>
            </w:r>
          </w:p>
        </w:tc>
        <w:tc>
          <w:tcPr>
            <w:tcW w:w="0" w:type="auto"/>
            <w:tcBorders>
              <w:top w:val="nil"/>
              <w:left w:val="nil"/>
              <w:bottom w:val="single" w:sz="4" w:space="0" w:color="auto"/>
              <w:right w:val="nil"/>
            </w:tcBorders>
          </w:tcPr>
          <w:p w14:paraId="74F40F24"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single" w:sz="4" w:space="0" w:color="auto"/>
              <w:right w:val="nil"/>
            </w:tcBorders>
          </w:tcPr>
          <w:p w14:paraId="51F5DE46" w14:textId="77777777" w:rsidR="004B55DD" w:rsidRPr="00FD048E" w:rsidRDefault="004B55DD" w:rsidP="00554F7B">
            <w:pPr>
              <w:spacing w:after="0" w:line="480" w:lineRule="auto"/>
              <w:jc w:val="center"/>
              <w:rPr>
                <w:rFonts w:cstheme="minorHAnsi"/>
                <w:b/>
                <w:bCs/>
              </w:rPr>
            </w:pPr>
            <w:r w:rsidRPr="00FD048E">
              <w:rPr>
                <w:rFonts w:cstheme="minorHAnsi"/>
                <w:color w:val="000000"/>
              </w:rPr>
              <w:t>1 (25</w:t>
            </w:r>
            <w:r>
              <w:rPr>
                <w:rFonts w:ascii="Arial" w:hAnsi="Arial" w:cs="Arial"/>
              </w:rPr>
              <w:t>·</w:t>
            </w:r>
            <w:r w:rsidRPr="00FD048E">
              <w:rPr>
                <w:rFonts w:cstheme="minorHAnsi"/>
                <w:color w:val="000000"/>
              </w:rPr>
              <w:t>0%)</w:t>
            </w:r>
          </w:p>
        </w:tc>
        <w:tc>
          <w:tcPr>
            <w:tcW w:w="0" w:type="auto"/>
            <w:tcBorders>
              <w:top w:val="nil"/>
              <w:left w:val="nil"/>
              <w:bottom w:val="single" w:sz="4" w:space="0" w:color="auto"/>
              <w:right w:val="nil"/>
            </w:tcBorders>
          </w:tcPr>
          <w:p w14:paraId="605D098E"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c>
          <w:tcPr>
            <w:tcW w:w="0" w:type="auto"/>
            <w:tcBorders>
              <w:top w:val="nil"/>
              <w:left w:val="nil"/>
              <w:bottom w:val="single" w:sz="4" w:space="0" w:color="auto"/>
              <w:right w:val="single" w:sz="4" w:space="0" w:color="auto"/>
            </w:tcBorders>
          </w:tcPr>
          <w:p w14:paraId="6C447C87" w14:textId="77777777" w:rsidR="004B55DD" w:rsidRPr="00FD048E" w:rsidRDefault="004B55DD" w:rsidP="00554F7B">
            <w:pPr>
              <w:spacing w:after="0" w:line="480" w:lineRule="auto"/>
              <w:jc w:val="center"/>
              <w:rPr>
                <w:rFonts w:cstheme="minorHAnsi"/>
                <w:b/>
                <w:bCs/>
              </w:rPr>
            </w:pPr>
            <w:r w:rsidRPr="00FD048E">
              <w:rPr>
                <w:rFonts w:cstheme="minorHAnsi"/>
                <w:color w:val="000000"/>
              </w:rPr>
              <w:t>0 (0</w:t>
            </w:r>
            <w:r>
              <w:rPr>
                <w:rFonts w:ascii="Arial" w:hAnsi="Arial" w:cs="Arial"/>
              </w:rPr>
              <w:t>·</w:t>
            </w:r>
            <w:r w:rsidRPr="00FD048E">
              <w:rPr>
                <w:rFonts w:cstheme="minorHAnsi"/>
                <w:color w:val="000000"/>
              </w:rPr>
              <w:t>0%)</w:t>
            </w:r>
          </w:p>
        </w:tc>
      </w:tr>
    </w:tbl>
    <w:p w14:paraId="769E7746" w14:textId="77777777" w:rsidR="004B55DD" w:rsidRPr="00FD048E" w:rsidRDefault="004B55DD" w:rsidP="004B55DD">
      <w:pPr>
        <w:spacing w:line="480" w:lineRule="auto"/>
        <w:rPr>
          <w:rFonts w:cstheme="minorHAnsi"/>
          <w:sz w:val="20"/>
          <w:szCs w:val="20"/>
          <w:lang w:eastAsia="ar-SA"/>
        </w:rPr>
      </w:pPr>
      <w:r w:rsidRPr="00FD048E">
        <w:rPr>
          <w:rFonts w:cstheme="minorHAnsi"/>
          <w:sz w:val="20"/>
          <w:szCs w:val="20"/>
          <w:lang w:eastAsia="ar-SA"/>
        </w:rPr>
        <w:t>Note: Percentages are based on the number of patients in the study arm. CTCAE v5</w:t>
      </w:r>
      <w:r>
        <w:rPr>
          <w:rFonts w:ascii="Arial" w:hAnsi="Arial" w:cs="Arial"/>
        </w:rPr>
        <w:t>·</w:t>
      </w:r>
      <w:r w:rsidRPr="00FD048E">
        <w:rPr>
          <w:rFonts w:cstheme="minorHAnsi"/>
          <w:sz w:val="20"/>
          <w:szCs w:val="20"/>
          <w:lang w:eastAsia="ar-SA"/>
        </w:rPr>
        <w:t>0 terms are used to classify AEs.</w:t>
      </w:r>
    </w:p>
    <w:p w14:paraId="3852AF6B" w14:textId="77777777" w:rsidR="004B55DD" w:rsidRPr="00FD048E" w:rsidRDefault="004B55DD" w:rsidP="004B55DD">
      <w:pPr>
        <w:spacing w:line="480" w:lineRule="auto"/>
        <w:rPr>
          <w:rFonts w:cstheme="minorHAnsi"/>
          <w:sz w:val="20"/>
          <w:szCs w:val="20"/>
          <w:lang w:eastAsia="ar-SA"/>
        </w:rPr>
      </w:pPr>
      <w:r w:rsidRPr="00FD048E">
        <w:rPr>
          <w:rFonts w:cstheme="minorHAnsi"/>
          <w:color w:val="000000"/>
          <w:vertAlign w:val="superscript"/>
        </w:rPr>
        <w:t>1</w:t>
      </w:r>
      <w:r w:rsidRPr="00FD048E">
        <w:rPr>
          <w:rFonts w:cstheme="minorHAnsi"/>
          <w:sz w:val="20"/>
          <w:szCs w:val="20"/>
          <w:lang w:eastAsia="ar-SA"/>
        </w:rPr>
        <w:t>This AE reported in Other specify free text field as “Chest infection”.</w:t>
      </w:r>
    </w:p>
    <w:p w14:paraId="5720606E" w14:textId="77777777" w:rsidR="004B55DD" w:rsidRPr="00FD048E" w:rsidRDefault="004B55DD" w:rsidP="004B55DD">
      <w:pPr>
        <w:spacing w:line="480" w:lineRule="auto"/>
        <w:rPr>
          <w:sz w:val="20"/>
        </w:rPr>
      </w:pPr>
      <w:r w:rsidRPr="00FD048E">
        <w:rPr>
          <w:sz w:val="20"/>
        </w:rPr>
        <w:t xml:space="preserve">* NB: All AEs were either Grade 1 or 2  </w:t>
      </w:r>
    </w:p>
    <w:p w14:paraId="3FE4DDD3" w14:textId="77777777" w:rsidR="004B55DD" w:rsidRPr="00FD048E" w:rsidRDefault="004B55DD" w:rsidP="004B55DD">
      <w:pPr>
        <w:spacing w:line="480" w:lineRule="auto"/>
        <w:rPr>
          <w:rFonts w:eastAsia="Times New Roman" w:cstheme="minorHAnsi"/>
          <w:b/>
          <w:bCs/>
          <w:sz w:val="24"/>
          <w:szCs w:val="24"/>
        </w:rPr>
      </w:pPr>
      <w:r w:rsidRPr="00FD048E">
        <w:rPr>
          <w:rFonts w:cstheme="minorHAnsi"/>
          <w:sz w:val="24"/>
          <w:szCs w:val="24"/>
        </w:rPr>
        <w:br w:type="page"/>
      </w:r>
    </w:p>
    <w:p w14:paraId="4A1EBE92" w14:textId="77777777" w:rsidR="004B55DD" w:rsidRPr="004532E4" w:rsidRDefault="004B55DD" w:rsidP="004B55DD">
      <w:pPr>
        <w:pStyle w:val="Caption"/>
        <w:spacing w:line="480" w:lineRule="auto"/>
        <w:rPr>
          <w:rFonts w:ascii="Arial" w:hAnsi="Arial" w:cs="Arial"/>
        </w:rPr>
      </w:pPr>
      <w:r w:rsidRPr="004532E4">
        <w:rPr>
          <w:rFonts w:ascii="Arial" w:hAnsi="Arial" w:cs="Arial"/>
          <w:szCs w:val="22"/>
        </w:rPr>
        <w:lastRenderedPageBreak/>
        <w:t>Table 3</w:t>
      </w:r>
      <w:r>
        <w:rPr>
          <w:rFonts w:ascii="Arial" w:hAnsi="Arial" w:cs="Arial"/>
          <w:szCs w:val="22"/>
        </w:rPr>
        <w:t xml:space="preserve">: </w:t>
      </w:r>
      <w:r w:rsidRPr="004532E4">
        <w:rPr>
          <w:rFonts w:ascii="Arial" w:hAnsi="Arial" w:cs="Arial"/>
        </w:rPr>
        <w:t>Geometric mean (%CV) Pharmacokinetic parameters of EIDD-2801 following single and multiple dose administration of EIDD-2801</w:t>
      </w:r>
    </w:p>
    <w:tbl>
      <w:tblPr>
        <w:tblStyle w:val="TableGrid"/>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017"/>
        <w:gridCol w:w="339"/>
        <w:gridCol w:w="1356"/>
        <w:gridCol w:w="678"/>
        <w:gridCol w:w="678"/>
        <w:gridCol w:w="1356"/>
        <w:gridCol w:w="339"/>
        <w:gridCol w:w="1017"/>
        <w:gridCol w:w="1357"/>
      </w:tblGrid>
      <w:tr w:rsidR="004B55DD" w:rsidRPr="00FD048E" w14:paraId="0BFD6D4E" w14:textId="77777777" w:rsidTr="007920C6">
        <w:tc>
          <w:tcPr>
            <w:tcW w:w="2373" w:type="dxa"/>
            <w:gridSpan w:val="2"/>
            <w:tcBorders>
              <w:top w:val="single" w:sz="4" w:space="0" w:color="auto"/>
              <w:left w:val="single" w:sz="4" w:space="0" w:color="auto"/>
            </w:tcBorders>
          </w:tcPr>
          <w:p w14:paraId="1881B57E" w14:textId="77777777" w:rsidR="004B55DD" w:rsidRPr="00FD048E" w:rsidRDefault="004B55DD" w:rsidP="00554F7B">
            <w:pPr>
              <w:spacing w:line="480" w:lineRule="auto"/>
              <w:rPr>
                <w:b/>
                <w:bCs/>
              </w:rPr>
            </w:pPr>
          </w:p>
        </w:tc>
        <w:tc>
          <w:tcPr>
            <w:tcW w:w="2373" w:type="dxa"/>
            <w:gridSpan w:val="3"/>
            <w:tcBorders>
              <w:top w:val="single" w:sz="4" w:space="0" w:color="auto"/>
            </w:tcBorders>
          </w:tcPr>
          <w:p w14:paraId="431C5D11" w14:textId="77777777" w:rsidR="004B55DD" w:rsidRPr="00FD048E" w:rsidRDefault="004B55DD" w:rsidP="00554F7B">
            <w:pPr>
              <w:spacing w:line="480" w:lineRule="auto"/>
              <w:jc w:val="center"/>
              <w:rPr>
                <w:b/>
                <w:bCs/>
              </w:rPr>
            </w:pPr>
            <w:r w:rsidRPr="00FD048E">
              <w:rPr>
                <w:b/>
                <w:bCs/>
              </w:rPr>
              <w:t>300mg bd</w:t>
            </w:r>
          </w:p>
        </w:tc>
        <w:tc>
          <w:tcPr>
            <w:tcW w:w="2373" w:type="dxa"/>
            <w:gridSpan w:val="3"/>
            <w:tcBorders>
              <w:top w:val="single" w:sz="4" w:space="0" w:color="auto"/>
            </w:tcBorders>
          </w:tcPr>
          <w:p w14:paraId="322B3B28" w14:textId="77777777" w:rsidR="004B55DD" w:rsidRPr="00FD048E" w:rsidRDefault="004B55DD" w:rsidP="00554F7B">
            <w:pPr>
              <w:spacing w:line="480" w:lineRule="auto"/>
              <w:jc w:val="center"/>
              <w:rPr>
                <w:b/>
                <w:bCs/>
              </w:rPr>
            </w:pPr>
            <w:r w:rsidRPr="00FD048E">
              <w:rPr>
                <w:b/>
                <w:bCs/>
              </w:rPr>
              <w:t>600mg bd</w:t>
            </w:r>
          </w:p>
        </w:tc>
        <w:tc>
          <w:tcPr>
            <w:tcW w:w="2374" w:type="dxa"/>
            <w:gridSpan w:val="2"/>
            <w:tcBorders>
              <w:top w:val="single" w:sz="4" w:space="0" w:color="auto"/>
              <w:right w:val="single" w:sz="4" w:space="0" w:color="auto"/>
            </w:tcBorders>
          </w:tcPr>
          <w:p w14:paraId="3F89292D" w14:textId="77777777" w:rsidR="004B55DD" w:rsidRPr="00FD048E" w:rsidRDefault="004B55DD" w:rsidP="00554F7B">
            <w:pPr>
              <w:spacing w:line="480" w:lineRule="auto"/>
              <w:jc w:val="center"/>
              <w:rPr>
                <w:b/>
                <w:bCs/>
              </w:rPr>
            </w:pPr>
            <w:r w:rsidRPr="00FD048E">
              <w:rPr>
                <w:b/>
                <w:bCs/>
              </w:rPr>
              <w:t>800 mg bd</w:t>
            </w:r>
          </w:p>
        </w:tc>
      </w:tr>
      <w:tr w:rsidR="004B55DD" w:rsidRPr="00FD048E" w14:paraId="16D3E9BD" w14:textId="77777777" w:rsidTr="007920C6">
        <w:tc>
          <w:tcPr>
            <w:tcW w:w="1356" w:type="dxa"/>
            <w:tcBorders>
              <w:top w:val="single" w:sz="4" w:space="0" w:color="auto"/>
              <w:left w:val="single" w:sz="4" w:space="0" w:color="auto"/>
              <w:bottom w:val="nil"/>
            </w:tcBorders>
          </w:tcPr>
          <w:p w14:paraId="14570788" w14:textId="77777777" w:rsidR="004B55DD" w:rsidRPr="00FD048E" w:rsidRDefault="004B55DD" w:rsidP="00554F7B">
            <w:pPr>
              <w:spacing w:line="480" w:lineRule="auto"/>
              <w:rPr>
                <w:b/>
                <w:bCs/>
              </w:rPr>
            </w:pPr>
            <w:r w:rsidRPr="00FD048E">
              <w:rPr>
                <w:b/>
                <w:bCs/>
              </w:rPr>
              <w:t xml:space="preserve">Parameter (Units) </w:t>
            </w:r>
          </w:p>
        </w:tc>
        <w:tc>
          <w:tcPr>
            <w:tcW w:w="1356" w:type="dxa"/>
            <w:gridSpan w:val="2"/>
            <w:tcBorders>
              <w:top w:val="single" w:sz="4" w:space="0" w:color="auto"/>
              <w:bottom w:val="nil"/>
            </w:tcBorders>
          </w:tcPr>
          <w:p w14:paraId="4F4BC28D" w14:textId="7C9442B7" w:rsidR="004B55DD" w:rsidRPr="004532E4" w:rsidRDefault="004B55DD" w:rsidP="009371F3">
            <w:pPr>
              <w:spacing w:line="480" w:lineRule="auto"/>
              <w:rPr>
                <w:b/>
                <w:bCs/>
              </w:rPr>
            </w:pPr>
            <w:r w:rsidRPr="00FD048E">
              <w:rPr>
                <w:b/>
                <w:bCs/>
              </w:rPr>
              <w:t>Day 1</w:t>
            </w:r>
          </w:p>
        </w:tc>
        <w:tc>
          <w:tcPr>
            <w:tcW w:w="1356" w:type="dxa"/>
            <w:tcBorders>
              <w:top w:val="single" w:sz="4" w:space="0" w:color="auto"/>
              <w:bottom w:val="nil"/>
            </w:tcBorders>
          </w:tcPr>
          <w:p w14:paraId="70E8B246" w14:textId="0FC38BBC" w:rsidR="004B55DD" w:rsidRPr="004532E4" w:rsidRDefault="004B55DD" w:rsidP="009371F3">
            <w:pPr>
              <w:spacing w:line="480" w:lineRule="auto"/>
              <w:rPr>
                <w:b/>
                <w:bCs/>
              </w:rPr>
            </w:pPr>
            <w:r w:rsidRPr="00FD048E">
              <w:rPr>
                <w:b/>
                <w:bCs/>
              </w:rPr>
              <w:t>Day 5</w:t>
            </w:r>
          </w:p>
        </w:tc>
        <w:tc>
          <w:tcPr>
            <w:tcW w:w="1356" w:type="dxa"/>
            <w:gridSpan w:val="2"/>
            <w:tcBorders>
              <w:top w:val="single" w:sz="4" w:space="0" w:color="auto"/>
              <w:bottom w:val="nil"/>
            </w:tcBorders>
          </w:tcPr>
          <w:p w14:paraId="2E620EB9" w14:textId="5807386D" w:rsidR="004B55DD" w:rsidRPr="00FD048E" w:rsidRDefault="004B55DD" w:rsidP="009371F3">
            <w:pPr>
              <w:spacing w:line="480" w:lineRule="auto"/>
              <w:rPr>
                <w:b/>
                <w:bCs/>
              </w:rPr>
            </w:pPr>
            <w:r w:rsidRPr="00FD048E">
              <w:rPr>
                <w:b/>
                <w:bCs/>
              </w:rPr>
              <w:t>Day 1</w:t>
            </w:r>
          </w:p>
        </w:tc>
        <w:tc>
          <w:tcPr>
            <w:tcW w:w="1356" w:type="dxa"/>
            <w:tcBorders>
              <w:top w:val="single" w:sz="4" w:space="0" w:color="auto"/>
              <w:bottom w:val="nil"/>
            </w:tcBorders>
          </w:tcPr>
          <w:p w14:paraId="3C8A0A38" w14:textId="2A574818" w:rsidR="004B55DD" w:rsidRPr="004532E4" w:rsidRDefault="004B55DD" w:rsidP="009371F3">
            <w:pPr>
              <w:spacing w:line="480" w:lineRule="auto"/>
              <w:rPr>
                <w:b/>
                <w:bCs/>
              </w:rPr>
            </w:pPr>
            <w:r w:rsidRPr="00FD048E">
              <w:rPr>
                <w:b/>
                <w:bCs/>
              </w:rPr>
              <w:t>Day 5</w:t>
            </w:r>
          </w:p>
        </w:tc>
        <w:tc>
          <w:tcPr>
            <w:tcW w:w="1356" w:type="dxa"/>
            <w:gridSpan w:val="2"/>
            <w:tcBorders>
              <w:top w:val="single" w:sz="4" w:space="0" w:color="auto"/>
              <w:bottom w:val="nil"/>
            </w:tcBorders>
          </w:tcPr>
          <w:p w14:paraId="7E1A1265" w14:textId="40A1B78E" w:rsidR="004B55DD" w:rsidRPr="004532E4" w:rsidRDefault="004B55DD" w:rsidP="009371F3">
            <w:pPr>
              <w:spacing w:line="480" w:lineRule="auto"/>
              <w:rPr>
                <w:b/>
                <w:bCs/>
              </w:rPr>
            </w:pPr>
            <w:r w:rsidRPr="00FD048E">
              <w:rPr>
                <w:b/>
                <w:bCs/>
              </w:rPr>
              <w:t>Day 1</w:t>
            </w:r>
          </w:p>
        </w:tc>
        <w:tc>
          <w:tcPr>
            <w:tcW w:w="1357" w:type="dxa"/>
            <w:tcBorders>
              <w:top w:val="single" w:sz="4" w:space="0" w:color="auto"/>
              <w:bottom w:val="nil"/>
              <w:right w:val="single" w:sz="4" w:space="0" w:color="auto"/>
            </w:tcBorders>
          </w:tcPr>
          <w:p w14:paraId="526C10F8" w14:textId="43BFFE8A" w:rsidR="004B55DD" w:rsidRPr="004532E4" w:rsidRDefault="004B55DD" w:rsidP="009371F3">
            <w:pPr>
              <w:spacing w:line="480" w:lineRule="auto"/>
              <w:rPr>
                <w:b/>
                <w:bCs/>
              </w:rPr>
            </w:pPr>
            <w:r w:rsidRPr="00FD048E">
              <w:rPr>
                <w:b/>
                <w:bCs/>
              </w:rPr>
              <w:t>Day 5</w:t>
            </w:r>
          </w:p>
        </w:tc>
      </w:tr>
      <w:tr w:rsidR="009371F3" w:rsidRPr="00FD048E" w14:paraId="0CEE594C" w14:textId="77777777" w:rsidTr="007920C6">
        <w:tc>
          <w:tcPr>
            <w:tcW w:w="1356" w:type="dxa"/>
            <w:tcBorders>
              <w:top w:val="nil"/>
              <w:left w:val="single" w:sz="4" w:space="0" w:color="auto"/>
              <w:bottom w:val="single" w:sz="4" w:space="0" w:color="auto"/>
            </w:tcBorders>
          </w:tcPr>
          <w:p w14:paraId="2D200C4C" w14:textId="77777777" w:rsidR="009371F3" w:rsidRPr="00FD048E" w:rsidRDefault="009371F3" w:rsidP="00554F7B">
            <w:pPr>
              <w:spacing w:line="480" w:lineRule="auto"/>
              <w:rPr>
                <w:b/>
                <w:bCs/>
              </w:rPr>
            </w:pPr>
          </w:p>
        </w:tc>
        <w:tc>
          <w:tcPr>
            <w:tcW w:w="1356" w:type="dxa"/>
            <w:gridSpan w:val="2"/>
            <w:tcBorders>
              <w:top w:val="nil"/>
              <w:bottom w:val="single" w:sz="4" w:space="0" w:color="auto"/>
            </w:tcBorders>
          </w:tcPr>
          <w:p w14:paraId="41848C43" w14:textId="358EF64E" w:rsidR="009371F3" w:rsidRPr="00FD048E" w:rsidRDefault="009371F3" w:rsidP="00554F7B">
            <w:pPr>
              <w:spacing w:line="480" w:lineRule="auto"/>
              <w:rPr>
                <w:b/>
                <w:bCs/>
              </w:rPr>
            </w:pPr>
            <w:r w:rsidRPr="00FD048E">
              <w:rPr>
                <w:b/>
                <w:bCs/>
              </w:rPr>
              <w:t>N=4</w:t>
            </w:r>
          </w:p>
        </w:tc>
        <w:tc>
          <w:tcPr>
            <w:tcW w:w="1356" w:type="dxa"/>
            <w:tcBorders>
              <w:top w:val="nil"/>
              <w:bottom w:val="single" w:sz="4" w:space="0" w:color="auto"/>
            </w:tcBorders>
          </w:tcPr>
          <w:p w14:paraId="1505B937" w14:textId="63FA9214" w:rsidR="009371F3" w:rsidRPr="00FD048E" w:rsidRDefault="009371F3" w:rsidP="00554F7B">
            <w:pPr>
              <w:spacing w:line="480" w:lineRule="auto"/>
              <w:rPr>
                <w:b/>
                <w:bCs/>
              </w:rPr>
            </w:pPr>
            <w:r w:rsidRPr="00FD048E">
              <w:rPr>
                <w:b/>
                <w:bCs/>
              </w:rPr>
              <w:t>N=4</w:t>
            </w:r>
          </w:p>
        </w:tc>
        <w:tc>
          <w:tcPr>
            <w:tcW w:w="1356" w:type="dxa"/>
            <w:gridSpan w:val="2"/>
            <w:tcBorders>
              <w:top w:val="nil"/>
              <w:bottom w:val="single" w:sz="4" w:space="0" w:color="auto"/>
            </w:tcBorders>
          </w:tcPr>
          <w:p w14:paraId="179F226A" w14:textId="549DAF8D" w:rsidR="009371F3" w:rsidRPr="00FD048E" w:rsidRDefault="009371F3" w:rsidP="00554F7B">
            <w:pPr>
              <w:spacing w:line="480" w:lineRule="auto"/>
              <w:rPr>
                <w:b/>
                <w:bCs/>
              </w:rPr>
            </w:pPr>
            <w:r w:rsidRPr="00FD048E">
              <w:rPr>
                <w:b/>
                <w:bCs/>
              </w:rPr>
              <w:t>N=4</w:t>
            </w:r>
          </w:p>
        </w:tc>
        <w:tc>
          <w:tcPr>
            <w:tcW w:w="1356" w:type="dxa"/>
            <w:tcBorders>
              <w:top w:val="nil"/>
              <w:bottom w:val="single" w:sz="4" w:space="0" w:color="auto"/>
            </w:tcBorders>
          </w:tcPr>
          <w:p w14:paraId="4EF7EF29" w14:textId="373DAB43" w:rsidR="009371F3" w:rsidRPr="00FD048E" w:rsidRDefault="009371F3" w:rsidP="00554F7B">
            <w:pPr>
              <w:spacing w:line="480" w:lineRule="auto"/>
              <w:rPr>
                <w:b/>
                <w:bCs/>
              </w:rPr>
            </w:pPr>
            <w:r w:rsidRPr="00FD048E">
              <w:rPr>
                <w:b/>
                <w:bCs/>
              </w:rPr>
              <w:t>N=4</w:t>
            </w:r>
          </w:p>
        </w:tc>
        <w:tc>
          <w:tcPr>
            <w:tcW w:w="1356" w:type="dxa"/>
            <w:gridSpan w:val="2"/>
            <w:tcBorders>
              <w:top w:val="nil"/>
              <w:bottom w:val="single" w:sz="4" w:space="0" w:color="auto"/>
            </w:tcBorders>
          </w:tcPr>
          <w:p w14:paraId="189EC9A5" w14:textId="402E1B5C" w:rsidR="009371F3" w:rsidRPr="00FD048E" w:rsidRDefault="009371F3" w:rsidP="00554F7B">
            <w:pPr>
              <w:spacing w:line="480" w:lineRule="auto"/>
              <w:rPr>
                <w:b/>
                <w:bCs/>
              </w:rPr>
            </w:pPr>
            <w:r w:rsidRPr="00FD048E">
              <w:rPr>
                <w:b/>
                <w:bCs/>
              </w:rPr>
              <w:t>N=4</w:t>
            </w:r>
          </w:p>
        </w:tc>
        <w:tc>
          <w:tcPr>
            <w:tcW w:w="1357" w:type="dxa"/>
            <w:tcBorders>
              <w:top w:val="nil"/>
              <w:bottom w:val="single" w:sz="4" w:space="0" w:color="auto"/>
              <w:right w:val="single" w:sz="4" w:space="0" w:color="auto"/>
            </w:tcBorders>
          </w:tcPr>
          <w:p w14:paraId="1EAA78F0" w14:textId="32A5447E" w:rsidR="009371F3" w:rsidRPr="00FD048E" w:rsidRDefault="009371F3" w:rsidP="00554F7B">
            <w:pPr>
              <w:spacing w:line="480" w:lineRule="auto"/>
              <w:rPr>
                <w:b/>
                <w:bCs/>
              </w:rPr>
            </w:pPr>
            <w:r w:rsidRPr="00FD048E">
              <w:rPr>
                <w:b/>
                <w:bCs/>
              </w:rPr>
              <w:t>N=3</w:t>
            </w:r>
          </w:p>
        </w:tc>
      </w:tr>
      <w:tr w:rsidR="004B55DD" w:rsidRPr="00FD048E" w14:paraId="49F8C4B5" w14:textId="77777777" w:rsidTr="007920C6">
        <w:tc>
          <w:tcPr>
            <w:tcW w:w="9493" w:type="dxa"/>
            <w:gridSpan w:val="10"/>
            <w:tcBorders>
              <w:top w:val="nil"/>
              <w:left w:val="single" w:sz="4" w:space="0" w:color="auto"/>
              <w:bottom w:val="single" w:sz="4" w:space="0" w:color="auto"/>
              <w:right w:val="single" w:sz="4" w:space="0" w:color="auto"/>
            </w:tcBorders>
            <w:shd w:val="clear" w:color="auto" w:fill="auto"/>
          </w:tcPr>
          <w:p w14:paraId="5ABAC3DC" w14:textId="77777777" w:rsidR="004B55DD" w:rsidRPr="00FD048E" w:rsidRDefault="004B55DD" w:rsidP="00554F7B">
            <w:pPr>
              <w:spacing w:line="480" w:lineRule="auto"/>
            </w:pPr>
            <w:r w:rsidRPr="00FD048E">
              <w:t>Molnupiravir (EIDD2801)</w:t>
            </w:r>
          </w:p>
        </w:tc>
      </w:tr>
      <w:tr w:rsidR="004B55DD" w:rsidRPr="00FD048E" w14:paraId="783DAB8A" w14:textId="77777777" w:rsidTr="007920C6">
        <w:tc>
          <w:tcPr>
            <w:tcW w:w="1356" w:type="dxa"/>
            <w:tcBorders>
              <w:left w:val="single" w:sz="4" w:space="0" w:color="auto"/>
            </w:tcBorders>
          </w:tcPr>
          <w:p w14:paraId="679F4245" w14:textId="77777777" w:rsidR="004B55DD" w:rsidRPr="00FD048E" w:rsidRDefault="004B55DD" w:rsidP="00554F7B">
            <w:pPr>
              <w:spacing w:line="480" w:lineRule="auto"/>
            </w:pPr>
            <w:r w:rsidRPr="00FD048E">
              <w:t>AUC</w:t>
            </w:r>
            <w:r w:rsidRPr="00FD048E">
              <w:rPr>
                <w:vertAlign w:val="subscript"/>
              </w:rPr>
              <w:t xml:space="preserve">0-4 </w:t>
            </w:r>
            <w:r w:rsidRPr="00FD048E">
              <w:t>(</w:t>
            </w:r>
            <w:proofErr w:type="spellStart"/>
            <w:r w:rsidRPr="00FD048E">
              <w:t>ng.h</w:t>
            </w:r>
            <w:proofErr w:type="spellEnd"/>
            <w:r w:rsidRPr="00FD048E">
              <w:t xml:space="preserve">/mL) </w:t>
            </w:r>
          </w:p>
        </w:tc>
        <w:tc>
          <w:tcPr>
            <w:tcW w:w="1356" w:type="dxa"/>
            <w:gridSpan w:val="2"/>
          </w:tcPr>
          <w:p w14:paraId="63BE4E32"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NC</w:t>
            </w:r>
          </w:p>
        </w:tc>
        <w:tc>
          <w:tcPr>
            <w:tcW w:w="1356" w:type="dxa"/>
          </w:tcPr>
          <w:p w14:paraId="16CABB0B"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NC</w:t>
            </w:r>
          </w:p>
        </w:tc>
        <w:tc>
          <w:tcPr>
            <w:tcW w:w="1356" w:type="dxa"/>
            <w:gridSpan w:val="2"/>
          </w:tcPr>
          <w:p w14:paraId="7A765787"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NC</w:t>
            </w:r>
          </w:p>
        </w:tc>
        <w:tc>
          <w:tcPr>
            <w:tcW w:w="1356" w:type="dxa"/>
          </w:tcPr>
          <w:p w14:paraId="2908E1A3"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NC</w:t>
            </w:r>
          </w:p>
        </w:tc>
        <w:tc>
          <w:tcPr>
            <w:tcW w:w="1356" w:type="dxa"/>
            <w:gridSpan w:val="2"/>
          </w:tcPr>
          <w:p w14:paraId="54C4ECFA"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NC</w:t>
            </w:r>
          </w:p>
        </w:tc>
        <w:tc>
          <w:tcPr>
            <w:tcW w:w="1357" w:type="dxa"/>
            <w:tcBorders>
              <w:right w:val="single" w:sz="4" w:space="0" w:color="auto"/>
            </w:tcBorders>
          </w:tcPr>
          <w:p w14:paraId="21C40698"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NC</w:t>
            </w:r>
          </w:p>
        </w:tc>
      </w:tr>
      <w:tr w:rsidR="004B55DD" w:rsidRPr="00FD048E" w14:paraId="37CE655C" w14:textId="77777777" w:rsidTr="007920C6">
        <w:tc>
          <w:tcPr>
            <w:tcW w:w="1356" w:type="dxa"/>
            <w:tcBorders>
              <w:left w:val="single" w:sz="4" w:space="0" w:color="auto"/>
            </w:tcBorders>
          </w:tcPr>
          <w:p w14:paraId="70EAC16B" w14:textId="77777777" w:rsidR="004B55DD" w:rsidRPr="00FD048E" w:rsidRDefault="004B55DD" w:rsidP="00554F7B">
            <w:pPr>
              <w:spacing w:line="480" w:lineRule="auto"/>
            </w:pPr>
            <w:proofErr w:type="spellStart"/>
            <w:r w:rsidRPr="00FD048E">
              <w:t>C</w:t>
            </w:r>
            <w:r w:rsidRPr="00FD048E">
              <w:rPr>
                <w:sz w:val="14"/>
                <w:szCs w:val="14"/>
              </w:rPr>
              <w:t>max</w:t>
            </w:r>
            <w:proofErr w:type="spellEnd"/>
            <w:r w:rsidRPr="00FD048E">
              <w:rPr>
                <w:sz w:val="14"/>
                <w:szCs w:val="14"/>
              </w:rPr>
              <w:t xml:space="preserve"> </w:t>
            </w:r>
            <w:r w:rsidRPr="00FD048E">
              <w:t xml:space="preserve">(ng/mL) </w:t>
            </w:r>
          </w:p>
        </w:tc>
        <w:tc>
          <w:tcPr>
            <w:tcW w:w="1356" w:type="dxa"/>
            <w:gridSpan w:val="2"/>
          </w:tcPr>
          <w:p w14:paraId="790B2279"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5</w:t>
            </w:r>
            <w:r>
              <w:rPr>
                <w:rFonts w:ascii="Arial" w:hAnsi="Arial" w:cs="Arial"/>
              </w:rPr>
              <w:t>·</w:t>
            </w:r>
            <w:r w:rsidRPr="004532E4">
              <w:rPr>
                <w:rFonts w:asciiTheme="minorHAnsi" w:hAnsiTheme="minorHAnsi" w:cstheme="minorHAnsi"/>
              </w:rPr>
              <w:t>76 (13.3)</w:t>
            </w:r>
          </w:p>
        </w:tc>
        <w:tc>
          <w:tcPr>
            <w:tcW w:w="1356" w:type="dxa"/>
          </w:tcPr>
          <w:p w14:paraId="3B367EDB"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NC</w:t>
            </w:r>
          </w:p>
        </w:tc>
        <w:tc>
          <w:tcPr>
            <w:tcW w:w="1356" w:type="dxa"/>
            <w:gridSpan w:val="2"/>
          </w:tcPr>
          <w:p w14:paraId="7EC711FF" w14:textId="35AEB5D1" w:rsidR="004B55DD" w:rsidRPr="004532E4" w:rsidRDefault="004B55DD" w:rsidP="005A7D7A">
            <w:pPr>
              <w:pStyle w:val="Default"/>
              <w:spacing w:line="480" w:lineRule="auto"/>
              <w:jc w:val="center"/>
              <w:rPr>
                <w:rFonts w:asciiTheme="minorHAnsi" w:hAnsiTheme="minorHAnsi" w:cstheme="minorHAnsi"/>
              </w:rPr>
            </w:pPr>
            <w:r w:rsidRPr="004532E4">
              <w:rPr>
                <w:rFonts w:asciiTheme="minorHAnsi" w:hAnsiTheme="minorHAnsi" w:cstheme="minorHAnsi"/>
                <w:sz w:val="20"/>
                <w:szCs w:val="20"/>
              </w:rPr>
              <w:t>25</w:t>
            </w:r>
            <w:r>
              <w:rPr>
                <w:rFonts w:ascii="Arial" w:hAnsi="Arial" w:cs="Arial"/>
              </w:rPr>
              <w:t>·</w:t>
            </w:r>
            <w:r w:rsidRPr="004532E4">
              <w:rPr>
                <w:rFonts w:asciiTheme="minorHAnsi" w:hAnsiTheme="minorHAnsi" w:cstheme="minorHAnsi"/>
                <w:sz w:val="20"/>
                <w:szCs w:val="20"/>
              </w:rPr>
              <w:t>8</w:t>
            </w:r>
            <w:r w:rsidRPr="004532E4">
              <w:rPr>
                <w:rFonts w:asciiTheme="minorHAnsi" w:hAnsiTheme="minorHAnsi" w:cstheme="minorHAnsi"/>
                <w:sz w:val="20"/>
                <w:szCs w:val="20"/>
                <w:vertAlign w:val="superscript"/>
              </w:rPr>
              <w:t xml:space="preserve"> </w:t>
            </w:r>
          </w:p>
        </w:tc>
        <w:tc>
          <w:tcPr>
            <w:tcW w:w="1356" w:type="dxa"/>
          </w:tcPr>
          <w:p w14:paraId="474EC4BB" w14:textId="755916AB" w:rsidR="004B55DD" w:rsidRPr="004532E4" w:rsidRDefault="004B55DD" w:rsidP="00235A9C">
            <w:pPr>
              <w:pStyle w:val="Default"/>
              <w:spacing w:line="480" w:lineRule="auto"/>
              <w:jc w:val="center"/>
              <w:rPr>
                <w:rFonts w:asciiTheme="minorHAnsi" w:hAnsiTheme="minorHAnsi" w:cstheme="minorHAnsi"/>
              </w:rPr>
            </w:pPr>
            <w:r w:rsidRPr="004532E4">
              <w:rPr>
                <w:rFonts w:asciiTheme="minorHAnsi" w:hAnsiTheme="minorHAnsi" w:cstheme="minorHAnsi"/>
                <w:sz w:val="20"/>
                <w:szCs w:val="20"/>
              </w:rPr>
              <w:t>9</w:t>
            </w:r>
            <w:r>
              <w:rPr>
                <w:rFonts w:ascii="Arial" w:hAnsi="Arial" w:cs="Arial"/>
              </w:rPr>
              <w:t>·</w:t>
            </w:r>
            <w:r w:rsidRPr="004532E4">
              <w:rPr>
                <w:rFonts w:asciiTheme="minorHAnsi" w:hAnsiTheme="minorHAnsi" w:cstheme="minorHAnsi"/>
                <w:sz w:val="20"/>
                <w:szCs w:val="20"/>
              </w:rPr>
              <w:t>14</w:t>
            </w:r>
            <w:r w:rsidRPr="004532E4">
              <w:rPr>
                <w:rFonts w:asciiTheme="minorHAnsi" w:hAnsiTheme="minorHAnsi" w:cstheme="minorHAnsi"/>
                <w:sz w:val="20"/>
                <w:szCs w:val="20"/>
                <w:vertAlign w:val="superscript"/>
              </w:rPr>
              <w:t>c</w:t>
            </w:r>
            <w:r w:rsidR="009371F3">
              <w:rPr>
                <w:rFonts w:asciiTheme="minorHAnsi" w:hAnsiTheme="minorHAnsi" w:cstheme="minorHAnsi"/>
                <w:sz w:val="20"/>
                <w:szCs w:val="20"/>
                <w:vertAlign w:val="superscript"/>
              </w:rPr>
              <w:t xml:space="preserve"> </w:t>
            </w:r>
            <w:r w:rsidRPr="00235A9C">
              <w:rPr>
                <w:rFonts w:asciiTheme="minorHAnsi" w:hAnsiTheme="minorHAnsi" w:cstheme="minorHAnsi"/>
                <w:sz w:val="20"/>
                <w:szCs w:val="20"/>
              </w:rPr>
              <w:t>(5·97 – 12·3)</w:t>
            </w:r>
            <w:r w:rsidR="005A7D7A" w:rsidRPr="00811C96">
              <w:rPr>
                <w:rFonts w:asciiTheme="minorHAnsi" w:hAnsiTheme="minorHAnsi" w:cstheme="minorHAnsi"/>
                <w:vertAlign w:val="superscript"/>
              </w:rPr>
              <w:t>d</w:t>
            </w:r>
          </w:p>
        </w:tc>
        <w:tc>
          <w:tcPr>
            <w:tcW w:w="1356" w:type="dxa"/>
            <w:gridSpan w:val="2"/>
          </w:tcPr>
          <w:p w14:paraId="33DE22D6"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8</w:t>
            </w:r>
            <w:r>
              <w:rPr>
                <w:rFonts w:ascii="Arial" w:hAnsi="Arial" w:cs="Arial"/>
              </w:rPr>
              <w:t>·</w:t>
            </w:r>
            <w:r w:rsidRPr="004532E4">
              <w:rPr>
                <w:rFonts w:asciiTheme="minorHAnsi" w:hAnsiTheme="minorHAnsi" w:cstheme="minorHAnsi"/>
              </w:rPr>
              <w:t>43 (58</w:t>
            </w:r>
            <w:r>
              <w:rPr>
                <w:rFonts w:ascii="Arial" w:hAnsi="Arial" w:cs="Arial"/>
              </w:rPr>
              <w:t>·</w:t>
            </w:r>
            <w:r w:rsidRPr="004532E4">
              <w:rPr>
                <w:rFonts w:asciiTheme="minorHAnsi" w:hAnsiTheme="minorHAnsi" w:cstheme="minorHAnsi"/>
              </w:rPr>
              <w:t>6)</w:t>
            </w:r>
          </w:p>
        </w:tc>
        <w:tc>
          <w:tcPr>
            <w:tcW w:w="1357" w:type="dxa"/>
            <w:tcBorders>
              <w:right w:val="single" w:sz="4" w:space="0" w:color="auto"/>
            </w:tcBorders>
          </w:tcPr>
          <w:p w14:paraId="6BEB2A9B"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7</w:t>
            </w:r>
            <w:r>
              <w:rPr>
                <w:rFonts w:ascii="Arial" w:hAnsi="Arial" w:cs="Arial"/>
              </w:rPr>
              <w:t>·</w:t>
            </w:r>
            <w:r w:rsidRPr="004532E4">
              <w:rPr>
                <w:rFonts w:asciiTheme="minorHAnsi" w:hAnsiTheme="minorHAnsi" w:cstheme="minorHAnsi"/>
              </w:rPr>
              <w:t>79 (13</w:t>
            </w:r>
            <w:r>
              <w:rPr>
                <w:rFonts w:ascii="Arial" w:hAnsi="Arial" w:cs="Arial"/>
              </w:rPr>
              <w:t>·</w:t>
            </w:r>
            <w:r w:rsidRPr="004532E4">
              <w:rPr>
                <w:rFonts w:asciiTheme="minorHAnsi" w:hAnsiTheme="minorHAnsi" w:cstheme="minorHAnsi"/>
              </w:rPr>
              <w:t>9)</w:t>
            </w:r>
          </w:p>
        </w:tc>
      </w:tr>
      <w:tr w:rsidR="004B55DD" w:rsidRPr="00FD048E" w14:paraId="1B1F6C80" w14:textId="77777777" w:rsidTr="007920C6">
        <w:tc>
          <w:tcPr>
            <w:tcW w:w="1356" w:type="dxa"/>
            <w:tcBorders>
              <w:left w:val="single" w:sz="4" w:space="0" w:color="auto"/>
            </w:tcBorders>
          </w:tcPr>
          <w:p w14:paraId="04134761" w14:textId="77777777" w:rsidR="004B55DD" w:rsidRPr="00FD048E" w:rsidRDefault="004B55DD" w:rsidP="00554F7B">
            <w:pPr>
              <w:spacing w:line="480" w:lineRule="auto"/>
            </w:pPr>
            <w:proofErr w:type="spellStart"/>
            <w:r w:rsidRPr="00FD048E">
              <w:t>Tmax</w:t>
            </w:r>
            <w:r w:rsidRPr="00FD048E">
              <w:rPr>
                <w:vertAlign w:val="superscript"/>
              </w:rPr>
              <w:t>a</w:t>
            </w:r>
            <w:proofErr w:type="spellEnd"/>
            <w:r w:rsidRPr="00FD048E">
              <w:t xml:space="preserve"> (h) </w:t>
            </w:r>
          </w:p>
        </w:tc>
        <w:tc>
          <w:tcPr>
            <w:tcW w:w="1356" w:type="dxa"/>
            <w:gridSpan w:val="2"/>
          </w:tcPr>
          <w:p w14:paraId="72A5F641" w14:textId="0DF9FC0D"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0</w:t>
            </w:r>
            <w:r>
              <w:rPr>
                <w:rFonts w:ascii="Arial" w:hAnsi="Arial" w:cs="Arial"/>
              </w:rPr>
              <w:t>·</w:t>
            </w:r>
            <w:r w:rsidRPr="004532E4">
              <w:rPr>
                <w:rFonts w:asciiTheme="minorHAnsi" w:hAnsiTheme="minorHAnsi" w:cstheme="minorHAnsi"/>
              </w:rPr>
              <w:t>500 (0</w:t>
            </w:r>
            <w:r>
              <w:rPr>
                <w:rFonts w:ascii="Arial" w:hAnsi="Arial" w:cs="Arial"/>
              </w:rPr>
              <w:t>·</w:t>
            </w:r>
            <w:r w:rsidRPr="004532E4">
              <w:rPr>
                <w:rFonts w:asciiTheme="minorHAnsi" w:hAnsiTheme="minorHAnsi" w:cstheme="minorHAnsi"/>
              </w:rPr>
              <w:t>500-0</w:t>
            </w:r>
            <w:r>
              <w:rPr>
                <w:rFonts w:ascii="Arial" w:hAnsi="Arial" w:cs="Arial"/>
              </w:rPr>
              <w:t>·</w:t>
            </w:r>
            <w:r w:rsidRPr="004532E4">
              <w:rPr>
                <w:rFonts w:asciiTheme="minorHAnsi" w:hAnsiTheme="minorHAnsi" w:cstheme="minorHAnsi"/>
              </w:rPr>
              <w:t>500)</w:t>
            </w:r>
          </w:p>
        </w:tc>
        <w:tc>
          <w:tcPr>
            <w:tcW w:w="1356" w:type="dxa"/>
          </w:tcPr>
          <w:p w14:paraId="63E50749"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NC</w:t>
            </w:r>
          </w:p>
        </w:tc>
        <w:tc>
          <w:tcPr>
            <w:tcW w:w="1356" w:type="dxa"/>
            <w:gridSpan w:val="2"/>
          </w:tcPr>
          <w:p w14:paraId="6455561B" w14:textId="4A4727C8"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00</w:t>
            </w:r>
            <w:r w:rsidRPr="00235A9C">
              <w:rPr>
                <w:rFonts w:asciiTheme="minorHAnsi" w:hAnsiTheme="minorHAnsi" w:cstheme="minorHAnsi"/>
                <w:vertAlign w:val="superscript"/>
              </w:rPr>
              <w:t>b</w:t>
            </w:r>
            <w:r w:rsidRPr="004532E4">
              <w:rPr>
                <w:rFonts w:asciiTheme="minorHAnsi" w:hAnsiTheme="minorHAnsi" w:cstheme="minorHAnsi"/>
              </w:rPr>
              <w:t xml:space="preserve"> (1</w:t>
            </w:r>
            <w:r>
              <w:rPr>
                <w:rFonts w:ascii="Arial" w:hAnsi="Arial" w:cs="Arial"/>
              </w:rPr>
              <w:t>·</w:t>
            </w:r>
            <w:r w:rsidRPr="004532E4">
              <w:rPr>
                <w:rFonts w:asciiTheme="minorHAnsi" w:hAnsiTheme="minorHAnsi" w:cstheme="minorHAnsi"/>
              </w:rPr>
              <w:t>00-1</w:t>
            </w:r>
            <w:r>
              <w:rPr>
                <w:rFonts w:ascii="Arial" w:hAnsi="Arial" w:cs="Arial"/>
              </w:rPr>
              <w:t>·</w:t>
            </w:r>
            <w:r w:rsidRPr="004532E4">
              <w:rPr>
                <w:rFonts w:asciiTheme="minorHAnsi" w:hAnsiTheme="minorHAnsi" w:cstheme="minorHAnsi"/>
              </w:rPr>
              <w:t>00)</w:t>
            </w:r>
          </w:p>
        </w:tc>
        <w:tc>
          <w:tcPr>
            <w:tcW w:w="1356" w:type="dxa"/>
          </w:tcPr>
          <w:p w14:paraId="38D53ACD" w14:textId="26CE122D"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0</w:t>
            </w:r>
            <w:r>
              <w:rPr>
                <w:rFonts w:ascii="Arial" w:hAnsi="Arial" w:cs="Arial"/>
              </w:rPr>
              <w:t>·</w:t>
            </w:r>
            <w:r w:rsidRPr="004532E4">
              <w:rPr>
                <w:rFonts w:asciiTheme="minorHAnsi" w:hAnsiTheme="minorHAnsi" w:cstheme="minorHAnsi"/>
              </w:rPr>
              <w:t>500</w:t>
            </w:r>
            <w:r w:rsidRPr="004532E4">
              <w:rPr>
                <w:rFonts w:asciiTheme="minorHAnsi" w:hAnsiTheme="minorHAnsi" w:cstheme="minorHAnsi"/>
                <w:vertAlign w:val="superscript"/>
              </w:rPr>
              <w:t>c</w:t>
            </w:r>
            <w:r w:rsidRPr="004532E4">
              <w:rPr>
                <w:rFonts w:asciiTheme="minorHAnsi" w:hAnsiTheme="minorHAnsi" w:cstheme="minorHAnsi"/>
              </w:rPr>
              <w:t xml:space="preserve"> (0</w:t>
            </w:r>
            <w:r>
              <w:rPr>
                <w:rFonts w:ascii="Arial" w:hAnsi="Arial" w:cs="Arial"/>
              </w:rPr>
              <w:t>·</w:t>
            </w:r>
            <w:r w:rsidRPr="004532E4">
              <w:rPr>
                <w:rFonts w:asciiTheme="minorHAnsi" w:hAnsiTheme="minorHAnsi" w:cstheme="minorHAnsi"/>
              </w:rPr>
              <w:t>500-0</w:t>
            </w:r>
            <w:r>
              <w:rPr>
                <w:rFonts w:ascii="Arial" w:hAnsi="Arial" w:cs="Arial"/>
              </w:rPr>
              <w:t>·</w:t>
            </w:r>
            <w:r w:rsidRPr="004532E4">
              <w:rPr>
                <w:rFonts w:asciiTheme="minorHAnsi" w:hAnsiTheme="minorHAnsi" w:cstheme="minorHAnsi"/>
              </w:rPr>
              <w:t>500)</w:t>
            </w:r>
          </w:p>
        </w:tc>
        <w:tc>
          <w:tcPr>
            <w:tcW w:w="1356" w:type="dxa"/>
            <w:gridSpan w:val="2"/>
          </w:tcPr>
          <w:p w14:paraId="673DA103" w14:textId="4A9C1F1D"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0</w:t>
            </w:r>
            <w:r>
              <w:rPr>
                <w:rFonts w:ascii="Arial" w:hAnsi="Arial" w:cs="Arial"/>
              </w:rPr>
              <w:t>·</w:t>
            </w:r>
            <w:r w:rsidRPr="004532E4">
              <w:rPr>
                <w:rFonts w:asciiTheme="minorHAnsi" w:hAnsiTheme="minorHAnsi" w:cstheme="minorHAnsi"/>
              </w:rPr>
              <w:t>750 (0</w:t>
            </w:r>
            <w:r>
              <w:rPr>
                <w:rFonts w:ascii="Arial" w:hAnsi="Arial" w:cs="Arial"/>
              </w:rPr>
              <w:t>·</w:t>
            </w:r>
            <w:r w:rsidRPr="004532E4">
              <w:rPr>
                <w:rFonts w:asciiTheme="minorHAnsi" w:hAnsiTheme="minorHAnsi" w:cstheme="minorHAnsi"/>
              </w:rPr>
              <w:t>500-1</w:t>
            </w:r>
            <w:r>
              <w:rPr>
                <w:rFonts w:ascii="Arial" w:hAnsi="Arial" w:cs="Arial"/>
              </w:rPr>
              <w:t>·</w:t>
            </w:r>
            <w:r w:rsidRPr="004532E4">
              <w:rPr>
                <w:rFonts w:asciiTheme="minorHAnsi" w:hAnsiTheme="minorHAnsi" w:cstheme="minorHAnsi"/>
              </w:rPr>
              <w:t>00)</w:t>
            </w:r>
          </w:p>
        </w:tc>
        <w:tc>
          <w:tcPr>
            <w:tcW w:w="1357" w:type="dxa"/>
            <w:tcBorders>
              <w:right w:val="single" w:sz="4" w:space="0" w:color="auto"/>
            </w:tcBorders>
          </w:tcPr>
          <w:p w14:paraId="4256E86D" w14:textId="2C468E3A"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00 (1</w:t>
            </w:r>
            <w:r>
              <w:rPr>
                <w:rFonts w:ascii="Arial" w:hAnsi="Arial" w:cs="Arial"/>
              </w:rPr>
              <w:t>·</w:t>
            </w:r>
            <w:r w:rsidRPr="004532E4">
              <w:rPr>
                <w:rFonts w:asciiTheme="minorHAnsi" w:hAnsiTheme="minorHAnsi" w:cstheme="minorHAnsi"/>
              </w:rPr>
              <w:t>00-1</w:t>
            </w:r>
            <w:r>
              <w:rPr>
                <w:rFonts w:ascii="Arial" w:hAnsi="Arial" w:cs="Arial"/>
              </w:rPr>
              <w:t>·</w:t>
            </w:r>
            <w:r w:rsidRPr="004532E4">
              <w:rPr>
                <w:rFonts w:asciiTheme="minorHAnsi" w:hAnsiTheme="minorHAnsi" w:cstheme="minorHAnsi"/>
              </w:rPr>
              <w:t>00)</w:t>
            </w:r>
          </w:p>
        </w:tc>
      </w:tr>
      <w:tr w:rsidR="004B55DD" w:rsidRPr="00FD048E" w14:paraId="451E9FC6" w14:textId="77777777" w:rsidTr="007920C6">
        <w:tc>
          <w:tcPr>
            <w:tcW w:w="9493" w:type="dxa"/>
            <w:gridSpan w:val="10"/>
            <w:tcBorders>
              <w:top w:val="single" w:sz="4" w:space="0" w:color="auto"/>
              <w:left w:val="single" w:sz="4" w:space="0" w:color="auto"/>
              <w:bottom w:val="single" w:sz="4" w:space="0" w:color="auto"/>
              <w:right w:val="single" w:sz="4" w:space="0" w:color="auto"/>
            </w:tcBorders>
            <w:shd w:val="clear" w:color="auto" w:fill="auto"/>
          </w:tcPr>
          <w:p w14:paraId="1F92283E" w14:textId="77777777" w:rsidR="004B55DD" w:rsidRPr="004532E4" w:rsidRDefault="004B55DD" w:rsidP="00554F7B">
            <w:pPr>
              <w:spacing w:line="480" w:lineRule="auto"/>
              <w:rPr>
                <w:rFonts w:asciiTheme="minorHAnsi" w:hAnsiTheme="minorHAnsi" w:cstheme="minorHAnsi"/>
              </w:rPr>
            </w:pPr>
            <w:r w:rsidRPr="004532E4">
              <w:rPr>
                <w:rFonts w:asciiTheme="minorHAnsi" w:hAnsiTheme="minorHAnsi" w:cstheme="minorHAnsi"/>
              </w:rPr>
              <w:t>NHC (EIDD1931)</w:t>
            </w:r>
          </w:p>
        </w:tc>
      </w:tr>
      <w:tr w:rsidR="004B55DD" w:rsidRPr="00FD048E" w14:paraId="5EFDFC4D" w14:textId="77777777" w:rsidTr="007920C6">
        <w:tc>
          <w:tcPr>
            <w:tcW w:w="1356" w:type="dxa"/>
            <w:tcBorders>
              <w:left w:val="single" w:sz="4" w:space="0" w:color="auto"/>
            </w:tcBorders>
          </w:tcPr>
          <w:p w14:paraId="42E4532F" w14:textId="77777777" w:rsidR="004B55DD" w:rsidRPr="00FD048E" w:rsidRDefault="004B55DD" w:rsidP="00554F7B">
            <w:pPr>
              <w:spacing w:line="480" w:lineRule="auto"/>
            </w:pPr>
            <w:r w:rsidRPr="00FD048E">
              <w:t xml:space="preserve">AUC </w:t>
            </w:r>
            <w:r w:rsidRPr="00FD048E">
              <w:rPr>
                <w:vertAlign w:val="subscript"/>
              </w:rPr>
              <w:t xml:space="preserve">0-4 </w:t>
            </w:r>
            <w:r w:rsidRPr="00FD048E">
              <w:t>(</w:t>
            </w:r>
            <w:proofErr w:type="spellStart"/>
            <w:r w:rsidRPr="00FD048E">
              <w:t>ng.h</w:t>
            </w:r>
            <w:proofErr w:type="spellEnd"/>
            <w:r w:rsidRPr="00FD048E">
              <w:t xml:space="preserve">/mL) </w:t>
            </w:r>
          </w:p>
        </w:tc>
        <w:tc>
          <w:tcPr>
            <w:tcW w:w="1356" w:type="dxa"/>
            <w:gridSpan w:val="2"/>
          </w:tcPr>
          <w:p w14:paraId="4C580D43"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3210 (40</w:t>
            </w:r>
            <w:r>
              <w:rPr>
                <w:rFonts w:ascii="Arial" w:hAnsi="Arial" w:cs="Arial"/>
              </w:rPr>
              <w:t>·</w:t>
            </w:r>
            <w:r w:rsidRPr="004532E4">
              <w:rPr>
                <w:rFonts w:asciiTheme="minorHAnsi" w:hAnsiTheme="minorHAnsi" w:cstheme="minorHAnsi"/>
              </w:rPr>
              <w:t>5)</w:t>
            </w:r>
          </w:p>
        </w:tc>
        <w:tc>
          <w:tcPr>
            <w:tcW w:w="1356" w:type="dxa"/>
          </w:tcPr>
          <w:p w14:paraId="69019F59"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3470 (42</w:t>
            </w:r>
            <w:r>
              <w:rPr>
                <w:rFonts w:ascii="Arial" w:hAnsi="Arial" w:cs="Arial"/>
              </w:rPr>
              <w:t>·</w:t>
            </w:r>
            <w:r w:rsidRPr="004532E4">
              <w:rPr>
                <w:rFonts w:asciiTheme="minorHAnsi" w:hAnsiTheme="minorHAnsi" w:cstheme="minorHAnsi"/>
              </w:rPr>
              <w:t>4)</w:t>
            </w:r>
          </w:p>
        </w:tc>
        <w:tc>
          <w:tcPr>
            <w:tcW w:w="1356" w:type="dxa"/>
            <w:gridSpan w:val="2"/>
          </w:tcPr>
          <w:p w14:paraId="7E4B1BA1" w14:textId="77777777" w:rsidR="004B55DD" w:rsidRPr="004532E4" w:rsidRDefault="004B55DD" w:rsidP="00554F7B">
            <w:pPr>
              <w:pStyle w:val="Default"/>
              <w:spacing w:line="480" w:lineRule="auto"/>
              <w:jc w:val="center"/>
              <w:rPr>
                <w:rFonts w:asciiTheme="minorHAnsi" w:hAnsiTheme="minorHAnsi" w:cstheme="minorHAnsi"/>
                <w:sz w:val="20"/>
                <w:szCs w:val="20"/>
              </w:rPr>
            </w:pPr>
            <w:r w:rsidRPr="004532E4">
              <w:rPr>
                <w:rFonts w:asciiTheme="minorHAnsi" w:hAnsiTheme="minorHAnsi" w:cstheme="minorHAnsi"/>
                <w:sz w:val="20"/>
                <w:szCs w:val="20"/>
              </w:rPr>
              <w:t>4610</w:t>
            </w:r>
          </w:p>
          <w:p w14:paraId="226FEAD3"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(33</w:t>
            </w:r>
            <w:r>
              <w:rPr>
                <w:rFonts w:ascii="Arial" w:hAnsi="Arial" w:cs="Arial"/>
              </w:rPr>
              <w:t>·</w:t>
            </w:r>
            <w:r w:rsidRPr="004532E4">
              <w:rPr>
                <w:rFonts w:asciiTheme="minorHAnsi" w:hAnsiTheme="minorHAnsi" w:cstheme="minorHAnsi"/>
              </w:rPr>
              <w:t>7)</w:t>
            </w:r>
          </w:p>
        </w:tc>
        <w:tc>
          <w:tcPr>
            <w:tcW w:w="1356" w:type="dxa"/>
          </w:tcPr>
          <w:p w14:paraId="3A905388" w14:textId="77777777" w:rsidR="004B55DD" w:rsidRPr="004532E4" w:rsidRDefault="004B55DD" w:rsidP="00554F7B">
            <w:pPr>
              <w:pStyle w:val="Default"/>
              <w:spacing w:line="480" w:lineRule="auto"/>
              <w:jc w:val="center"/>
              <w:rPr>
                <w:rFonts w:asciiTheme="minorHAnsi" w:hAnsiTheme="minorHAnsi" w:cstheme="minorHAnsi"/>
                <w:sz w:val="20"/>
                <w:szCs w:val="20"/>
              </w:rPr>
            </w:pPr>
            <w:bookmarkStart w:id="9" w:name="_Hlk62412830"/>
            <w:r w:rsidRPr="004532E4">
              <w:rPr>
                <w:rFonts w:asciiTheme="minorHAnsi" w:hAnsiTheme="minorHAnsi" w:cstheme="minorHAnsi"/>
                <w:sz w:val="20"/>
                <w:szCs w:val="20"/>
              </w:rPr>
              <w:t>3880</w:t>
            </w:r>
          </w:p>
          <w:p w14:paraId="4DE148B2"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(56</w:t>
            </w:r>
            <w:r>
              <w:rPr>
                <w:rFonts w:ascii="Arial" w:hAnsi="Arial" w:cs="Arial"/>
              </w:rPr>
              <w:t>·</w:t>
            </w:r>
            <w:r w:rsidRPr="004532E4">
              <w:rPr>
                <w:rFonts w:asciiTheme="minorHAnsi" w:hAnsiTheme="minorHAnsi" w:cstheme="minorHAnsi"/>
              </w:rPr>
              <w:t>3)</w:t>
            </w:r>
            <w:bookmarkEnd w:id="9"/>
          </w:p>
        </w:tc>
        <w:tc>
          <w:tcPr>
            <w:tcW w:w="1356" w:type="dxa"/>
            <w:gridSpan w:val="2"/>
          </w:tcPr>
          <w:p w14:paraId="56AEA8A8"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 xml:space="preserve">9240 </w:t>
            </w:r>
          </w:p>
          <w:p w14:paraId="058926A0"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(41</w:t>
            </w:r>
            <w:r>
              <w:rPr>
                <w:rFonts w:ascii="Arial" w:hAnsi="Arial" w:cs="Arial"/>
              </w:rPr>
              <w:t>·</w:t>
            </w:r>
            <w:r w:rsidRPr="004532E4">
              <w:rPr>
                <w:rFonts w:asciiTheme="minorHAnsi" w:hAnsiTheme="minorHAnsi" w:cstheme="minorHAnsi"/>
              </w:rPr>
              <w:t>0)</w:t>
            </w:r>
          </w:p>
        </w:tc>
        <w:tc>
          <w:tcPr>
            <w:tcW w:w="1357" w:type="dxa"/>
            <w:tcBorders>
              <w:right w:val="single" w:sz="4" w:space="0" w:color="auto"/>
            </w:tcBorders>
          </w:tcPr>
          <w:p w14:paraId="799B89AF"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7880 (39</w:t>
            </w:r>
            <w:r>
              <w:rPr>
                <w:rFonts w:ascii="Arial" w:hAnsi="Arial" w:cs="Arial"/>
              </w:rPr>
              <w:t>·</w:t>
            </w:r>
            <w:r w:rsidRPr="004532E4">
              <w:rPr>
                <w:rFonts w:asciiTheme="minorHAnsi" w:hAnsiTheme="minorHAnsi" w:cstheme="minorHAnsi"/>
              </w:rPr>
              <w:t>0)</w:t>
            </w:r>
          </w:p>
        </w:tc>
      </w:tr>
      <w:tr w:rsidR="004B55DD" w:rsidRPr="00FD048E" w14:paraId="4960D4F7" w14:textId="77777777" w:rsidTr="007920C6">
        <w:tc>
          <w:tcPr>
            <w:tcW w:w="1356" w:type="dxa"/>
            <w:tcBorders>
              <w:left w:val="single" w:sz="4" w:space="0" w:color="auto"/>
            </w:tcBorders>
          </w:tcPr>
          <w:p w14:paraId="50C50E62" w14:textId="77777777" w:rsidR="004B55DD" w:rsidRPr="00FD048E" w:rsidRDefault="004B55DD" w:rsidP="00554F7B">
            <w:pPr>
              <w:spacing w:line="480" w:lineRule="auto"/>
            </w:pPr>
            <w:proofErr w:type="spellStart"/>
            <w:r w:rsidRPr="00FD048E">
              <w:t>Cmax</w:t>
            </w:r>
            <w:proofErr w:type="spellEnd"/>
            <w:r w:rsidRPr="00FD048E">
              <w:t xml:space="preserve"> (ng/mL) </w:t>
            </w:r>
          </w:p>
        </w:tc>
        <w:tc>
          <w:tcPr>
            <w:tcW w:w="1356" w:type="dxa"/>
            <w:gridSpan w:val="2"/>
          </w:tcPr>
          <w:p w14:paraId="32C59B78"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1490 (29</w:t>
            </w:r>
            <w:r>
              <w:rPr>
                <w:rFonts w:ascii="Arial" w:hAnsi="Arial" w:cs="Arial"/>
              </w:rPr>
              <w:t>·</w:t>
            </w:r>
            <w:r w:rsidRPr="004532E4">
              <w:rPr>
                <w:rFonts w:asciiTheme="minorHAnsi" w:hAnsiTheme="minorHAnsi" w:cstheme="minorHAnsi"/>
              </w:rPr>
              <w:t>4)</w:t>
            </w:r>
          </w:p>
        </w:tc>
        <w:tc>
          <w:tcPr>
            <w:tcW w:w="1356" w:type="dxa"/>
          </w:tcPr>
          <w:p w14:paraId="61EA2A93"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1620 (51</w:t>
            </w:r>
            <w:r>
              <w:rPr>
                <w:rFonts w:ascii="Arial" w:hAnsi="Arial" w:cs="Arial"/>
              </w:rPr>
              <w:t>·</w:t>
            </w:r>
            <w:r w:rsidRPr="004532E4">
              <w:rPr>
                <w:rFonts w:asciiTheme="minorHAnsi" w:hAnsiTheme="minorHAnsi" w:cstheme="minorHAnsi"/>
              </w:rPr>
              <w:t>0)</w:t>
            </w:r>
          </w:p>
        </w:tc>
        <w:tc>
          <w:tcPr>
            <w:tcW w:w="1356" w:type="dxa"/>
            <w:gridSpan w:val="2"/>
          </w:tcPr>
          <w:p w14:paraId="6F703D64" w14:textId="77777777" w:rsidR="004B55DD" w:rsidRPr="004532E4" w:rsidRDefault="004B55DD" w:rsidP="00554F7B">
            <w:pPr>
              <w:pStyle w:val="Default"/>
              <w:spacing w:line="480" w:lineRule="auto"/>
              <w:jc w:val="center"/>
              <w:rPr>
                <w:rFonts w:asciiTheme="minorHAnsi" w:hAnsiTheme="minorHAnsi" w:cstheme="minorHAnsi"/>
                <w:sz w:val="20"/>
                <w:szCs w:val="20"/>
              </w:rPr>
            </w:pPr>
            <w:r w:rsidRPr="004532E4">
              <w:rPr>
                <w:rFonts w:asciiTheme="minorHAnsi" w:hAnsiTheme="minorHAnsi" w:cstheme="minorHAnsi"/>
                <w:sz w:val="20"/>
                <w:szCs w:val="20"/>
              </w:rPr>
              <w:t>2230</w:t>
            </w:r>
          </w:p>
          <w:p w14:paraId="3FF00610"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(38</w:t>
            </w:r>
            <w:r>
              <w:rPr>
                <w:rFonts w:ascii="Arial" w:hAnsi="Arial" w:cs="Arial"/>
              </w:rPr>
              <w:t>·</w:t>
            </w:r>
            <w:r w:rsidRPr="004532E4">
              <w:rPr>
                <w:rFonts w:asciiTheme="minorHAnsi" w:hAnsiTheme="minorHAnsi" w:cstheme="minorHAnsi"/>
              </w:rPr>
              <w:t>2)</w:t>
            </w:r>
          </w:p>
        </w:tc>
        <w:tc>
          <w:tcPr>
            <w:tcW w:w="1356" w:type="dxa"/>
          </w:tcPr>
          <w:p w14:paraId="76255A78" w14:textId="77777777" w:rsidR="004B55DD" w:rsidRPr="004532E4" w:rsidRDefault="004B55DD" w:rsidP="00554F7B">
            <w:pPr>
              <w:pStyle w:val="Default"/>
              <w:spacing w:line="480" w:lineRule="auto"/>
              <w:jc w:val="center"/>
              <w:rPr>
                <w:rFonts w:asciiTheme="minorHAnsi" w:hAnsiTheme="minorHAnsi" w:cstheme="minorHAnsi"/>
                <w:sz w:val="20"/>
                <w:szCs w:val="20"/>
              </w:rPr>
            </w:pPr>
            <w:bookmarkStart w:id="10" w:name="_Hlk62412994"/>
            <w:r w:rsidRPr="004532E4">
              <w:rPr>
                <w:rFonts w:asciiTheme="minorHAnsi" w:hAnsiTheme="minorHAnsi" w:cstheme="minorHAnsi"/>
                <w:sz w:val="20"/>
                <w:szCs w:val="20"/>
              </w:rPr>
              <w:t>1820</w:t>
            </w:r>
          </w:p>
          <w:p w14:paraId="120C9273"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(84</w:t>
            </w:r>
            <w:r>
              <w:rPr>
                <w:rFonts w:ascii="Arial" w:hAnsi="Arial" w:cs="Arial"/>
              </w:rPr>
              <w:t>·</w:t>
            </w:r>
            <w:r w:rsidRPr="004532E4">
              <w:rPr>
                <w:rFonts w:asciiTheme="minorHAnsi" w:hAnsiTheme="minorHAnsi" w:cstheme="minorHAnsi"/>
              </w:rPr>
              <w:t>6)</w:t>
            </w:r>
            <w:bookmarkEnd w:id="10"/>
          </w:p>
        </w:tc>
        <w:tc>
          <w:tcPr>
            <w:tcW w:w="1356" w:type="dxa"/>
            <w:gridSpan w:val="2"/>
          </w:tcPr>
          <w:p w14:paraId="075B0C24"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 xml:space="preserve">4440 </w:t>
            </w:r>
          </w:p>
          <w:p w14:paraId="4AED63B2"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(45</w:t>
            </w:r>
            <w:r>
              <w:rPr>
                <w:rFonts w:ascii="Arial" w:hAnsi="Arial" w:cs="Arial"/>
              </w:rPr>
              <w:t>·</w:t>
            </w:r>
            <w:r w:rsidRPr="004532E4">
              <w:rPr>
                <w:rFonts w:asciiTheme="minorHAnsi" w:hAnsiTheme="minorHAnsi" w:cstheme="minorHAnsi"/>
              </w:rPr>
              <w:t>2)</w:t>
            </w:r>
          </w:p>
        </w:tc>
        <w:tc>
          <w:tcPr>
            <w:tcW w:w="1357" w:type="dxa"/>
            <w:tcBorders>
              <w:right w:val="single" w:sz="4" w:space="0" w:color="auto"/>
            </w:tcBorders>
          </w:tcPr>
          <w:p w14:paraId="10167A5C"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4180 (28</w:t>
            </w:r>
            <w:r>
              <w:rPr>
                <w:rFonts w:ascii="Arial" w:hAnsi="Arial" w:cs="Arial"/>
              </w:rPr>
              <w:t>·</w:t>
            </w:r>
            <w:r w:rsidRPr="004532E4">
              <w:rPr>
                <w:rFonts w:asciiTheme="minorHAnsi" w:hAnsiTheme="minorHAnsi" w:cstheme="minorHAnsi"/>
              </w:rPr>
              <w:t>1)</w:t>
            </w:r>
          </w:p>
        </w:tc>
      </w:tr>
      <w:tr w:rsidR="004B55DD" w:rsidRPr="00FD048E" w14:paraId="396AC984" w14:textId="77777777" w:rsidTr="007920C6">
        <w:tc>
          <w:tcPr>
            <w:tcW w:w="1356" w:type="dxa"/>
            <w:tcBorders>
              <w:left w:val="single" w:sz="4" w:space="0" w:color="auto"/>
              <w:bottom w:val="single" w:sz="4" w:space="0" w:color="auto"/>
            </w:tcBorders>
          </w:tcPr>
          <w:p w14:paraId="22D6F4C1" w14:textId="77777777" w:rsidR="004B55DD" w:rsidRPr="00FD048E" w:rsidRDefault="004B55DD" w:rsidP="00554F7B">
            <w:pPr>
              <w:spacing w:line="480" w:lineRule="auto"/>
            </w:pPr>
            <w:proofErr w:type="spellStart"/>
            <w:r w:rsidRPr="00FD048E">
              <w:t>Tmax</w:t>
            </w:r>
            <w:r w:rsidRPr="00FD048E">
              <w:rPr>
                <w:vertAlign w:val="superscript"/>
              </w:rPr>
              <w:t>a</w:t>
            </w:r>
            <w:proofErr w:type="spellEnd"/>
            <w:r w:rsidRPr="00FD048E">
              <w:t xml:space="preserve"> (h) </w:t>
            </w:r>
          </w:p>
        </w:tc>
        <w:tc>
          <w:tcPr>
            <w:tcW w:w="1356" w:type="dxa"/>
            <w:gridSpan w:val="2"/>
            <w:tcBorders>
              <w:bottom w:val="single" w:sz="4" w:space="0" w:color="auto"/>
            </w:tcBorders>
          </w:tcPr>
          <w:p w14:paraId="2B784E9B"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 xml:space="preserve">50 </w:t>
            </w:r>
          </w:p>
          <w:p w14:paraId="416C5684" w14:textId="29CB09D5"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00-2</w:t>
            </w:r>
            <w:r>
              <w:rPr>
                <w:rFonts w:ascii="Arial" w:hAnsi="Arial" w:cs="Arial"/>
              </w:rPr>
              <w:t>·</w:t>
            </w:r>
            <w:r w:rsidRPr="004532E4">
              <w:rPr>
                <w:rFonts w:asciiTheme="minorHAnsi" w:hAnsiTheme="minorHAnsi" w:cstheme="minorHAnsi"/>
              </w:rPr>
              <w:t>00)</w:t>
            </w:r>
          </w:p>
        </w:tc>
        <w:tc>
          <w:tcPr>
            <w:tcW w:w="1356" w:type="dxa"/>
            <w:tcBorders>
              <w:bottom w:val="single" w:sz="4" w:space="0" w:color="auto"/>
            </w:tcBorders>
          </w:tcPr>
          <w:p w14:paraId="743FE75B"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 xml:space="preserve">00 </w:t>
            </w:r>
          </w:p>
          <w:p w14:paraId="529B935B" w14:textId="6D1569C5"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00-2</w:t>
            </w:r>
            <w:r>
              <w:rPr>
                <w:rFonts w:ascii="Arial" w:hAnsi="Arial" w:cs="Arial"/>
              </w:rPr>
              <w:t>·</w:t>
            </w:r>
            <w:r w:rsidRPr="004532E4">
              <w:rPr>
                <w:rFonts w:asciiTheme="minorHAnsi" w:hAnsiTheme="minorHAnsi" w:cstheme="minorHAnsi"/>
              </w:rPr>
              <w:t>00)</w:t>
            </w:r>
          </w:p>
        </w:tc>
        <w:tc>
          <w:tcPr>
            <w:tcW w:w="1356" w:type="dxa"/>
            <w:gridSpan w:val="2"/>
            <w:tcBorders>
              <w:bottom w:val="single" w:sz="4" w:space="0" w:color="auto"/>
            </w:tcBorders>
          </w:tcPr>
          <w:p w14:paraId="3570E94B"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 xml:space="preserve">50 </w:t>
            </w:r>
          </w:p>
          <w:p w14:paraId="47B2B6EA" w14:textId="7EC8AFA0"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00-2</w:t>
            </w:r>
            <w:r>
              <w:rPr>
                <w:rFonts w:ascii="Arial" w:hAnsi="Arial" w:cs="Arial"/>
              </w:rPr>
              <w:t>·</w:t>
            </w:r>
            <w:r w:rsidRPr="004532E4">
              <w:rPr>
                <w:rFonts w:asciiTheme="minorHAnsi" w:hAnsiTheme="minorHAnsi" w:cstheme="minorHAnsi"/>
              </w:rPr>
              <w:t>00)</w:t>
            </w:r>
          </w:p>
        </w:tc>
        <w:tc>
          <w:tcPr>
            <w:tcW w:w="1356" w:type="dxa"/>
            <w:tcBorders>
              <w:bottom w:val="single" w:sz="4" w:space="0" w:color="auto"/>
            </w:tcBorders>
          </w:tcPr>
          <w:p w14:paraId="2E201297"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 xml:space="preserve">00 </w:t>
            </w:r>
          </w:p>
          <w:p w14:paraId="1F75EDB2" w14:textId="02405C20"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00-2</w:t>
            </w:r>
            <w:r>
              <w:rPr>
                <w:rFonts w:ascii="Arial" w:hAnsi="Arial" w:cs="Arial"/>
              </w:rPr>
              <w:t>·</w:t>
            </w:r>
            <w:r w:rsidRPr="004532E4">
              <w:rPr>
                <w:rFonts w:asciiTheme="minorHAnsi" w:hAnsiTheme="minorHAnsi" w:cstheme="minorHAnsi"/>
              </w:rPr>
              <w:t>00)</w:t>
            </w:r>
          </w:p>
        </w:tc>
        <w:tc>
          <w:tcPr>
            <w:tcW w:w="1356" w:type="dxa"/>
            <w:gridSpan w:val="2"/>
            <w:tcBorders>
              <w:bottom w:val="single" w:sz="4" w:space="0" w:color="auto"/>
            </w:tcBorders>
          </w:tcPr>
          <w:p w14:paraId="0A2C7A0B"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2</w:t>
            </w:r>
            <w:r>
              <w:rPr>
                <w:rFonts w:ascii="Arial" w:hAnsi="Arial" w:cs="Arial"/>
              </w:rPr>
              <w:t>·</w:t>
            </w:r>
            <w:r w:rsidRPr="004532E4">
              <w:rPr>
                <w:rFonts w:asciiTheme="minorHAnsi" w:hAnsiTheme="minorHAnsi" w:cstheme="minorHAnsi"/>
              </w:rPr>
              <w:t xml:space="preserve">00 </w:t>
            </w:r>
          </w:p>
          <w:p w14:paraId="6752AA32" w14:textId="2DADD87E"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00–2</w:t>
            </w:r>
            <w:r>
              <w:rPr>
                <w:rFonts w:ascii="Arial" w:hAnsi="Arial" w:cs="Arial"/>
              </w:rPr>
              <w:t>·</w:t>
            </w:r>
            <w:r w:rsidRPr="004532E4">
              <w:rPr>
                <w:rFonts w:asciiTheme="minorHAnsi" w:hAnsiTheme="minorHAnsi" w:cstheme="minorHAnsi"/>
              </w:rPr>
              <w:t>00)</w:t>
            </w:r>
          </w:p>
        </w:tc>
        <w:tc>
          <w:tcPr>
            <w:tcW w:w="1357" w:type="dxa"/>
            <w:tcBorders>
              <w:bottom w:val="single" w:sz="4" w:space="0" w:color="auto"/>
              <w:right w:val="single" w:sz="4" w:space="0" w:color="auto"/>
            </w:tcBorders>
          </w:tcPr>
          <w:p w14:paraId="695834D3" w14:textId="77777777"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2</w:t>
            </w:r>
            <w:r>
              <w:rPr>
                <w:rFonts w:ascii="Arial" w:hAnsi="Arial" w:cs="Arial"/>
              </w:rPr>
              <w:t>·</w:t>
            </w:r>
            <w:r w:rsidRPr="004532E4">
              <w:rPr>
                <w:rFonts w:asciiTheme="minorHAnsi" w:hAnsiTheme="minorHAnsi" w:cstheme="minorHAnsi"/>
              </w:rPr>
              <w:t xml:space="preserve">00 </w:t>
            </w:r>
          </w:p>
          <w:p w14:paraId="77EF7BBC" w14:textId="601E7541" w:rsidR="004B55DD" w:rsidRPr="004532E4" w:rsidRDefault="004B55DD" w:rsidP="00554F7B">
            <w:pPr>
              <w:spacing w:line="480" w:lineRule="auto"/>
              <w:jc w:val="center"/>
              <w:rPr>
                <w:rFonts w:asciiTheme="minorHAnsi" w:hAnsiTheme="minorHAnsi" w:cstheme="minorHAnsi"/>
              </w:rPr>
            </w:pPr>
            <w:r w:rsidRPr="004532E4">
              <w:rPr>
                <w:rFonts w:asciiTheme="minorHAnsi" w:hAnsiTheme="minorHAnsi" w:cstheme="minorHAnsi"/>
              </w:rPr>
              <w:t>(1</w:t>
            </w:r>
            <w:r>
              <w:rPr>
                <w:rFonts w:ascii="Arial" w:hAnsi="Arial" w:cs="Arial"/>
              </w:rPr>
              <w:t>·</w:t>
            </w:r>
            <w:r w:rsidRPr="004532E4">
              <w:rPr>
                <w:rFonts w:asciiTheme="minorHAnsi" w:hAnsiTheme="minorHAnsi" w:cstheme="minorHAnsi"/>
              </w:rPr>
              <w:t>00-2</w:t>
            </w:r>
            <w:r>
              <w:rPr>
                <w:rFonts w:ascii="Arial" w:hAnsi="Arial" w:cs="Arial"/>
              </w:rPr>
              <w:t>·</w:t>
            </w:r>
            <w:r w:rsidRPr="004532E4">
              <w:rPr>
                <w:rFonts w:asciiTheme="minorHAnsi" w:hAnsiTheme="minorHAnsi" w:cstheme="minorHAnsi"/>
              </w:rPr>
              <w:t>00)</w:t>
            </w:r>
          </w:p>
        </w:tc>
      </w:tr>
    </w:tbl>
    <w:p w14:paraId="50C1AE49" w14:textId="77777777" w:rsidR="004B55DD" w:rsidRPr="00FD048E" w:rsidRDefault="004B55DD" w:rsidP="004B55DD">
      <w:pPr>
        <w:spacing w:line="480" w:lineRule="auto"/>
      </w:pPr>
    </w:p>
    <w:p w14:paraId="3147FE7D" w14:textId="77777777" w:rsidR="004B55DD" w:rsidRPr="004532E4" w:rsidRDefault="004B55DD" w:rsidP="004B55DD">
      <w:pPr>
        <w:pStyle w:val="Default"/>
        <w:spacing w:line="480" w:lineRule="auto"/>
        <w:rPr>
          <w:rFonts w:asciiTheme="minorHAnsi" w:hAnsiTheme="minorHAnsi" w:cstheme="minorHAnsi"/>
          <w:sz w:val="20"/>
          <w:szCs w:val="20"/>
        </w:rPr>
      </w:pPr>
      <w:r w:rsidRPr="004532E4">
        <w:rPr>
          <w:rFonts w:asciiTheme="minorHAnsi" w:hAnsiTheme="minorHAnsi" w:cstheme="minorHAnsi"/>
          <w:sz w:val="20"/>
          <w:szCs w:val="20"/>
        </w:rPr>
        <w:t>NA = Not applicable, NC = Not calculable,</w:t>
      </w:r>
    </w:p>
    <w:p w14:paraId="31FABE54" w14:textId="77777777" w:rsidR="004B55DD" w:rsidRPr="004532E4" w:rsidRDefault="004B55DD" w:rsidP="004B55DD">
      <w:pPr>
        <w:pStyle w:val="Default"/>
        <w:spacing w:line="480" w:lineRule="auto"/>
        <w:rPr>
          <w:rFonts w:asciiTheme="minorHAnsi" w:hAnsiTheme="minorHAnsi" w:cstheme="minorHAnsi"/>
          <w:sz w:val="20"/>
          <w:szCs w:val="20"/>
        </w:rPr>
      </w:pPr>
      <w:r w:rsidRPr="004532E4">
        <w:rPr>
          <w:rFonts w:asciiTheme="minorHAnsi" w:hAnsiTheme="minorHAnsi" w:cstheme="minorHAnsi"/>
          <w:sz w:val="20"/>
          <w:szCs w:val="20"/>
        </w:rPr>
        <w:t>AUC</w:t>
      </w:r>
      <w:r w:rsidRPr="004532E4">
        <w:rPr>
          <w:rFonts w:asciiTheme="minorHAnsi" w:hAnsiTheme="minorHAnsi" w:cstheme="minorHAnsi"/>
          <w:sz w:val="20"/>
          <w:szCs w:val="20"/>
          <w:vertAlign w:val="subscript"/>
        </w:rPr>
        <w:t xml:space="preserve">0-4 </w:t>
      </w:r>
      <w:r w:rsidRPr="004532E4">
        <w:rPr>
          <w:rFonts w:asciiTheme="minorHAnsi" w:hAnsiTheme="minorHAnsi" w:cstheme="minorHAnsi"/>
          <w:sz w:val="20"/>
          <w:szCs w:val="20"/>
        </w:rPr>
        <w:t>= Area under the time-concentration curve (0-4h)</w:t>
      </w:r>
    </w:p>
    <w:p w14:paraId="7B6469D7" w14:textId="77777777" w:rsidR="004B55DD" w:rsidRPr="004532E4" w:rsidRDefault="004B55DD" w:rsidP="004B55DD">
      <w:pPr>
        <w:pStyle w:val="Default"/>
        <w:spacing w:line="480" w:lineRule="auto"/>
        <w:rPr>
          <w:rFonts w:asciiTheme="minorHAnsi" w:hAnsiTheme="minorHAnsi" w:cstheme="minorHAnsi"/>
          <w:sz w:val="20"/>
          <w:szCs w:val="20"/>
        </w:rPr>
      </w:pPr>
      <w:proofErr w:type="spellStart"/>
      <w:r w:rsidRPr="004532E4">
        <w:rPr>
          <w:rFonts w:asciiTheme="minorHAnsi" w:hAnsiTheme="minorHAnsi" w:cstheme="minorHAnsi"/>
          <w:sz w:val="20"/>
          <w:szCs w:val="20"/>
        </w:rPr>
        <w:t>Tmax</w:t>
      </w:r>
      <w:proofErr w:type="spellEnd"/>
      <w:r w:rsidRPr="004532E4">
        <w:rPr>
          <w:rFonts w:asciiTheme="minorHAnsi" w:hAnsiTheme="minorHAnsi" w:cstheme="minorHAnsi"/>
          <w:sz w:val="20"/>
          <w:szCs w:val="20"/>
        </w:rPr>
        <w:t xml:space="preserve"> = Time to peak concentration</w:t>
      </w:r>
    </w:p>
    <w:p w14:paraId="563D4854" w14:textId="77777777" w:rsidR="004B55DD" w:rsidRPr="004532E4" w:rsidRDefault="004B55DD" w:rsidP="004B55DD">
      <w:pPr>
        <w:pStyle w:val="Default"/>
        <w:spacing w:line="480" w:lineRule="auto"/>
        <w:rPr>
          <w:rFonts w:asciiTheme="minorHAnsi" w:hAnsiTheme="minorHAnsi" w:cstheme="minorHAnsi"/>
          <w:sz w:val="20"/>
          <w:szCs w:val="20"/>
        </w:rPr>
      </w:pPr>
      <w:proofErr w:type="spellStart"/>
      <w:r w:rsidRPr="004532E4">
        <w:rPr>
          <w:rFonts w:asciiTheme="minorHAnsi" w:hAnsiTheme="minorHAnsi" w:cstheme="minorHAnsi"/>
          <w:sz w:val="20"/>
          <w:szCs w:val="20"/>
        </w:rPr>
        <w:t>Cmax</w:t>
      </w:r>
      <w:proofErr w:type="spellEnd"/>
      <w:r w:rsidRPr="004532E4">
        <w:rPr>
          <w:rFonts w:asciiTheme="minorHAnsi" w:hAnsiTheme="minorHAnsi" w:cstheme="minorHAnsi"/>
          <w:sz w:val="20"/>
          <w:szCs w:val="20"/>
        </w:rPr>
        <w:t xml:space="preserve"> – Peak concentration</w:t>
      </w:r>
    </w:p>
    <w:p w14:paraId="080C95A9" w14:textId="77777777" w:rsidR="004B55DD" w:rsidRPr="004532E4" w:rsidRDefault="004B55DD" w:rsidP="004B55DD">
      <w:pPr>
        <w:pStyle w:val="Default"/>
        <w:spacing w:line="480" w:lineRule="auto"/>
        <w:rPr>
          <w:rFonts w:asciiTheme="minorHAnsi" w:hAnsiTheme="minorHAnsi" w:cstheme="minorHAnsi"/>
          <w:sz w:val="20"/>
          <w:szCs w:val="20"/>
        </w:rPr>
      </w:pPr>
    </w:p>
    <w:p w14:paraId="65D63162" w14:textId="77777777" w:rsidR="004B55DD" w:rsidRPr="004532E4" w:rsidRDefault="004B55DD" w:rsidP="004B55DD">
      <w:pPr>
        <w:pStyle w:val="Default"/>
        <w:spacing w:line="480" w:lineRule="auto"/>
        <w:rPr>
          <w:rFonts w:asciiTheme="minorHAnsi" w:hAnsiTheme="minorHAnsi" w:cstheme="minorHAnsi"/>
          <w:sz w:val="20"/>
          <w:szCs w:val="20"/>
        </w:rPr>
      </w:pPr>
      <w:r w:rsidRPr="004532E4">
        <w:rPr>
          <w:rFonts w:asciiTheme="minorHAnsi" w:hAnsiTheme="minorHAnsi" w:cstheme="minorHAnsi"/>
          <w:sz w:val="20"/>
          <w:szCs w:val="20"/>
        </w:rPr>
        <w:t xml:space="preserve">a Median (min-max) presented, </w:t>
      </w:r>
    </w:p>
    <w:p w14:paraId="65317742" w14:textId="77777777" w:rsidR="004B55DD" w:rsidRPr="004532E4" w:rsidRDefault="004B55DD" w:rsidP="004B55DD">
      <w:pPr>
        <w:pStyle w:val="Default"/>
        <w:spacing w:line="480" w:lineRule="auto"/>
        <w:rPr>
          <w:rFonts w:asciiTheme="minorHAnsi" w:hAnsiTheme="minorHAnsi" w:cstheme="minorHAnsi"/>
          <w:sz w:val="20"/>
          <w:szCs w:val="20"/>
        </w:rPr>
      </w:pPr>
      <w:r w:rsidRPr="004532E4">
        <w:rPr>
          <w:rFonts w:asciiTheme="minorHAnsi" w:hAnsiTheme="minorHAnsi" w:cstheme="minorHAnsi"/>
          <w:sz w:val="20"/>
          <w:szCs w:val="20"/>
        </w:rPr>
        <w:t xml:space="preserve">b n=1 with quantifiable concentrations out of 4 subjects </w:t>
      </w:r>
    </w:p>
    <w:p w14:paraId="64BCE88E" w14:textId="6F9326D0" w:rsidR="00BD4726" w:rsidRDefault="004B55DD" w:rsidP="00235A9C">
      <w:pPr>
        <w:spacing w:after="0" w:line="480" w:lineRule="auto"/>
        <w:rPr>
          <w:rFonts w:cstheme="minorHAnsi"/>
          <w:sz w:val="20"/>
          <w:szCs w:val="20"/>
        </w:rPr>
      </w:pPr>
      <w:r w:rsidRPr="004532E4">
        <w:rPr>
          <w:rFonts w:cstheme="minorHAnsi"/>
          <w:sz w:val="20"/>
          <w:szCs w:val="20"/>
        </w:rPr>
        <w:lastRenderedPageBreak/>
        <w:t>c n=2 with quantifiable concentrations out of 4 subjects</w:t>
      </w:r>
      <w:r w:rsidR="00BD4726">
        <w:rPr>
          <w:rFonts w:cstheme="minorHAnsi"/>
          <w:sz w:val="20"/>
          <w:szCs w:val="20"/>
        </w:rPr>
        <w:br w:type="page"/>
      </w:r>
    </w:p>
    <w:bookmarkEnd w:id="5"/>
    <w:p w14:paraId="5030C68F" w14:textId="6546F2B1" w:rsidR="00BD4726" w:rsidRDefault="00BD4726" w:rsidP="00021919">
      <w:pPr>
        <w:spacing w:after="0" w:line="480" w:lineRule="auto"/>
        <w:rPr>
          <w:rFonts w:ascii="Arial" w:hAnsi="Arial" w:cs="Arial"/>
          <w:b/>
          <w:bCs/>
          <w:color w:val="000000" w:themeColor="text1"/>
        </w:rPr>
      </w:pPr>
      <w:r>
        <w:rPr>
          <w:rFonts w:ascii="Arial" w:hAnsi="Arial" w:cs="Arial"/>
          <w:b/>
          <w:bCs/>
          <w:noProof/>
          <w:color w:val="000000" w:themeColor="text1"/>
        </w:rPr>
        <w:lastRenderedPageBreak/>
        <w:drawing>
          <wp:inline distT="0" distB="0" distL="0" distR="0" wp14:anchorId="1C35525F" wp14:editId="26098FC0">
            <wp:extent cx="6552972" cy="8753401"/>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3680" cy="8767705"/>
                    </a:xfrm>
                    <a:prstGeom prst="rect">
                      <a:avLst/>
                    </a:prstGeom>
                    <a:noFill/>
                  </pic:spPr>
                </pic:pic>
              </a:graphicData>
            </a:graphic>
          </wp:inline>
        </w:drawing>
      </w:r>
    </w:p>
    <w:p w14:paraId="752DD3FA" w14:textId="77777777" w:rsidR="004E2EAC" w:rsidRPr="00477697" w:rsidRDefault="004E2EAC" w:rsidP="00235A9C">
      <w:pPr>
        <w:spacing w:after="0" w:line="480" w:lineRule="auto"/>
        <w:rPr>
          <w:rFonts w:ascii="Arial" w:hAnsi="Arial" w:cs="Arial"/>
          <w:bCs/>
        </w:rPr>
      </w:pPr>
      <w:r w:rsidRPr="00477697">
        <w:rPr>
          <w:rFonts w:ascii="Arial" w:hAnsi="Arial" w:cs="Arial"/>
          <w:bCs/>
        </w:rPr>
        <w:t xml:space="preserve">Figure 1: CONSORT diagram </w:t>
      </w:r>
    </w:p>
    <w:p w14:paraId="1954A76C" w14:textId="2C268DF3" w:rsidR="00BD4726" w:rsidRDefault="00BD4726" w:rsidP="00477697">
      <w:pPr>
        <w:spacing w:after="0" w:line="480" w:lineRule="auto"/>
        <w:jc w:val="both"/>
        <w:rPr>
          <w:rFonts w:ascii="Arial" w:hAnsi="Arial" w:cs="Arial"/>
          <w:bCs/>
          <w:color w:val="000000" w:themeColor="text1"/>
        </w:rPr>
      </w:pPr>
      <w:r w:rsidRPr="00FD048E">
        <w:rPr>
          <w:rFonts w:cstheme="minorHAnsi"/>
          <w:b/>
          <w:noProof/>
          <w:lang w:eastAsia="en-GB"/>
        </w:rPr>
        <w:lastRenderedPageBreak/>
        <w:drawing>
          <wp:inline distT="0" distB="0" distL="0" distR="0" wp14:anchorId="5E2067E9" wp14:editId="1C3F3E2C">
            <wp:extent cx="6100445" cy="672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928"/>
                    <a:stretch/>
                  </pic:blipFill>
                  <pic:spPr bwMode="auto">
                    <a:xfrm>
                      <a:off x="0" y="0"/>
                      <a:ext cx="6100445" cy="6724650"/>
                    </a:xfrm>
                    <a:prstGeom prst="rect">
                      <a:avLst/>
                    </a:prstGeom>
                    <a:noFill/>
                    <a:ln>
                      <a:noFill/>
                    </a:ln>
                    <a:extLst>
                      <a:ext uri="{53640926-AAD7-44D8-BBD7-CCE9431645EC}">
                        <a14:shadowObscured xmlns:a14="http://schemas.microsoft.com/office/drawing/2010/main"/>
                      </a:ext>
                    </a:extLst>
                  </pic:spPr>
                </pic:pic>
              </a:graphicData>
            </a:graphic>
          </wp:inline>
        </w:drawing>
      </w:r>
    </w:p>
    <w:p w14:paraId="35BD296A" w14:textId="1D5462A2" w:rsidR="00B30990" w:rsidRPr="00235A9C" w:rsidRDefault="004E2EAC" w:rsidP="00235A9C">
      <w:pPr>
        <w:spacing w:after="0" w:line="480" w:lineRule="auto"/>
        <w:jc w:val="both"/>
        <w:rPr>
          <w:rFonts w:ascii="Arial" w:hAnsi="Arial" w:cs="Arial"/>
        </w:rPr>
      </w:pPr>
      <w:r w:rsidRPr="00477697">
        <w:rPr>
          <w:rFonts w:ascii="Arial" w:hAnsi="Arial" w:cs="Arial"/>
          <w:bCs/>
          <w:color w:val="000000" w:themeColor="text1"/>
        </w:rPr>
        <w:t xml:space="preserve">Figure 2: Primary endpoint - dose toxicity plot up to day 7 (evaluable population)  </w:t>
      </w:r>
      <w:bookmarkStart w:id="11" w:name="_Toc56696130"/>
      <w:bookmarkStart w:id="12" w:name="_Toc57363274"/>
      <w:bookmarkStart w:id="13" w:name="_Toc57363401"/>
      <w:bookmarkStart w:id="14" w:name="_Toc57363456"/>
      <w:bookmarkStart w:id="15" w:name="_Toc57363505"/>
      <w:bookmarkStart w:id="16" w:name="_Toc57364401"/>
      <w:bookmarkStart w:id="17" w:name="_Toc57457834"/>
      <w:bookmarkStart w:id="18" w:name="_Toc57464812"/>
      <w:bookmarkStart w:id="19" w:name="_Toc57464952"/>
      <w:bookmarkStart w:id="20" w:name="_Toc57475758"/>
      <w:bookmarkStart w:id="21" w:name="_Toc57475857"/>
      <w:bookmarkStart w:id="22" w:name="_Toc57476730"/>
      <w:bookmarkStart w:id="23" w:name="_Toc57476876"/>
      <w:bookmarkStart w:id="24" w:name="_Toc57479789"/>
      <w:bookmarkStart w:id="25" w:name="_Toc57479886"/>
      <w:bookmarkStart w:id="26" w:name="_Toc57479983"/>
      <w:bookmarkStart w:id="27" w:name="_Toc57480844"/>
      <w:bookmarkStart w:id="28" w:name="_Toc57481507"/>
      <w:bookmarkStart w:id="29" w:name="_Toc57485671"/>
      <w:bookmarkStart w:id="30" w:name="_Toc57492661"/>
      <w:bookmarkStart w:id="31" w:name="_Toc57494349"/>
      <w:bookmarkStart w:id="32" w:name="_Toc57563669"/>
      <w:bookmarkStart w:id="33" w:name="_Toc57563812"/>
      <w:bookmarkStart w:id="34" w:name="_Toc57563919"/>
      <w:bookmarkStart w:id="35" w:name="_Toc57564008"/>
      <w:bookmarkStart w:id="36" w:name="_Toc57564110"/>
      <w:bookmarkStart w:id="37" w:name="_Toc57565357"/>
      <w:bookmarkStart w:id="38" w:name="_Toc56696131"/>
      <w:bookmarkStart w:id="39" w:name="_Toc57363275"/>
      <w:bookmarkStart w:id="40" w:name="_Toc57363402"/>
      <w:bookmarkStart w:id="41" w:name="_Toc57363457"/>
      <w:bookmarkStart w:id="42" w:name="_Toc57363506"/>
      <w:bookmarkStart w:id="43" w:name="_Toc57364402"/>
      <w:bookmarkStart w:id="44" w:name="_Toc57457835"/>
      <w:bookmarkStart w:id="45" w:name="_Toc57464813"/>
      <w:bookmarkStart w:id="46" w:name="_Toc57464953"/>
      <w:bookmarkStart w:id="47" w:name="_Toc57475759"/>
      <w:bookmarkStart w:id="48" w:name="_Toc57475858"/>
      <w:bookmarkStart w:id="49" w:name="_Toc57476731"/>
      <w:bookmarkStart w:id="50" w:name="_Toc57476877"/>
      <w:bookmarkStart w:id="51" w:name="_Toc57479790"/>
      <w:bookmarkStart w:id="52" w:name="_Toc57479887"/>
      <w:bookmarkStart w:id="53" w:name="_Toc57479984"/>
      <w:bookmarkStart w:id="54" w:name="_Toc57480845"/>
      <w:bookmarkStart w:id="55" w:name="_Toc57481508"/>
      <w:bookmarkStart w:id="56" w:name="_Toc57485672"/>
      <w:bookmarkStart w:id="57" w:name="_Toc57492662"/>
      <w:bookmarkStart w:id="58" w:name="_Toc57494350"/>
      <w:bookmarkStart w:id="59" w:name="_Toc57563670"/>
      <w:bookmarkStart w:id="60" w:name="_Toc57563813"/>
      <w:bookmarkStart w:id="61" w:name="_Toc57563920"/>
      <w:bookmarkStart w:id="62" w:name="_Toc57564009"/>
      <w:bookmarkStart w:id="63" w:name="_Toc57564111"/>
      <w:bookmarkStart w:id="64" w:name="_Toc5756535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ectPr w:rsidR="00B30990" w:rsidRPr="00235A9C" w:rsidSect="006D0A5D">
      <w:footerReference w:type="default" r:id="rId13"/>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31C5" w14:textId="77777777" w:rsidR="002B49F3" w:rsidRDefault="002B49F3" w:rsidP="00CE0591">
      <w:pPr>
        <w:spacing w:after="0" w:line="240" w:lineRule="auto"/>
      </w:pPr>
      <w:r>
        <w:separator/>
      </w:r>
    </w:p>
  </w:endnote>
  <w:endnote w:type="continuationSeparator" w:id="0">
    <w:p w14:paraId="60A46585" w14:textId="77777777" w:rsidR="002B49F3" w:rsidRDefault="002B49F3" w:rsidP="00CE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42AA" w14:textId="5A869CB8" w:rsidR="00643CE0" w:rsidRDefault="00643CE0">
    <w:pPr>
      <w:pStyle w:val="Footer"/>
      <w:jc w:val="right"/>
    </w:pPr>
  </w:p>
  <w:p w14:paraId="5C449363" w14:textId="77777777" w:rsidR="00643CE0" w:rsidRDefault="0064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C0BF" w14:textId="77777777" w:rsidR="002B49F3" w:rsidRDefault="002B49F3" w:rsidP="00CE0591">
      <w:pPr>
        <w:spacing w:after="0" w:line="240" w:lineRule="auto"/>
      </w:pPr>
      <w:r>
        <w:separator/>
      </w:r>
    </w:p>
  </w:footnote>
  <w:footnote w:type="continuationSeparator" w:id="0">
    <w:p w14:paraId="1397DB70" w14:textId="77777777" w:rsidR="002B49F3" w:rsidRDefault="002B49F3" w:rsidP="00CE0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161"/>
    <w:multiLevelType w:val="hybridMultilevel"/>
    <w:tmpl w:val="4B2A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A10D7"/>
    <w:multiLevelType w:val="multilevel"/>
    <w:tmpl w:val="96D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B27B9"/>
    <w:multiLevelType w:val="multilevel"/>
    <w:tmpl w:val="536CEAF6"/>
    <w:lvl w:ilvl="0">
      <w:start w:val="1"/>
      <w:numFmt w:val="decimal"/>
      <w:pStyle w:val="Heading1"/>
      <w:lvlText w:val="%1"/>
      <w:lvlJc w:val="left"/>
      <w:pPr>
        <w:ind w:left="432" w:hanging="432"/>
      </w:pPr>
    </w:lvl>
    <w:lvl w:ilvl="1">
      <w:start w:val="1"/>
      <w:numFmt w:val="decimal"/>
      <w:lvlText w:val="%1.%2"/>
      <w:lvlJc w:val="left"/>
      <w:pPr>
        <w:ind w:left="718" w:hanging="576"/>
      </w:pPr>
      <w:rPr>
        <w:b/>
        <w:bCs w:val="0"/>
      </w:rPr>
    </w:lvl>
    <w:lvl w:ilvl="2">
      <w:start w:val="1"/>
      <w:numFmt w:val="decimal"/>
      <w:pStyle w:val="Heading3"/>
      <w:lvlText w:val="%1.%2.%3"/>
      <w:lvlJc w:val="left"/>
      <w:pPr>
        <w:ind w:left="227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94295D"/>
    <w:multiLevelType w:val="multilevel"/>
    <w:tmpl w:val="31C0245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0A7B01"/>
    <w:multiLevelType w:val="hybridMultilevel"/>
    <w:tmpl w:val="9822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E26EF"/>
    <w:multiLevelType w:val="hybridMultilevel"/>
    <w:tmpl w:val="7BAC1AB8"/>
    <w:lvl w:ilvl="0" w:tplc="EE2EDBC4">
      <w:numFmt w:val="bullet"/>
      <w:lvlText w:val=""/>
      <w:lvlJc w:val="left"/>
      <w:pPr>
        <w:ind w:left="720" w:hanging="360"/>
      </w:pPr>
      <w:rPr>
        <w:rFonts w:ascii="Symbol" w:eastAsiaTheme="minorHAnsi" w:hAnsi="Symbol" w:cstheme="minorHAns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8112D"/>
    <w:multiLevelType w:val="hybridMultilevel"/>
    <w:tmpl w:val="5198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65CB2"/>
    <w:multiLevelType w:val="hybridMultilevel"/>
    <w:tmpl w:val="FC4202C2"/>
    <w:lvl w:ilvl="0" w:tplc="9DDEFC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64883"/>
    <w:multiLevelType w:val="hybridMultilevel"/>
    <w:tmpl w:val="0F7E9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D478D1"/>
    <w:multiLevelType w:val="hybridMultilevel"/>
    <w:tmpl w:val="18585C0C"/>
    <w:lvl w:ilvl="0" w:tplc="0B2870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93573"/>
    <w:multiLevelType w:val="hybridMultilevel"/>
    <w:tmpl w:val="9B8E3B4A"/>
    <w:lvl w:ilvl="0" w:tplc="FE6AF6DA">
      <w:start w:val="2"/>
      <w:numFmt w:val="bullet"/>
      <w:lvlText w:val="-"/>
      <w:lvlJc w:val="left"/>
      <w:pPr>
        <w:ind w:left="720" w:hanging="360"/>
      </w:pPr>
      <w:rPr>
        <w:rFonts w:ascii="Arial" w:eastAsiaTheme="minorHAnsi" w:hAnsi="Arial" w:cs="Arial"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A62D3"/>
    <w:multiLevelType w:val="hybridMultilevel"/>
    <w:tmpl w:val="31FAA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97AC3"/>
    <w:multiLevelType w:val="multilevel"/>
    <w:tmpl w:val="ABB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057E02"/>
    <w:multiLevelType w:val="multilevel"/>
    <w:tmpl w:val="EC2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1"/>
  </w:num>
  <w:num w:numId="5">
    <w:abstractNumId w:val="2"/>
  </w:num>
  <w:num w:numId="6">
    <w:abstractNumId w:val="1"/>
  </w:num>
  <w:num w:numId="7">
    <w:abstractNumId w:val="3"/>
  </w:num>
  <w:num w:numId="8">
    <w:abstractNumId w:val="8"/>
  </w:num>
  <w:num w:numId="9">
    <w:abstractNumId w:val="5"/>
  </w:num>
  <w:num w:numId="10">
    <w:abstractNumId w:val="7"/>
  </w:num>
  <w:num w:numId="11">
    <w:abstractNumId w:val="9"/>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24882"/>
    <w:rsid w:val="00000731"/>
    <w:rsid w:val="00003F7F"/>
    <w:rsid w:val="00004FB1"/>
    <w:rsid w:val="000169DC"/>
    <w:rsid w:val="00021919"/>
    <w:rsid w:val="00023562"/>
    <w:rsid w:val="00032430"/>
    <w:rsid w:val="00035D59"/>
    <w:rsid w:val="00043C0C"/>
    <w:rsid w:val="000454F0"/>
    <w:rsid w:val="00047EF5"/>
    <w:rsid w:val="00050BB8"/>
    <w:rsid w:val="00052913"/>
    <w:rsid w:val="00052EB6"/>
    <w:rsid w:val="000575CD"/>
    <w:rsid w:val="00063E30"/>
    <w:rsid w:val="00070C80"/>
    <w:rsid w:val="0007244F"/>
    <w:rsid w:val="00072EC1"/>
    <w:rsid w:val="0007477B"/>
    <w:rsid w:val="0007610E"/>
    <w:rsid w:val="000767B4"/>
    <w:rsid w:val="0008042B"/>
    <w:rsid w:val="00097B0F"/>
    <w:rsid w:val="000A439F"/>
    <w:rsid w:val="000A4C2E"/>
    <w:rsid w:val="000B604C"/>
    <w:rsid w:val="000B6476"/>
    <w:rsid w:val="000C204C"/>
    <w:rsid w:val="000C7E54"/>
    <w:rsid w:val="000D154A"/>
    <w:rsid w:val="000E10E4"/>
    <w:rsid w:val="000E24B2"/>
    <w:rsid w:val="000F0DEB"/>
    <w:rsid w:val="000F472B"/>
    <w:rsid w:val="000F5AE3"/>
    <w:rsid w:val="000F64D5"/>
    <w:rsid w:val="000F7B95"/>
    <w:rsid w:val="00103A66"/>
    <w:rsid w:val="00105A93"/>
    <w:rsid w:val="001127C5"/>
    <w:rsid w:val="001435EE"/>
    <w:rsid w:val="00144368"/>
    <w:rsid w:val="00144CB5"/>
    <w:rsid w:val="00153178"/>
    <w:rsid w:val="001621AC"/>
    <w:rsid w:val="00166DD4"/>
    <w:rsid w:val="00174506"/>
    <w:rsid w:val="00183995"/>
    <w:rsid w:val="001848AE"/>
    <w:rsid w:val="001848C7"/>
    <w:rsid w:val="001852B1"/>
    <w:rsid w:val="00185F05"/>
    <w:rsid w:val="00186875"/>
    <w:rsid w:val="0019085B"/>
    <w:rsid w:val="00190B21"/>
    <w:rsid w:val="001A3911"/>
    <w:rsid w:val="001C09CC"/>
    <w:rsid w:val="001C199C"/>
    <w:rsid w:val="001C230E"/>
    <w:rsid w:val="001C3FA8"/>
    <w:rsid w:val="001C6AD6"/>
    <w:rsid w:val="001D0F09"/>
    <w:rsid w:val="001D19C9"/>
    <w:rsid w:val="001E4FDD"/>
    <w:rsid w:val="001E57E4"/>
    <w:rsid w:val="00200719"/>
    <w:rsid w:val="00205E3D"/>
    <w:rsid w:val="00207A1A"/>
    <w:rsid w:val="00221F02"/>
    <w:rsid w:val="00224256"/>
    <w:rsid w:val="0022614E"/>
    <w:rsid w:val="00227BEE"/>
    <w:rsid w:val="00235A9C"/>
    <w:rsid w:val="00235FF6"/>
    <w:rsid w:val="002402BF"/>
    <w:rsid w:val="00240F8E"/>
    <w:rsid w:val="00251418"/>
    <w:rsid w:val="00257BBC"/>
    <w:rsid w:val="002651FA"/>
    <w:rsid w:val="00270D03"/>
    <w:rsid w:val="00272F66"/>
    <w:rsid w:val="00273584"/>
    <w:rsid w:val="0027425B"/>
    <w:rsid w:val="002803FD"/>
    <w:rsid w:val="00295839"/>
    <w:rsid w:val="00297D22"/>
    <w:rsid w:val="002A373E"/>
    <w:rsid w:val="002A3FE5"/>
    <w:rsid w:val="002A4A8F"/>
    <w:rsid w:val="002A5B28"/>
    <w:rsid w:val="002B2C11"/>
    <w:rsid w:val="002B49F3"/>
    <w:rsid w:val="002B55EC"/>
    <w:rsid w:val="002B5A8B"/>
    <w:rsid w:val="002C0859"/>
    <w:rsid w:val="002D35FD"/>
    <w:rsid w:val="002D590B"/>
    <w:rsid w:val="002D727E"/>
    <w:rsid w:val="002D74EC"/>
    <w:rsid w:val="002E1319"/>
    <w:rsid w:val="002E16F7"/>
    <w:rsid w:val="002E22E2"/>
    <w:rsid w:val="002F6A9B"/>
    <w:rsid w:val="00302299"/>
    <w:rsid w:val="00302540"/>
    <w:rsid w:val="00302962"/>
    <w:rsid w:val="00310C54"/>
    <w:rsid w:val="003118D4"/>
    <w:rsid w:val="00317EEF"/>
    <w:rsid w:val="00322221"/>
    <w:rsid w:val="00323802"/>
    <w:rsid w:val="00324CA9"/>
    <w:rsid w:val="00332F4D"/>
    <w:rsid w:val="00344100"/>
    <w:rsid w:val="00344825"/>
    <w:rsid w:val="00344842"/>
    <w:rsid w:val="00345AFC"/>
    <w:rsid w:val="003476A0"/>
    <w:rsid w:val="00351C7D"/>
    <w:rsid w:val="003522F9"/>
    <w:rsid w:val="003539EF"/>
    <w:rsid w:val="00365C2B"/>
    <w:rsid w:val="00371038"/>
    <w:rsid w:val="00373E07"/>
    <w:rsid w:val="00376EEC"/>
    <w:rsid w:val="003772AC"/>
    <w:rsid w:val="00377C1B"/>
    <w:rsid w:val="00377FC4"/>
    <w:rsid w:val="003807F7"/>
    <w:rsid w:val="00384B92"/>
    <w:rsid w:val="00395FF2"/>
    <w:rsid w:val="003967A8"/>
    <w:rsid w:val="003B5723"/>
    <w:rsid w:val="003C056E"/>
    <w:rsid w:val="003D747C"/>
    <w:rsid w:val="003E23A9"/>
    <w:rsid w:val="003E4001"/>
    <w:rsid w:val="003E55DD"/>
    <w:rsid w:val="003E6555"/>
    <w:rsid w:val="003E6895"/>
    <w:rsid w:val="003F6DEB"/>
    <w:rsid w:val="003F7784"/>
    <w:rsid w:val="0040031D"/>
    <w:rsid w:val="00400A80"/>
    <w:rsid w:val="004077B4"/>
    <w:rsid w:val="00413755"/>
    <w:rsid w:val="00416E19"/>
    <w:rsid w:val="00426D6B"/>
    <w:rsid w:val="00431F29"/>
    <w:rsid w:val="00433917"/>
    <w:rsid w:val="00450F4B"/>
    <w:rsid w:val="00454C88"/>
    <w:rsid w:val="0045525B"/>
    <w:rsid w:val="00474264"/>
    <w:rsid w:val="00474C39"/>
    <w:rsid w:val="00477697"/>
    <w:rsid w:val="004801D9"/>
    <w:rsid w:val="00491354"/>
    <w:rsid w:val="00492C85"/>
    <w:rsid w:val="004A141A"/>
    <w:rsid w:val="004A3859"/>
    <w:rsid w:val="004B11B2"/>
    <w:rsid w:val="004B1363"/>
    <w:rsid w:val="004B2B2B"/>
    <w:rsid w:val="004B55DD"/>
    <w:rsid w:val="004C1024"/>
    <w:rsid w:val="004C24FA"/>
    <w:rsid w:val="004D0286"/>
    <w:rsid w:val="004E0EF8"/>
    <w:rsid w:val="004E2379"/>
    <w:rsid w:val="004E2EAC"/>
    <w:rsid w:val="004F0EBF"/>
    <w:rsid w:val="004F1DB9"/>
    <w:rsid w:val="004F5DE9"/>
    <w:rsid w:val="004F7345"/>
    <w:rsid w:val="004F755F"/>
    <w:rsid w:val="00505734"/>
    <w:rsid w:val="00505952"/>
    <w:rsid w:val="005144F4"/>
    <w:rsid w:val="00515E64"/>
    <w:rsid w:val="0051648B"/>
    <w:rsid w:val="005205A3"/>
    <w:rsid w:val="0052180B"/>
    <w:rsid w:val="00530BFB"/>
    <w:rsid w:val="00534954"/>
    <w:rsid w:val="00535539"/>
    <w:rsid w:val="005410D3"/>
    <w:rsid w:val="0054457E"/>
    <w:rsid w:val="005536FA"/>
    <w:rsid w:val="005542F8"/>
    <w:rsid w:val="005548C2"/>
    <w:rsid w:val="00554F7B"/>
    <w:rsid w:val="005620F2"/>
    <w:rsid w:val="0057052D"/>
    <w:rsid w:val="005801E0"/>
    <w:rsid w:val="00581F88"/>
    <w:rsid w:val="00582AA1"/>
    <w:rsid w:val="00585F37"/>
    <w:rsid w:val="005919DA"/>
    <w:rsid w:val="00591CC1"/>
    <w:rsid w:val="00592100"/>
    <w:rsid w:val="0059580B"/>
    <w:rsid w:val="00597B7D"/>
    <w:rsid w:val="005A118A"/>
    <w:rsid w:val="005A3F18"/>
    <w:rsid w:val="005A5B97"/>
    <w:rsid w:val="005A6E60"/>
    <w:rsid w:val="005A7D7A"/>
    <w:rsid w:val="005B39F7"/>
    <w:rsid w:val="005B56D6"/>
    <w:rsid w:val="005B7FAE"/>
    <w:rsid w:val="005D13D6"/>
    <w:rsid w:val="005E5677"/>
    <w:rsid w:val="005F01BA"/>
    <w:rsid w:val="005F289C"/>
    <w:rsid w:val="005F7402"/>
    <w:rsid w:val="006020DF"/>
    <w:rsid w:val="0060376A"/>
    <w:rsid w:val="00603B87"/>
    <w:rsid w:val="0060571C"/>
    <w:rsid w:val="006058BB"/>
    <w:rsid w:val="00605EF5"/>
    <w:rsid w:val="00607375"/>
    <w:rsid w:val="0061583D"/>
    <w:rsid w:val="00621CC5"/>
    <w:rsid w:val="00627BCF"/>
    <w:rsid w:val="006324D0"/>
    <w:rsid w:val="0063369D"/>
    <w:rsid w:val="006355E7"/>
    <w:rsid w:val="006357D7"/>
    <w:rsid w:val="00636DE7"/>
    <w:rsid w:val="0064132B"/>
    <w:rsid w:val="00643589"/>
    <w:rsid w:val="00643CE0"/>
    <w:rsid w:val="00647E02"/>
    <w:rsid w:val="00655F20"/>
    <w:rsid w:val="0066730D"/>
    <w:rsid w:val="00671C5A"/>
    <w:rsid w:val="0067448C"/>
    <w:rsid w:val="0068256E"/>
    <w:rsid w:val="006841AC"/>
    <w:rsid w:val="006854BE"/>
    <w:rsid w:val="0068600F"/>
    <w:rsid w:val="00690C0C"/>
    <w:rsid w:val="006955C7"/>
    <w:rsid w:val="006A0311"/>
    <w:rsid w:val="006A03BB"/>
    <w:rsid w:val="006A246F"/>
    <w:rsid w:val="006A41A5"/>
    <w:rsid w:val="006B02AF"/>
    <w:rsid w:val="006B325C"/>
    <w:rsid w:val="006B4915"/>
    <w:rsid w:val="006C614E"/>
    <w:rsid w:val="006D0A5D"/>
    <w:rsid w:val="006D670D"/>
    <w:rsid w:val="006D67DE"/>
    <w:rsid w:val="006D7EBB"/>
    <w:rsid w:val="006E2BFB"/>
    <w:rsid w:val="006F3E89"/>
    <w:rsid w:val="007069C9"/>
    <w:rsid w:val="00711379"/>
    <w:rsid w:val="0071474A"/>
    <w:rsid w:val="00722838"/>
    <w:rsid w:val="00722BF2"/>
    <w:rsid w:val="0072701B"/>
    <w:rsid w:val="00733AF4"/>
    <w:rsid w:val="00741D41"/>
    <w:rsid w:val="0074576E"/>
    <w:rsid w:val="00746AEE"/>
    <w:rsid w:val="00750EF1"/>
    <w:rsid w:val="007517C1"/>
    <w:rsid w:val="0075739B"/>
    <w:rsid w:val="007613B3"/>
    <w:rsid w:val="00762E2F"/>
    <w:rsid w:val="0078194A"/>
    <w:rsid w:val="00785603"/>
    <w:rsid w:val="007871E0"/>
    <w:rsid w:val="0078759A"/>
    <w:rsid w:val="007920C6"/>
    <w:rsid w:val="00796E66"/>
    <w:rsid w:val="007A1107"/>
    <w:rsid w:val="007A181F"/>
    <w:rsid w:val="007A1A10"/>
    <w:rsid w:val="007A2DFC"/>
    <w:rsid w:val="007B2BA9"/>
    <w:rsid w:val="007B2FE0"/>
    <w:rsid w:val="007B5032"/>
    <w:rsid w:val="007C1791"/>
    <w:rsid w:val="007C5599"/>
    <w:rsid w:val="007D107E"/>
    <w:rsid w:val="007D4650"/>
    <w:rsid w:val="007F28F9"/>
    <w:rsid w:val="007F40D3"/>
    <w:rsid w:val="007F7444"/>
    <w:rsid w:val="00801878"/>
    <w:rsid w:val="00804711"/>
    <w:rsid w:val="00806F1C"/>
    <w:rsid w:val="00807488"/>
    <w:rsid w:val="00813CD0"/>
    <w:rsid w:val="0082063B"/>
    <w:rsid w:val="00824882"/>
    <w:rsid w:val="00827981"/>
    <w:rsid w:val="0083468F"/>
    <w:rsid w:val="00834BD1"/>
    <w:rsid w:val="008428E0"/>
    <w:rsid w:val="008444E7"/>
    <w:rsid w:val="00850D46"/>
    <w:rsid w:val="00855CFB"/>
    <w:rsid w:val="00857848"/>
    <w:rsid w:val="008615E9"/>
    <w:rsid w:val="008623E4"/>
    <w:rsid w:val="00862D2A"/>
    <w:rsid w:val="008655C0"/>
    <w:rsid w:val="00865A6B"/>
    <w:rsid w:val="0086687A"/>
    <w:rsid w:val="00877AD3"/>
    <w:rsid w:val="00881660"/>
    <w:rsid w:val="00884D16"/>
    <w:rsid w:val="0088694F"/>
    <w:rsid w:val="00894EE7"/>
    <w:rsid w:val="008A4E45"/>
    <w:rsid w:val="008A53FA"/>
    <w:rsid w:val="008B03A3"/>
    <w:rsid w:val="008B0C85"/>
    <w:rsid w:val="008B2718"/>
    <w:rsid w:val="008B558C"/>
    <w:rsid w:val="008D4A94"/>
    <w:rsid w:val="008D5F86"/>
    <w:rsid w:val="008D7E35"/>
    <w:rsid w:val="008F3332"/>
    <w:rsid w:val="008F5367"/>
    <w:rsid w:val="008F5743"/>
    <w:rsid w:val="00911576"/>
    <w:rsid w:val="00911AE4"/>
    <w:rsid w:val="00912782"/>
    <w:rsid w:val="00920083"/>
    <w:rsid w:val="00922315"/>
    <w:rsid w:val="00924B4D"/>
    <w:rsid w:val="00926ED6"/>
    <w:rsid w:val="00927AFB"/>
    <w:rsid w:val="0093598D"/>
    <w:rsid w:val="009371F3"/>
    <w:rsid w:val="00937FD6"/>
    <w:rsid w:val="00943039"/>
    <w:rsid w:val="00946AF8"/>
    <w:rsid w:val="009505D8"/>
    <w:rsid w:val="009577E3"/>
    <w:rsid w:val="00962F76"/>
    <w:rsid w:val="00964F8C"/>
    <w:rsid w:val="00965DB6"/>
    <w:rsid w:val="00967BBA"/>
    <w:rsid w:val="009707E7"/>
    <w:rsid w:val="00983314"/>
    <w:rsid w:val="009855F1"/>
    <w:rsid w:val="009907CA"/>
    <w:rsid w:val="0099249D"/>
    <w:rsid w:val="00996EBF"/>
    <w:rsid w:val="009A5D4B"/>
    <w:rsid w:val="009A71FB"/>
    <w:rsid w:val="009B1844"/>
    <w:rsid w:val="009B217F"/>
    <w:rsid w:val="009C0EF9"/>
    <w:rsid w:val="009C1FCB"/>
    <w:rsid w:val="009C2428"/>
    <w:rsid w:val="009C743D"/>
    <w:rsid w:val="009D669C"/>
    <w:rsid w:val="009D70BE"/>
    <w:rsid w:val="009D70F4"/>
    <w:rsid w:val="009E0D04"/>
    <w:rsid w:val="009E1BF2"/>
    <w:rsid w:val="009E62E3"/>
    <w:rsid w:val="009F059A"/>
    <w:rsid w:val="00A06D9E"/>
    <w:rsid w:val="00A1075D"/>
    <w:rsid w:val="00A149CD"/>
    <w:rsid w:val="00A236C7"/>
    <w:rsid w:val="00A3032F"/>
    <w:rsid w:val="00A32AD1"/>
    <w:rsid w:val="00A32E8E"/>
    <w:rsid w:val="00A33AF4"/>
    <w:rsid w:val="00A33CAD"/>
    <w:rsid w:val="00A35B67"/>
    <w:rsid w:val="00A375F2"/>
    <w:rsid w:val="00A43449"/>
    <w:rsid w:val="00A445C6"/>
    <w:rsid w:val="00A50119"/>
    <w:rsid w:val="00A538E5"/>
    <w:rsid w:val="00A67F85"/>
    <w:rsid w:val="00A91510"/>
    <w:rsid w:val="00A91AE5"/>
    <w:rsid w:val="00A92B3E"/>
    <w:rsid w:val="00A95413"/>
    <w:rsid w:val="00AA2A0F"/>
    <w:rsid w:val="00AB2AF3"/>
    <w:rsid w:val="00AC074C"/>
    <w:rsid w:val="00AC116F"/>
    <w:rsid w:val="00AD2763"/>
    <w:rsid w:val="00AD431C"/>
    <w:rsid w:val="00AD5867"/>
    <w:rsid w:val="00AE4069"/>
    <w:rsid w:val="00AF15F6"/>
    <w:rsid w:val="00AF5693"/>
    <w:rsid w:val="00AF5723"/>
    <w:rsid w:val="00AF74BD"/>
    <w:rsid w:val="00B00A78"/>
    <w:rsid w:val="00B00E86"/>
    <w:rsid w:val="00B014B5"/>
    <w:rsid w:val="00B06A4B"/>
    <w:rsid w:val="00B06FEF"/>
    <w:rsid w:val="00B13001"/>
    <w:rsid w:val="00B14873"/>
    <w:rsid w:val="00B15E0A"/>
    <w:rsid w:val="00B2040A"/>
    <w:rsid w:val="00B21ECB"/>
    <w:rsid w:val="00B30990"/>
    <w:rsid w:val="00B31821"/>
    <w:rsid w:val="00B35BCD"/>
    <w:rsid w:val="00B36F03"/>
    <w:rsid w:val="00B40B74"/>
    <w:rsid w:val="00B46B6E"/>
    <w:rsid w:val="00B561A4"/>
    <w:rsid w:val="00B60BC9"/>
    <w:rsid w:val="00B642EF"/>
    <w:rsid w:val="00B66765"/>
    <w:rsid w:val="00B81529"/>
    <w:rsid w:val="00B84718"/>
    <w:rsid w:val="00B874C2"/>
    <w:rsid w:val="00B90440"/>
    <w:rsid w:val="00B95581"/>
    <w:rsid w:val="00BA4429"/>
    <w:rsid w:val="00BB64D5"/>
    <w:rsid w:val="00BC05F9"/>
    <w:rsid w:val="00BC19BD"/>
    <w:rsid w:val="00BC4ACE"/>
    <w:rsid w:val="00BC674C"/>
    <w:rsid w:val="00BD4726"/>
    <w:rsid w:val="00BD5FDC"/>
    <w:rsid w:val="00BE21DC"/>
    <w:rsid w:val="00BE2230"/>
    <w:rsid w:val="00BE26CC"/>
    <w:rsid w:val="00BE7A0A"/>
    <w:rsid w:val="00BE7C08"/>
    <w:rsid w:val="00BF0259"/>
    <w:rsid w:val="00BF136C"/>
    <w:rsid w:val="00BF6C45"/>
    <w:rsid w:val="00C03309"/>
    <w:rsid w:val="00C05F3C"/>
    <w:rsid w:val="00C11907"/>
    <w:rsid w:val="00C12A1A"/>
    <w:rsid w:val="00C22BBD"/>
    <w:rsid w:val="00C25540"/>
    <w:rsid w:val="00C26FF3"/>
    <w:rsid w:val="00C300B9"/>
    <w:rsid w:val="00C31712"/>
    <w:rsid w:val="00C3324E"/>
    <w:rsid w:val="00C37676"/>
    <w:rsid w:val="00C43D8D"/>
    <w:rsid w:val="00C50AE7"/>
    <w:rsid w:val="00C572EC"/>
    <w:rsid w:val="00C57546"/>
    <w:rsid w:val="00C6044D"/>
    <w:rsid w:val="00C61ED6"/>
    <w:rsid w:val="00C630C9"/>
    <w:rsid w:val="00C64E50"/>
    <w:rsid w:val="00C70C55"/>
    <w:rsid w:val="00C7344B"/>
    <w:rsid w:val="00C81196"/>
    <w:rsid w:val="00C87C95"/>
    <w:rsid w:val="00C90901"/>
    <w:rsid w:val="00C91314"/>
    <w:rsid w:val="00C91BB9"/>
    <w:rsid w:val="00CA1C35"/>
    <w:rsid w:val="00CA57BA"/>
    <w:rsid w:val="00CA5E12"/>
    <w:rsid w:val="00CA6F26"/>
    <w:rsid w:val="00CB75F8"/>
    <w:rsid w:val="00CC2168"/>
    <w:rsid w:val="00CC7D60"/>
    <w:rsid w:val="00CD28D1"/>
    <w:rsid w:val="00CD532E"/>
    <w:rsid w:val="00CD5986"/>
    <w:rsid w:val="00CD5D24"/>
    <w:rsid w:val="00CE04F9"/>
    <w:rsid w:val="00CE0591"/>
    <w:rsid w:val="00CE0A81"/>
    <w:rsid w:val="00CE2B15"/>
    <w:rsid w:val="00CE4858"/>
    <w:rsid w:val="00CF252A"/>
    <w:rsid w:val="00D02D45"/>
    <w:rsid w:val="00D04C31"/>
    <w:rsid w:val="00D05DE1"/>
    <w:rsid w:val="00D07A6B"/>
    <w:rsid w:val="00D11399"/>
    <w:rsid w:val="00D14AE0"/>
    <w:rsid w:val="00D177CD"/>
    <w:rsid w:val="00D21993"/>
    <w:rsid w:val="00D23CB3"/>
    <w:rsid w:val="00D26C03"/>
    <w:rsid w:val="00D348EE"/>
    <w:rsid w:val="00D41BAA"/>
    <w:rsid w:val="00D55BB9"/>
    <w:rsid w:val="00D60B8B"/>
    <w:rsid w:val="00D667E5"/>
    <w:rsid w:val="00D66B82"/>
    <w:rsid w:val="00D71710"/>
    <w:rsid w:val="00D86199"/>
    <w:rsid w:val="00D91499"/>
    <w:rsid w:val="00D94C19"/>
    <w:rsid w:val="00D95B2D"/>
    <w:rsid w:val="00DA3702"/>
    <w:rsid w:val="00DA3A9E"/>
    <w:rsid w:val="00DA5865"/>
    <w:rsid w:val="00DB0E53"/>
    <w:rsid w:val="00DB113F"/>
    <w:rsid w:val="00DC17EF"/>
    <w:rsid w:val="00DC788B"/>
    <w:rsid w:val="00DD390A"/>
    <w:rsid w:val="00DD5EC1"/>
    <w:rsid w:val="00DD6C81"/>
    <w:rsid w:val="00DD7111"/>
    <w:rsid w:val="00DE037B"/>
    <w:rsid w:val="00DE314E"/>
    <w:rsid w:val="00DE43B8"/>
    <w:rsid w:val="00DE5703"/>
    <w:rsid w:val="00DE5B05"/>
    <w:rsid w:val="00DE7A44"/>
    <w:rsid w:val="00E015E9"/>
    <w:rsid w:val="00E01EEF"/>
    <w:rsid w:val="00E02145"/>
    <w:rsid w:val="00E02684"/>
    <w:rsid w:val="00E055A1"/>
    <w:rsid w:val="00E05C76"/>
    <w:rsid w:val="00E0676B"/>
    <w:rsid w:val="00E1214C"/>
    <w:rsid w:val="00E13E65"/>
    <w:rsid w:val="00E2024C"/>
    <w:rsid w:val="00E258E6"/>
    <w:rsid w:val="00E264BB"/>
    <w:rsid w:val="00E57B9F"/>
    <w:rsid w:val="00E600E3"/>
    <w:rsid w:val="00E65FA4"/>
    <w:rsid w:val="00E75444"/>
    <w:rsid w:val="00E778AF"/>
    <w:rsid w:val="00E813C3"/>
    <w:rsid w:val="00E86933"/>
    <w:rsid w:val="00E933B6"/>
    <w:rsid w:val="00E950B0"/>
    <w:rsid w:val="00E95F1D"/>
    <w:rsid w:val="00EA105A"/>
    <w:rsid w:val="00EA1ABB"/>
    <w:rsid w:val="00EA7DAE"/>
    <w:rsid w:val="00EB1911"/>
    <w:rsid w:val="00EB7273"/>
    <w:rsid w:val="00EC4812"/>
    <w:rsid w:val="00EC4D42"/>
    <w:rsid w:val="00ED3FEB"/>
    <w:rsid w:val="00EE0ACE"/>
    <w:rsid w:val="00EE1E62"/>
    <w:rsid w:val="00EE5644"/>
    <w:rsid w:val="00EF0448"/>
    <w:rsid w:val="00EF2554"/>
    <w:rsid w:val="00EF68FE"/>
    <w:rsid w:val="00F13B7E"/>
    <w:rsid w:val="00F176F4"/>
    <w:rsid w:val="00F21091"/>
    <w:rsid w:val="00F22610"/>
    <w:rsid w:val="00F22F63"/>
    <w:rsid w:val="00F25A79"/>
    <w:rsid w:val="00F27BCE"/>
    <w:rsid w:val="00F31A9A"/>
    <w:rsid w:val="00F41D06"/>
    <w:rsid w:val="00F42D40"/>
    <w:rsid w:val="00F4769B"/>
    <w:rsid w:val="00F50687"/>
    <w:rsid w:val="00F5480A"/>
    <w:rsid w:val="00F5512D"/>
    <w:rsid w:val="00F5656E"/>
    <w:rsid w:val="00F66363"/>
    <w:rsid w:val="00F80F1F"/>
    <w:rsid w:val="00F83408"/>
    <w:rsid w:val="00F90D00"/>
    <w:rsid w:val="00FA0B4C"/>
    <w:rsid w:val="00FA27E5"/>
    <w:rsid w:val="00FA4044"/>
    <w:rsid w:val="00FB1D5D"/>
    <w:rsid w:val="00FB3688"/>
    <w:rsid w:val="00FB5CA4"/>
    <w:rsid w:val="00FB6D36"/>
    <w:rsid w:val="00FC75A8"/>
    <w:rsid w:val="00FD048E"/>
    <w:rsid w:val="00FD05A4"/>
    <w:rsid w:val="00FD55C8"/>
    <w:rsid w:val="00FE037D"/>
    <w:rsid w:val="00FE137E"/>
    <w:rsid w:val="00FF24E0"/>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AA09"/>
  <w15:docId w15:val="{FD0A3009-458C-4D53-899B-E3B12730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911"/>
    <w:pPr>
      <w:keepNext/>
      <w:numPr>
        <w:numId w:val="5"/>
      </w:numPr>
      <w:autoSpaceDE w:val="0"/>
      <w:autoSpaceDN w:val="0"/>
      <w:adjustRightInd w:val="0"/>
      <w:spacing w:before="120" w:after="240" w:line="240" w:lineRule="auto"/>
      <w:ind w:left="431" w:hanging="431"/>
      <w:outlineLvl w:val="0"/>
    </w:pPr>
    <w:rPr>
      <w:rFonts w:eastAsia="Times New Roman" w:cstheme="minorHAnsi"/>
      <w:b/>
      <w:bCs/>
      <w:color w:val="000000"/>
      <w:sz w:val="32"/>
      <w:szCs w:val="28"/>
      <w:lang w:eastAsia="zh-CN"/>
    </w:rPr>
  </w:style>
  <w:style w:type="paragraph" w:styleId="Heading2">
    <w:name w:val="heading 2"/>
    <w:basedOn w:val="ListParagraph"/>
    <w:next w:val="Normal"/>
    <w:link w:val="Heading2Char"/>
    <w:uiPriority w:val="9"/>
    <w:unhideWhenUsed/>
    <w:qFormat/>
    <w:rsid w:val="00EB1911"/>
    <w:pPr>
      <w:keepNext/>
      <w:autoSpaceDE w:val="0"/>
      <w:autoSpaceDN w:val="0"/>
      <w:adjustRightInd w:val="0"/>
      <w:spacing w:before="240" w:after="120"/>
      <w:ind w:left="0"/>
      <w:outlineLvl w:val="1"/>
    </w:pPr>
    <w:rPr>
      <w:rFonts w:cstheme="minorHAnsi"/>
      <w:b/>
      <w:bCs/>
      <w:lang w:eastAsia="zh-CN"/>
    </w:rPr>
  </w:style>
  <w:style w:type="paragraph" w:styleId="Heading3">
    <w:name w:val="heading 3"/>
    <w:basedOn w:val="Normal"/>
    <w:next w:val="Normal"/>
    <w:link w:val="Heading3Char"/>
    <w:unhideWhenUsed/>
    <w:qFormat/>
    <w:rsid w:val="00EB1911"/>
    <w:pPr>
      <w:keepNext/>
      <w:numPr>
        <w:ilvl w:val="2"/>
        <w:numId w:val="5"/>
      </w:numPr>
      <w:spacing w:before="240" w:after="120" w:line="240" w:lineRule="auto"/>
      <w:outlineLvl w:val="2"/>
    </w:pPr>
    <w:rPr>
      <w:rFonts w:eastAsia="Times New Roman" w:cstheme="minorHAnsi"/>
      <w:b/>
      <w:bCs/>
    </w:rPr>
  </w:style>
  <w:style w:type="paragraph" w:styleId="Heading4">
    <w:name w:val="heading 4"/>
    <w:basedOn w:val="Normal"/>
    <w:next w:val="Normal"/>
    <w:link w:val="Heading4Char"/>
    <w:unhideWhenUsed/>
    <w:qFormat/>
    <w:rsid w:val="00EB1911"/>
    <w:pPr>
      <w:keepNext/>
      <w:numPr>
        <w:ilvl w:val="3"/>
        <w:numId w:val="5"/>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EB1911"/>
    <w:pPr>
      <w:keepNext/>
      <w:numPr>
        <w:ilvl w:val="4"/>
        <w:numId w:val="5"/>
      </w:numPr>
      <w:spacing w:after="0" w:line="240" w:lineRule="auto"/>
      <w:outlineLvl w:val="4"/>
    </w:pPr>
    <w:rPr>
      <w:rFonts w:ascii="CG Omega" w:eastAsia="Times New Roman" w:hAnsi="CG Omega" w:cs="Times New Roman"/>
      <w:sz w:val="18"/>
      <w:szCs w:val="20"/>
    </w:rPr>
  </w:style>
  <w:style w:type="paragraph" w:styleId="Heading6">
    <w:name w:val="heading 6"/>
    <w:basedOn w:val="Normal"/>
    <w:next w:val="Normal"/>
    <w:link w:val="Heading6Char"/>
    <w:uiPriority w:val="9"/>
    <w:semiHidden/>
    <w:unhideWhenUsed/>
    <w:qFormat/>
    <w:rsid w:val="00EB1911"/>
    <w:pPr>
      <w:keepNext/>
      <w:keepLines/>
      <w:numPr>
        <w:ilvl w:val="5"/>
        <w:numId w:val="5"/>
      </w:numPr>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EB1911"/>
    <w:pPr>
      <w:keepNext/>
      <w:keepLines/>
      <w:numPr>
        <w:ilvl w:val="6"/>
        <w:numId w:val="5"/>
      </w:numPr>
      <w:spacing w:before="200" w:after="0" w:line="240" w:lineRule="auto"/>
      <w:ind w:left="5040" w:hanging="36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EB1911"/>
    <w:pPr>
      <w:keepNext/>
      <w:keepLines/>
      <w:numPr>
        <w:ilvl w:val="7"/>
        <w:numId w:val="5"/>
      </w:numPr>
      <w:spacing w:before="200" w:after="0" w:line="240" w:lineRule="auto"/>
      <w:ind w:left="576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1911"/>
    <w:pPr>
      <w:keepNext/>
      <w:keepLines/>
      <w:numPr>
        <w:ilvl w:val="8"/>
        <w:numId w:val="5"/>
      </w:numPr>
      <w:spacing w:before="200" w:after="0" w:line="240" w:lineRule="auto"/>
      <w:ind w:left="6480" w:hanging="3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8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semiHidden/>
    <w:unhideWhenUsed/>
    <w:rsid w:val="00824882"/>
    <w:rPr>
      <w:sz w:val="16"/>
      <w:szCs w:val="16"/>
    </w:rPr>
  </w:style>
  <w:style w:type="paragraph" w:styleId="CommentText">
    <w:name w:val="annotation text"/>
    <w:basedOn w:val="Normal"/>
    <w:link w:val="CommentTextChar"/>
    <w:unhideWhenUsed/>
    <w:rsid w:val="00824882"/>
    <w:pPr>
      <w:spacing w:line="240" w:lineRule="auto"/>
    </w:pPr>
    <w:rPr>
      <w:sz w:val="20"/>
      <w:szCs w:val="20"/>
    </w:rPr>
  </w:style>
  <w:style w:type="character" w:customStyle="1" w:styleId="CommentTextChar">
    <w:name w:val="Comment Text Char"/>
    <w:basedOn w:val="DefaultParagraphFont"/>
    <w:link w:val="CommentText"/>
    <w:rsid w:val="00824882"/>
    <w:rPr>
      <w:sz w:val="20"/>
      <w:szCs w:val="20"/>
    </w:rPr>
  </w:style>
  <w:style w:type="paragraph" w:styleId="CommentSubject">
    <w:name w:val="annotation subject"/>
    <w:basedOn w:val="CommentText"/>
    <w:next w:val="CommentText"/>
    <w:link w:val="CommentSubjectChar"/>
    <w:uiPriority w:val="99"/>
    <w:semiHidden/>
    <w:unhideWhenUsed/>
    <w:qFormat/>
    <w:rsid w:val="00824882"/>
    <w:rPr>
      <w:b/>
      <w:bCs/>
    </w:rPr>
  </w:style>
  <w:style w:type="character" w:customStyle="1" w:styleId="CommentSubjectChar">
    <w:name w:val="Comment Subject Char"/>
    <w:basedOn w:val="CommentTextChar"/>
    <w:link w:val="CommentSubject"/>
    <w:uiPriority w:val="99"/>
    <w:semiHidden/>
    <w:qFormat/>
    <w:rsid w:val="00824882"/>
    <w:rPr>
      <w:b/>
      <w:bCs/>
      <w:sz w:val="20"/>
      <w:szCs w:val="20"/>
    </w:rPr>
  </w:style>
  <w:style w:type="paragraph" w:styleId="BalloonText">
    <w:name w:val="Balloon Text"/>
    <w:basedOn w:val="Normal"/>
    <w:link w:val="BalloonTextChar"/>
    <w:uiPriority w:val="99"/>
    <w:semiHidden/>
    <w:unhideWhenUsed/>
    <w:rsid w:val="00824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2"/>
    <w:rPr>
      <w:rFonts w:ascii="Segoe UI" w:hAnsi="Segoe UI" w:cs="Segoe UI"/>
      <w:sz w:val="18"/>
      <w:szCs w:val="18"/>
    </w:rPr>
  </w:style>
  <w:style w:type="paragraph" w:customStyle="1" w:styleId="Pa6">
    <w:name w:val="Pa6"/>
    <w:basedOn w:val="Default"/>
    <w:next w:val="Default"/>
    <w:uiPriority w:val="99"/>
    <w:rsid w:val="00762E2F"/>
    <w:pPr>
      <w:spacing w:line="180" w:lineRule="atLeast"/>
    </w:pPr>
    <w:rPr>
      <w:rFonts w:ascii="ScalaLancetPro" w:hAnsi="ScalaLancetPro" w:cstheme="minorBidi"/>
      <w:color w:val="auto"/>
    </w:rPr>
  </w:style>
  <w:style w:type="paragraph" w:customStyle="1" w:styleId="Pa7">
    <w:name w:val="Pa7"/>
    <w:basedOn w:val="Default"/>
    <w:next w:val="Default"/>
    <w:uiPriority w:val="99"/>
    <w:rsid w:val="00762E2F"/>
    <w:pPr>
      <w:spacing w:line="180" w:lineRule="atLeast"/>
    </w:pPr>
    <w:rPr>
      <w:rFonts w:ascii="ScalaLancetPro" w:hAnsi="ScalaLancetPro" w:cstheme="minorBidi"/>
      <w:color w:val="auto"/>
    </w:rPr>
  </w:style>
  <w:style w:type="character" w:styleId="FootnoteReference">
    <w:name w:val="footnote reference"/>
    <w:basedOn w:val="DefaultParagraphFont"/>
    <w:uiPriority w:val="99"/>
    <w:semiHidden/>
    <w:unhideWhenUsed/>
    <w:rsid w:val="00CE0591"/>
    <w:rPr>
      <w:vertAlign w:val="superscript"/>
    </w:rPr>
  </w:style>
  <w:style w:type="paragraph" w:styleId="ListParagraph">
    <w:name w:val="List Paragraph"/>
    <w:basedOn w:val="Normal"/>
    <w:uiPriority w:val="34"/>
    <w:qFormat/>
    <w:rsid w:val="00F21091"/>
    <w:pPr>
      <w:spacing w:after="0" w:line="240" w:lineRule="auto"/>
      <w:ind w:left="720"/>
      <w:contextualSpacing/>
    </w:pPr>
    <w:rPr>
      <w:rFonts w:eastAsia="Times New Roman" w:cs="Times New Roman"/>
      <w:sz w:val="24"/>
      <w:szCs w:val="24"/>
    </w:rPr>
  </w:style>
  <w:style w:type="character" w:customStyle="1" w:styleId="Heading1Char">
    <w:name w:val="Heading 1 Char"/>
    <w:basedOn w:val="DefaultParagraphFont"/>
    <w:link w:val="Heading1"/>
    <w:uiPriority w:val="9"/>
    <w:rsid w:val="00EB1911"/>
    <w:rPr>
      <w:rFonts w:eastAsia="Times New Roman" w:cstheme="minorHAnsi"/>
      <w:b/>
      <w:bCs/>
      <w:color w:val="000000"/>
      <w:sz w:val="32"/>
      <w:szCs w:val="28"/>
      <w:lang w:eastAsia="zh-CN"/>
    </w:rPr>
  </w:style>
  <w:style w:type="character" w:customStyle="1" w:styleId="Heading2Char">
    <w:name w:val="Heading 2 Char"/>
    <w:basedOn w:val="DefaultParagraphFont"/>
    <w:link w:val="Heading2"/>
    <w:uiPriority w:val="9"/>
    <w:rsid w:val="00EB1911"/>
    <w:rPr>
      <w:rFonts w:eastAsia="Times New Roman" w:cstheme="minorHAnsi"/>
      <w:b/>
      <w:bCs/>
      <w:sz w:val="24"/>
      <w:szCs w:val="24"/>
      <w:lang w:eastAsia="zh-CN"/>
    </w:rPr>
  </w:style>
  <w:style w:type="character" w:customStyle="1" w:styleId="Heading3Char">
    <w:name w:val="Heading 3 Char"/>
    <w:basedOn w:val="DefaultParagraphFont"/>
    <w:link w:val="Heading3"/>
    <w:rsid w:val="00EB1911"/>
    <w:rPr>
      <w:rFonts w:eastAsia="Times New Roman" w:cstheme="minorHAnsi"/>
      <w:b/>
      <w:bCs/>
    </w:rPr>
  </w:style>
  <w:style w:type="character" w:customStyle="1" w:styleId="Heading4Char">
    <w:name w:val="Heading 4 Char"/>
    <w:basedOn w:val="DefaultParagraphFont"/>
    <w:link w:val="Heading4"/>
    <w:rsid w:val="00EB1911"/>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EB1911"/>
    <w:rPr>
      <w:rFonts w:ascii="CG Omega" w:eastAsia="Times New Roman" w:hAnsi="CG Omega" w:cs="Times New Roman"/>
      <w:sz w:val="18"/>
      <w:szCs w:val="20"/>
    </w:rPr>
  </w:style>
  <w:style w:type="character" w:customStyle="1" w:styleId="Heading6Char">
    <w:name w:val="Heading 6 Char"/>
    <w:basedOn w:val="DefaultParagraphFont"/>
    <w:link w:val="Heading6"/>
    <w:uiPriority w:val="9"/>
    <w:semiHidden/>
    <w:rsid w:val="00EB1911"/>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EB191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B19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19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EB1911"/>
    <w:pPr>
      <w:spacing w:after="200" w:line="240" w:lineRule="auto"/>
    </w:pPr>
    <w:rPr>
      <w:rFonts w:eastAsia="Times New Roman" w:cs="Times New Roman"/>
      <w:b/>
      <w:bCs/>
      <w:szCs w:val="18"/>
    </w:rPr>
  </w:style>
  <w:style w:type="character" w:styleId="PlaceholderText">
    <w:name w:val="Placeholder Text"/>
    <w:basedOn w:val="DefaultParagraphFont"/>
    <w:uiPriority w:val="99"/>
    <w:semiHidden/>
    <w:rsid w:val="00EB1911"/>
    <w:rPr>
      <w:color w:val="808080"/>
    </w:rPr>
  </w:style>
  <w:style w:type="table" w:styleId="TableGrid">
    <w:name w:val="Table Grid"/>
    <w:basedOn w:val="TableNormal"/>
    <w:uiPriority w:val="39"/>
    <w:rsid w:val="004A3859"/>
    <w:pPr>
      <w:spacing w:after="0" w:line="240" w:lineRule="auto"/>
    </w:pPr>
    <w:rPr>
      <w:rFonts w:ascii="Calibri" w:eastAsia="PMingLiU"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249D"/>
    <w:rPr>
      <w:color w:val="0000FF"/>
      <w:u w:val="single"/>
    </w:rPr>
  </w:style>
  <w:style w:type="character" w:customStyle="1" w:styleId="period">
    <w:name w:val="period"/>
    <w:basedOn w:val="DefaultParagraphFont"/>
    <w:rsid w:val="0099249D"/>
  </w:style>
  <w:style w:type="character" w:customStyle="1" w:styleId="cit">
    <w:name w:val="cit"/>
    <w:basedOn w:val="DefaultParagraphFont"/>
    <w:rsid w:val="0099249D"/>
  </w:style>
  <w:style w:type="character" w:customStyle="1" w:styleId="citation-doi">
    <w:name w:val="citation-doi"/>
    <w:basedOn w:val="DefaultParagraphFont"/>
    <w:rsid w:val="0099249D"/>
  </w:style>
  <w:style w:type="paragraph" w:styleId="PlainText">
    <w:name w:val="Plain Text"/>
    <w:basedOn w:val="Normal"/>
    <w:link w:val="PlainTextChar"/>
    <w:uiPriority w:val="99"/>
    <w:unhideWhenUsed/>
    <w:rsid w:val="004E23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2379"/>
    <w:rPr>
      <w:rFonts w:ascii="Calibri" w:hAnsi="Calibri"/>
      <w:szCs w:val="21"/>
    </w:rPr>
  </w:style>
  <w:style w:type="paragraph" w:styleId="Revision">
    <w:name w:val="Revision"/>
    <w:hidden/>
    <w:uiPriority w:val="99"/>
    <w:semiHidden/>
    <w:rsid w:val="0068256E"/>
    <w:pPr>
      <w:spacing w:after="0" w:line="240" w:lineRule="auto"/>
    </w:pPr>
  </w:style>
  <w:style w:type="paragraph" w:customStyle="1" w:styleId="EndNoteBibliographyTitle">
    <w:name w:val="EndNote Bibliography Title"/>
    <w:basedOn w:val="Normal"/>
    <w:link w:val="EndNoteBibliographyTitleChar"/>
    <w:rsid w:val="00FF67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F67BB"/>
    <w:rPr>
      <w:rFonts w:ascii="Calibri" w:hAnsi="Calibri" w:cs="Calibri"/>
      <w:noProof/>
      <w:lang w:val="en-US"/>
    </w:rPr>
  </w:style>
  <w:style w:type="paragraph" w:customStyle="1" w:styleId="EndNoteBibliography">
    <w:name w:val="EndNote Bibliography"/>
    <w:basedOn w:val="Normal"/>
    <w:link w:val="EndNoteBibliographyChar"/>
    <w:rsid w:val="00FF67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F67BB"/>
    <w:rPr>
      <w:rFonts w:ascii="Calibri" w:hAnsi="Calibri" w:cs="Calibri"/>
      <w:noProof/>
      <w:lang w:val="en-US"/>
    </w:rPr>
  </w:style>
  <w:style w:type="character" w:styleId="FollowedHyperlink">
    <w:name w:val="FollowedHyperlink"/>
    <w:basedOn w:val="DefaultParagraphFont"/>
    <w:uiPriority w:val="99"/>
    <w:semiHidden/>
    <w:unhideWhenUsed/>
    <w:rsid w:val="00185F05"/>
    <w:rPr>
      <w:color w:val="954F72" w:themeColor="followedHyperlink"/>
      <w:u w:val="single"/>
    </w:rPr>
  </w:style>
  <w:style w:type="paragraph" w:styleId="Bibliography">
    <w:name w:val="Bibliography"/>
    <w:basedOn w:val="Normal"/>
    <w:next w:val="Normal"/>
    <w:uiPriority w:val="37"/>
    <w:unhideWhenUsed/>
    <w:rsid w:val="00D91499"/>
  </w:style>
  <w:style w:type="paragraph" w:styleId="Header">
    <w:name w:val="header"/>
    <w:basedOn w:val="Normal"/>
    <w:link w:val="HeaderChar"/>
    <w:uiPriority w:val="99"/>
    <w:unhideWhenUsed/>
    <w:rsid w:val="00643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CE0"/>
  </w:style>
  <w:style w:type="paragraph" w:styleId="Footer">
    <w:name w:val="footer"/>
    <w:basedOn w:val="Normal"/>
    <w:link w:val="FooterChar"/>
    <w:uiPriority w:val="99"/>
    <w:unhideWhenUsed/>
    <w:rsid w:val="00643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CE0"/>
  </w:style>
  <w:style w:type="character" w:customStyle="1" w:styleId="secondary-date">
    <w:name w:val="secondary-date"/>
    <w:basedOn w:val="DefaultParagraphFont"/>
    <w:rsid w:val="00050BB8"/>
  </w:style>
  <w:style w:type="character" w:styleId="Emphasis">
    <w:name w:val="Emphasis"/>
    <w:basedOn w:val="DefaultParagraphFont"/>
    <w:uiPriority w:val="20"/>
    <w:qFormat/>
    <w:rsid w:val="00B21ECB"/>
    <w:rPr>
      <w:i/>
      <w:iCs/>
    </w:rPr>
  </w:style>
  <w:style w:type="character" w:styleId="LineNumber">
    <w:name w:val="line number"/>
    <w:basedOn w:val="DefaultParagraphFont"/>
    <w:uiPriority w:val="99"/>
    <w:semiHidden/>
    <w:unhideWhenUsed/>
    <w:rsid w:val="0002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288">
      <w:bodyDiv w:val="1"/>
      <w:marLeft w:val="0"/>
      <w:marRight w:val="0"/>
      <w:marTop w:val="0"/>
      <w:marBottom w:val="0"/>
      <w:divBdr>
        <w:top w:val="none" w:sz="0" w:space="0" w:color="auto"/>
        <w:left w:val="none" w:sz="0" w:space="0" w:color="auto"/>
        <w:bottom w:val="none" w:sz="0" w:space="0" w:color="auto"/>
        <w:right w:val="none" w:sz="0" w:space="0" w:color="auto"/>
      </w:divBdr>
    </w:div>
    <w:div w:id="97603404">
      <w:bodyDiv w:val="1"/>
      <w:marLeft w:val="0"/>
      <w:marRight w:val="0"/>
      <w:marTop w:val="0"/>
      <w:marBottom w:val="0"/>
      <w:divBdr>
        <w:top w:val="none" w:sz="0" w:space="0" w:color="auto"/>
        <w:left w:val="none" w:sz="0" w:space="0" w:color="auto"/>
        <w:bottom w:val="none" w:sz="0" w:space="0" w:color="auto"/>
        <w:right w:val="none" w:sz="0" w:space="0" w:color="auto"/>
      </w:divBdr>
    </w:div>
    <w:div w:id="218518532">
      <w:bodyDiv w:val="1"/>
      <w:marLeft w:val="0"/>
      <w:marRight w:val="0"/>
      <w:marTop w:val="0"/>
      <w:marBottom w:val="0"/>
      <w:divBdr>
        <w:top w:val="none" w:sz="0" w:space="0" w:color="auto"/>
        <w:left w:val="none" w:sz="0" w:space="0" w:color="auto"/>
        <w:bottom w:val="none" w:sz="0" w:space="0" w:color="auto"/>
        <w:right w:val="none" w:sz="0" w:space="0" w:color="auto"/>
      </w:divBdr>
    </w:div>
    <w:div w:id="229539736">
      <w:bodyDiv w:val="1"/>
      <w:marLeft w:val="0"/>
      <w:marRight w:val="0"/>
      <w:marTop w:val="0"/>
      <w:marBottom w:val="0"/>
      <w:divBdr>
        <w:top w:val="none" w:sz="0" w:space="0" w:color="auto"/>
        <w:left w:val="none" w:sz="0" w:space="0" w:color="auto"/>
        <w:bottom w:val="none" w:sz="0" w:space="0" w:color="auto"/>
        <w:right w:val="none" w:sz="0" w:space="0" w:color="auto"/>
      </w:divBdr>
    </w:div>
    <w:div w:id="239290980">
      <w:bodyDiv w:val="1"/>
      <w:marLeft w:val="0"/>
      <w:marRight w:val="0"/>
      <w:marTop w:val="0"/>
      <w:marBottom w:val="0"/>
      <w:divBdr>
        <w:top w:val="none" w:sz="0" w:space="0" w:color="auto"/>
        <w:left w:val="none" w:sz="0" w:space="0" w:color="auto"/>
        <w:bottom w:val="none" w:sz="0" w:space="0" w:color="auto"/>
        <w:right w:val="none" w:sz="0" w:space="0" w:color="auto"/>
      </w:divBdr>
    </w:div>
    <w:div w:id="295337756">
      <w:bodyDiv w:val="1"/>
      <w:marLeft w:val="0"/>
      <w:marRight w:val="0"/>
      <w:marTop w:val="0"/>
      <w:marBottom w:val="0"/>
      <w:divBdr>
        <w:top w:val="none" w:sz="0" w:space="0" w:color="auto"/>
        <w:left w:val="none" w:sz="0" w:space="0" w:color="auto"/>
        <w:bottom w:val="none" w:sz="0" w:space="0" w:color="auto"/>
        <w:right w:val="none" w:sz="0" w:space="0" w:color="auto"/>
      </w:divBdr>
    </w:div>
    <w:div w:id="310184471">
      <w:bodyDiv w:val="1"/>
      <w:marLeft w:val="0"/>
      <w:marRight w:val="0"/>
      <w:marTop w:val="0"/>
      <w:marBottom w:val="0"/>
      <w:divBdr>
        <w:top w:val="none" w:sz="0" w:space="0" w:color="auto"/>
        <w:left w:val="none" w:sz="0" w:space="0" w:color="auto"/>
        <w:bottom w:val="none" w:sz="0" w:space="0" w:color="auto"/>
        <w:right w:val="none" w:sz="0" w:space="0" w:color="auto"/>
      </w:divBdr>
      <w:divsChild>
        <w:div w:id="1268385276">
          <w:marLeft w:val="0"/>
          <w:marRight w:val="0"/>
          <w:marTop w:val="0"/>
          <w:marBottom w:val="0"/>
          <w:divBdr>
            <w:top w:val="none" w:sz="0" w:space="0" w:color="auto"/>
            <w:left w:val="none" w:sz="0" w:space="0" w:color="auto"/>
            <w:bottom w:val="none" w:sz="0" w:space="0" w:color="auto"/>
            <w:right w:val="none" w:sz="0" w:space="0" w:color="auto"/>
          </w:divBdr>
          <w:divsChild>
            <w:div w:id="1001353653">
              <w:marLeft w:val="0"/>
              <w:marRight w:val="0"/>
              <w:marTop w:val="0"/>
              <w:marBottom w:val="0"/>
              <w:divBdr>
                <w:top w:val="none" w:sz="0" w:space="0" w:color="auto"/>
                <w:left w:val="none" w:sz="0" w:space="0" w:color="auto"/>
                <w:bottom w:val="none" w:sz="0" w:space="0" w:color="auto"/>
                <w:right w:val="none" w:sz="0" w:space="0" w:color="auto"/>
              </w:divBdr>
              <w:divsChild>
                <w:div w:id="792942056">
                  <w:marLeft w:val="0"/>
                  <w:marRight w:val="0"/>
                  <w:marTop w:val="0"/>
                  <w:marBottom w:val="0"/>
                  <w:divBdr>
                    <w:top w:val="none" w:sz="0" w:space="0" w:color="auto"/>
                    <w:left w:val="none" w:sz="0" w:space="0" w:color="auto"/>
                    <w:bottom w:val="none" w:sz="0" w:space="0" w:color="auto"/>
                    <w:right w:val="none" w:sz="0" w:space="0" w:color="auto"/>
                  </w:divBdr>
                  <w:divsChild>
                    <w:div w:id="9414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21100">
      <w:bodyDiv w:val="1"/>
      <w:marLeft w:val="0"/>
      <w:marRight w:val="0"/>
      <w:marTop w:val="0"/>
      <w:marBottom w:val="0"/>
      <w:divBdr>
        <w:top w:val="none" w:sz="0" w:space="0" w:color="auto"/>
        <w:left w:val="none" w:sz="0" w:space="0" w:color="auto"/>
        <w:bottom w:val="none" w:sz="0" w:space="0" w:color="auto"/>
        <w:right w:val="none" w:sz="0" w:space="0" w:color="auto"/>
      </w:divBdr>
    </w:div>
    <w:div w:id="414473857">
      <w:bodyDiv w:val="1"/>
      <w:marLeft w:val="0"/>
      <w:marRight w:val="0"/>
      <w:marTop w:val="0"/>
      <w:marBottom w:val="0"/>
      <w:divBdr>
        <w:top w:val="none" w:sz="0" w:space="0" w:color="auto"/>
        <w:left w:val="none" w:sz="0" w:space="0" w:color="auto"/>
        <w:bottom w:val="none" w:sz="0" w:space="0" w:color="auto"/>
        <w:right w:val="none" w:sz="0" w:space="0" w:color="auto"/>
      </w:divBdr>
    </w:div>
    <w:div w:id="426467002">
      <w:bodyDiv w:val="1"/>
      <w:marLeft w:val="0"/>
      <w:marRight w:val="0"/>
      <w:marTop w:val="0"/>
      <w:marBottom w:val="0"/>
      <w:divBdr>
        <w:top w:val="none" w:sz="0" w:space="0" w:color="auto"/>
        <w:left w:val="none" w:sz="0" w:space="0" w:color="auto"/>
        <w:bottom w:val="none" w:sz="0" w:space="0" w:color="auto"/>
        <w:right w:val="none" w:sz="0" w:space="0" w:color="auto"/>
      </w:divBdr>
    </w:div>
    <w:div w:id="623193840">
      <w:bodyDiv w:val="1"/>
      <w:marLeft w:val="0"/>
      <w:marRight w:val="0"/>
      <w:marTop w:val="0"/>
      <w:marBottom w:val="0"/>
      <w:divBdr>
        <w:top w:val="none" w:sz="0" w:space="0" w:color="auto"/>
        <w:left w:val="none" w:sz="0" w:space="0" w:color="auto"/>
        <w:bottom w:val="none" w:sz="0" w:space="0" w:color="auto"/>
        <w:right w:val="none" w:sz="0" w:space="0" w:color="auto"/>
      </w:divBdr>
    </w:div>
    <w:div w:id="680663587">
      <w:bodyDiv w:val="1"/>
      <w:marLeft w:val="0"/>
      <w:marRight w:val="0"/>
      <w:marTop w:val="0"/>
      <w:marBottom w:val="0"/>
      <w:divBdr>
        <w:top w:val="none" w:sz="0" w:space="0" w:color="auto"/>
        <w:left w:val="none" w:sz="0" w:space="0" w:color="auto"/>
        <w:bottom w:val="none" w:sz="0" w:space="0" w:color="auto"/>
        <w:right w:val="none" w:sz="0" w:space="0" w:color="auto"/>
      </w:divBdr>
    </w:div>
    <w:div w:id="688019908">
      <w:bodyDiv w:val="1"/>
      <w:marLeft w:val="0"/>
      <w:marRight w:val="0"/>
      <w:marTop w:val="0"/>
      <w:marBottom w:val="0"/>
      <w:divBdr>
        <w:top w:val="none" w:sz="0" w:space="0" w:color="auto"/>
        <w:left w:val="none" w:sz="0" w:space="0" w:color="auto"/>
        <w:bottom w:val="none" w:sz="0" w:space="0" w:color="auto"/>
        <w:right w:val="none" w:sz="0" w:space="0" w:color="auto"/>
      </w:divBdr>
      <w:divsChild>
        <w:div w:id="1378318552">
          <w:marLeft w:val="0"/>
          <w:marRight w:val="0"/>
          <w:marTop w:val="0"/>
          <w:marBottom w:val="0"/>
          <w:divBdr>
            <w:top w:val="none" w:sz="0" w:space="0" w:color="auto"/>
            <w:left w:val="none" w:sz="0" w:space="0" w:color="auto"/>
            <w:bottom w:val="none" w:sz="0" w:space="0" w:color="auto"/>
            <w:right w:val="none" w:sz="0" w:space="0" w:color="auto"/>
          </w:divBdr>
          <w:divsChild>
            <w:div w:id="21979665">
              <w:marLeft w:val="0"/>
              <w:marRight w:val="0"/>
              <w:marTop w:val="0"/>
              <w:marBottom w:val="0"/>
              <w:divBdr>
                <w:top w:val="none" w:sz="0" w:space="0" w:color="auto"/>
                <w:left w:val="none" w:sz="0" w:space="0" w:color="auto"/>
                <w:bottom w:val="none" w:sz="0" w:space="0" w:color="auto"/>
                <w:right w:val="none" w:sz="0" w:space="0" w:color="auto"/>
              </w:divBdr>
              <w:divsChild>
                <w:div w:id="1554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6338">
      <w:bodyDiv w:val="1"/>
      <w:marLeft w:val="0"/>
      <w:marRight w:val="0"/>
      <w:marTop w:val="0"/>
      <w:marBottom w:val="0"/>
      <w:divBdr>
        <w:top w:val="none" w:sz="0" w:space="0" w:color="auto"/>
        <w:left w:val="none" w:sz="0" w:space="0" w:color="auto"/>
        <w:bottom w:val="none" w:sz="0" w:space="0" w:color="auto"/>
        <w:right w:val="none" w:sz="0" w:space="0" w:color="auto"/>
      </w:divBdr>
    </w:div>
    <w:div w:id="897127005">
      <w:bodyDiv w:val="1"/>
      <w:marLeft w:val="0"/>
      <w:marRight w:val="0"/>
      <w:marTop w:val="0"/>
      <w:marBottom w:val="0"/>
      <w:divBdr>
        <w:top w:val="none" w:sz="0" w:space="0" w:color="auto"/>
        <w:left w:val="none" w:sz="0" w:space="0" w:color="auto"/>
        <w:bottom w:val="none" w:sz="0" w:space="0" w:color="auto"/>
        <w:right w:val="none" w:sz="0" w:space="0" w:color="auto"/>
      </w:divBdr>
    </w:div>
    <w:div w:id="1013999595">
      <w:bodyDiv w:val="1"/>
      <w:marLeft w:val="0"/>
      <w:marRight w:val="0"/>
      <w:marTop w:val="0"/>
      <w:marBottom w:val="0"/>
      <w:divBdr>
        <w:top w:val="none" w:sz="0" w:space="0" w:color="auto"/>
        <w:left w:val="none" w:sz="0" w:space="0" w:color="auto"/>
        <w:bottom w:val="none" w:sz="0" w:space="0" w:color="auto"/>
        <w:right w:val="none" w:sz="0" w:space="0" w:color="auto"/>
      </w:divBdr>
    </w:div>
    <w:div w:id="1069572459">
      <w:bodyDiv w:val="1"/>
      <w:marLeft w:val="0"/>
      <w:marRight w:val="0"/>
      <w:marTop w:val="0"/>
      <w:marBottom w:val="0"/>
      <w:divBdr>
        <w:top w:val="none" w:sz="0" w:space="0" w:color="auto"/>
        <w:left w:val="none" w:sz="0" w:space="0" w:color="auto"/>
        <w:bottom w:val="none" w:sz="0" w:space="0" w:color="auto"/>
        <w:right w:val="none" w:sz="0" w:space="0" w:color="auto"/>
      </w:divBdr>
    </w:div>
    <w:div w:id="1100637893">
      <w:bodyDiv w:val="1"/>
      <w:marLeft w:val="0"/>
      <w:marRight w:val="0"/>
      <w:marTop w:val="0"/>
      <w:marBottom w:val="0"/>
      <w:divBdr>
        <w:top w:val="none" w:sz="0" w:space="0" w:color="auto"/>
        <w:left w:val="none" w:sz="0" w:space="0" w:color="auto"/>
        <w:bottom w:val="none" w:sz="0" w:space="0" w:color="auto"/>
        <w:right w:val="none" w:sz="0" w:space="0" w:color="auto"/>
      </w:divBdr>
    </w:div>
    <w:div w:id="1237277284">
      <w:bodyDiv w:val="1"/>
      <w:marLeft w:val="0"/>
      <w:marRight w:val="0"/>
      <w:marTop w:val="0"/>
      <w:marBottom w:val="0"/>
      <w:divBdr>
        <w:top w:val="none" w:sz="0" w:space="0" w:color="auto"/>
        <w:left w:val="none" w:sz="0" w:space="0" w:color="auto"/>
        <w:bottom w:val="none" w:sz="0" w:space="0" w:color="auto"/>
        <w:right w:val="none" w:sz="0" w:space="0" w:color="auto"/>
      </w:divBdr>
    </w:div>
    <w:div w:id="1282227996">
      <w:bodyDiv w:val="1"/>
      <w:marLeft w:val="0"/>
      <w:marRight w:val="0"/>
      <w:marTop w:val="0"/>
      <w:marBottom w:val="0"/>
      <w:divBdr>
        <w:top w:val="none" w:sz="0" w:space="0" w:color="auto"/>
        <w:left w:val="none" w:sz="0" w:space="0" w:color="auto"/>
        <w:bottom w:val="none" w:sz="0" w:space="0" w:color="auto"/>
        <w:right w:val="none" w:sz="0" w:space="0" w:color="auto"/>
      </w:divBdr>
    </w:div>
    <w:div w:id="1342127553">
      <w:bodyDiv w:val="1"/>
      <w:marLeft w:val="0"/>
      <w:marRight w:val="0"/>
      <w:marTop w:val="0"/>
      <w:marBottom w:val="0"/>
      <w:divBdr>
        <w:top w:val="none" w:sz="0" w:space="0" w:color="auto"/>
        <w:left w:val="none" w:sz="0" w:space="0" w:color="auto"/>
        <w:bottom w:val="none" w:sz="0" w:space="0" w:color="auto"/>
        <w:right w:val="none" w:sz="0" w:space="0" w:color="auto"/>
      </w:divBdr>
    </w:div>
    <w:div w:id="1483306107">
      <w:bodyDiv w:val="1"/>
      <w:marLeft w:val="0"/>
      <w:marRight w:val="0"/>
      <w:marTop w:val="0"/>
      <w:marBottom w:val="0"/>
      <w:divBdr>
        <w:top w:val="none" w:sz="0" w:space="0" w:color="auto"/>
        <w:left w:val="none" w:sz="0" w:space="0" w:color="auto"/>
        <w:bottom w:val="none" w:sz="0" w:space="0" w:color="auto"/>
        <w:right w:val="none" w:sz="0" w:space="0" w:color="auto"/>
      </w:divBdr>
    </w:div>
    <w:div w:id="1564171604">
      <w:bodyDiv w:val="1"/>
      <w:marLeft w:val="0"/>
      <w:marRight w:val="0"/>
      <w:marTop w:val="0"/>
      <w:marBottom w:val="0"/>
      <w:divBdr>
        <w:top w:val="none" w:sz="0" w:space="0" w:color="auto"/>
        <w:left w:val="none" w:sz="0" w:space="0" w:color="auto"/>
        <w:bottom w:val="none" w:sz="0" w:space="0" w:color="auto"/>
        <w:right w:val="none" w:sz="0" w:space="0" w:color="auto"/>
      </w:divBdr>
    </w:div>
    <w:div w:id="1615484059">
      <w:bodyDiv w:val="1"/>
      <w:marLeft w:val="0"/>
      <w:marRight w:val="0"/>
      <w:marTop w:val="0"/>
      <w:marBottom w:val="0"/>
      <w:divBdr>
        <w:top w:val="none" w:sz="0" w:space="0" w:color="auto"/>
        <w:left w:val="none" w:sz="0" w:space="0" w:color="auto"/>
        <w:bottom w:val="none" w:sz="0" w:space="0" w:color="auto"/>
        <w:right w:val="none" w:sz="0" w:space="0" w:color="auto"/>
      </w:divBdr>
    </w:div>
    <w:div w:id="1651641469">
      <w:bodyDiv w:val="1"/>
      <w:marLeft w:val="0"/>
      <w:marRight w:val="0"/>
      <w:marTop w:val="0"/>
      <w:marBottom w:val="0"/>
      <w:divBdr>
        <w:top w:val="none" w:sz="0" w:space="0" w:color="auto"/>
        <w:left w:val="none" w:sz="0" w:space="0" w:color="auto"/>
        <w:bottom w:val="none" w:sz="0" w:space="0" w:color="auto"/>
        <w:right w:val="none" w:sz="0" w:space="0" w:color="auto"/>
      </w:divBdr>
    </w:div>
    <w:div w:id="1680691353">
      <w:bodyDiv w:val="1"/>
      <w:marLeft w:val="0"/>
      <w:marRight w:val="0"/>
      <w:marTop w:val="0"/>
      <w:marBottom w:val="0"/>
      <w:divBdr>
        <w:top w:val="none" w:sz="0" w:space="0" w:color="auto"/>
        <w:left w:val="none" w:sz="0" w:space="0" w:color="auto"/>
        <w:bottom w:val="none" w:sz="0" w:space="0" w:color="auto"/>
        <w:right w:val="none" w:sz="0" w:space="0" w:color="auto"/>
      </w:divBdr>
    </w:div>
    <w:div w:id="1712998409">
      <w:bodyDiv w:val="1"/>
      <w:marLeft w:val="0"/>
      <w:marRight w:val="0"/>
      <w:marTop w:val="0"/>
      <w:marBottom w:val="0"/>
      <w:divBdr>
        <w:top w:val="none" w:sz="0" w:space="0" w:color="auto"/>
        <w:left w:val="none" w:sz="0" w:space="0" w:color="auto"/>
        <w:bottom w:val="none" w:sz="0" w:space="0" w:color="auto"/>
        <w:right w:val="none" w:sz="0" w:space="0" w:color="auto"/>
      </w:divBdr>
    </w:div>
    <w:div w:id="1734162502">
      <w:bodyDiv w:val="1"/>
      <w:marLeft w:val="0"/>
      <w:marRight w:val="0"/>
      <w:marTop w:val="0"/>
      <w:marBottom w:val="0"/>
      <w:divBdr>
        <w:top w:val="none" w:sz="0" w:space="0" w:color="auto"/>
        <w:left w:val="none" w:sz="0" w:space="0" w:color="auto"/>
        <w:bottom w:val="none" w:sz="0" w:space="0" w:color="auto"/>
        <w:right w:val="none" w:sz="0" w:space="0" w:color="auto"/>
      </w:divBdr>
    </w:div>
    <w:div w:id="1740708112">
      <w:bodyDiv w:val="1"/>
      <w:marLeft w:val="0"/>
      <w:marRight w:val="0"/>
      <w:marTop w:val="0"/>
      <w:marBottom w:val="0"/>
      <w:divBdr>
        <w:top w:val="none" w:sz="0" w:space="0" w:color="auto"/>
        <w:left w:val="none" w:sz="0" w:space="0" w:color="auto"/>
        <w:bottom w:val="none" w:sz="0" w:space="0" w:color="auto"/>
        <w:right w:val="none" w:sz="0" w:space="0" w:color="auto"/>
      </w:divBdr>
    </w:div>
    <w:div w:id="1752265121">
      <w:bodyDiv w:val="1"/>
      <w:marLeft w:val="0"/>
      <w:marRight w:val="0"/>
      <w:marTop w:val="0"/>
      <w:marBottom w:val="0"/>
      <w:divBdr>
        <w:top w:val="none" w:sz="0" w:space="0" w:color="auto"/>
        <w:left w:val="none" w:sz="0" w:space="0" w:color="auto"/>
        <w:bottom w:val="none" w:sz="0" w:space="0" w:color="auto"/>
        <w:right w:val="none" w:sz="0" w:space="0" w:color="auto"/>
      </w:divBdr>
    </w:div>
    <w:div w:id="1801461232">
      <w:bodyDiv w:val="1"/>
      <w:marLeft w:val="0"/>
      <w:marRight w:val="0"/>
      <w:marTop w:val="0"/>
      <w:marBottom w:val="0"/>
      <w:divBdr>
        <w:top w:val="none" w:sz="0" w:space="0" w:color="auto"/>
        <w:left w:val="none" w:sz="0" w:space="0" w:color="auto"/>
        <w:bottom w:val="none" w:sz="0" w:space="0" w:color="auto"/>
        <w:right w:val="none" w:sz="0" w:space="0" w:color="auto"/>
      </w:divBdr>
    </w:div>
    <w:div w:id="1810895574">
      <w:bodyDiv w:val="1"/>
      <w:marLeft w:val="0"/>
      <w:marRight w:val="0"/>
      <w:marTop w:val="0"/>
      <w:marBottom w:val="0"/>
      <w:divBdr>
        <w:top w:val="none" w:sz="0" w:space="0" w:color="auto"/>
        <w:left w:val="none" w:sz="0" w:space="0" w:color="auto"/>
        <w:bottom w:val="none" w:sz="0" w:space="0" w:color="auto"/>
        <w:right w:val="none" w:sz="0" w:space="0" w:color="auto"/>
      </w:divBdr>
    </w:div>
    <w:div w:id="1811707389">
      <w:bodyDiv w:val="1"/>
      <w:marLeft w:val="0"/>
      <w:marRight w:val="0"/>
      <w:marTop w:val="0"/>
      <w:marBottom w:val="0"/>
      <w:divBdr>
        <w:top w:val="none" w:sz="0" w:space="0" w:color="auto"/>
        <w:left w:val="none" w:sz="0" w:space="0" w:color="auto"/>
        <w:bottom w:val="none" w:sz="0" w:space="0" w:color="auto"/>
        <w:right w:val="none" w:sz="0" w:space="0" w:color="auto"/>
      </w:divBdr>
    </w:div>
    <w:div w:id="1917668428">
      <w:bodyDiv w:val="1"/>
      <w:marLeft w:val="0"/>
      <w:marRight w:val="0"/>
      <w:marTop w:val="0"/>
      <w:marBottom w:val="0"/>
      <w:divBdr>
        <w:top w:val="none" w:sz="0" w:space="0" w:color="auto"/>
        <w:left w:val="none" w:sz="0" w:space="0" w:color="auto"/>
        <w:bottom w:val="none" w:sz="0" w:space="0" w:color="auto"/>
        <w:right w:val="none" w:sz="0" w:space="0" w:color="auto"/>
      </w:divBdr>
    </w:div>
    <w:div w:id="1948191345">
      <w:bodyDiv w:val="1"/>
      <w:marLeft w:val="0"/>
      <w:marRight w:val="0"/>
      <w:marTop w:val="0"/>
      <w:marBottom w:val="0"/>
      <w:divBdr>
        <w:top w:val="none" w:sz="0" w:space="0" w:color="auto"/>
        <w:left w:val="none" w:sz="0" w:space="0" w:color="auto"/>
        <w:bottom w:val="none" w:sz="0" w:space="0" w:color="auto"/>
        <w:right w:val="none" w:sz="0" w:space="0" w:color="auto"/>
      </w:divBdr>
    </w:div>
    <w:div w:id="2073232352">
      <w:bodyDiv w:val="1"/>
      <w:marLeft w:val="0"/>
      <w:marRight w:val="0"/>
      <w:marTop w:val="0"/>
      <w:marBottom w:val="0"/>
      <w:divBdr>
        <w:top w:val="none" w:sz="0" w:space="0" w:color="auto"/>
        <w:left w:val="none" w:sz="0" w:space="0" w:color="auto"/>
        <w:bottom w:val="none" w:sz="0" w:space="0" w:color="auto"/>
        <w:right w:val="none" w:sz="0" w:space="0" w:color="auto"/>
      </w:divBdr>
    </w:div>
    <w:div w:id="211015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A5456E10041019FB7C83B0989313B"/>
        <w:category>
          <w:name w:val="General"/>
          <w:gallery w:val="placeholder"/>
        </w:category>
        <w:types>
          <w:type w:val="bbPlcHdr"/>
        </w:types>
        <w:behaviors>
          <w:behavior w:val="content"/>
        </w:behaviors>
        <w:guid w:val="{3FD679EA-23BF-4053-A0A4-34579A11BEDC}"/>
      </w:docPartPr>
      <w:docPartBody>
        <w:p w:rsidR="00380093" w:rsidRDefault="00325EDE" w:rsidP="00325EDE">
          <w:pPr>
            <w:pStyle w:val="D17A5456E10041019FB7C83B0989313B"/>
          </w:pPr>
          <w:r w:rsidRPr="00A63EC1">
            <w:rPr>
              <w:rStyle w:val="PlaceholderText"/>
              <w:rFonts w:cstheme="minorHAnsi"/>
            </w:rPr>
            <w:t>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DE"/>
    <w:rsid w:val="00144B37"/>
    <w:rsid w:val="00325EDE"/>
    <w:rsid w:val="00380093"/>
    <w:rsid w:val="00665886"/>
    <w:rsid w:val="006B1BE0"/>
    <w:rsid w:val="00894DBF"/>
    <w:rsid w:val="00AC3216"/>
    <w:rsid w:val="00B57D64"/>
    <w:rsid w:val="00BC3BE0"/>
    <w:rsid w:val="00D7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EDE"/>
    <w:rPr>
      <w:color w:val="808080"/>
    </w:rPr>
  </w:style>
  <w:style w:type="paragraph" w:customStyle="1" w:styleId="D17A5456E10041019FB7C83B0989313B">
    <w:name w:val="D17A5456E10041019FB7C83B0989313B"/>
    <w:rsid w:val="00325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b:Source>
    <b:Tag>Gri11</b:Tag>
    <b:SourceType>JournalArticle</b:SourceType>
    <b:Guid>{3EBD0F4A-F6F7-4EE6-AA2B-00B192A8048B}</b:Guid>
    <b:Title>AGILE-ACCORD: A Randomized, Multicentre, Seamless, Adaptive Phase I/II Platform Study to Determine the Optimal Dose, Safety and Efficacy of Multiple Candidate Agents for the Treatment of COVID-19: A structured summary of a study protocol for a randomised </b:Title>
    <b:Year>2020</b:Year>
    <b:Author>
      <b:Author>
        <b:NameList>
          <b:Person>
            <b:Last>Griffiths G</b:Last>
            <b:First>Fitzgerald</b:First>
            <b:Middle>R, Jaki T, Corkhill A, Marwood E, Reynolds H, Stanton L, Ewings S, Condie S, Wrixon E, Norton A, Radford M, Yeats S, Robertson J, Darby-Dowman R, Walker L, Khoo S</b:Middle>
          </b:Person>
          <b:Person>
            <b:Last>community.</b:Last>
            <b:First>UK</b:First>
            <b:Middle>NIHR</b:Middle>
          </b:Person>
        </b:NameList>
      </b:Author>
    </b:Author>
    <b:JournalName>Trials</b:JournalName>
    <b:Pages>544</b:Pages>
    <b:Volume>21</b:Volume>
    <b:Issue>1</b:Issue>
    <b:RefOrder>1</b:RefOrder>
  </b:Source>
  <b:Source>
    <b:Tag>Moo20</b:Tag>
    <b:SourceType>JournalArticle</b:SourceType>
    <b:Guid>{0E3D9564-6394-498A-B893-CA58FF6D9CEE}</b:Guid>
    <b:Author>
      <b:Author>
        <b:NameList>
          <b:Person>
            <b:Last>Moore</b:Last>
            <b:First>S.</b:First>
            <b:Middle>C., Penrice-Randal, R., Alruwaili, M., Randle, N., Armstrong, S., Hartley, C. et al</b:Middle>
          </b:Person>
        </b:NameList>
      </b:Author>
    </b:Author>
    <b:Title>Amplicon-Based Detection and Sequencing of SARS-CoV-2 in Nasopharyngeal Swabs from Patients With COVID-19 and Identification of Deletions in the Viral Genome That Encode Proteins Involved in Interferon Antagonism</b:Title>
    <b:JournalName>Viruses</b:JournalName>
    <b:Year>2020</b:Year>
    <b:Volume>12</b:Volume>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D6ED51D5230C48B7E3045A4483F4EE" ma:contentTypeVersion="4" ma:contentTypeDescription="Create a new document." ma:contentTypeScope="" ma:versionID="3cf7645a287a9ac7e00c9a3bbee40515">
  <xsd:schema xmlns:xsd="http://www.w3.org/2001/XMLSchema" xmlns:xs="http://www.w3.org/2001/XMLSchema" xmlns:p="http://schemas.microsoft.com/office/2006/metadata/properties" xmlns:ns3="2c9b90cf-3171-479b-9d6a-fed1800b789d" targetNamespace="http://schemas.microsoft.com/office/2006/metadata/properties" ma:root="true" ma:fieldsID="af4b9f496a37c651315316d88e42bff2" ns3:_="">
    <xsd:import namespace="2c9b90cf-3171-479b-9d6a-fed1800b78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90cf-3171-479b-9d6a-fed1800b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5D003-BFCC-4BEF-84F8-F8065D537681}">
  <ds:schemaRefs>
    <ds:schemaRef ds:uri="http://schemas.microsoft.com/sharepoint/v3/contenttype/forms"/>
  </ds:schemaRefs>
</ds:datastoreItem>
</file>

<file path=customXml/itemProps2.xml><?xml version="1.0" encoding="utf-8"?>
<ds:datastoreItem xmlns:ds="http://schemas.openxmlformats.org/officeDocument/2006/customXml" ds:itemID="{B8085FDA-5FE1-47D9-8FF3-32A21082CFE0}">
  <ds:schemaRefs>
    <ds:schemaRef ds:uri="http://schemas.openxmlformats.org/officeDocument/2006/bibliography"/>
  </ds:schemaRefs>
</ds:datastoreItem>
</file>

<file path=customXml/itemProps3.xml><?xml version="1.0" encoding="utf-8"?>
<ds:datastoreItem xmlns:ds="http://schemas.openxmlformats.org/officeDocument/2006/customXml" ds:itemID="{41C41F44-18F5-496B-A661-0CF589E518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307134-EE64-4E84-81FE-B9B844C95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90cf-3171-479b-9d6a-fed1800b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Griffiths</dc:creator>
  <cp:keywords/>
  <dc:description/>
  <cp:lastModifiedBy>Reynolds, Helen</cp:lastModifiedBy>
  <cp:revision>4</cp:revision>
  <cp:lastPrinted>2021-01-23T21:48:00Z</cp:lastPrinted>
  <dcterms:created xsi:type="dcterms:W3CDTF">2021-09-05T20:31:00Z</dcterms:created>
  <dcterms:modified xsi:type="dcterms:W3CDTF">2021-09-05T20:32:00Z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0x01010036D6ED51D5230C48B7E3045A4483F4EE</vt:lpwstr>
  </property>
</Properties>
</file>