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FCA5" w14:textId="47F2BD5F" w:rsidR="001753DF" w:rsidRPr="009B79B5" w:rsidRDefault="00570EFB" w:rsidP="009B79B5">
      <w:pPr>
        <w:autoSpaceDE w:val="0"/>
        <w:autoSpaceDN w:val="0"/>
        <w:adjustRightInd w:val="0"/>
        <w:spacing w:line="360" w:lineRule="auto"/>
        <w:jc w:val="both"/>
        <w:rPr>
          <w:b/>
          <w:iCs/>
          <w:color w:val="000000"/>
          <w:lang w:val="en-ZA"/>
        </w:rPr>
      </w:pPr>
      <w:r w:rsidRPr="009B79B5">
        <w:rPr>
          <w:b/>
          <w:iCs/>
          <w:color w:val="000000"/>
          <w:lang w:val="en-ZA"/>
        </w:rPr>
        <w:t>C</w:t>
      </w:r>
      <w:r w:rsidR="00230126" w:rsidRPr="009B79B5">
        <w:rPr>
          <w:b/>
          <w:iCs/>
          <w:color w:val="000000"/>
          <w:lang w:val="en-ZA"/>
        </w:rPr>
        <w:t xml:space="preserve">linical characteristics </w:t>
      </w:r>
      <w:r w:rsidR="00B76917">
        <w:rPr>
          <w:b/>
          <w:iCs/>
          <w:color w:val="000000"/>
          <w:lang w:val="en-ZA"/>
        </w:rPr>
        <w:t xml:space="preserve">and outcomes </w:t>
      </w:r>
      <w:r w:rsidR="001753DF" w:rsidRPr="009B79B5">
        <w:rPr>
          <w:b/>
          <w:iCs/>
          <w:color w:val="000000"/>
          <w:lang w:val="en-ZA"/>
        </w:rPr>
        <w:t xml:space="preserve">of </w:t>
      </w:r>
      <w:r w:rsidR="00E7701E">
        <w:rPr>
          <w:b/>
          <w:iCs/>
          <w:color w:val="000000"/>
          <w:lang w:val="en-ZA"/>
        </w:rPr>
        <w:t>confirmed</w:t>
      </w:r>
      <w:r w:rsidR="00E7701E" w:rsidRPr="0049419A">
        <w:rPr>
          <w:b/>
          <w:iCs/>
          <w:color w:val="000000"/>
          <w:lang w:val="en-ZA"/>
        </w:rPr>
        <w:t xml:space="preserve"> </w:t>
      </w:r>
      <w:r w:rsidR="0049419A" w:rsidRPr="0049419A">
        <w:rPr>
          <w:b/>
          <w:iCs/>
          <w:color w:val="000000"/>
          <w:lang w:val="en-ZA"/>
        </w:rPr>
        <w:t xml:space="preserve">COVID-19 </w:t>
      </w:r>
      <w:r w:rsidR="00230126" w:rsidRPr="009B79B5">
        <w:rPr>
          <w:b/>
          <w:iCs/>
          <w:color w:val="000000"/>
          <w:lang w:val="en-ZA"/>
        </w:rPr>
        <w:t>patients</w:t>
      </w:r>
      <w:r w:rsidR="00CA7EAA">
        <w:rPr>
          <w:b/>
          <w:iCs/>
          <w:color w:val="000000"/>
          <w:lang w:val="en-ZA"/>
        </w:rPr>
        <w:t xml:space="preserve"> in the early months of the pandemic</w:t>
      </w:r>
      <w:r w:rsidR="001753DF" w:rsidRPr="009B79B5">
        <w:rPr>
          <w:b/>
          <w:iCs/>
          <w:color w:val="000000"/>
          <w:lang w:val="en-ZA"/>
        </w:rPr>
        <w:t xml:space="preserve"> in Tanzania</w:t>
      </w:r>
      <w:r w:rsidR="00B76917">
        <w:rPr>
          <w:b/>
          <w:iCs/>
          <w:color w:val="000000"/>
          <w:lang w:val="en-ZA"/>
        </w:rPr>
        <w:t>:</w:t>
      </w:r>
      <w:r w:rsidR="00187155">
        <w:rPr>
          <w:b/>
          <w:iCs/>
          <w:color w:val="000000"/>
          <w:lang w:val="en-ZA"/>
        </w:rPr>
        <w:t xml:space="preserve"> </w:t>
      </w:r>
      <w:r w:rsidR="001753DF" w:rsidRPr="009B79B5">
        <w:rPr>
          <w:b/>
          <w:iCs/>
          <w:color w:val="000000"/>
          <w:lang w:val="en-ZA"/>
        </w:rPr>
        <w:t xml:space="preserve">A </w:t>
      </w:r>
      <w:r w:rsidR="006A63B6" w:rsidRPr="009B79B5">
        <w:rPr>
          <w:b/>
          <w:iCs/>
          <w:color w:val="000000"/>
          <w:lang w:val="en-ZA"/>
        </w:rPr>
        <w:t>multicentre</w:t>
      </w:r>
      <w:r w:rsidR="001753DF" w:rsidRPr="009B79B5">
        <w:rPr>
          <w:b/>
          <w:iCs/>
          <w:color w:val="000000"/>
          <w:lang w:val="en-ZA"/>
        </w:rPr>
        <w:t xml:space="preserve"> </w:t>
      </w:r>
      <w:r w:rsidR="00B76917">
        <w:rPr>
          <w:b/>
          <w:iCs/>
          <w:color w:val="000000"/>
          <w:lang w:val="en-ZA"/>
        </w:rPr>
        <w:t xml:space="preserve">cohort </w:t>
      </w:r>
      <w:r w:rsidR="001753DF" w:rsidRPr="009B79B5">
        <w:rPr>
          <w:b/>
          <w:iCs/>
          <w:color w:val="000000"/>
          <w:lang w:val="en-ZA"/>
        </w:rPr>
        <w:t>study</w:t>
      </w:r>
    </w:p>
    <w:p w14:paraId="25BF59D0" w14:textId="54BE3EE0" w:rsidR="004462AA" w:rsidRPr="00BD1FEE" w:rsidRDefault="00395A53" w:rsidP="00017851">
      <w:pPr>
        <w:spacing w:before="100" w:beforeAutospacing="1" w:after="100" w:afterAutospacing="1" w:line="276" w:lineRule="auto"/>
        <w:jc w:val="both"/>
        <w:rPr>
          <w:vertAlign w:val="superscript"/>
        </w:rPr>
      </w:pPr>
      <w:r w:rsidRPr="00CB0D93">
        <w:t xml:space="preserve">Nicholaus </w:t>
      </w:r>
      <w:r w:rsidR="003F78FB">
        <w:t xml:space="preserve">P. </w:t>
      </w:r>
      <w:r w:rsidRPr="00CB0D93">
        <w:t>Mnyambwa</w:t>
      </w:r>
      <w:r w:rsidR="004462AA" w:rsidRPr="00CB0D93">
        <w:rPr>
          <w:vertAlign w:val="superscript"/>
        </w:rPr>
        <w:t>1*</w:t>
      </w:r>
      <w:r w:rsidRPr="00CB0D93">
        <w:t xml:space="preserve">, </w:t>
      </w:r>
      <w:r w:rsidR="004462AA" w:rsidRPr="00CB0D93">
        <w:t>Clara Lubinza</w:t>
      </w:r>
      <w:r w:rsidR="004462AA" w:rsidRPr="00CB0D93">
        <w:rPr>
          <w:vertAlign w:val="superscript"/>
        </w:rPr>
        <w:t>1</w:t>
      </w:r>
      <w:r w:rsidR="00CB0D93" w:rsidRPr="00CB0D93">
        <w:rPr>
          <w:vertAlign w:val="superscript"/>
        </w:rPr>
        <w:t>*</w:t>
      </w:r>
      <w:r w:rsidR="00CA1675">
        <w:t>, E</w:t>
      </w:r>
      <w:r w:rsidR="004462AA" w:rsidRPr="00CB0D93">
        <w:t>sther Ngadaya</w:t>
      </w:r>
      <w:r w:rsidR="004462AA" w:rsidRPr="00CB0D93">
        <w:rPr>
          <w:vertAlign w:val="superscript"/>
        </w:rPr>
        <w:t>1</w:t>
      </w:r>
      <w:r w:rsidR="00714C97">
        <w:rPr>
          <w:vertAlign w:val="superscript"/>
        </w:rPr>
        <w:t>*</w:t>
      </w:r>
      <w:r w:rsidR="004462AA" w:rsidRPr="00CB0D93">
        <w:t>,</w:t>
      </w:r>
      <w:r w:rsidR="00CA1675">
        <w:t xml:space="preserve"> </w:t>
      </w:r>
      <w:r w:rsidR="004462AA" w:rsidRPr="00CB0D93">
        <w:t>M</w:t>
      </w:r>
      <w:r w:rsidRPr="00CB0D93">
        <w:t>bazi Senkoro</w:t>
      </w:r>
      <w:r w:rsidR="004462AA" w:rsidRPr="00CB0D93">
        <w:rPr>
          <w:vertAlign w:val="superscript"/>
        </w:rPr>
        <w:t>1</w:t>
      </w:r>
      <w:r w:rsidRPr="00CB0D93">
        <w:t>,</w:t>
      </w:r>
      <w:r w:rsidR="00CA1675">
        <w:t xml:space="preserve"> </w:t>
      </w:r>
      <w:r w:rsidRPr="00CB0D93">
        <w:t>Godfather Kimaro</w:t>
      </w:r>
      <w:r w:rsidR="004462AA" w:rsidRPr="00CB0D93">
        <w:rPr>
          <w:vertAlign w:val="superscript"/>
        </w:rPr>
        <w:t>1</w:t>
      </w:r>
      <w:r w:rsidRPr="00CB0D93">
        <w:t xml:space="preserve">, </w:t>
      </w:r>
      <w:r w:rsidR="004462AA" w:rsidRPr="00CB0D93">
        <w:t xml:space="preserve">Gibson </w:t>
      </w:r>
      <w:r w:rsidR="003F78FB">
        <w:t xml:space="preserve">B. </w:t>
      </w:r>
      <w:r w:rsidR="004462AA" w:rsidRPr="00CB0D93">
        <w:t>Kagaruki</w:t>
      </w:r>
      <w:r w:rsidR="004462AA" w:rsidRPr="00CB0D93">
        <w:rPr>
          <w:vertAlign w:val="superscript"/>
        </w:rPr>
        <w:t>1</w:t>
      </w:r>
      <w:r w:rsidR="004462AA" w:rsidRPr="00CB0D93">
        <w:t xml:space="preserve">, </w:t>
      </w:r>
      <w:r w:rsidRPr="00CB0D93">
        <w:t>Stanley</w:t>
      </w:r>
      <w:r w:rsidR="004462AA" w:rsidRPr="00CB0D93">
        <w:t xml:space="preserve"> Binagi</w:t>
      </w:r>
      <w:r w:rsidR="004462AA" w:rsidRPr="00CB0D93">
        <w:rPr>
          <w:vertAlign w:val="superscript"/>
        </w:rPr>
        <w:t>2</w:t>
      </w:r>
      <w:r w:rsidRPr="00CB0D93">
        <w:t>,</w:t>
      </w:r>
      <w:r w:rsidR="00B43F57">
        <w:t xml:space="preserve"> </w:t>
      </w:r>
      <w:r w:rsidRPr="00CB0D93">
        <w:t>Amani Malima</w:t>
      </w:r>
      <w:r w:rsidR="004462AA" w:rsidRPr="00CB0D93">
        <w:rPr>
          <w:vertAlign w:val="superscript"/>
        </w:rPr>
        <w:t>2</w:t>
      </w:r>
      <w:r w:rsidRPr="00CB0D93">
        <w:t>, Paul Kazyoba</w:t>
      </w:r>
      <w:r w:rsidR="004462AA" w:rsidRPr="00CB0D93">
        <w:rPr>
          <w:vertAlign w:val="superscript"/>
        </w:rPr>
        <w:t>1</w:t>
      </w:r>
      <w:r w:rsidRPr="00CB0D93">
        <w:t>,</w:t>
      </w:r>
      <w:r w:rsidR="00B43F57">
        <w:t xml:space="preserve"> </w:t>
      </w:r>
      <w:r w:rsidRPr="00CB0D93">
        <w:t>Ndeky</w:t>
      </w:r>
      <w:r w:rsidR="0072470D">
        <w:t>a</w:t>
      </w:r>
      <w:r w:rsidRPr="00CB0D93">
        <w:t xml:space="preserve"> Oriyo</w:t>
      </w:r>
      <w:r w:rsidR="004462AA" w:rsidRPr="00CB0D93">
        <w:rPr>
          <w:vertAlign w:val="superscript"/>
        </w:rPr>
        <w:t>1</w:t>
      </w:r>
      <w:r w:rsidRPr="00CB0D93">
        <w:t xml:space="preserve">, </w:t>
      </w:r>
      <w:r w:rsidR="00210AD5" w:rsidRPr="00CB0D93">
        <w:t>Janneth M</w:t>
      </w:r>
      <w:r w:rsidR="00F87C72">
        <w:t>.</w:t>
      </w:r>
      <w:r w:rsidR="00210AD5" w:rsidRPr="00CB0D93">
        <w:t xml:space="preserve"> Mghamba</w:t>
      </w:r>
      <w:r w:rsidR="004462AA" w:rsidRPr="00CB0D93">
        <w:rPr>
          <w:vertAlign w:val="superscript"/>
        </w:rPr>
        <w:t>4</w:t>
      </w:r>
      <w:r w:rsidR="00210AD5" w:rsidRPr="00CB0D93">
        <w:t>,</w:t>
      </w:r>
      <w:r w:rsidR="000B476A">
        <w:t xml:space="preserve"> </w:t>
      </w:r>
      <w:r w:rsidR="0048172E">
        <w:t>Aman Fredrick</w:t>
      </w:r>
      <w:r w:rsidR="0048172E" w:rsidRPr="00875755">
        <w:rPr>
          <w:vertAlign w:val="superscript"/>
        </w:rPr>
        <w:t>1</w:t>
      </w:r>
      <w:r w:rsidR="0048172E">
        <w:t xml:space="preserve">, </w:t>
      </w:r>
      <w:r w:rsidR="00CB0D93" w:rsidRPr="00CB0D93">
        <w:t>Kaushik Ramaiya</w:t>
      </w:r>
      <w:r w:rsidR="00CB0D93" w:rsidRPr="00CB0D93">
        <w:rPr>
          <w:vertAlign w:val="superscript"/>
        </w:rPr>
        <w:t>3</w:t>
      </w:r>
      <w:r w:rsidR="00CB0D93" w:rsidRPr="00CB0D93">
        <w:t xml:space="preserve">, </w:t>
      </w:r>
      <w:r w:rsidR="00210AD5" w:rsidRPr="00CB0D93">
        <w:t>Alimuddin Zumla</w:t>
      </w:r>
      <w:r w:rsidR="004462AA" w:rsidRPr="00CB0D93">
        <w:rPr>
          <w:vertAlign w:val="superscript"/>
        </w:rPr>
        <w:t>5</w:t>
      </w:r>
      <w:r w:rsidR="004462AA" w:rsidRPr="00CB0D93">
        <w:rPr>
          <w:b/>
          <w:vertAlign w:val="superscript"/>
        </w:rPr>
        <w:t>+</w:t>
      </w:r>
      <w:r w:rsidR="00CB0D93">
        <w:t xml:space="preserve">, </w:t>
      </w:r>
      <w:r>
        <w:t>Shabbar Jaffar</w:t>
      </w:r>
      <w:r w:rsidR="004462AA" w:rsidRPr="00CB0D93">
        <w:rPr>
          <w:vertAlign w:val="superscript"/>
        </w:rPr>
        <w:t>6</w:t>
      </w:r>
      <w:r w:rsidRPr="00CB0D93">
        <w:rPr>
          <w:vertAlign w:val="superscript"/>
        </w:rPr>
        <w:t xml:space="preserve"> </w:t>
      </w:r>
      <w:r w:rsidR="004462AA" w:rsidRPr="00CB0D93">
        <w:rPr>
          <w:b/>
          <w:vertAlign w:val="superscript"/>
        </w:rPr>
        <w:t>+</w:t>
      </w:r>
      <w:r w:rsidR="000038B5">
        <w:t xml:space="preserve">, </w:t>
      </w:r>
      <w:r w:rsidR="00210AD5" w:rsidRPr="00CB0D93">
        <w:t>Sayoki G. Mfinanga</w:t>
      </w:r>
      <w:r w:rsidR="004462AA" w:rsidRPr="000038B5">
        <w:rPr>
          <w:vertAlign w:val="superscript"/>
        </w:rPr>
        <w:t>1,</w:t>
      </w:r>
      <w:r w:rsidR="00CB0D93" w:rsidRPr="000038B5">
        <w:rPr>
          <w:vertAlign w:val="superscript"/>
        </w:rPr>
        <w:t>6,</w:t>
      </w:r>
      <w:r w:rsidR="004462AA" w:rsidRPr="000038B5">
        <w:rPr>
          <w:vertAlign w:val="superscript"/>
        </w:rPr>
        <w:t>7</w:t>
      </w:r>
      <w:r w:rsidR="00CB0D93" w:rsidRPr="000038B5">
        <w:rPr>
          <w:vertAlign w:val="superscript"/>
        </w:rPr>
        <w:t>,8</w:t>
      </w:r>
      <w:r w:rsidR="004462AA" w:rsidRPr="000038B5">
        <w:rPr>
          <w:b/>
          <w:vertAlign w:val="superscript"/>
        </w:rPr>
        <w:t>+</w:t>
      </w:r>
    </w:p>
    <w:p w14:paraId="36EDA05F" w14:textId="5EB31E90" w:rsidR="00395A53" w:rsidRPr="000038B5" w:rsidRDefault="004462AA" w:rsidP="004462AA">
      <w:r w:rsidRPr="000038B5">
        <w:t xml:space="preserve">* </w:t>
      </w:r>
      <w:r w:rsidR="000B476A">
        <w:t>C</w:t>
      </w:r>
      <w:r w:rsidRPr="000038B5">
        <w:t>ontributed equally (first authors)</w:t>
      </w:r>
    </w:p>
    <w:p w14:paraId="593E35F8" w14:textId="10E71D59" w:rsidR="004462AA" w:rsidRPr="000038B5" w:rsidRDefault="004462AA" w:rsidP="004462AA">
      <w:r w:rsidRPr="000038B5">
        <w:t xml:space="preserve">+ </w:t>
      </w:r>
      <w:r w:rsidR="000B476A">
        <w:t>C</w:t>
      </w:r>
      <w:r w:rsidRPr="000038B5">
        <w:t>ontributed equally (senior authors)</w:t>
      </w:r>
    </w:p>
    <w:p w14:paraId="7BD29CB1" w14:textId="77777777" w:rsidR="004462AA" w:rsidRDefault="004462AA" w:rsidP="00395A53">
      <w:pPr>
        <w:spacing w:line="276" w:lineRule="auto"/>
        <w:contextualSpacing/>
        <w:jc w:val="both"/>
        <w:rPr>
          <w:rFonts w:ascii="Segoe UI" w:hAnsi="Segoe UI" w:cs="Segoe UI"/>
          <w:sz w:val="22"/>
          <w:szCs w:val="22"/>
        </w:rPr>
      </w:pPr>
    </w:p>
    <w:p w14:paraId="3B97E365" w14:textId="77777777" w:rsidR="004462AA" w:rsidRPr="00B612A7" w:rsidRDefault="004462AA" w:rsidP="00017851">
      <w:pPr>
        <w:pStyle w:val="ListParagraph"/>
        <w:numPr>
          <w:ilvl w:val="0"/>
          <w:numId w:val="22"/>
        </w:numPr>
        <w:spacing w:line="276" w:lineRule="auto"/>
        <w:rPr>
          <w:i/>
          <w:iCs/>
          <w:lang w:eastAsia="en-GB"/>
        </w:rPr>
      </w:pPr>
      <w:r w:rsidRPr="00B612A7">
        <w:rPr>
          <w:i/>
          <w:iCs/>
          <w:lang w:eastAsia="en-GB"/>
        </w:rPr>
        <w:t>National Institute for Medical Research, Muhimbili Research Centre, Dar es salaam, Tanzania</w:t>
      </w:r>
    </w:p>
    <w:p w14:paraId="6F4FF789" w14:textId="71832FD8" w:rsidR="004462AA" w:rsidRPr="00B612A7" w:rsidRDefault="004462AA" w:rsidP="00017851">
      <w:pPr>
        <w:pStyle w:val="ListParagraph"/>
        <w:numPr>
          <w:ilvl w:val="0"/>
          <w:numId w:val="22"/>
        </w:numPr>
        <w:spacing w:line="276" w:lineRule="auto"/>
        <w:contextualSpacing/>
        <w:jc w:val="both"/>
        <w:rPr>
          <w:i/>
          <w:iCs/>
          <w:lang w:eastAsia="en-GB"/>
        </w:rPr>
      </w:pPr>
      <w:r w:rsidRPr="00B612A7">
        <w:rPr>
          <w:i/>
          <w:iCs/>
          <w:lang w:eastAsia="en-GB"/>
        </w:rPr>
        <w:t>Aman</w:t>
      </w:r>
      <w:r w:rsidR="00714C97">
        <w:rPr>
          <w:i/>
          <w:iCs/>
          <w:lang w:eastAsia="en-GB"/>
        </w:rPr>
        <w:t>a</w:t>
      </w:r>
      <w:r w:rsidRPr="00B612A7">
        <w:rPr>
          <w:i/>
          <w:iCs/>
          <w:lang w:eastAsia="en-GB"/>
        </w:rPr>
        <w:t xml:space="preserve"> </w:t>
      </w:r>
      <w:r w:rsidR="00927403">
        <w:rPr>
          <w:i/>
          <w:iCs/>
          <w:lang w:eastAsia="en-GB"/>
        </w:rPr>
        <w:t>Regional Referral</w:t>
      </w:r>
      <w:r w:rsidRPr="00B612A7">
        <w:rPr>
          <w:i/>
          <w:iCs/>
          <w:lang w:eastAsia="en-GB"/>
        </w:rPr>
        <w:t xml:space="preserve"> Hospital</w:t>
      </w:r>
      <w:r w:rsidR="00F9139E" w:rsidRPr="00B612A7">
        <w:rPr>
          <w:i/>
          <w:iCs/>
          <w:lang w:eastAsia="en-GB"/>
        </w:rPr>
        <w:t>, Dar es Salaam, Tanzania</w:t>
      </w:r>
      <w:r w:rsidRPr="00B612A7">
        <w:rPr>
          <w:i/>
          <w:iCs/>
          <w:lang w:eastAsia="en-GB"/>
        </w:rPr>
        <w:t xml:space="preserve"> </w:t>
      </w:r>
    </w:p>
    <w:p w14:paraId="2554908B" w14:textId="7D665529" w:rsidR="00395A53" w:rsidRPr="00B612A7" w:rsidRDefault="00395A53" w:rsidP="00017851">
      <w:pPr>
        <w:pStyle w:val="ListParagraph"/>
        <w:numPr>
          <w:ilvl w:val="0"/>
          <w:numId w:val="22"/>
        </w:numPr>
        <w:spacing w:line="276" w:lineRule="auto"/>
        <w:contextualSpacing/>
        <w:jc w:val="both"/>
        <w:rPr>
          <w:i/>
          <w:iCs/>
          <w:lang w:eastAsia="en-GB"/>
        </w:rPr>
      </w:pPr>
      <w:r w:rsidRPr="00B612A7">
        <w:rPr>
          <w:i/>
          <w:iCs/>
          <w:lang w:eastAsia="en-GB"/>
        </w:rPr>
        <w:t>Hindu Mandal Hospital</w:t>
      </w:r>
      <w:r w:rsidR="00F9139E" w:rsidRPr="00B612A7">
        <w:rPr>
          <w:i/>
          <w:iCs/>
          <w:lang w:eastAsia="en-GB"/>
        </w:rPr>
        <w:t>, Dar es Salaam, Tanzania</w:t>
      </w:r>
    </w:p>
    <w:p w14:paraId="51E34550" w14:textId="3FAB9957" w:rsidR="000038B5" w:rsidRPr="00B612A7" w:rsidRDefault="00395A53" w:rsidP="00017851">
      <w:pPr>
        <w:pStyle w:val="ListParagraph"/>
        <w:numPr>
          <w:ilvl w:val="0"/>
          <w:numId w:val="22"/>
        </w:numPr>
        <w:spacing w:line="276" w:lineRule="auto"/>
        <w:rPr>
          <w:i/>
          <w:iCs/>
          <w:lang w:eastAsia="en-GB"/>
        </w:rPr>
      </w:pPr>
      <w:r w:rsidRPr="00B612A7">
        <w:rPr>
          <w:i/>
          <w:iCs/>
          <w:lang w:eastAsia="en-GB"/>
        </w:rPr>
        <w:t>Ministry of Health, Community Development, Gender, Elderly and Children</w:t>
      </w:r>
      <w:r w:rsidR="00F9139E" w:rsidRPr="00B612A7">
        <w:rPr>
          <w:i/>
          <w:iCs/>
          <w:lang w:eastAsia="en-GB"/>
        </w:rPr>
        <w:t>, Dodoma, Tanzania</w:t>
      </w:r>
    </w:p>
    <w:p w14:paraId="41C9D733" w14:textId="2F99D7D4" w:rsidR="00CB0D93" w:rsidRPr="00B612A7" w:rsidRDefault="004462AA" w:rsidP="00017851">
      <w:pPr>
        <w:pStyle w:val="ListParagraph"/>
        <w:numPr>
          <w:ilvl w:val="0"/>
          <w:numId w:val="22"/>
        </w:numPr>
        <w:spacing w:line="276" w:lineRule="auto"/>
        <w:rPr>
          <w:i/>
          <w:iCs/>
          <w:lang w:eastAsia="en-GB"/>
        </w:rPr>
      </w:pPr>
      <w:r w:rsidRPr="00B612A7">
        <w:rPr>
          <w:i/>
          <w:iCs/>
        </w:rPr>
        <w:t xml:space="preserve">Center for Clinical Microbiology, Division of Infection and Immunity, University College London, Royal Free Hospital </w:t>
      </w:r>
      <w:r w:rsidR="00DF652F">
        <w:rPr>
          <w:i/>
          <w:iCs/>
        </w:rPr>
        <w:t>C</w:t>
      </w:r>
      <w:r w:rsidRPr="00B612A7">
        <w:rPr>
          <w:i/>
          <w:iCs/>
        </w:rPr>
        <w:t>ampus, London, United Kingdom</w:t>
      </w:r>
    </w:p>
    <w:p w14:paraId="689C4B7A" w14:textId="0F5C935A" w:rsidR="00210AD5" w:rsidRPr="00B612A7" w:rsidRDefault="00210AD5" w:rsidP="00017851">
      <w:pPr>
        <w:pStyle w:val="ListParagraph"/>
        <w:numPr>
          <w:ilvl w:val="0"/>
          <w:numId w:val="22"/>
        </w:numPr>
        <w:spacing w:line="276" w:lineRule="auto"/>
        <w:rPr>
          <w:i/>
          <w:iCs/>
          <w:lang w:eastAsia="en-GB"/>
        </w:rPr>
      </w:pPr>
      <w:r w:rsidRPr="00B612A7">
        <w:rPr>
          <w:i/>
          <w:iCs/>
          <w:lang w:eastAsia="en-GB"/>
        </w:rPr>
        <w:t>Liverpool School of Tropical Medicine, Pembroke Place, Liverpool, L3 5QA</w:t>
      </w:r>
      <w:r w:rsidR="006C6B99">
        <w:rPr>
          <w:i/>
          <w:iCs/>
          <w:lang w:eastAsia="en-GB"/>
        </w:rPr>
        <w:t xml:space="preserve">, United Kingdom </w:t>
      </w:r>
    </w:p>
    <w:p w14:paraId="5E9EB661" w14:textId="7187CFD6" w:rsidR="00210AD5" w:rsidRPr="00B612A7" w:rsidRDefault="00210AD5" w:rsidP="00017851">
      <w:pPr>
        <w:pStyle w:val="ListParagraph"/>
        <w:numPr>
          <w:ilvl w:val="0"/>
          <w:numId w:val="22"/>
        </w:numPr>
        <w:spacing w:line="276" w:lineRule="auto"/>
        <w:jc w:val="both"/>
        <w:rPr>
          <w:i/>
          <w:iCs/>
          <w:lang w:eastAsia="en-GB"/>
        </w:rPr>
      </w:pPr>
      <w:r w:rsidRPr="00B612A7">
        <w:rPr>
          <w:i/>
          <w:iCs/>
          <w:lang w:eastAsia="en-GB"/>
        </w:rPr>
        <w:t>Mu</w:t>
      </w:r>
      <w:r w:rsidR="00DF652F">
        <w:rPr>
          <w:i/>
          <w:iCs/>
          <w:lang w:eastAsia="en-GB"/>
        </w:rPr>
        <w:t>h</w:t>
      </w:r>
      <w:r w:rsidRPr="00B612A7">
        <w:rPr>
          <w:i/>
          <w:iCs/>
          <w:lang w:eastAsia="en-GB"/>
        </w:rPr>
        <w:t>imbili University of Health and Allied Sciences, Department Epidemiology and Statistics</w:t>
      </w:r>
      <w:r w:rsidR="006C6B99">
        <w:rPr>
          <w:i/>
          <w:iCs/>
          <w:lang w:eastAsia="en-GB"/>
        </w:rPr>
        <w:t>, Dar es Salaam, Tanzania</w:t>
      </w:r>
    </w:p>
    <w:p w14:paraId="4DF8D8B7" w14:textId="0E16C710" w:rsidR="00210AD5" w:rsidRPr="00B612A7" w:rsidRDefault="00210AD5" w:rsidP="00017851">
      <w:pPr>
        <w:pStyle w:val="ListParagraph"/>
        <w:numPr>
          <w:ilvl w:val="0"/>
          <w:numId w:val="22"/>
        </w:numPr>
        <w:spacing w:line="276" w:lineRule="auto"/>
        <w:rPr>
          <w:i/>
          <w:iCs/>
        </w:rPr>
      </w:pPr>
      <w:r w:rsidRPr="00B612A7">
        <w:rPr>
          <w:i/>
          <w:iCs/>
        </w:rPr>
        <w:t>Nelson Mandela African Institution of Science and Technology, School of Life Sciences and Bio</w:t>
      </w:r>
      <w:r w:rsidR="006C6B99">
        <w:rPr>
          <w:i/>
          <w:iCs/>
        </w:rPr>
        <w:t>-</w:t>
      </w:r>
      <w:r w:rsidRPr="00B612A7">
        <w:rPr>
          <w:i/>
          <w:iCs/>
        </w:rPr>
        <w:t>Engineering</w:t>
      </w:r>
      <w:r w:rsidR="00F9139E" w:rsidRPr="00B612A7">
        <w:rPr>
          <w:i/>
          <w:iCs/>
        </w:rPr>
        <w:t>, Arusha, Tanzania</w:t>
      </w:r>
      <w:r w:rsidRPr="00B612A7">
        <w:rPr>
          <w:i/>
          <w:iCs/>
        </w:rPr>
        <w:t> </w:t>
      </w:r>
    </w:p>
    <w:p w14:paraId="5E01A580" w14:textId="77777777" w:rsidR="00F9139E" w:rsidRDefault="00F9139E" w:rsidP="009B79B5">
      <w:pPr>
        <w:spacing w:line="360" w:lineRule="auto"/>
        <w:rPr>
          <w:b/>
        </w:rPr>
      </w:pPr>
    </w:p>
    <w:p w14:paraId="7DC45BA5" w14:textId="389E588A" w:rsidR="00F9139E" w:rsidRDefault="00F9139E" w:rsidP="00F9139E">
      <w:pPr>
        <w:spacing w:line="360" w:lineRule="auto"/>
        <w:rPr>
          <w:bCs/>
        </w:rPr>
      </w:pPr>
      <w:r w:rsidRPr="00F9139E">
        <w:rPr>
          <w:bCs/>
        </w:rPr>
        <w:t>Correspondence: Prof. Sayoki G. Mfinanga, MD, PhD</w:t>
      </w:r>
      <w:r w:rsidR="00B43F57">
        <w:rPr>
          <w:bCs/>
        </w:rPr>
        <w:t xml:space="preserve"> (</w:t>
      </w:r>
      <w:r w:rsidR="00B8171B">
        <w:fldChar w:fldCharType="begin"/>
      </w:r>
      <w:r w:rsidR="00B8171B">
        <w:instrText xml:space="preserve"> HYPERLINK "mailto:gsmfinanga@yahoo.com" </w:instrText>
      </w:r>
      <w:r w:rsidR="00B8171B">
        <w:fldChar w:fldCharType="separate"/>
      </w:r>
      <w:r w:rsidR="00B43F57" w:rsidRPr="00B92832">
        <w:rPr>
          <w:rStyle w:val="Hyperlink"/>
          <w:bCs/>
        </w:rPr>
        <w:t>gsmfinanga@yahoo.com</w:t>
      </w:r>
      <w:r w:rsidR="00B8171B">
        <w:rPr>
          <w:rStyle w:val="Hyperlink"/>
          <w:bCs/>
        </w:rPr>
        <w:fldChar w:fldCharType="end"/>
      </w:r>
      <w:r w:rsidR="00B43F57">
        <w:rPr>
          <w:bCs/>
        </w:rPr>
        <w:t>),</w:t>
      </w:r>
      <w:r w:rsidRPr="00F9139E">
        <w:rPr>
          <w:bCs/>
        </w:rPr>
        <w:t xml:space="preserve"> National Institute for Medical Research, Muhimbili Research Centre, Dar es salaam, Tanzania</w:t>
      </w:r>
    </w:p>
    <w:p w14:paraId="09D5D248" w14:textId="5CB17DAB" w:rsidR="003F1D60" w:rsidRDefault="003F1D60" w:rsidP="003F1D60">
      <w:pPr>
        <w:spacing w:line="360" w:lineRule="auto"/>
        <w:rPr>
          <w:bCs/>
        </w:rPr>
      </w:pPr>
      <w:r>
        <w:rPr>
          <w:color w:val="2A2A2A"/>
          <w:sz w:val="23"/>
          <w:szCs w:val="23"/>
          <w:shd w:val="clear" w:color="auto" w:fill="FFFFFF"/>
          <w:lang w:val="en-US"/>
        </w:rPr>
        <w:t>A</w:t>
      </w:r>
      <w:r>
        <w:rPr>
          <w:color w:val="2A2A2A"/>
          <w:sz w:val="23"/>
          <w:szCs w:val="23"/>
          <w:shd w:val="clear" w:color="auto" w:fill="FFFFFF"/>
        </w:rPr>
        <w:t>lternate</w:t>
      </w:r>
      <w:r>
        <w:rPr>
          <w:color w:val="2A2A2A"/>
          <w:sz w:val="23"/>
          <w:szCs w:val="23"/>
          <w:shd w:val="clear" w:color="auto" w:fill="FFFFFF"/>
          <w:lang w:val="en-US"/>
        </w:rPr>
        <w:t xml:space="preserve"> correspondence: Dr. </w:t>
      </w:r>
      <w:proofErr w:type="spellStart"/>
      <w:r>
        <w:rPr>
          <w:color w:val="2A2A2A"/>
          <w:sz w:val="23"/>
          <w:szCs w:val="23"/>
          <w:shd w:val="clear" w:color="auto" w:fill="FFFFFF"/>
          <w:lang w:val="en-US"/>
        </w:rPr>
        <w:t>Nicholaus</w:t>
      </w:r>
      <w:proofErr w:type="spellEnd"/>
      <w:r>
        <w:rPr>
          <w:color w:val="2A2A2A"/>
          <w:sz w:val="23"/>
          <w:szCs w:val="23"/>
          <w:shd w:val="clear" w:color="auto" w:fill="FFFFFF"/>
          <w:lang w:val="en-US"/>
        </w:rPr>
        <w:t xml:space="preserve"> P. </w:t>
      </w:r>
      <w:proofErr w:type="spellStart"/>
      <w:r>
        <w:rPr>
          <w:color w:val="2A2A2A"/>
          <w:sz w:val="23"/>
          <w:szCs w:val="23"/>
          <w:shd w:val="clear" w:color="auto" w:fill="FFFFFF"/>
          <w:lang w:val="en-US"/>
        </w:rPr>
        <w:t>Mnyambwa</w:t>
      </w:r>
      <w:proofErr w:type="spellEnd"/>
      <w:r>
        <w:rPr>
          <w:color w:val="2A2A2A"/>
          <w:sz w:val="23"/>
          <w:szCs w:val="23"/>
          <w:shd w:val="clear" w:color="auto" w:fill="FFFFFF"/>
          <w:lang w:val="en-US"/>
        </w:rPr>
        <w:t>, PhD (</w:t>
      </w:r>
      <w:hyperlink r:id="rId8" w:history="1">
        <w:r w:rsidRPr="00216E48">
          <w:rPr>
            <w:rStyle w:val="Hyperlink"/>
            <w:sz w:val="23"/>
            <w:szCs w:val="23"/>
            <w:shd w:val="clear" w:color="auto" w:fill="FFFFFF"/>
            <w:lang w:val="en-US"/>
          </w:rPr>
          <w:t>lodnicho@gmail.com</w:t>
        </w:r>
      </w:hyperlink>
      <w:r>
        <w:rPr>
          <w:color w:val="2A2A2A"/>
          <w:sz w:val="23"/>
          <w:szCs w:val="23"/>
          <w:shd w:val="clear" w:color="auto" w:fill="FFFFFF"/>
          <w:lang w:val="en-US"/>
        </w:rPr>
        <w:t xml:space="preserve">), </w:t>
      </w:r>
      <w:r w:rsidRPr="00F9139E">
        <w:rPr>
          <w:bCs/>
        </w:rPr>
        <w:t>National Institute for Medical Research, Muhimbili Research Centre, Dar es salaam, Tanzania</w:t>
      </w:r>
    </w:p>
    <w:p w14:paraId="41908118" w14:textId="6AF0C861" w:rsidR="003F1D60" w:rsidRPr="003F1D60" w:rsidRDefault="003F1D60" w:rsidP="003F1D60">
      <w:pPr>
        <w:rPr>
          <w:lang w:val="en-US"/>
        </w:rPr>
      </w:pPr>
    </w:p>
    <w:p w14:paraId="29E41342" w14:textId="77777777" w:rsidR="003F1D60" w:rsidRPr="00F9139E" w:rsidRDefault="003F1D60" w:rsidP="00F9139E">
      <w:pPr>
        <w:spacing w:line="360" w:lineRule="auto"/>
        <w:rPr>
          <w:bCs/>
        </w:rPr>
      </w:pPr>
    </w:p>
    <w:p w14:paraId="4A8ACF40" w14:textId="77777777" w:rsidR="00CA13B1" w:rsidRPr="002C6E86" w:rsidRDefault="00CA13B1" w:rsidP="00CA13B1">
      <w:pPr>
        <w:spacing w:line="360" w:lineRule="auto"/>
        <w:rPr>
          <w:bCs/>
        </w:rPr>
      </w:pPr>
      <w:r>
        <w:rPr>
          <w:bCs/>
          <w:iCs/>
          <w:color w:val="000000"/>
          <w:lang w:val="en-ZA"/>
        </w:rPr>
        <w:t xml:space="preserve">Running tittle: </w:t>
      </w:r>
      <w:r w:rsidRPr="002C6E86">
        <w:rPr>
          <w:bCs/>
          <w:iCs/>
          <w:color w:val="000000"/>
          <w:lang w:val="en-ZA"/>
        </w:rPr>
        <w:t>Clinical outcomes of</w:t>
      </w:r>
      <w:r>
        <w:rPr>
          <w:bCs/>
          <w:iCs/>
          <w:color w:val="000000"/>
          <w:lang w:val="en-ZA"/>
        </w:rPr>
        <w:t xml:space="preserve"> </w:t>
      </w:r>
      <w:r w:rsidRPr="002C6E86">
        <w:rPr>
          <w:bCs/>
          <w:iCs/>
          <w:color w:val="000000"/>
          <w:lang w:val="en-ZA"/>
        </w:rPr>
        <w:t>COVID-19 patients in Tanzania</w:t>
      </w:r>
    </w:p>
    <w:p w14:paraId="332C1E86" w14:textId="70FCCBC3" w:rsidR="0056718B" w:rsidRPr="009B79B5" w:rsidRDefault="0056718B" w:rsidP="009B79B5">
      <w:pPr>
        <w:spacing w:line="360" w:lineRule="auto"/>
        <w:rPr>
          <w:bCs/>
          <w:iCs/>
          <w:color w:val="000000"/>
          <w:lang w:val="en-ZA"/>
        </w:rPr>
      </w:pPr>
    </w:p>
    <w:p w14:paraId="780FE832" w14:textId="77777777" w:rsidR="0056718B" w:rsidRPr="009B79B5" w:rsidRDefault="0056718B" w:rsidP="009B79B5">
      <w:pPr>
        <w:spacing w:line="360" w:lineRule="auto"/>
        <w:rPr>
          <w:bCs/>
          <w:iCs/>
          <w:color w:val="000000"/>
          <w:lang w:val="en-ZA"/>
        </w:rPr>
      </w:pPr>
    </w:p>
    <w:p w14:paraId="4A83AF4B" w14:textId="77777777" w:rsidR="00017851" w:rsidRDefault="00017851" w:rsidP="00F87C72">
      <w:pPr>
        <w:spacing w:line="360" w:lineRule="auto"/>
        <w:rPr>
          <w:b/>
          <w:bCs/>
        </w:rPr>
      </w:pPr>
    </w:p>
    <w:p w14:paraId="4EC3D755" w14:textId="77777777" w:rsidR="00017851" w:rsidRDefault="00017851" w:rsidP="00F87C72">
      <w:pPr>
        <w:spacing w:line="360" w:lineRule="auto"/>
        <w:rPr>
          <w:b/>
          <w:bCs/>
        </w:rPr>
      </w:pPr>
    </w:p>
    <w:p w14:paraId="502EE8E7" w14:textId="0B2C10C1" w:rsidR="001753DF" w:rsidRPr="003F1D60" w:rsidRDefault="003F1D60" w:rsidP="00AC0979">
      <w:pPr>
        <w:spacing w:line="360" w:lineRule="auto"/>
        <w:rPr>
          <w:bCs/>
          <w:iCs/>
          <w:color w:val="000000"/>
          <w:lang w:val="en-US"/>
        </w:rPr>
      </w:pPr>
      <w:r>
        <w:rPr>
          <w:b/>
          <w:bCs/>
          <w:lang w:val="en-US"/>
        </w:rPr>
        <w:lastRenderedPageBreak/>
        <w:t>Abstract</w:t>
      </w:r>
    </w:p>
    <w:p w14:paraId="38F29D9B" w14:textId="0B2A8999" w:rsidR="000B476A" w:rsidRDefault="001753DF" w:rsidP="00AC0979">
      <w:pPr>
        <w:spacing w:line="360" w:lineRule="auto"/>
        <w:jc w:val="both"/>
      </w:pPr>
      <w:r w:rsidRPr="009B79B5">
        <w:rPr>
          <w:b/>
          <w:bCs/>
        </w:rPr>
        <w:t>Background:</w:t>
      </w:r>
      <w:r w:rsidRPr="009B79B5">
        <w:t xml:space="preserve"> </w:t>
      </w:r>
      <w:r w:rsidR="00A05D29">
        <w:t>Data on demographic, c</w:t>
      </w:r>
      <w:r w:rsidR="00A05D29" w:rsidRPr="009B79B5">
        <w:t xml:space="preserve">linical </w:t>
      </w:r>
      <w:r w:rsidR="00A05D29">
        <w:t xml:space="preserve">features, and outcomes of patients with COVID-19 admitted to hospitals in </w:t>
      </w:r>
      <w:r w:rsidR="009D39BC">
        <w:rPr>
          <w:lang w:val="en-US"/>
        </w:rPr>
        <w:t>Tanzania</w:t>
      </w:r>
      <w:r w:rsidR="00A05D29">
        <w:t xml:space="preserve"> are scant</w:t>
      </w:r>
      <w:r w:rsidR="00332D8E">
        <w:t>y</w:t>
      </w:r>
      <w:r w:rsidR="000F2D12">
        <w:t xml:space="preserve">. We performed a prospective cohort study of the clinical presentations and management outcomes of </w:t>
      </w:r>
      <w:r w:rsidR="000F2D12" w:rsidRPr="009B79B5">
        <w:t xml:space="preserve">laboratory-confirmed </w:t>
      </w:r>
      <w:r w:rsidR="000F2D12">
        <w:t>COVID-19</w:t>
      </w:r>
      <w:r w:rsidR="000F2D12" w:rsidRPr="009B79B5">
        <w:t xml:space="preserve"> </w:t>
      </w:r>
      <w:r w:rsidR="000F2D12">
        <w:t xml:space="preserve">patients </w:t>
      </w:r>
      <w:r w:rsidR="00017851" w:rsidRPr="00017851">
        <w:t xml:space="preserve">in the </w:t>
      </w:r>
      <w:r w:rsidR="00017851">
        <w:t>early</w:t>
      </w:r>
      <w:r w:rsidR="00017851" w:rsidRPr="00017851">
        <w:t xml:space="preserve"> months of the pandemic</w:t>
      </w:r>
      <w:r w:rsidR="00017851">
        <w:t xml:space="preserve"> </w:t>
      </w:r>
      <w:r w:rsidR="000F2D12">
        <w:t xml:space="preserve">at 2 hospitals </w:t>
      </w:r>
      <w:r w:rsidR="000F2D12" w:rsidRPr="009B79B5">
        <w:t xml:space="preserve">in </w:t>
      </w:r>
      <w:r w:rsidR="000F2D12">
        <w:t xml:space="preserve">Dar es Salaam, </w:t>
      </w:r>
      <w:r w:rsidR="000F2D12" w:rsidRPr="009B79B5">
        <w:t>Tanzania</w:t>
      </w:r>
      <w:r w:rsidR="000F2D12">
        <w:t xml:space="preserve">. </w:t>
      </w:r>
    </w:p>
    <w:p w14:paraId="5D8509B1" w14:textId="1BCEFABC" w:rsidR="00E65E12" w:rsidRDefault="001753DF" w:rsidP="00AC0979">
      <w:pPr>
        <w:spacing w:line="360" w:lineRule="auto"/>
        <w:jc w:val="both"/>
      </w:pPr>
      <w:r w:rsidRPr="009B79B5">
        <w:rPr>
          <w:b/>
          <w:bCs/>
        </w:rPr>
        <w:t>Methods:</w:t>
      </w:r>
      <w:r w:rsidR="00AC2976">
        <w:rPr>
          <w:b/>
          <w:bCs/>
        </w:rPr>
        <w:t xml:space="preserve"> </w:t>
      </w:r>
      <w:r w:rsidR="000F2D12">
        <w:t>Between</w:t>
      </w:r>
      <w:r w:rsidR="00A05D29">
        <w:t xml:space="preserve"> </w:t>
      </w:r>
      <w:r w:rsidR="000F2D12">
        <w:t xml:space="preserve">April 1 - May 31, 2020, laboratory confirmed </w:t>
      </w:r>
      <w:r w:rsidR="00A05D29">
        <w:t xml:space="preserve">COVID-19 </w:t>
      </w:r>
      <w:r w:rsidR="000F2D12">
        <w:t xml:space="preserve">patients </w:t>
      </w:r>
      <w:r w:rsidR="00A05D29">
        <w:t>seen at</w:t>
      </w:r>
      <w:r w:rsidR="000F2D12">
        <w:t xml:space="preserve"> two tertiary facilities</w:t>
      </w:r>
      <w:r w:rsidR="0048172E">
        <w:t xml:space="preserve"> (</w:t>
      </w:r>
      <w:r w:rsidR="000F2D12">
        <w:t>Amana Regional Referral Hospital –</w:t>
      </w:r>
      <w:r w:rsidR="00A05D29">
        <w:t xml:space="preserve">and </w:t>
      </w:r>
      <w:r w:rsidR="000F2D12">
        <w:t>Hindu Mandal</w:t>
      </w:r>
      <w:r w:rsidR="00A05D29">
        <w:t xml:space="preserve"> Hospital</w:t>
      </w:r>
      <w:r w:rsidR="0048172E">
        <w:t>)</w:t>
      </w:r>
      <w:r w:rsidR="000F2D12">
        <w:t xml:space="preserve"> were </w:t>
      </w:r>
      <w:r w:rsidR="00A05D29">
        <w:t xml:space="preserve">consecutively </w:t>
      </w:r>
      <w:r w:rsidR="000F2D12">
        <w:t xml:space="preserve">enrolled in the study </w:t>
      </w:r>
      <w:r w:rsidR="000F2D12" w:rsidRPr="000F2D12">
        <w:t xml:space="preserve">and followed up for 21 days. </w:t>
      </w:r>
    </w:p>
    <w:p w14:paraId="549D829A" w14:textId="4F00CC46" w:rsidR="00C57E80" w:rsidRDefault="00C07FD3" w:rsidP="00AC0979">
      <w:pPr>
        <w:spacing w:line="360" w:lineRule="auto"/>
        <w:jc w:val="both"/>
      </w:pPr>
      <w:r>
        <w:rPr>
          <w:b/>
          <w:bCs/>
          <w:lang w:val="en-US"/>
        </w:rPr>
        <w:t>Results</w:t>
      </w:r>
      <w:r w:rsidR="001753DF" w:rsidRPr="009B79B5">
        <w:rPr>
          <w:b/>
          <w:bCs/>
        </w:rPr>
        <w:t xml:space="preserve">: </w:t>
      </w:r>
      <w:r w:rsidR="00ED0878">
        <w:t xml:space="preserve">We enrolled </w:t>
      </w:r>
      <w:r w:rsidR="00ED0878" w:rsidRPr="009B79B5">
        <w:t xml:space="preserve">121 </w:t>
      </w:r>
      <w:r w:rsidR="00ED0878">
        <w:t>COVID-19</w:t>
      </w:r>
      <w:r w:rsidR="00ED0878" w:rsidRPr="009B79B5">
        <w:t xml:space="preserve"> patients</w:t>
      </w:r>
      <w:r w:rsidR="00ED0878">
        <w:t xml:space="preserve">; </w:t>
      </w:r>
      <w:r w:rsidR="00C65BB6" w:rsidRPr="00C05539">
        <w:t xml:space="preserve">112 (92.6%) were admitted </w:t>
      </w:r>
      <w:r w:rsidR="00C65BB6">
        <w:t xml:space="preserve">while </w:t>
      </w:r>
      <w:r w:rsidR="00C65BB6" w:rsidRPr="00C05539">
        <w:t>9</w:t>
      </w:r>
      <w:r w:rsidR="00C65BB6">
        <w:t xml:space="preserve"> </w:t>
      </w:r>
      <w:r w:rsidR="00C65BB6" w:rsidRPr="00CB51C2">
        <w:t xml:space="preserve">(7.4%) were </w:t>
      </w:r>
      <w:r w:rsidR="00C65BB6" w:rsidRPr="004C3FE4">
        <w:t xml:space="preserve">seen as </w:t>
      </w:r>
      <w:r w:rsidR="00C65BB6" w:rsidRPr="00983621">
        <w:t>outpatients</w:t>
      </w:r>
      <w:r w:rsidR="00C65BB6">
        <w:t>.</w:t>
      </w:r>
      <w:r w:rsidR="00ED0878">
        <w:t xml:space="preserve"> </w:t>
      </w:r>
      <w:r w:rsidR="0023048B">
        <w:t xml:space="preserve">The </w:t>
      </w:r>
      <w:r w:rsidR="0023048B" w:rsidRPr="009B79B5">
        <w:t>median</w:t>
      </w:r>
      <w:r w:rsidR="0023048B">
        <w:t xml:space="preserve"> (IQR)</w:t>
      </w:r>
      <w:r w:rsidR="0023048B" w:rsidRPr="009B79B5">
        <w:t xml:space="preserve"> age </w:t>
      </w:r>
      <w:r w:rsidR="0023048B">
        <w:t xml:space="preserve">of patients was </w:t>
      </w:r>
      <w:r w:rsidR="0023048B" w:rsidRPr="009B79B5">
        <w:t>41</w:t>
      </w:r>
      <w:r w:rsidR="0023048B">
        <w:t xml:space="preserve"> (</w:t>
      </w:r>
      <w:r w:rsidR="0023048B" w:rsidRPr="007948D8">
        <w:t>30-54</w:t>
      </w:r>
      <w:r w:rsidR="0023048B">
        <w:t>)</w:t>
      </w:r>
      <w:r w:rsidR="0023048B" w:rsidRPr="009B79B5">
        <w:t xml:space="preserve"> years</w:t>
      </w:r>
      <w:r w:rsidR="00C65BB6">
        <w:t xml:space="preserve">; 72 (59.5%) </w:t>
      </w:r>
      <w:r w:rsidR="00C65BB6" w:rsidRPr="009B79B5">
        <w:t>were male</w:t>
      </w:r>
      <w:r w:rsidR="00C65BB6">
        <w:t>.</w:t>
      </w:r>
      <w:r>
        <w:rPr>
          <w:lang w:val="en-US"/>
        </w:rPr>
        <w:t xml:space="preserve"> </w:t>
      </w:r>
      <w:r w:rsidR="00A56526" w:rsidRPr="009B79B5">
        <w:t xml:space="preserve">Patients infected with SARS-Cov-2 presented </w:t>
      </w:r>
      <w:r w:rsidR="00AA1637">
        <w:t>with similar symptoms as the rest of the world</w:t>
      </w:r>
      <w:r w:rsidR="00AA1637">
        <w:rPr>
          <w:lang w:val="en-US"/>
        </w:rPr>
        <w:t xml:space="preserve">. </w:t>
      </w:r>
      <w:r w:rsidR="00D0119D" w:rsidRPr="00C05539">
        <w:t xml:space="preserve">The median </w:t>
      </w:r>
      <w:r w:rsidR="00613519" w:rsidRPr="00C05539">
        <w:t xml:space="preserve">(IQR) </w:t>
      </w:r>
      <w:r w:rsidR="00E65E12">
        <w:t xml:space="preserve">reported </w:t>
      </w:r>
      <w:r w:rsidR="005A64CE">
        <w:t>days</w:t>
      </w:r>
      <w:r w:rsidR="00096F44" w:rsidRPr="00C05539">
        <w:t xml:space="preserve"> </w:t>
      </w:r>
      <w:r w:rsidR="0016034A" w:rsidRPr="00C05539">
        <w:t>from hospital admission to recovery</w:t>
      </w:r>
      <w:r>
        <w:rPr>
          <w:lang w:val="en-US"/>
        </w:rPr>
        <w:t xml:space="preserve"> and </w:t>
      </w:r>
      <w:r w:rsidRPr="00C05539">
        <w:t xml:space="preserve">death </w:t>
      </w:r>
      <w:r>
        <w:rPr>
          <w:lang w:val="en-US"/>
        </w:rPr>
        <w:t xml:space="preserve">was </w:t>
      </w:r>
      <w:r w:rsidR="0090305D" w:rsidRPr="00C05539">
        <w:t>10</w:t>
      </w:r>
      <w:r w:rsidR="00D1242D">
        <w:t xml:space="preserve"> </w:t>
      </w:r>
      <w:r>
        <w:rPr>
          <w:lang w:val="en-US"/>
        </w:rPr>
        <w:t>(</w:t>
      </w:r>
      <w:r w:rsidR="0090305D" w:rsidRPr="00C05539">
        <w:t>6-18</w:t>
      </w:r>
      <w:r>
        <w:rPr>
          <w:lang w:val="en-US"/>
        </w:rPr>
        <w:t>)</w:t>
      </w:r>
      <w:r w:rsidR="0016034A" w:rsidRPr="00C05539">
        <w:t xml:space="preserve"> and </w:t>
      </w:r>
      <w:r w:rsidR="0090305D" w:rsidRPr="00C05539">
        <w:t>5.5</w:t>
      </w:r>
      <w:r w:rsidR="00096F44" w:rsidRPr="00C05539">
        <w:t xml:space="preserve"> </w:t>
      </w:r>
      <w:r>
        <w:rPr>
          <w:lang w:val="en-US"/>
        </w:rPr>
        <w:t>(</w:t>
      </w:r>
      <w:r w:rsidR="0090305D" w:rsidRPr="00C05539">
        <w:t>3-9)</w:t>
      </w:r>
      <w:r>
        <w:rPr>
          <w:lang w:val="en-US"/>
        </w:rPr>
        <w:t xml:space="preserve"> respectively</w:t>
      </w:r>
      <w:r w:rsidR="0016034A" w:rsidRPr="00C05539">
        <w:t xml:space="preserve">. </w:t>
      </w:r>
      <w:r w:rsidR="002228E1">
        <w:rPr>
          <w:lang w:val="en-US"/>
        </w:rPr>
        <w:t>Forty-four</w:t>
      </w:r>
      <w:r w:rsidR="001D11BD">
        <w:t xml:space="preserve"> </w:t>
      </w:r>
      <w:r w:rsidR="001D11BD" w:rsidRPr="001D11BD">
        <w:t>(</w:t>
      </w:r>
      <w:r w:rsidR="001314C7">
        <w:t>36.4%</w:t>
      </w:r>
      <w:r w:rsidR="001D11BD" w:rsidRPr="001D11BD">
        <w:t>)</w:t>
      </w:r>
      <w:r w:rsidR="00263F46">
        <w:t xml:space="preserve"> patients had</w:t>
      </w:r>
      <w:r w:rsidR="00C57E80">
        <w:t xml:space="preserve"> at least</w:t>
      </w:r>
      <w:r w:rsidR="00B64EB0">
        <w:t xml:space="preserve"> </w:t>
      </w:r>
      <w:r w:rsidR="00332D8E">
        <w:t>one underlying</w:t>
      </w:r>
      <w:r w:rsidR="00263F46">
        <w:t xml:space="preserve"> condition</w:t>
      </w:r>
      <w:r w:rsidR="005B32E6">
        <w:rPr>
          <w:lang w:val="en-US"/>
        </w:rPr>
        <w:t xml:space="preserve">. </w:t>
      </w:r>
      <w:r w:rsidR="00170E39" w:rsidRPr="00C05539">
        <w:t xml:space="preserve">Of the </w:t>
      </w:r>
      <w:r w:rsidR="00053AFD" w:rsidRPr="00C05539">
        <w:t>112</w:t>
      </w:r>
      <w:r w:rsidR="00CB51C2">
        <w:t xml:space="preserve"> </w:t>
      </w:r>
      <w:r w:rsidR="0018445E">
        <w:t>admissions</w:t>
      </w:r>
      <w:r w:rsidR="00CB51C2">
        <w:t>,</w:t>
      </w:r>
      <w:r w:rsidR="00053AFD" w:rsidRPr="00CB51C2">
        <w:t xml:space="preserve"> 17</w:t>
      </w:r>
      <w:r w:rsidR="00446786" w:rsidRPr="00CB51C2">
        <w:t xml:space="preserve"> (15.2%)</w:t>
      </w:r>
      <w:r w:rsidR="00170E39" w:rsidRPr="00CB51C2">
        <w:t xml:space="preserve"> went </w:t>
      </w:r>
      <w:r w:rsidR="00C57E80">
        <w:t>to</w:t>
      </w:r>
      <w:r w:rsidR="00170E39" w:rsidRPr="00CB51C2">
        <w:t xml:space="preserve"> ICU</w:t>
      </w:r>
      <w:r w:rsidR="00D71A57">
        <w:t>, of which</w:t>
      </w:r>
      <w:r w:rsidR="00D71A57" w:rsidRPr="00D71A57">
        <w:t xml:space="preserve"> 14 (</w:t>
      </w:r>
      <w:r w:rsidR="00D71A57">
        <w:t>82.3</w:t>
      </w:r>
      <w:r w:rsidR="00D71A57" w:rsidRPr="00D71A57">
        <w:t>%) died</w:t>
      </w:r>
      <w:r w:rsidR="00170E39" w:rsidRPr="008A19F4">
        <w:t xml:space="preserve">. Overall, </w:t>
      </w:r>
      <w:r w:rsidR="00446786" w:rsidRPr="008A19F4">
        <w:t>a</w:t>
      </w:r>
      <w:r w:rsidR="00892382" w:rsidRPr="008A19F4">
        <w:t>t the end of follow-up</w:t>
      </w:r>
      <w:r w:rsidR="00277F96" w:rsidRPr="008A19F4">
        <w:t xml:space="preserve">, </w:t>
      </w:r>
      <w:r w:rsidR="009427FA">
        <w:t xml:space="preserve">of the </w:t>
      </w:r>
      <w:r w:rsidR="00BB15AB">
        <w:t>121</w:t>
      </w:r>
      <w:r w:rsidR="00B43BA4">
        <w:t xml:space="preserve"> patients</w:t>
      </w:r>
      <w:r w:rsidR="009427FA">
        <w:t>,</w:t>
      </w:r>
      <w:r w:rsidR="00892382" w:rsidRPr="008A19F4">
        <w:t xml:space="preserve"> </w:t>
      </w:r>
      <w:r w:rsidR="009427FA">
        <w:t>9</w:t>
      </w:r>
      <w:r w:rsidR="008A6EF0">
        <w:t>3</w:t>
      </w:r>
      <w:r w:rsidR="00DC7F92" w:rsidRPr="008A19F4">
        <w:t>(7</w:t>
      </w:r>
      <w:r w:rsidR="008A6EF0">
        <w:t>6</w:t>
      </w:r>
      <w:r w:rsidR="00DC7F92" w:rsidRPr="008A19F4">
        <w:t>.</w:t>
      </w:r>
      <w:r w:rsidR="008A6EF0">
        <w:t>9</w:t>
      </w:r>
      <w:r w:rsidR="00DC7F92" w:rsidRPr="008A19F4">
        <w:t>%</w:t>
      </w:r>
      <w:r w:rsidR="00892382" w:rsidRPr="008A19F4">
        <w:t>)</w:t>
      </w:r>
      <w:r w:rsidR="00277F96" w:rsidRPr="008A19F4">
        <w:t xml:space="preserve"> </w:t>
      </w:r>
      <w:r w:rsidR="00892382" w:rsidRPr="008A19F4">
        <w:t>recovered</w:t>
      </w:r>
      <w:r w:rsidR="00277F96" w:rsidRPr="008A19F4">
        <w:t xml:space="preserve"> and </w:t>
      </w:r>
      <w:r w:rsidR="00892382" w:rsidRPr="008A19F4">
        <w:t>18 (14.9</w:t>
      </w:r>
      <w:r w:rsidR="00277F96" w:rsidRPr="008A19F4">
        <w:t>%</w:t>
      </w:r>
      <w:r w:rsidR="00892382" w:rsidRPr="008A19F4">
        <w:t>) died</w:t>
      </w:r>
      <w:r w:rsidR="00930F47" w:rsidRPr="008A19F4">
        <w:t>, 7</w:t>
      </w:r>
      <w:r w:rsidR="00D55C1B" w:rsidRPr="008A19F4">
        <w:t xml:space="preserve"> (5.8%)</w:t>
      </w:r>
      <w:r w:rsidR="00930F47" w:rsidRPr="008A19F4">
        <w:t xml:space="preserve"> remained asymptomatic and 1</w:t>
      </w:r>
      <w:r w:rsidR="00D55C1B" w:rsidRPr="008A19F4">
        <w:t xml:space="preserve"> (0.8%)</w:t>
      </w:r>
      <w:r w:rsidR="00930F47" w:rsidRPr="008A19F4">
        <w:t xml:space="preserve"> was still ill</w:t>
      </w:r>
      <w:r w:rsidR="00892382" w:rsidRPr="008A19F4">
        <w:t>.</w:t>
      </w:r>
      <w:r w:rsidR="008A19F4">
        <w:t xml:space="preserve"> </w:t>
      </w:r>
      <w:r>
        <w:t xml:space="preserve">Common complications were </w:t>
      </w:r>
      <w:r w:rsidRPr="00C05539">
        <w:t>a</w:t>
      </w:r>
      <w:r w:rsidRPr="00C05539">
        <w:rPr>
          <w:rStyle w:val="e24kjd"/>
          <w:rFonts w:eastAsiaTheme="majorEastAsia"/>
        </w:rPr>
        <w:t>cute respiratory distress syndrome</w:t>
      </w:r>
      <w:r>
        <w:t xml:space="preserve"> [</w:t>
      </w:r>
      <w:r w:rsidRPr="00C05539">
        <w:t>17.5%</w:t>
      </w:r>
      <w:r>
        <w:t>]</w:t>
      </w:r>
      <w:r w:rsidRPr="00C05539">
        <w:t>)</w:t>
      </w:r>
      <w:r>
        <w:t xml:space="preserve"> and Mechanical ventilation </w:t>
      </w:r>
      <w:r w:rsidRPr="00C05539">
        <w:t>7</w:t>
      </w:r>
      <w:r w:rsidRPr="00EB7590">
        <w:t>(5.8)</w:t>
      </w:r>
      <w:r>
        <w:t xml:space="preserve">.  </w:t>
      </w:r>
    </w:p>
    <w:p w14:paraId="769570EE" w14:textId="5D78117B" w:rsidR="001314C7" w:rsidRDefault="00C07FD3" w:rsidP="00AC0979">
      <w:pPr>
        <w:spacing w:line="360" w:lineRule="auto"/>
        <w:jc w:val="both"/>
      </w:pPr>
      <w:r>
        <w:rPr>
          <w:b/>
          <w:bCs/>
          <w:lang w:val="en-US"/>
        </w:rPr>
        <w:t>Conclusion</w:t>
      </w:r>
      <w:r w:rsidR="001753DF" w:rsidRPr="009B79B5">
        <w:rPr>
          <w:b/>
          <w:bCs/>
        </w:rPr>
        <w:t>:</w:t>
      </w:r>
      <w:r w:rsidR="003738C9" w:rsidRPr="009B79B5">
        <w:rPr>
          <w:b/>
          <w:bCs/>
        </w:rPr>
        <w:t xml:space="preserve"> </w:t>
      </w:r>
      <w:r w:rsidR="00DC4951" w:rsidRPr="009B79B5">
        <w:rPr>
          <w:iCs/>
          <w:lang w:val="en-ZA"/>
        </w:rPr>
        <w:t>T</w:t>
      </w:r>
      <w:r w:rsidR="003738C9" w:rsidRPr="009B79B5">
        <w:rPr>
          <w:iCs/>
          <w:lang w:val="en-ZA"/>
        </w:rPr>
        <w:t xml:space="preserve">hree-quarters of all </w:t>
      </w:r>
      <w:r w:rsidR="009B6647" w:rsidRPr="009B79B5">
        <w:rPr>
          <w:iCs/>
          <w:lang w:val="en-ZA"/>
        </w:rPr>
        <w:t>COVID</w:t>
      </w:r>
      <w:r w:rsidR="003738C9" w:rsidRPr="009B79B5">
        <w:rPr>
          <w:iCs/>
          <w:lang w:val="en-ZA"/>
        </w:rPr>
        <w:t xml:space="preserve">-19 patients </w:t>
      </w:r>
      <w:r w:rsidR="003738C9" w:rsidRPr="000612C9">
        <w:rPr>
          <w:iCs/>
          <w:lang w:val="en-ZA"/>
        </w:rPr>
        <w:t xml:space="preserve">were aged </w:t>
      </w:r>
      <w:r w:rsidR="00927403" w:rsidRPr="000612C9">
        <w:rPr>
          <w:iCs/>
          <w:lang w:val="en-ZA"/>
        </w:rPr>
        <w:t xml:space="preserve">less </w:t>
      </w:r>
      <w:r w:rsidR="00D71A57" w:rsidRPr="000612C9">
        <w:rPr>
          <w:iCs/>
          <w:lang w:val="en-ZA"/>
        </w:rPr>
        <w:t xml:space="preserve">than </w:t>
      </w:r>
      <w:r w:rsidR="003738C9" w:rsidRPr="000612C9">
        <w:rPr>
          <w:iCs/>
          <w:lang w:val="en-ZA"/>
        </w:rPr>
        <w:t>60</w:t>
      </w:r>
      <w:r w:rsidR="00AB5EB7" w:rsidRPr="000612C9">
        <w:rPr>
          <w:iCs/>
          <w:lang w:val="en-ZA"/>
        </w:rPr>
        <w:t xml:space="preserve"> years</w:t>
      </w:r>
      <w:r w:rsidR="00263F46" w:rsidRPr="000612C9">
        <w:rPr>
          <w:iCs/>
          <w:lang w:val="en-ZA"/>
        </w:rPr>
        <w:t xml:space="preserve"> </w:t>
      </w:r>
      <w:r w:rsidR="00D14C8B" w:rsidRPr="00982115">
        <w:rPr>
          <w:iCs/>
          <w:lang w:val="en-ZA"/>
        </w:rPr>
        <w:t>reflecting</w:t>
      </w:r>
      <w:r w:rsidR="00DD4347" w:rsidRPr="00982115">
        <w:rPr>
          <w:iCs/>
          <w:lang w:val="en-ZA"/>
        </w:rPr>
        <w:t xml:space="preserve"> </w:t>
      </w:r>
      <w:r w:rsidR="00A2725E" w:rsidRPr="00414343">
        <w:rPr>
          <w:iCs/>
          <w:lang w:val="en-ZA"/>
        </w:rPr>
        <w:t xml:space="preserve">the young </w:t>
      </w:r>
      <w:r w:rsidR="00FC28F0" w:rsidRPr="00985104">
        <w:rPr>
          <w:iCs/>
          <w:lang w:val="en-ZA"/>
        </w:rPr>
        <w:t xml:space="preserve">population </w:t>
      </w:r>
      <w:r w:rsidR="00D14C8B" w:rsidRPr="001B217D">
        <w:rPr>
          <w:iCs/>
          <w:lang w:val="en-ZA"/>
        </w:rPr>
        <w:t xml:space="preserve">structure in </w:t>
      </w:r>
      <w:r w:rsidR="00A2725E" w:rsidRPr="001B217D">
        <w:rPr>
          <w:iCs/>
          <w:lang w:val="en-ZA"/>
        </w:rPr>
        <w:t>Africa</w:t>
      </w:r>
      <w:r w:rsidR="00011C93" w:rsidRPr="000612C9">
        <w:rPr>
          <w:iCs/>
          <w:lang w:val="en-ZA"/>
        </w:rPr>
        <w:t xml:space="preserve">. </w:t>
      </w:r>
      <w:r w:rsidR="000B476A" w:rsidRPr="000612C9">
        <w:rPr>
          <w:iCs/>
          <w:lang w:val="en-ZA"/>
        </w:rPr>
        <w:t>H</w:t>
      </w:r>
      <w:r w:rsidR="00585CAA" w:rsidRPr="000612C9">
        <w:rPr>
          <w:iCs/>
          <w:lang w:val="en-ZA"/>
        </w:rPr>
        <w:t xml:space="preserve">igh admission rate to ICU </w:t>
      </w:r>
      <w:r w:rsidR="008A6EF0" w:rsidRPr="000612C9">
        <w:rPr>
          <w:iCs/>
          <w:lang w:val="en-ZA"/>
        </w:rPr>
        <w:t xml:space="preserve">(15.2%) </w:t>
      </w:r>
      <w:r w:rsidR="00585CAA" w:rsidRPr="000612C9">
        <w:rPr>
          <w:iCs/>
          <w:lang w:val="en-ZA"/>
        </w:rPr>
        <w:t>and death</w:t>
      </w:r>
      <w:r w:rsidR="00585CAA">
        <w:rPr>
          <w:iCs/>
          <w:lang w:val="en-ZA"/>
        </w:rPr>
        <w:t xml:space="preserve"> rate </w:t>
      </w:r>
      <w:r w:rsidR="008A6EF0">
        <w:rPr>
          <w:iCs/>
          <w:lang w:val="en-ZA"/>
        </w:rPr>
        <w:t>(</w:t>
      </w:r>
      <w:r w:rsidR="00585CAA">
        <w:rPr>
          <w:iCs/>
          <w:lang w:val="en-ZA"/>
        </w:rPr>
        <w:t>1</w:t>
      </w:r>
      <w:r w:rsidR="00C57E80">
        <w:rPr>
          <w:iCs/>
          <w:lang w:val="en-ZA"/>
        </w:rPr>
        <w:t>4.9</w:t>
      </w:r>
      <w:r w:rsidR="00585CAA">
        <w:rPr>
          <w:iCs/>
          <w:lang w:val="en-ZA"/>
        </w:rPr>
        <w:t>%</w:t>
      </w:r>
      <w:r w:rsidR="008A6EF0">
        <w:rPr>
          <w:iCs/>
          <w:lang w:val="en-ZA"/>
        </w:rPr>
        <w:t>)</w:t>
      </w:r>
      <w:r w:rsidR="00585CAA">
        <w:rPr>
          <w:iCs/>
          <w:lang w:val="en-ZA"/>
        </w:rPr>
        <w:t xml:space="preserve"> w</w:t>
      </w:r>
      <w:r w:rsidR="002217A7">
        <w:rPr>
          <w:iCs/>
          <w:lang w:val="en-ZA"/>
        </w:rPr>
        <w:t>ere</w:t>
      </w:r>
      <w:r w:rsidR="00585CAA">
        <w:rPr>
          <w:iCs/>
          <w:lang w:val="en-ZA"/>
        </w:rPr>
        <w:t xml:space="preserve"> observed. </w:t>
      </w:r>
      <w:r w:rsidR="00F45D2E">
        <w:rPr>
          <w:iCs/>
          <w:lang w:val="en-ZA"/>
        </w:rPr>
        <w:t xml:space="preserve"> </w:t>
      </w:r>
    </w:p>
    <w:p w14:paraId="7F2DA5ED" w14:textId="77777777" w:rsidR="00FD02D2" w:rsidRPr="009B79B5" w:rsidRDefault="00FD02D2" w:rsidP="00AC0979">
      <w:pPr>
        <w:spacing w:line="360" w:lineRule="auto"/>
        <w:jc w:val="both"/>
        <w:rPr>
          <w:b/>
        </w:rPr>
      </w:pPr>
    </w:p>
    <w:p w14:paraId="588D55FE" w14:textId="04197147" w:rsidR="00FD02D2" w:rsidRPr="009B79B5" w:rsidRDefault="00AC0979" w:rsidP="00AC0979">
      <w:pPr>
        <w:spacing w:line="360" w:lineRule="auto"/>
        <w:rPr>
          <w:b/>
        </w:rPr>
      </w:pPr>
      <w:r>
        <w:rPr>
          <w:b/>
          <w:lang w:val="en-US"/>
        </w:rPr>
        <w:t xml:space="preserve">Keywords: </w:t>
      </w:r>
      <w:r w:rsidRPr="009B79B5">
        <w:t>SARS-Cov-2</w:t>
      </w:r>
      <w:r>
        <w:rPr>
          <w:lang w:val="en-US"/>
        </w:rPr>
        <w:t xml:space="preserve">; </w:t>
      </w:r>
      <w:r>
        <w:t>COVID-19</w:t>
      </w:r>
      <w:r>
        <w:rPr>
          <w:lang w:val="en-US"/>
        </w:rPr>
        <w:t>; Clinical outcomes</w:t>
      </w:r>
      <w:r>
        <w:t xml:space="preserve"> </w:t>
      </w:r>
      <w:r w:rsidR="00FD02D2" w:rsidRPr="009B79B5">
        <w:rPr>
          <w:b/>
        </w:rPr>
        <w:br w:type="page"/>
      </w:r>
    </w:p>
    <w:p w14:paraId="24285739" w14:textId="4C635493" w:rsidR="001753DF" w:rsidRPr="009B79B5" w:rsidRDefault="001753DF" w:rsidP="009B79B5">
      <w:pPr>
        <w:spacing w:line="360" w:lineRule="auto"/>
        <w:jc w:val="both"/>
        <w:rPr>
          <w:b/>
        </w:rPr>
      </w:pPr>
      <w:r w:rsidRPr="009B79B5">
        <w:rPr>
          <w:b/>
        </w:rPr>
        <w:lastRenderedPageBreak/>
        <w:t>Introduction</w:t>
      </w:r>
    </w:p>
    <w:p w14:paraId="3AA6E399" w14:textId="14E1522C" w:rsidR="001753DF" w:rsidRDefault="001753DF" w:rsidP="009B79B5">
      <w:pPr>
        <w:spacing w:line="360" w:lineRule="auto"/>
        <w:jc w:val="both"/>
        <w:rPr>
          <w:bCs/>
          <w:iCs/>
          <w:color w:val="000000"/>
          <w:lang w:val="en-ZA"/>
        </w:rPr>
      </w:pPr>
      <w:r w:rsidRPr="009B79B5">
        <w:t>Coronavirus Disease 2019 (</w:t>
      </w:r>
      <w:r w:rsidR="009B6647" w:rsidRPr="009B79B5">
        <w:t>COVID-19</w:t>
      </w:r>
      <w:r w:rsidRPr="009B79B5">
        <w:t xml:space="preserve">) </w:t>
      </w:r>
      <w:r w:rsidR="00892351" w:rsidRPr="009B79B5">
        <w:t xml:space="preserve">was </w:t>
      </w:r>
      <w:r w:rsidR="00817303">
        <w:t>first</w:t>
      </w:r>
      <w:r w:rsidR="00817303" w:rsidRPr="009B79B5">
        <w:t xml:space="preserve"> </w:t>
      </w:r>
      <w:r w:rsidR="000B476A">
        <w:t>reported</w:t>
      </w:r>
      <w:r w:rsidR="000B476A" w:rsidRPr="009B79B5">
        <w:t xml:space="preserve"> </w:t>
      </w:r>
      <w:r w:rsidR="00892351" w:rsidRPr="009B79B5">
        <w:t>in Wuhan, China</w:t>
      </w:r>
      <w:r w:rsidR="00CA13B1">
        <w:rPr>
          <w:lang w:val="en-US"/>
        </w:rPr>
        <w:t xml:space="preserve"> </w:t>
      </w:r>
      <w:r w:rsidR="00892351" w:rsidRPr="009B79B5">
        <w:fldChar w:fldCharType="begin" w:fldLock="1"/>
      </w:r>
      <w:r w:rsidR="00CA13B1">
        <w:instrText>ADDIN CSL_CITATION {"citationItems":[{"id":"ITEM-1","itemData":{"DOI":"10.1001/jama.2020.1097","ISSN":"15383598","PMID":"31999307","author":[{"dropping-particle":"","family":"Phelan","given":"Alexandra L.","non-dropping-particle":"","parse-names":false,"suffix":""},{"dropping-particle":"","family":"Katz","given":"Rebecca","non-dropping-particle":"","parse-names":false,"suffix":""},{"dropping-particle":"","family":"Gostin","given":"Lawrence O.","non-dropping-particle":"","parse-names":false,"suffix":""}],"container-title":"JAMA - Journal of the American Medical Association","id":"ITEM-1","issue":"8","issued":{"date-parts":[["2020","2","25"]]},"page":"709-710","publisher":"American Medical Association","title":"The Novel Coronavirus Originating in Wuhan, China: Challenges for Global Health Governance","type":"article","volume":"323"},"uris":["http://www.mendeley.com/documents/?uuid=5c46a08a-eea7-3820-874d-b7b6209a06ff"]}],"mendeley":{"formattedCitation":"[1]","plainTextFormattedCitation":"[1]","previouslyFormattedCitation":"&lt;sup&gt;1&lt;/sup&gt;"},"properties":{"noteIndex":0},"schema":"https://github.com/citation-style-language/schema/raw/master/csl-citation.json"}</w:instrText>
      </w:r>
      <w:r w:rsidR="00892351" w:rsidRPr="009B79B5">
        <w:fldChar w:fldCharType="separate"/>
      </w:r>
      <w:r w:rsidR="00CA13B1" w:rsidRPr="00CA13B1">
        <w:rPr>
          <w:noProof/>
        </w:rPr>
        <w:t>[1]</w:t>
      </w:r>
      <w:r w:rsidR="00892351" w:rsidRPr="009B79B5">
        <w:fldChar w:fldCharType="end"/>
      </w:r>
      <w:r w:rsidR="00CA13B1">
        <w:rPr>
          <w:lang w:val="en-US"/>
        </w:rPr>
        <w:t>,</w:t>
      </w:r>
      <w:r w:rsidR="00892351" w:rsidRPr="009B79B5">
        <w:t xml:space="preserve"> </w:t>
      </w:r>
      <w:r w:rsidRPr="009B79B5">
        <w:t>caused by a highly contagious novel</w:t>
      </w:r>
      <w:r w:rsidR="00C71474" w:rsidRPr="009B79B5">
        <w:t xml:space="preserve"> </w:t>
      </w:r>
      <w:r w:rsidR="000013EB">
        <w:t>corona</w:t>
      </w:r>
      <w:r w:rsidR="00C71474" w:rsidRPr="009B79B5">
        <w:t>virus</w:t>
      </w:r>
      <w:r w:rsidR="000B476A">
        <w:t xml:space="preserve"> </w:t>
      </w:r>
      <w:r w:rsidR="00C71474" w:rsidRPr="009B79B5">
        <w:t xml:space="preserve">named </w:t>
      </w:r>
      <w:r w:rsidRPr="009B79B5">
        <w:t>Severe Acute Respiratory Syndrome-Coronavirus 2 (SARS-CoV-2)</w:t>
      </w:r>
      <w:r w:rsidR="00CA13B1">
        <w:rPr>
          <w:lang w:val="en-US"/>
        </w:rPr>
        <w:t xml:space="preserve"> </w:t>
      </w:r>
      <w:r w:rsidRPr="009B79B5">
        <w:rPr>
          <w:rStyle w:val="FootnoteReference"/>
        </w:rPr>
        <w:fldChar w:fldCharType="begin" w:fldLock="1"/>
      </w:r>
      <w:r w:rsidR="00CA13B1">
        <w:instrText>ADDIN CSL_CITATION {"citationItems":[{"id":"ITEM-1","itemData":{"DOI":"10.1101/2020.02.07.937862","abstract":"The present outbreak of lower respiratory tract infections, including respiratory distress syndrome, is the third spillover, in only two decades, of an animal coronavirus to humans resulting in a major epidemic. Here, the Coronavirus Study Group (CSG) of the International Committee on Taxonomy of Viruses, which is responsible for developing the official classification of viruses and taxa naming (taxonomy) of the Coronaviridae family, assessed the novelty of the human pathogen tentatively named 2019-nCoV. Based on phylogeny, taxonomy and established practice, the CSG formally recognizes this virus as a sister to severe acute respiratory syndrome coronaviruses (SARS-CoVs) of the species Severe acute respiratory syndrome-related coronavirus and designates it as severe acute respiratory syndrome coronavirus 2 (SARS-CoV-2). To facilitate communication, the CSG further proposes to use the following naming convention for individual isolates: SARS-CoV-2/Isolate/Host/Date/Location. The spectrum of clinical manifestations associated with SARS-CoV-2 infections in humans remains to be determined. The independent zoonotic transmission of SARS-CoV and SARS-CoV- 2 highlights the need for studying the entire (virus) species to complement research focused on individual pathogenic viruses of immediate significance. This research will improve our understanding of virus-host interactions in an ever-changing environment and enhance our preparedness for future outbreaks","author":[{"dropping-particle":"","family":"Gorbalenya","given":"Alexander E","non-dropping-particle":"","parse-names":false,"suffix":""},{"dropping-particle":"","family":"Baker","given":"Susan C","non-dropping-particle":"","parse-names":false,"suffix":""},{"dropping-particle":"","family":"Baric","given":"Ralph S","non-dropping-particle":"","parse-names":false,"suffix":""},{"dropping-particle":"De","family":"Groot","given":"Raoul J","non-dropping-particle":"","parse-names":false,"suffix":""},{"dropping-particle":"","family":"Gulyaeva","given":"Anastasia A","non-dropping-particle":"","parse-names":false,"suffix":""},{"dropping-particle":"","family":"Haagmans","given":"Bart L","non-dropping-particle":"","parse-names":false,"suffix":""},{"dropping-particle":"","family":"Lauber","given":"Chris","non-dropping-particle":"","parse-names":false,"suffix":""},{"dropping-particle":"","family":"Leontovich","given":"Andrey M","non-dropping-particle":"","parse-names":false,"suffix":""}],"container-title":"Biorxiv (Cold Spring Harbor Laboratory)","id":"ITEM-1","issued":{"date-parts":[["2020"]]},"page":"1-15","title":"The species and its viruses – a statement of the Coronavirus Study Group","type":"article-journal"},"uris":["http://www.mendeley.com/documents/?uuid=69968915-0ae7-428a-af66-66f88466ce3b"]}],"mendeley":{"formattedCitation":"[2]","plainTextFormattedCitation":"[2]","previouslyFormattedCitation":"&lt;sup&gt;2&lt;/sup&gt;"},"properties":{"noteIndex":0},"schema":"https://github.com/citation-style-language/schema/raw/master/csl-citation.json"}</w:instrText>
      </w:r>
      <w:r w:rsidRPr="009B79B5">
        <w:rPr>
          <w:rStyle w:val="FootnoteReference"/>
        </w:rPr>
        <w:fldChar w:fldCharType="separate"/>
      </w:r>
      <w:r w:rsidR="00CA13B1" w:rsidRPr="00CA13B1">
        <w:rPr>
          <w:noProof/>
        </w:rPr>
        <w:t>[2]</w:t>
      </w:r>
      <w:r w:rsidRPr="009B79B5">
        <w:rPr>
          <w:rStyle w:val="FootnoteReference"/>
        </w:rPr>
        <w:fldChar w:fldCharType="end"/>
      </w:r>
      <w:r w:rsidR="00CA13B1">
        <w:rPr>
          <w:lang w:val="en-US"/>
        </w:rPr>
        <w:t>.</w:t>
      </w:r>
      <w:r w:rsidR="00CA7EAA">
        <w:t xml:space="preserve"> The outbreak was </w:t>
      </w:r>
      <w:r w:rsidR="00CA7EAA" w:rsidRPr="009B79B5">
        <w:t>declared the a</w:t>
      </w:r>
      <w:r w:rsidR="00CA7EAA">
        <w:t>s</w:t>
      </w:r>
      <w:r w:rsidR="00CA7EAA" w:rsidRPr="009B79B5">
        <w:t xml:space="preserve"> pandemic </w:t>
      </w:r>
      <w:r w:rsidR="00CA7EAA">
        <w:t xml:space="preserve">by </w:t>
      </w:r>
      <w:r w:rsidR="00CA7EAA" w:rsidRPr="009B79B5">
        <w:t xml:space="preserve">the </w:t>
      </w:r>
      <w:r w:rsidR="00CA7EAA">
        <w:t>World Health Organization (</w:t>
      </w:r>
      <w:r w:rsidR="00CA7EAA" w:rsidRPr="009B79B5">
        <w:t>WHO</w:t>
      </w:r>
      <w:r w:rsidR="00CA7EAA">
        <w:t>)</w:t>
      </w:r>
      <w:r w:rsidR="00CA7EAA" w:rsidRPr="009B79B5">
        <w:t xml:space="preserve"> </w:t>
      </w:r>
      <w:r w:rsidRPr="009B79B5">
        <w:rPr>
          <w:bCs/>
          <w:iCs/>
          <w:color w:val="000000"/>
          <w:lang w:val="en-ZA"/>
        </w:rPr>
        <w:t xml:space="preserve">on </w:t>
      </w:r>
      <w:r w:rsidRPr="009B79B5">
        <w:t xml:space="preserve"> March </w:t>
      </w:r>
      <w:r w:rsidR="00817303">
        <w:t xml:space="preserve">11, </w:t>
      </w:r>
      <w:r w:rsidR="00B9433A">
        <w:t xml:space="preserve"> </w:t>
      </w:r>
      <w:r w:rsidRPr="009B79B5">
        <w:t>2020</w:t>
      </w:r>
      <w:r w:rsidR="00CA13B1">
        <w:rPr>
          <w:lang w:val="en-US"/>
        </w:rPr>
        <w:t xml:space="preserve"> </w:t>
      </w:r>
      <w:r w:rsidRPr="009B79B5">
        <w:fldChar w:fldCharType="begin" w:fldLock="1"/>
      </w:r>
      <w:r w:rsidR="00CA13B1">
        <w:instrText>ADDIN CSL_CITATION {"citationItems":[{"id":"ITEM-1","itemData":{"URL":"https://www.who.int/news-room/detail/27-04-2020-who-timeline---covid-19","accessed":{"date-parts":[["2020","5","29"]]},"id":"ITEM-1","issued":{"date-parts":[["0"]]},"title":"WHO Timeline - COVID-19","type":"webpage"},"uris":["http://www.mendeley.com/documents/?uuid=57fdf74a-a158-301d-8745-45d45698b7c1"]}],"mendeley":{"formattedCitation":"[3]","plainTextFormattedCitation":"[3]","previouslyFormattedCitation":"&lt;sup&gt;3&lt;/sup&gt;"},"properties":{"noteIndex":0},"schema":"https://github.com/citation-style-language/schema/raw/master/csl-citation.json"}</w:instrText>
      </w:r>
      <w:r w:rsidRPr="009B79B5">
        <w:fldChar w:fldCharType="separate"/>
      </w:r>
      <w:r w:rsidR="00CA13B1" w:rsidRPr="00CA13B1">
        <w:rPr>
          <w:noProof/>
        </w:rPr>
        <w:t>[3]</w:t>
      </w:r>
      <w:r w:rsidRPr="009B79B5">
        <w:fldChar w:fldCharType="end"/>
      </w:r>
      <w:r w:rsidR="00CA13B1">
        <w:rPr>
          <w:lang w:val="en-US"/>
        </w:rPr>
        <w:t>,</w:t>
      </w:r>
      <w:r w:rsidRPr="009B79B5">
        <w:t xml:space="preserve"> </w:t>
      </w:r>
      <w:r w:rsidR="00CA7EAA">
        <w:t>and as of July 17, 2021, more than 18</w:t>
      </w:r>
      <w:r w:rsidR="00A64163">
        <w:t>9</w:t>
      </w:r>
      <w:r w:rsidR="00CA7EAA">
        <w:t xml:space="preserve"> million cases including at least 4 million death had been reported worldwide</w:t>
      </w:r>
      <w:r w:rsidR="00CA13B1">
        <w:rPr>
          <w:lang w:val="en-US"/>
        </w:rPr>
        <w:t xml:space="preserve"> </w:t>
      </w:r>
      <w:r w:rsidR="00742B92">
        <w:fldChar w:fldCharType="begin" w:fldLock="1"/>
      </w:r>
      <w:r w:rsidR="00CA13B1">
        <w:instrText>ADDIN CSL_CITATION {"citationItems":[{"id":"ITEM-1","itemData":{"URL":"https://covid19.who.int/","accessed":{"date-parts":[["2021","4","26"]]},"author":[{"dropping-particle":"","family":"WHO","given":"","non-dropping-particle":"","parse-names":false,"suffix":""}],"id":"ITEM-1","issued":{"date-parts":[["2021"]]},"title":"WHO Coronavirus (COVID-19) Dashboard | WHO Coronavirus (COVID-19) Dashboard With Vaccination Data","type":"webpage"},"uris":["http://www.mendeley.com/documents/?uuid=06eed502-3b3a-3ea2-872e-4e48538ba555"]}],"mendeley":{"formattedCitation":"[4]","plainTextFormattedCitation":"[4]","previouslyFormattedCitation":"&lt;sup&gt;4&lt;/sup&gt;"},"properties":{"noteIndex":0},"schema":"https://github.com/citation-style-language/schema/raw/master/csl-citation.json"}</w:instrText>
      </w:r>
      <w:r w:rsidR="00742B92">
        <w:fldChar w:fldCharType="separate"/>
      </w:r>
      <w:r w:rsidR="00CA13B1" w:rsidRPr="00CA13B1">
        <w:rPr>
          <w:noProof/>
        </w:rPr>
        <w:t>[4]</w:t>
      </w:r>
      <w:r w:rsidR="00742B92">
        <w:fldChar w:fldCharType="end"/>
      </w:r>
      <w:r w:rsidR="00CA7EAA">
        <w:t xml:space="preserve">. </w:t>
      </w:r>
      <w:r w:rsidR="00E71260" w:rsidRPr="009B79B5">
        <w:t>S</w:t>
      </w:r>
      <w:r w:rsidRPr="009B79B5">
        <w:t>ub-</w:t>
      </w:r>
      <w:r w:rsidR="00C24EE9" w:rsidRPr="009B79B5">
        <w:t xml:space="preserve">Saharan </w:t>
      </w:r>
      <w:r w:rsidRPr="009B79B5">
        <w:t xml:space="preserve">Africa, which has the most vulnerable populations due to </w:t>
      </w:r>
      <w:r w:rsidR="008A1DDF" w:rsidRPr="009B79B5">
        <w:t xml:space="preserve">the </w:t>
      </w:r>
      <w:r w:rsidRPr="009B79B5">
        <w:t>high prevalence of HIV/AID</w:t>
      </w:r>
      <w:r w:rsidR="001F7842">
        <w:t>S</w:t>
      </w:r>
      <w:r w:rsidRPr="009B79B5">
        <w:t>, tuberculosis</w:t>
      </w:r>
      <w:r w:rsidR="008A1DDF" w:rsidRPr="009B79B5">
        <w:t>,</w:t>
      </w:r>
      <w:r w:rsidRPr="009B79B5">
        <w:t xml:space="preserve"> and malnutrition coupled with a weak health system</w:t>
      </w:r>
      <w:r w:rsidR="00DF652F">
        <w:t xml:space="preserve"> </w:t>
      </w:r>
      <w:r w:rsidRPr="009B79B5">
        <w:t>compared to other continents, had notified only &lt;0.05% of all cases worldwide</w:t>
      </w:r>
      <w:r w:rsidR="008A7D0D">
        <w:t>, augments the need for more scientific evidence to explain the nature of the pandemic.</w:t>
      </w:r>
      <w:r w:rsidR="006C17B7">
        <w:t xml:space="preserve"> </w:t>
      </w:r>
    </w:p>
    <w:p w14:paraId="4CDE1D57" w14:textId="6B6310EB" w:rsidR="005D1CD5" w:rsidRDefault="00976E51" w:rsidP="009B79B5">
      <w:pPr>
        <w:spacing w:before="100" w:beforeAutospacing="1" w:after="100" w:afterAutospacing="1" w:line="360" w:lineRule="auto"/>
        <w:jc w:val="both"/>
        <w:outlineLvl w:val="0"/>
        <w:rPr>
          <w:bCs/>
          <w:iCs/>
          <w:color w:val="000000"/>
          <w:lang w:val="en-ZA"/>
        </w:rPr>
      </w:pPr>
      <w:r w:rsidRPr="009B79B5">
        <w:rPr>
          <w:bCs/>
          <w:iCs/>
          <w:color w:val="000000"/>
          <w:lang w:val="en-ZA"/>
        </w:rPr>
        <w:t xml:space="preserve">Although most people infected with </w:t>
      </w:r>
      <w:r w:rsidRPr="009B79B5">
        <w:t xml:space="preserve">SARS-CoV-2 </w:t>
      </w:r>
      <w:r w:rsidRPr="009B79B5">
        <w:rPr>
          <w:bCs/>
          <w:iCs/>
          <w:color w:val="000000"/>
          <w:lang w:val="en-ZA"/>
        </w:rPr>
        <w:t>develop only mild</w:t>
      </w:r>
      <w:r w:rsidR="005D1CD5">
        <w:rPr>
          <w:bCs/>
          <w:iCs/>
          <w:color w:val="000000"/>
          <w:lang w:val="en-ZA"/>
        </w:rPr>
        <w:t>/asymptomatic</w:t>
      </w:r>
      <w:r w:rsidRPr="009B79B5">
        <w:rPr>
          <w:bCs/>
          <w:iCs/>
          <w:color w:val="000000"/>
          <w:lang w:val="en-ZA"/>
        </w:rPr>
        <w:t xml:space="preserve"> or uncomplicated illness, approximately 14% </w:t>
      </w:r>
      <w:r>
        <w:rPr>
          <w:bCs/>
          <w:iCs/>
          <w:color w:val="000000"/>
          <w:lang w:val="en-ZA"/>
        </w:rPr>
        <w:t>develop</w:t>
      </w:r>
      <w:r w:rsidRPr="009B79B5">
        <w:rPr>
          <w:bCs/>
          <w:iCs/>
          <w:color w:val="000000"/>
          <w:lang w:val="en-ZA"/>
        </w:rPr>
        <w:t xml:space="preserve"> severe disease that requires hospitalization and oxygen support</w:t>
      </w:r>
      <w:r w:rsidR="00C7140F">
        <w:rPr>
          <w:bCs/>
          <w:iCs/>
          <w:color w:val="000000"/>
          <w:lang w:val="en-ZA"/>
        </w:rPr>
        <w:t xml:space="preserve"> with </w:t>
      </w:r>
      <w:r w:rsidR="00DD26EB">
        <w:rPr>
          <w:bCs/>
          <w:iCs/>
          <w:color w:val="000000"/>
          <w:lang w:val="en-ZA"/>
        </w:rPr>
        <w:t xml:space="preserve">increased fatality </w:t>
      </w:r>
      <w:r w:rsidR="00C7140F">
        <w:rPr>
          <w:bCs/>
          <w:iCs/>
          <w:color w:val="000000"/>
          <w:lang w:val="en-ZA"/>
        </w:rPr>
        <w:t>rates</w:t>
      </w:r>
      <w:r w:rsidR="00F1691A" w:rsidRPr="009B79B5">
        <w:rPr>
          <w:rStyle w:val="FootnoteReference"/>
          <w:bCs/>
          <w:iCs/>
          <w:color w:val="000000"/>
          <w:lang w:val="en-ZA"/>
        </w:rPr>
        <w:t xml:space="preserve"> </w:t>
      </w:r>
      <w:r w:rsidRPr="009B79B5">
        <w:rPr>
          <w:rStyle w:val="FootnoteReference"/>
          <w:bCs/>
          <w:iCs/>
          <w:color w:val="000000"/>
          <w:lang w:val="en-ZA"/>
        </w:rPr>
        <w:fldChar w:fldCharType="begin" w:fldLock="1"/>
      </w:r>
      <w:r w:rsidR="00CA13B1">
        <w:rPr>
          <w:bCs/>
          <w:iCs/>
          <w:color w:val="000000"/>
          <w:lang w:val="en-ZA"/>
        </w:rPr>
        <w:instrText>ADDIN CSL_CITATION {"citationItems":[{"id":"ITEM-1","itemData":{"abstract":"This document is intended for clinicians taking care of hospitalised adult and paediatric patients with severe acute respiratory infection (SARI) when a nCoV infection is suspected. It is not meant to replace clinical judgment or specialist consultation but rather to strengthen clinical management of these patients and provide to up-to-date guidance. Best practices for SARI including IPC and optimized supportive care for severely ill patients are essential.","author":[{"dropping-particle":"","family":"WHO","given":"","non-dropping-particle":"","parse-names":false,"suffix":""}],"id":"ITEM-1","issue":"March","issued":{"date-parts":[["2020"]]},"title":"Clinical management of severe acute respiratory infection when novel coronavirus (nCoV) infection is suspected","type":"article-journal","volume":"2019"},"uris":["http://www.mendeley.com/documents/?uuid=9f772a8c-09c6-451c-aa7e-0c9ed155b37c"]}],"mendeley":{"formattedCitation":"[5]","plainTextFormattedCitation":"[5]","previouslyFormattedCitation":"&lt;sup&gt;5&lt;/sup&gt;"},"properties":{"noteIndex":0},"schema":"https://github.com/citation-style-language/schema/raw/master/csl-citation.json"}</w:instrText>
      </w:r>
      <w:r w:rsidRPr="009B79B5">
        <w:rPr>
          <w:rStyle w:val="FootnoteReference"/>
          <w:bCs/>
          <w:iCs/>
          <w:color w:val="000000"/>
          <w:lang w:val="en-ZA"/>
        </w:rPr>
        <w:fldChar w:fldCharType="separate"/>
      </w:r>
      <w:r w:rsidR="00CA13B1" w:rsidRPr="00CA13B1">
        <w:rPr>
          <w:bCs/>
          <w:iCs/>
          <w:noProof/>
          <w:color w:val="000000"/>
          <w:lang w:val="en-ZA"/>
        </w:rPr>
        <w:t>[5]</w:t>
      </w:r>
      <w:r w:rsidRPr="009B79B5">
        <w:rPr>
          <w:rStyle w:val="FootnoteReference"/>
          <w:bCs/>
          <w:iCs/>
          <w:color w:val="000000"/>
          <w:lang w:val="en-ZA"/>
        </w:rPr>
        <w:fldChar w:fldCharType="end"/>
      </w:r>
      <w:r w:rsidR="00CA13B1">
        <w:rPr>
          <w:bCs/>
          <w:iCs/>
          <w:color w:val="000000"/>
          <w:lang w:val="en-ZA"/>
        </w:rPr>
        <w:t>.</w:t>
      </w:r>
      <w:r w:rsidRPr="009B79B5">
        <w:rPr>
          <w:bCs/>
          <w:iCs/>
          <w:color w:val="000000"/>
          <w:lang w:val="en-ZA"/>
        </w:rPr>
        <w:t xml:space="preserve"> </w:t>
      </w:r>
      <w:r w:rsidR="00654391" w:rsidRPr="009B79B5">
        <w:rPr>
          <w:bCs/>
          <w:iCs/>
          <w:color w:val="000000"/>
          <w:lang w:val="en-ZA"/>
        </w:rPr>
        <w:t xml:space="preserve">Individuals infected with </w:t>
      </w:r>
      <w:r w:rsidR="00654391" w:rsidRPr="009B79B5">
        <w:t xml:space="preserve">SARS-CoV-2 </w:t>
      </w:r>
      <w:r w:rsidR="00654391">
        <w:rPr>
          <w:bCs/>
          <w:iCs/>
          <w:color w:val="000000"/>
          <w:lang w:val="en-ZA"/>
        </w:rPr>
        <w:t xml:space="preserve">have been reported to </w:t>
      </w:r>
      <w:r w:rsidR="00654391" w:rsidRPr="009B79B5">
        <w:rPr>
          <w:bCs/>
          <w:iCs/>
          <w:color w:val="000000"/>
          <w:lang w:val="en-ZA"/>
        </w:rPr>
        <w:t xml:space="preserve">exhibit </w:t>
      </w:r>
      <w:r w:rsidR="00C7140F">
        <w:rPr>
          <w:bCs/>
          <w:iCs/>
          <w:color w:val="000000"/>
          <w:lang w:val="en-ZA"/>
        </w:rPr>
        <w:t xml:space="preserve">a </w:t>
      </w:r>
      <w:r w:rsidR="00654391" w:rsidRPr="009B79B5">
        <w:rPr>
          <w:bCs/>
          <w:iCs/>
          <w:color w:val="000000"/>
          <w:lang w:val="en-ZA"/>
        </w:rPr>
        <w:t xml:space="preserve">varying </w:t>
      </w:r>
      <w:r w:rsidR="001518E5">
        <w:rPr>
          <w:bCs/>
          <w:iCs/>
          <w:color w:val="000000"/>
          <w:lang w:val="en-ZA"/>
        </w:rPr>
        <w:t xml:space="preserve"> </w:t>
      </w:r>
      <w:r w:rsidR="00C7140F">
        <w:rPr>
          <w:bCs/>
          <w:iCs/>
          <w:color w:val="000000"/>
          <w:lang w:val="en-ZA"/>
        </w:rPr>
        <w:t>spectrum</w:t>
      </w:r>
      <w:r w:rsidR="00654391" w:rsidRPr="009B79B5">
        <w:rPr>
          <w:bCs/>
          <w:iCs/>
          <w:color w:val="000000"/>
          <w:lang w:val="en-ZA"/>
        </w:rPr>
        <w:t xml:space="preserve"> of the clinical </w:t>
      </w:r>
      <w:r w:rsidR="00654391">
        <w:rPr>
          <w:bCs/>
          <w:iCs/>
          <w:color w:val="000000"/>
          <w:lang w:val="en-ZA"/>
        </w:rPr>
        <w:t>features</w:t>
      </w:r>
      <w:r w:rsidR="001518E5" w:rsidRPr="008B36DD">
        <w:rPr>
          <w:lang w:val="en-GB"/>
        </w:rPr>
        <w:t xml:space="preserve"> </w:t>
      </w:r>
      <w:r w:rsidR="00F47D6E" w:rsidRPr="008B36DD">
        <w:rPr>
          <w:lang w:val="en-GB"/>
        </w:rPr>
        <w:t xml:space="preserve">ranging </w:t>
      </w:r>
      <w:r w:rsidR="00F47D6E" w:rsidRPr="008B36DD">
        <w:fldChar w:fldCharType="begin" w:fldLock="1"/>
      </w:r>
      <w:r w:rsidR="00CA13B1">
        <w:instrText>ADDIN CSL_CITATION {"citationItems":[{"id":"ITEM-1","itemData":{"DOI":"10.1001/jama.2020.1585","ISSN":"15383598","PMID":"32031570","abstract":"Importance: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Association","id":"ITEM-1","issue":"11","issued":{"date-parts":[["2020","3","17"]]},"page":"1061-1069","publisher":"American Medical Association","title":"Clinical Characteristics of 138 Hospitalized Patients with 2019 Novel Coronavirus-Infected Pneumonia in Wuhan, China","type":"article-journal","volume":"323"},"uris":["http://www.mendeley.com/documents/?uuid=93c34cb7-f567-30c4-81d4-022cf9b6dc30"]},{"id":"ITEM-2","itemData":{"PMID":"32150360","abstract":"According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-2","issued":{"date-parts":[["2020","4","6"]]},"publisher":"StatPearls Publishing","title":"Features, Evaluation and Treatment Coronavirus (COVID-19)","type":"book"},"uris":["http://www.mendeley.com/documents/?uuid=ef55aef5-40b9-3b47-bf42-662b4595e523"]},{"id":"ITEM-3","itemData":{"DOI":"10.1016/S0140-6736(20)30211-7","ISSN":"1474547X","PMID":"32007143","abstract":"Background: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Lancet","id":"ITEM-3","issue":"10223","issued":{"date-parts":[["2020","2","15"]]},"page":"507-513","publisher":"Lancet Publishing Group","title":"Epidemiological and clinical characteristics of 99 cases of 2019 novel coronavirus pneumonia in Wuhan, China: a descriptive study","type":"article-journal","volume":"395"},"uris":["http://www.mendeley.com/documents/?uuid=52125413-e611-3a73-8afe-9b8e51532dae"]},{"id":"ITEM-4","itemData":{"DOI":"10.14309/ajg.0000000000000620","ISSN":"0002-9270","abstract":"haracteristics, laboratory data, and treatment. Data were followed up until March 5th, 2020. Results: In the present study, 204 patients with COVID-19 and full laboratory, imaging, and historical data were analyzed. The average age was 54.9 years (SD +15.4), including 107 men and 97 women. We found that 99 patients (48.5%) presented to the hospital with digestive symptoms as their chief complaint. Patients with digestive symptoms had a significantly longer time from onset to admission than patients without digestive symptoms (9.0 days vs. 7.3 days). Patients with digestive symptoms had a variety of manifestations, such as anorexia (83 [83.8%] cases), diarrhea (29 [29.3%] cases), vomiting (8 [0.8%] cases), and abdominal pain (4 [0.4%] cases). In 7 cases there were digestive symptoms but no respiratory symptoms. As the severity of the disease increased, digestive symptoms became more pronounced. Patients without digestive symptoms were more likely to be cured and discharged than patients with digestive symptoms (60% vs. 34.3%). Laboratory data revealed no significant liver injury in this case series. Conclusion: We found that digestive symptoms are common in patients with COVID-19. Moreover, these patients have a longer time from onset to admission and their prognosis is worse than patients without digestive symptoms. Clinicians should recognize that digestive symptoms, such as diarrhea, may be a presenting feature of COVID-19, and that the index of suspicion may need to be raised earlier in at-risk patients presenting with digestive symptoms rather than waiting for respiratory symptoms to emerge.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Gastroenterology","id":"ITEM-4","issue":"5","issued":{"date-parts":[["2020","5"]]},"page":"766-773","publisher":"Ovid Technologies (Wolters Kluwer Health)","title":"Clinical Characteristics of COVID-19 Patients With Digestive Symptoms in Hubei, China","type":"article-journal","volume":"115"},"uris":["http://www.mendeley.com/documents/?uuid=aff7d0aa-2f52-3e0c-998b-7005d9b70529"]},{"id":"ITEM-5","itemData":{"DOI":"10.1016/S0140-6736(20)30183-5","abstract":"Background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Lancet","id":"ITEM-5","issued":{"date-parts":[["2020"]]},"page":"497-506","title":"Clinical features of patients infected with 2019 novel coronavirus in Wuhan, China","type":"article-journal","volume":"395"},"uris":["http://www.mendeley.com/documents/?uuid=e0579c8b-60a9-3b4e-8e67-c1d972a95494"]}],"mendeley":{"formattedCitation":"[6–10]","plainTextFormattedCitation":"[6–10]","previouslyFormattedCitation":"&lt;sup&gt;6–10&lt;/sup&gt;"},"properties":{"noteIndex":0},"schema":"https://github.com/citation-style-language/schema/raw/master/csl-citation.json"}</w:instrText>
      </w:r>
      <w:r w:rsidR="00F47D6E" w:rsidRPr="008B36DD">
        <w:fldChar w:fldCharType="separate"/>
      </w:r>
      <w:r w:rsidR="00CA13B1" w:rsidRPr="00CA13B1">
        <w:rPr>
          <w:noProof/>
        </w:rPr>
        <w:t>[6–10]</w:t>
      </w:r>
      <w:r w:rsidR="00F47D6E" w:rsidRPr="008B36DD">
        <w:fldChar w:fldCharType="end"/>
      </w:r>
      <w:r w:rsidR="001518E5" w:rsidRPr="008B36DD">
        <w:rPr>
          <w:lang w:val="en-GB"/>
        </w:rPr>
        <w:t xml:space="preserve"> </w:t>
      </w:r>
      <w:r w:rsidR="00F47D6E" w:rsidRPr="008B36DD">
        <w:rPr>
          <w:lang w:val="en-GB"/>
        </w:rPr>
        <w:t>and that have been changing</w:t>
      </w:r>
      <w:r w:rsidR="008B36DD" w:rsidRPr="008B36DD">
        <w:rPr>
          <w:lang w:val="en-GB"/>
        </w:rPr>
        <w:t xml:space="preserve"> from mild to </w:t>
      </w:r>
      <w:r w:rsidR="008B36DD">
        <w:rPr>
          <w:lang w:val="en-GB"/>
        </w:rPr>
        <w:t xml:space="preserve">more </w:t>
      </w:r>
      <w:r w:rsidR="008B36DD" w:rsidRPr="008B36DD">
        <w:rPr>
          <w:lang w:val="en-GB"/>
        </w:rPr>
        <w:t>life-threatening</w:t>
      </w:r>
      <w:r w:rsidR="00F47D6E" w:rsidRPr="008B36DD">
        <w:rPr>
          <w:lang w:val="en-GB"/>
        </w:rPr>
        <w:t xml:space="preserve"> </w:t>
      </w:r>
      <w:r w:rsidR="001518E5" w:rsidRPr="008B36DD">
        <w:rPr>
          <w:lang w:val="en-GB"/>
        </w:rPr>
        <w:t xml:space="preserve">as a result of </w:t>
      </w:r>
      <w:r w:rsidR="00F47D6E" w:rsidRPr="008B36DD">
        <w:rPr>
          <w:lang w:val="en-GB"/>
        </w:rPr>
        <w:t xml:space="preserve">the </w:t>
      </w:r>
      <w:r w:rsidR="001518E5" w:rsidRPr="008B36DD">
        <w:rPr>
          <w:lang w:val="en-GB"/>
        </w:rPr>
        <w:t xml:space="preserve">emerging </w:t>
      </w:r>
      <w:r w:rsidR="00F47D6E" w:rsidRPr="008B36DD">
        <w:rPr>
          <w:lang w:val="en-GB"/>
        </w:rPr>
        <w:t xml:space="preserve">highly transmissible </w:t>
      </w:r>
      <w:r w:rsidR="001518E5" w:rsidRPr="008B36DD">
        <w:rPr>
          <w:lang w:val="en-GB"/>
        </w:rPr>
        <w:t>variants</w:t>
      </w:r>
      <w:r w:rsidR="00CA13B1">
        <w:rPr>
          <w:lang w:val="en-GB"/>
        </w:rPr>
        <w:t xml:space="preserve"> </w:t>
      </w:r>
      <w:r w:rsidR="005D1CD5" w:rsidRPr="008B36DD">
        <w:rPr>
          <w:rStyle w:val="FootnoteReference"/>
          <w:bCs/>
          <w:iCs/>
          <w:color w:val="000000"/>
          <w:lang w:val="en-ZA"/>
        </w:rPr>
        <w:fldChar w:fldCharType="begin" w:fldLock="1"/>
      </w:r>
      <w:r w:rsidR="00CA13B1">
        <w:rPr>
          <w:bCs/>
          <w:iCs/>
          <w:color w:val="000000"/>
          <w:lang w:val="en-ZA"/>
        </w:rPr>
        <w:instrText>ADDIN CSL_CITATION {"citationItems":[{"id":"ITEM-1","itemData":{"ISSN":"0924-8579","author":[{"dropping-particle":"","family":"Lai","given":"Chih-Cheng","non-dropping-particle":"","parse-names":false,"suffix":""},{"dropping-particle":"","family":"Shih","given":"Tzu-Ping","non-dropping-particle":"","parse-names":false,"suffix":""},{"dropping-particle":"","family":"Ko","given":"Wen-Chien","non-dropping-particle":"","parse-names":false,"suffix":""},{"dropping-particle":"","family":"Tang","given":"Hung-Jen","non-dropping-particle":"","parse-names":false,"suffix":""},{"dropping-particle":"","family":"Hsueh","given":"Po-Ren","non-dropping-particle":"","parse-names":false,"suffix":""}],"container-title":"International journal of antimicrobial agents","id":"ITEM-1","issued":{"date-parts":[["2020"]]},"page":"105924","publisher":"Elsevier","title":"Severe acute respiratory syndrome coronavirus 2 (SARS-CoV-2) and corona virus disease-2019 (COVID-19): the epidemic and the challenges","type":"article-journal"},"uris":["http://www.mendeley.com/documents/?uuid=fb795cac-41ae-4127-bb59-40fa1c5b2e62"]},{"id":"ITEM-2","itemData":{"author":[{"dropping-particle":"","family":"Wu","given":"Zunyou","non-dropping-particle":"","parse-names":false,"suffix":""},{"dropping-particle":"","family":"McGoogan","given":"Jennifer M","non-dropping-particle":"","parse-names":false,"suffix":""}],"container-title":"Jama","id":"ITEM-2","issued":{"date-parts":[["2020"]]},"title":"Characteristics of and important lessons from the coronavirus disease 2019 (COVID-19) outbreak in China: summary of a report of 72 314 cases from the Chinese Center for Disease Control and Prevention","type":"article-journal"},"uris":["http://www.mendeley.com/documents/?uuid=2882ac98-df58-42fb-b36f-6f9ef0fa5d34"]},{"id":"ITEM-3","itemData":{"DOI":"10.1056/NEJMoa2002032","ISSN":"15334406","PMID":"32109013","abstract":"BACKGROUND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Medicine","id":"ITEM-3","issue":"18","issued":{"date-parts":[["2020"]]},"page":"1708-1720","title":"Clinical characteristics of coronavirus disease 2019 in China","type":"article-journal","volume":"382"},"uris":["http://www.mendeley.com/documents/?uuid=c3389bec-050a-40cd-bea9-c2b4da95c087"]}],"mendeley":{"formattedCitation":"[11–13]","plainTextFormattedCitation":"[11–13]","previouslyFormattedCitation":"&lt;sup&gt;11–13&lt;/sup&gt;"},"properties":{"noteIndex":0},"schema":"https://github.com/citation-style-language/schema/raw/master/csl-citation.json"}</w:instrText>
      </w:r>
      <w:r w:rsidR="005D1CD5" w:rsidRPr="008B36DD">
        <w:rPr>
          <w:rStyle w:val="FootnoteReference"/>
          <w:bCs/>
          <w:iCs/>
          <w:color w:val="000000"/>
          <w:lang w:val="en-ZA"/>
        </w:rPr>
        <w:fldChar w:fldCharType="separate"/>
      </w:r>
      <w:r w:rsidR="00CA13B1" w:rsidRPr="00CA13B1">
        <w:rPr>
          <w:bCs/>
          <w:iCs/>
          <w:noProof/>
          <w:color w:val="000000"/>
          <w:lang w:val="en-ZA"/>
        </w:rPr>
        <w:t>[11–13]</w:t>
      </w:r>
      <w:r w:rsidR="005D1CD5" w:rsidRPr="008B36DD">
        <w:rPr>
          <w:rStyle w:val="FootnoteReference"/>
          <w:bCs/>
          <w:iCs/>
          <w:color w:val="000000"/>
          <w:lang w:val="en-ZA"/>
        </w:rPr>
        <w:fldChar w:fldCharType="end"/>
      </w:r>
      <w:r w:rsidR="00CA13B1">
        <w:rPr>
          <w:bCs/>
          <w:iCs/>
          <w:color w:val="000000"/>
          <w:lang w:val="en-ZA"/>
        </w:rPr>
        <w:t>.</w:t>
      </w:r>
      <w:r w:rsidR="005D1CD5">
        <w:t xml:space="preserve"> </w:t>
      </w:r>
      <w:r w:rsidR="00654391">
        <w:rPr>
          <w:bCs/>
          <w:iCs/>
          <w:color w:val="000000"/>
          <w:lang w:val="en-ZA"/>
        </w:rPr>
        <w:t xml:space="preserve"> </w:t>
      </w:r>
    </w:p>
    <w:p w14:paraId="7E42B101" w14:textId="21249025" w:rsidR="00017851" w:rsidRDefault="00216E87" w:rsidP="00017851">
      <w:pPr>
        <w:spacing w:before="100" w:beforeAutospacing="1" w:after="100" w:afterAutospacing="1" w:line="360" w:lineRule="auto"/>
        <w:jc w:val="both"/>
        <w:outlineLvl w:val="0"/>
        <w:rPr>
          <w:b/>
          <w:iCs/>
          <w:color w:val="000000"/>
          <w:lang w:val="en-ZA"/>
        </w:rPr>
      </w:pPr>
      <w:r>
        <w:rPr>
          <w:bCs/>
          <w:iCs/>
          <w:color w:val="000000"/>
          <w:lang w:val="en-ZA"/>
        </w:rPr>
        <w:t xml:space="preserve">People with </w:t>
      </w:r>
      <w:r w:rsidRPr="009B79B5">
        <w:rPr>
          <w:bCs/>
          <w:iCs/>
          <w:color w:val="000000"/>
          <w:lang w:val="en-ZA"/>
        </w:rPr>
        <w:t>underlying conditions such as hypertension, chronic lung disease, diabetes, and cardiovascular disease</w:t>
      </w:r>
      <w:r w:rsidR="009577F0">
        <w:rPr>
          <w:bCs/>
          <w:iCs/>
          <w:color w:val="000000"/>
          <w:lang w:val="en-ZA"/>
        </w:rPr>
        <w:t>s</w:t>
      </w:r>
      <w:r w:rsidRPr="009B79B5">
        <w:rPr>
          <w:bCs/>
          <w:iCs/>
          <w:color w:val="000000"/>
          <w:lang w:val="en-ZA"/>
        </w:rPr>
        <w:t xml:space="preserve"> </w:t>
      </w:r>
      <w:r w:rsidR="009577F0">
        <w:rPr>
          <w:bCs/>
          <w:iCs/>
          <w:color w:val="000000"/>
          <w:lang w:val="en-ZA"/>
        </w:rPr>
        <w:t>have compromised immune s</w:t>
      </w:r>
      <w:r w:rsidR="008C12D1">
        <w:rPr>
          <w:bCs/>
          <w:iCs/>
          <w:color w:val="000000"/>
          <w:lang w:val="en-ZA"/>
        </w:rPr>
        <w:t>ystem,</w:t>
      </w:r>
      <w:r w:rsidR="009577F0">
        <w:rPr>
          <w:bCs/>
          <w:iCs/>
          <w:color w:val="000000"/>
          <w:lang w:val="en-ZA"/>
        </w:rPr>
        <w:t xml:space="preserve"> and </w:t>
      </w:r>
      <w:r w:rsidRPr="009B79B5">
        <w:rPr>
          <w:bCs/>
          <w:iCs/>
          <w:color w:val="000000"/>
          <w:lang w:val="en-ZA"/>
        </w:rPr>
        <w:t xml:space="preserve">are </w:t>
      </w:r>
      <w:r w:rsidR="009577F0">
        <w:rPr>
          <w:bCs/>
          <w:iCs/>
          <w:color w:val="000000"/>
          <w:lang w:val="en-ZA"/>
        </w:rPr>
        <w:t xml:space="preserve">more likely to suffer from </w:t>
      </w:r>
      <w:r w:rsidRPr="009B79B5">
        <w:rPr>
          <w:bCs/>
          <w:iCs/>
          <w:color w:val="000000"/>
          <w:lang w:val="en-ZA"/>
        </w:rPr>
        <w:t>severe disease</w:t>
      </w:r>
      <w:r>
        <w:rPr>
          <w:bCs/>
          <w:iCs/>
          <w:color w:val="000000"/>
          <w:lang w:val="en-ZA"/>
        </w:rPr>
        <w:t>,</w:t>
      </w:r>
      <w:r w:rsidRPr="009B79B5">
        <w:rPr>
          <w:bCs/>
          <w:iCs/>
          <w:color w:val="000000"/>
          <w:lang w:val="en-ZA"/>
        </w:rPr>
        <w:t xml:space="preserve"> and </w:t>
      </w:r>
      <w:r w:rsidR="008C12D1">
        <w:rPr>
          <w:bCs/>
          <w:iCs/>
          <w:color w:val="000000"/>
          <w:lang w:val="en-ZA"/>
        </w:rPr>
        <w:t xml:space="preserve">high </w:t>
      </w:r>
      <w:r w:rsidRPr="009B79B5">
        <w:rPr>
          <w:bCs/>
          <w:iCs/>
          <w:color w:val="000000"/>
          <w:lang w:val="en-ZA"/>
        </w:rPr>
        <w:t>fatality</w:t>
      </w:r>
      <w:r w:rsidR="008C12D1">
        <w:rPr>
          <w:bCs/>
          <w:iCs/>
          <w:color w:val="000000"/>
          <w:lang w:val="en-ZA"/>
        </w:rPr>
        <w:t xml:space="preserve"> rate</w:t>
      </w:r>
      <w:r w:rsidR="00CA13B1">
        <w:rPr>
          <w:bCs/>
          <w:iCs/>
          <w:color w:val="000000"/>
          <w:lang w:val="en-ZA"/>
        </w:rPr>
        <w:t xml:space="preserve"> </w:t>
      </w:r>
      <w:r w:rsidRPr="009B79B5">
        <w:fldChar w:fldCharType="begin" w:fldLock="1"/>
      </w:r>
      <w:r w:rsidR="00CA13B1">
        <w:rPr>
          <w:bCs/>
          <w:iCs/>
          <w:color w:val="000000"/>
          <w:lang w:val="en-ZA"/>
        </w:rPr>
        <w:instrText>ADDIN CSL_CITATION {"citationItems":[{"id":"ITEM-1","itemData":{"DOI":"10.15585/mmwr.mm6913e2","ISSN":"1545-861X","PMID":"32240123","abstract":"On March 11, 2020, the World Health Organization declared Coronavirus Disease 2019 (COVID-19) a pandemic (1). As of March 28, 2020, a total of 571,678 confirmed COVID-19 cases and 26,494 deaths have been reported worldwide (2). Reports from China and Italy suggest that risk factors for severe disease include older age and the presence of at least one of several underlying health conditions (3,4). U.S. older adults, including those aged ≥65 years and particularly those aged ≥85 years, also appear to be at higher risk for severe COVID-19-associated outcomes; however, data describing underlying health conditions among U.S. COVID-19 patients have not yet been reported (5). As of March 28, 2020, U.S. states and territories have reported 122,653 U.S. COVID-19 cases to CDC, including 7,162 (5.8%) for whom data on underlying health conditions and other known risk factors for severe outcomes from respiratory infections were reported. Among these 7,162 cases, 2,692 (37.6%) patients had one or more underlying health condition or risk factor, and 4,470 (62.4%) had none of these conditions reported. The percentage of COVID-19 patients with at least one underlying health condition or risk factor was higher among those requiring intensive care unit (ICU) admission (358 of 457, 78%) and those requiring hospitalization without ICU admission (732 of 1,037, 71%) than that among those who were not hospitalized (1,388 of 5,143, 27%). The most commonly reported conditions were diabetes mellitus, chronic lung disease, and cardiovascular disease. These preliminary findings suggest that in the United States, persons with underlying health conditions or other recognized risk factors for severe outcomes from respiratory infections appear to be at a higher risk for severe disease from COVID-19 than are persons without these conditions.","author":[{"dropping-particle":"","family":"CDC COVID-19 Response Team","given":"","non-dropping-particle":"","parse-names":false,"suffix":""}],"container-title":"MMWR. Morbidity and mortality weekly report","id":"ITEM-1","issue":"13","issued":{"date-parts":[["2020","4","3"]]},"page":"382-386","title":"Preliminary Estimates of the Prevalence of Selected Underlying Health Conditions Among Patients with Coronavirus Disease 2019 - United States, February 12-March 28, 2020.","type":"article-journal","volume":"69"},"uris":["http://www.mendeley.com/documents/?uuid=90f6dbe6-130a-3a49-aa02-df7515b818c6"]},{"id":"ITEM-2","itemData":{"abstract":"This document is intended for clinicians taking care of hospitalised adult and paediatric patients with severe acute respiratory infection (SARI) when a nCoV infection is suspected. It is not meant to replace clinical judgment or specialist consultation but rather to strengthen clinical management of these patients and provide to up-to-date guidance. Best practices for SARI including IPC and optimized supportive care for severely ill patients are essential.","author":[{"dropping-particle":"","family":"WHO","given":"","non-dropping-particle":"","parse-names":false,"suffix":""}],"id":"ITEM-2","issue":"March","issued":{"date-parts":[["2020"]]},"title":"Clinical management of severe acute respiratory infection when novel coronavirus (nCoV) infection is suspected","type":"article-journal","volume":"2019"},"uris":["http://www.mendeley.com/documents/?uuid=9f772a8c-09c6-451c-aa7e-0c9ed155b37c"]}],"mendeley":{"formattedCitation":"[5,14]","plainTextFormattedCitation":"[5,14]","previouslyFormattedCitation":"&lt;sup&gt;5,14&lt;/sup&gt;"},"properties":{"noteIndex":0},"schema":"https://github.com/citation-style-language/schema/raw/master/csl-citation.json"}</w:instrText>
      </w:r>
      <w:r w:rsidRPr="009B79B5">
        <w:fldChar w:fldCharType="separate"/>
      </w:r>
      <w:r w:rsidR="00CA13B1" w:rsidRPr="00CA13B1">
        <w:rPr>
          <w:bCs/>
          <w:iCs/>
          <w:noProof/>
          <w:color w:val="000000"/>
          <w:lang w:val="en-ZA"/>
        </w:rPr>
        <w:t>[5,14]</w:t>
      </w:r>
      <w:r w:rsidRPr="009B79B5">
        <w:fldChar w:fldCharType="end"/>
      </w:r>
      <w:r w:rsidR="00CA13B1">
        <w:rPr>
          <w:lang w:val="en-US"/>
        </w:rPr>
        <w:t>.</w:t>
      </w:r>
      <w:r>
        <w:t xml:space="preserve"> </w:t>
      </w:r>
      <w:r w:rsidR="00366F1D">
        <w:t xml:space="preserve">The risk for serious adverse </w:t>
      </w:r>
      <w:r w:rsidR="009577F0">
        <w:t>outcomes increase</w:t>
      </w:r>
      <w:r w:rsidR="008C12D1">
        <w:t>s</w:t>
      </w:r>
      <w:r w:rsidR="009577F0">
        <w:t xml:space="preserve"> with the number of underlying conditions; those w</w:t>
      </w:r>
      <w:r w:rsidR="00267C7E">
        <w:t xml:space="preserve">ith </w:t>
      </w:r>
      <w:r w:rsidR="00B704A0">
        <w:t>three or more underlying conditions</w:t>
      </w:r>
      <w:r w:rsidR="009577F0">
        <w:t xml:space="preserve"> suffer the most</w:t>
      </w:r>
      <w:r w:rsidR="00CA13B1">
        <w:rPr>
          <w:lang w:val="en-US"/>
        </w:rPr>
        <w:t xml:space="preserve"> </w:t>
      </w:r>
      <w:r w:rsidR="009577F0">
        <w:fldChar w:fldCharType="begin" w:fldLock="1"/>
      </w:r>
      <w:r w:rsidR="00CA13B1">
        <w:instrText>ADDIN CSL_CITATION {"citationItems":[{"id":"ITEM-1","itemData":{"DOI":"10.1002/jmv.26183","ISSN":"0146-6615","abstract":"Coronavirus disease 2019 (COVID-19) has become a serious public health problem worldwide. Here, we stratified COVID-19 patients based on their comorbidities to assess their risk of serious adverse outcomes. We collected 856 hospitalized cases diagnosed with COVID-19 from 17 January to 7 February 2020, in Zhejiang Province, and analyzed their comorbidities and composite endpoint (including admission to intensive care unit owing to disease progression, shock, invasive ventilation, and death) to determine the relationship between comorbidities and adverse outcomes. The median age of patients was 46 (36-56) years; 439 (51.3%) were men, 242 (28.3%) had comorbidities, and 152 (17.8%) had two or more comorbidities. The most common comorbidity was hypertension (142 [16.6%]), followed by diabetes (64 [7.5%]). Of the 856 patients, there are 154 (18.0%) severe cases. Thirty-two (3.7%) reached composite endpoints, of which 22 (9.1%) were from the comorbidity group and 10 (1.6%) from the non-comorbidity group (P '.001). After adjusting for age and gender status, the risk of reaching the composite endpoint was higher in the group with comorbidity than in that without comorbidity (hazard ratio [HR] 3.04, 95% confidence interval [CI]: 1.40-6.60). HR values for patients with one, two, and three or more comorbidities were 1.61 (95% CI: 0.44-5.91), 3.44 (95% CI: 1.31-9.08), and 6.90 (95% CI: 2.69-17.69), respectively. COVID-19 patients with comorbidities had worse clinical outcomes as compared with those without any comorbidity. The higher the number of comorbidities, the greater was the risk of serious adverse outcomes.","author":[{"dropping-particle":"","family":"Ye","given":"Chanyuan","non-dropping-particle":"","parse-names":false,"suffix":""},{"dropping-particle":"","family":"Zhang","given":"Shanyan","non-dropping-particle":"","parse-names":false,"suffix":""},{"dropping-particle":"","family":"Zhang","given":"Xiaoli","non-dropping-particle":"","parse-names":false,"suffix":""},{"dropping-particle":"","family":"Cai","given":"Huan","non-dropping-particle":"","parse-names":false,"suffix":""},{"dropping-particle":"","family":"Gu","given":"Jueqing","non-dropping-particle":"","parse-names":false,"suffix":""},{"dropping-particle":"","family":"Lian","given":"Jiangshan","non-dropping-particle":"","parse-names":false,"suffix":""},{"dropping-particle":"","family":"Lu","given":"Yingfeng","non-dropping-particle":"","parse-names":false,"suffix":""},{"dropping-particle":"","family":"Jia","given":"Hongyu","non-dropping-particle":"","parse-names":false,"suffix":""},{"dropping-particle":"","family":"Hu","given":"Jianhua","non-dropping-particle":"","parse-names":false,"suffix":""},{"dropping-particle":"","family":"Jin","given":"Ciliang","non-dropping-particle":"","parse-names":false,"suffix":""},{"dropping-particle":"","family":"Yu","given":"Guodong","non-dropping-particle":"","parse-names":false,"suffix":""},{"dropping-particle":"","family":"Zhang","given":"Yimin","non-dropping-particle":"","parse-names":false,"suffix":""},{"dropping-particle":"","family":"Sheng","given":"Jifang","non-dropping-particle":"","parse-names":false,"suffix":""},{"dropping-particle":"","family":"Yang","given":"Yida","non-dropping-particle":"","parse-names":false,"suffix":""}],"container-title":"Journal of Medical Virology","id":"ITEM-1","issue":"11","issued":{"date-parts":[["2020","11","29"]]},"page":"2821-2829","publisher":"John Wiley and Sons Inc","title":"Impact of comorbidities on patients with COVID‐19: A large retrospective study in Zhejiang, China","type":"article-journal","volume":"92"},"uris":["http://www.mendeley.com/documents/?uuid=82d75068-aeab-3024-8408-67ba6f04a396"]}],"mendeley":{"formattedCitation":"[15]","plainTextFormattedCitation":"[15]","previouslyFormattedCitation":"&lt;sup&gt;15&lt;/sup&gt;"},"properties":{"noteIndex":0},"schema":"https://github.com/citation-style-language/schema/raw/master/csl-citation.json"}</w:instrText>
      </w:r>
      <w:r w:rsidR="009577F0">
        <w:fldChar w:fldCharType="separate"/>
      </w:r>
      <w:r w:rsidR="00CA13B1" w:rsidRPr="00CA13B1">
        <w:rPr>
          <w:noProof/>
        </w:rPr>
        <w:t>[15]</w:t>
      </w:r>
      <w:r w:rsidR="009577F0">
        <w:fldChar w:fldCharType="end"/>
      </w:r>
      <w:r w:rsidR="00CA13B1">
        <w:rPr>
          <w:lang w:val="en-US"/>
        </w:rPr>
        <w:t xml:space="preserve">. </w:t>
      </w:r>
      <w:r w:rsidR="001A2D3C">
        <w:t xml:space="preserve"> </w:t>
      </w:r>
      <w:r w:rsidR="0035031C">
        <w:t>Similarly</w:t>
      </w:r>
      <w:r w:rsidR="000E4ADA" w:rsidRPr="000E4ADA">
        <w:t xml:space="preserve">, </w:t>
      </w:r>
      <w:r w:rsidR="001A2D3C">
        <w:rPr>
          <w:bCs/>
          <w:iCs/>
          <w:color w:val="000000"/>
          <w:lang w:val="en-ZA"/>
        </w:rPr>
        <w:t>f</w:t>
      </w:r>
      <w:r w:rsidR="001A2D3C" w:rsidRPr="009B79B5">
        <w:rPr>
          <w:bCs/>
          <w:iCs/>
          <w:color w:val="000000"/>
          <w:lang w:val="en-ZA"/>
        </w:rPr>
        <w:t xml:space="preserve">indings from Europe, </w:t>
      </w:r>
      <w:r w:rsidR="00612D92">
        <w:rPr>
          <w:bCs/>
          <w:iCs/>
          <w:color w:val="000000"/>
          <w:lang w:val="en-ZA"/>
        </w:rPr>
        <w:t xml:space="preserve">and </w:t>
      </w:r>
      <w:r w:rsidR="001A2D3C" w:rsidRPr="009B79B5">
        <w:rPr>
          <w:bCs/>
          <w:iCs/>
          <w:color w:val="000000"/>
          <w:lang w:val="en-ZA"/>
        </w:rPr>
        <w:t>America</w:t>
      </w:r>
      <w:r w:rsidR="001A2D3C">
        <w:rPr>
          <w:bCs/>
          <w:iCs/>
          <w:color w:val="000000"/>
          <w:lang w:val="en-ZA"/>
        </w:rPr>
        <w:t xml:space="preserve"> have shown that </w:t>
      </w:r>
      <w:r w:rsidR="0023048B" w:rsidRPr="0035031C">
        <w:t>COVID-19</w:t>
      </w:r>
      <w:r w:rsidR="0023048B">
        <w:t xml:space="preserve"> infection</w:t>
      </w:r>
      <w:r w:rsidR="0023048B">
        <w:rPr>
          <w:bCs/>
          <w:iCs/>
          <w:color w:val="000000"/>
          <w:lang w:val="en-ZA"/>
        </w:rPr>
        <w:t xml:space="preserve"> in </w:t>
      </w:r>
      <w:r w:rsidR="001A2D3C">
        <w:rPr>
          <w:bCs/>
          <w:iCs/>
          <w:color w:val="000000"/>
          <w:lang w:val="en-ZA"/>
        </w:rPr>
        <w:t>individuals</w:t>
      </w:r>
      <w:r w:rsidR="001A2D3C" w:rsidRPr="009B79B5">
        <w:rPr>
          <w:bCs/>
          <w:iCs/>
          <w:color w:val="000000"/>
          <w:lang w:val="en-ZA"/>
        </w:rPr>
        <w:t xml:space="preserve"> aged </w:t>
      </w:r>
      <w:r w:rsidR="001A2D3C" w:rsidRPr="008B36DD">
        <w:rPr>
          <w:bCs/>
          <w:iCs/>
          <w:lang w:val="en-ZA"/>
        </w:rPr>
        <w:t>over 60 years</w:t>
      </w:r>
      <w:r w:rsidR="00CA13B1">
        <w:rPr>
          <w:bCs/>
          <w:iCs/>
          <w:lang w:val="en-ZA"/>
        </w:rPr>
        <w:t xml:space="preserve"> </w:t>
      </w:r>
      <w:r w:rsidR="00612D92" w:rsidRPr="008B36DD">
        <w:rPr>
          <w:rStyle w:val="FootnoteReference"/>
          <w:bCs/>
          <w:iCs/>
          <w:lang w:val="en-ZA"/>
        </w:rPr>
        <w:fldChar w:fldCharType="begin" w:fldLock="1"/>
      </w:r>
      <w:r w:rsidR="00CA13B1">
        <w:rPr>
          <w:bCs/>
          <w:iCs/>
          <w:lang w:val="en-ZA"/>
        </w:rPr>
        <w:instrText>ADDIN CSL_CITATION {"citationItems":[{"id":"ITEM-1","itemData":{"abstract":"This document is intended for clinicians taking care of hospitalised adult and paediatric patients with severe acute respiratory infection (SARI) when a nCoV infection is suspected. It is not meant to replace clinical judgment or specialist consultation but rather to strengthen clinical management of these patients and provide to up-to-date guidance. Best practices for SARI including IPC and optimized supportive care for severely ill patients are essential.","author":[{"dropping-particle":"","family":"WHO","given":"","non-dropping-particle":"","parse-names":false,"suffix":""}],"id":"ITEM-1","issue":"March","issued":{"date-parts":[["2020"]]},"title":"Clinical management of severe acute respiratory infection when novel coronavirus (nCoV) infection is suspected","type":"article-journal","volume":"2019"},"uris":["http://www.mendeley.com/documents/?uuid=9f772a8c-09c6-451c-aa7e-0c9ed155b37c"]},{"id":"ITEM-2","itemData":{"DOI":"10.1016/j.jamda.2020.05.045","ISSN":"15389375","PMID":"32674819","abstract":"Objectives: Initial data on COVID-19 infection has pointed out a special vulnerability of older adults. Design: We performed a meta-analysis with available national reports on May 7, 2020 from China, Italy, Spain, United Kingdom, and New York State. Analyses were performed by a random effects model, and sensitivity analyses were performed for the identification of potential sources of heterogeneity. Setting and participants: COVID-19–positive patients reported in literature and national reports. Measures: All-cause mortality by age. Results: A total of 611,1583 subjects were analyzed and 141,745 (23.2%) were aged ≥80 years. The percentage of octogenarians was different in the 5 registries, the lowest being in China (3.2%) and the highest in the United Kingdom and New York State. The overall mortality rate was 12.10% and it varied widely between countries, the lowest being in China (3.1%) and the highest in the United Kingdom (20.8%) and New York State (20.99%). Mortality was &lt;1.1% in patients aged &lt;50 years and it increased exponentially after that age in the 5 national registries. As expected, the highest mortality rate was observed in patients aged ≥80 years. All age groups had significantly higher mortality compared with the immediately younger age group. The largest increase in mortality risk was observed in patients aged 60 to 69 years compared with those aged 50 to 59 years (odds ratio 3.13, 95% confidence interval 2.61-3.76). Conclusions and Implications: This meta-analysis with more than half million of COVID-19 patients from different countries highlights the determinant effect of age on mortality with the relevant thresholds on age &gt;50 years and, especially, &gt;60 years. Older adult patients should be prioritized in the implementation of preventive measures.","author":[{"dropping-particle":"","family":"Bonanad","given":"Clara","non-dropping-particle":"","parse-names":false,"suffix":""},{"dropping-particle":"","family":"García-Blas","given":"Sergio","non-dropping-particle":"","parse-names":false,"suffix":""},{"dropping-particle":"","family":"Tarazona-Santabalbina","given":"Francisco","non-dropping-particle":"","parse-names":false,"suffix":""},{"dropping-particle":"","family":"Sanchis","given":"Juan","non-dropping-particle":"","parse-names":false,"suffix":""},{"dropping-particle":"","family":"Bertomeu-González","given":"Vicente","non-dropping-particle":"","parse-names":false,"suffix":""},{"dropping-particle":"","family":"Fácila","given":"Lorenzo","non-dropping-particle":"","parse-names":false,"suffix":""},{"dropping-particle":"","family":"Ariza","given":"Albert","non-dropping-particle":"","parse-names":false,"suffix":""},{"dropping-particle":"","family":"Núñez","given":"Julio","non-dropping-particle":"","parse-names":false,"suffix":""},{"dropping-particle":"","family":"Cordero","given":"Alberto","non-dropping-particle":"","parse-names":false,"suffix":""}],"container-title":"Journal of the American Medical Directors Association","id":"ITEM-2","issue":"7","issued":{"date-parts":[["2020","7","1"]]},"page":"915-918","publisher":"Elsevier Inc.","title":"The Effect of Age on Mortality in Patients With COVID-19: A Meta-Analysis With 611,583 Subjects","type":"article-journal","volume":"21"},"uris":["http://www.mendeley.com/documents/?uuid=011fd25e-0ba7-32ff-8981-3bc9c393f59c"]}],"mendeley":{"formattedCitation":"[5,16]","plainTextFormattedCitation":"[5,16]","previouslyFormattedCitation":"&lt;sup&gt;5,16&lt;/sup&gt;"},"properties":{"noteIndex":0},"schema":"https://github.com/citation-style-language/schema/raw/master/csl-citation.json"}</w:instrText>
      </w:r>
      <w:r w:rsidR="00612D92" w:rsidRPr="008B36DD">
        <w:rPr>
          <w:rStyle w:val="FootnoteReference"/>
          <w:bCs/>
          <w:iCs/>
          <w:lang w:val="en-ZA"/>
        </w:rPr>
        <w:fldChar w:fldCharType="separate"/>
      </w:r>
      <w:r w:rsidR="00CA13B1" w:rsidRPr="00CA13B1">
        <w:rPr>
          <w:bCs/>
          <w:iCs/>
          <w:noProof/>
          <w:lang w:val="en-ZA"/>
        </w:rPr>
        <w:t>[5,16]</w:t>
      </w:r>
      <w:r w:rsidR="00612D92" w:rsidRPr="008B36DD">
        <w:rPr>
          <w:rStyle w:val="FootnoteReference"/>
          <w:bCs/>
          <w:iCs/>
          <w:lang w:val="en-ZA"/>
        </w:rPr>
        <w:fldChar w:fldCharType="end"/>
      </w:r>
      <w:r w:rsidR="00612D92">
        <w:t xml:space="preserve"> </w:t>
      </w:r>
      <w:r w:rsidR="009A5742">
        <w:rPr>
          <w:bCs/>
          <w:iCs/>
          <w:color w:val="000000"/>
          <w:lang w:val="en-ZA"/>
        </w:rPr>
        <w:t>is</w:t>
      </w:r>
      <w:r w:rsidR="0023048B">
        <w:rPr>
          <w:bCs/>
          <w:iCs/>
          <w:color w:val="000000"/>
          <w:lang w:val="en-ZA"/>
        </w:rPr>
        <w:t xml:space="preserve"> associated  </w:t>
      </w:r>
      <w:r w:rsidR="00FD5E42">
        <w:rPr>
          <w:bCs/>
          <w:iCs/>
          <w:color w:val="000000"/>
          <w:lang w:val="en-ZA"/>
        </w:rPr>
        <w:t xml:space="preserve">with </w:t>
      </w:r>
      <w:r w:rsidR="0023048B">
        <w:rPr>
          <w:bCs/>
          <w:iCs/>
          <w:color w:val="000000"/>
          <w:lang w:val="en-ZA"/>
        </w:rPr>
        <w:t>serious</w:t>
      </w:r>
      <w:r w:rsidR="00F64518" w:rsidRPr="00F64518">
        <w:rPr>
          <w:bCs/>
          <w:iCs/>
          <w:color w:val="000000"/>
          <w:lang w:val="en-ZA"/>
        </w:rPr>
        <w:t xml:space="preserve"> adverse outcomes</w:t>
      </w:r>
      <w:r w:rsidR="0035031C">
        <w:t>.</w:t>
      </w:r>
      <w:r w:rsidR="009A5742">
        <w:t xml:space="preserve"> </w:t>
      </w:r>
      <w:r w:rsidR="009A5742" w:rsidRPr="009A5742">
        <w:t xml:space="preserve">The proportion of severe or fatal infections </w:t>
      </w:r>
      <w:r w:rsidR="009A5742">
        <w:t xml:space="preserve">have </w:t>
      </w:r>
      <w:r w:rsidR="009A5742" w:rsidRPr="009A5742">
        <w:t xml:space="preserve">also </w:t>
      </w:r>
      <w:r w:rsidR="009A5742">
        <w:t xml:space="preserve">been reported to </w:t>
      </w:r>
      <w:r w:rsidR="009A5742" w:rsidRPr="009A5742">
        <w:t>var</w:t>
      </w:r>
      <w:r w:rsidR="009A5742">
        <w:t>y</w:t>
      </w:r>
      <w:r w:rsidR="009A5742" w:rsidRPr="009A5742">
        <w:t xml:space="preserve"> by </w:t>
      </w:r>
      <w:r w:rsidR="00FD5E42">
        <w:t xml:space="preserve">geographical </w:t>
      </w:r>
      <w:r w:rsidR="009A5742">
        <w:t>region</w:t>
      </w:r>
      <w:r w:rsidR="00654391">
        <w:t>/location</w:t>
      </w:r>
      <w:r w:rsidR="005D1CD5">
        <w:rPr>
          <w:bCs/>
          <w:iCs/>
          <w:color w:val="000000"/>
          <w:lang w:val="en-ZA"/>
        </w:rPr>
        <w:t xml:space="preserve">. </w:t>
      </w:r>
      <w:r w:rsidR="00976E51" w:rsidRPr="009B79B5">
        <w:rPr>
          <w:bCs/>
          <w:iCs/>
          <w:color w:val="000000"/>
          <w:lang w:val="en-ZA"/>
        </w:rPr>
        <w:t>Here, we present findings on the clinical characteristics</w:t>
      </w:r>
      <w:r w:rsidR="0087392D">
        <w:rPr>
          <w:bCs/>
          <w:iCs/>
          <w:color w:val="000000"/>
          <w:lang w:val="en-ZA"/>
        </w:rPr>
        <w:t xml:space="preserve"> </w:t>
      </w:r>
      <w:r w:rsidR="0087392D">
        <w:t xml:space="preserve">and management outcomes of </w:t>
      </w:r>
      <w:r w:rsidR="0087392D" w:rsidRPr="009B79B5">
        <w:rPr>
          <w:bCs/>
          <w:iCs/>
          <w:color w:val="000000"/>
          <w:lang w:val="en-ZA"/>
        </w:rPr>
        <w:t xml:space="preserve">121 </w:t>
      </w:r>
      <w:r w:rsidR="0087392D" w:rsidRPr="009B79B5">
        <w:t xml:space="preserve">laboratory-confirmed </w:t>
      </w:r>
      <w:r w:rsidR="0087392D">
        <w:t>COVID-19</w:t>
      </w:r>
      <w:r w:rsidR="0087392D" w:rsidRPr="009B79B5">
        <w:t xml:space="preserve"> </w:t>
      </w:r>
      <w:r w:rsidR="0087392D">
        <w:t xml:space="preserve">patients </w:t>
      </w:r>
      <w:r w:rsidR="006E7D77" w:rsidRPr="00017851">
        <w:t xml:space="preserve">in the </w:t>
      </w:r>
      <w:r w:rsidR="006E7D77">
        <w:t>early</w:t>
      </w:r>
      <w:r w:rsidR="006E7D77" w:rsidRPr="00017851">
        <w:t xml:space="preserve"> months of the pandemic</w:t>
      </w:r>
      <w:r w:rsidR="006E7D77">
        <w:t xml:space="preserve"> </w:t>
      </w:r>
      <w:r w:rsidR="00C7140F">
        <w:t xml:space="preserve">in </w:t>
      </w:r>
      <w:r w:rsidR="0087392D" w:rsidRPr="009B79B5">
        <w:t>Tanzania</w:t>
      </w:r>
      <w:r w:rsidR="006E7D77">
        <w:t>.</w:t>
      </w:r>
      <w:r w:rsidR="0087392D" w:rsidRPr="009B79B5">
        <w:t xml:space="preserve"> </w:t>
      </w:r>
    </w:p>
    <w:p w14:paraId="0500C8E3" w14:textId="77777777" w:rsidR="001753DF" w:rsidRPr="009B79B5" w:rsidRDefault="001753DF" w:rsidP="009B79B5">
      <w:pPr>
        <w:spacing w:before="100" w:beforeAutospacing="1" w:line="360" w:lineRule="auto"/>
        <w:rPr>
          <w:b/>
        </w:rPr>
      </w:pPr>
      <w:r w:rsidRPr="009B79B5">
        <w:rPr>
          <w:b/>
        </w:rPr>
        <w:t xml:space="preserve">Methods: </w:t>
      </w:r>
    </w:p>
    <w:p w14:paraId="22E3960F" w14:textId="77777777" w:rsidR="00F760EF" w:rsidRDefault="001753DF" w:rsidP="003237EF">
      <w:pPr>
        <w:autoSpaceDE w:val="0"/>
        <w:autoSpaceDN w:val="0"/>
        <w:adjustRightInd w:val="0"/>
        <w:spacing w:line="360" w:lineRule="auto"/>
        <w:jc w:val="both"/>
        <w:rPr>
          <w:b/>
        </w:rPr>
      </w:pPr>
      <w:r w:rsidRPr="009B79B5">
        <w:rPr>
          <w:b/>
        </w:rPr>
        <w:t>Study</w:t>
      </w:r>
      <w:r w:rsidR="00DD5FFD" w:rsidRPr="009B79B5">
        <w:rPr>
          <w:b/>
        </w:rPr>
        <w:t xml:space="preserve"> sites and </w:t>
      </w:r>
      <w:r w:rsidRPr="009B79B5">
        <w:rPr>
          <w:b/>
        </w:rPr>
        <w:t>participants</w:t>
      </w:r>
    </w:p>
    <w:p w14:paraId="66028443" w14:textId="1E2D3C75" w:rsidR="004E6865" w:rsidRPr="00F760EF" w:rsidRDefault="001753DF" w:rsidP="004E6865">
      <w:pPr>
        <w:autoSpaceDE w:val="0"/>
        <w:autoSpaceDN w:val="0"/>
        <w:adjustRightInd w:val="0"/>
        <w:spacing w:line="360" w:lineRule="auto"/>
        <w:jc w:val="both"/>
        <w:rPr>
          <w:b/>
        </w:rPr>
      </w:pPr>
      <w:r w:rsidRPr="009B79B5">
        <w:rPr>
          <w:bCs/>
        </w:rPr>
        <w:t xml:space="preserve">This was a prospective follow-up study conducted </w:t>
      </w:r>
      <w:r w:rsidR="007A62B6" w:rsidRPr="009B79B5">
        <w:rPr>
          <w:bCs/>
        </w:rPr>
        <w:t>at</w:t>
      </w:r>
      <w:r w:rsidRPr="009B79B5">
        <w:rPr>
          <w:bCs/>
        </w:rPr>
        <w:t xml:space="preserve"> two hospitals-Aman</w:t>
      </w:r>
      <w:r w:rsidR="00783F23" w:rsidRPr="009B79B5">
        <w:rPr>
          <w:bCs/>
        </w:rPr>
        <w:t>a</w:t>
      </w:r>
      <w:r w:rsidRPr="009B79B5">
        <w:rPr>
          <w:bCs/>
        </w:rPr>
        <w:t xml:space="preserve"> Referral and Hindu Mandal Hospital, both located in Dar es Salaam, Tanzania. Amana Referral Hospital is </w:t>
      </w:r>
      <w:r w:rsidR="00D76334" w:rsidRPr="009B79B5">
        <w:rPr>
          <w:bCs/>
        </w:rPr>
        <w:t xml:space="preserve">a </w:t>
      </w:r>
      <w:r w:rsidRPr="009B79B5">
        <w:rPr>
          <w:bCs/>
        </w:rPr>
        <w:t xml:space="preserve">public </w:t>
      </w:r>
      <w:r w:rsidRPr="009B79B5">
        <w:rPr>
          <w:bCs/>
        </w:rPr>
        <w:lastRenderedPageBreak/>
        <w:t>hospital and</w:t>
      </w:r>
      <w:r w:rsidR="002C60E2" w:rsidRPr="009B79B5">
        <w:rPr>
          <w:bCs/>
        </w:rPr>
        <w:t xml:space="preserve"> </w:t>
      </w:r>
      <w:r w:rsidR="00783F23" w:rsidRPr="009B79B5">
        <w:rPr>
          <w:bCs/>
        </w:rPr>
        <w:t>on</w:t>
      </w:r>
      <w:r w:rsidR="00380F75" w:rsidRPr="009B79B5">
        <w:rPr>
          <w:bCs/>
        </w:rPr>
        <w:t xml:space="preserve"> </w:t>
      </w:r>
      <w:r w:rsidR="00185293" w:rsidRPr="009B79B5">
        <w:rPr>
          <w:bCs/>
        </w:rPr>
        <w:t>April</w:t>
      </w:r>
      <w:r w:rsidR="00F24A10">
        <w:rPr>
          <w:bCs/>
        </w:rPr>
        <w:t xml:space="preserve"> 15,</w:t>
      </w:r>
      <w:r w:rsidR="00185293" w:rsidRPr="009B79B5">
        <w:rPr>
          <w:bCs/>
        </w:rPr>
        <w:t xml:space="preserve"> 2020</w:t>
      </w:r>
      <w:r w:rsidR="00DF652F">
        <w:rPr>
          <w:bCs/>
        </w:rPr>
        <w:t>,</w:t>
      </w:r>
      <w:r w:rsidR="00185293" w:rsidRPr="009B79B5">
        <w:rPr>
          <w:bCs/>
        </w:rPr>
        <w:t xml:space="preserve"> </w:t>
      </w:r>
      <w:r w:rsidR="00DF652F">
        <w:rPr>
          <w:bCs/>
        </w:rPr>
        <w:t xml:space="preserve">it </w:t>
      </w:r>
      <w:r w:rsidR="00783F23" w:rsidRPr="009B79B5">
        <w:rPr>
          <w:bCs/>
        </w:rPr>
        <w:t xml:space="preserve">was </w:t>
      </w:r>
      <w:r w:rsidRPr="009B79B5">
        <w:rPr>
          <w:bCs/>
        </w:rPr>
        <w:t xml:space="preserve">designated </w:t>
      </w:r>
      <w:r w:rsidR="00F24A10">
        <w:rPr>
          <w:bCs/>
        </w:rPr>
        <w:t>COVID</w:t>
      </w:r>
      <w:r w:rsidRPr="009B79B5">
        <w:rPr>
          <w:bCs/>
        </w:rPr>
        <w:t>-19 Centre</w:t>
      </w:r>
      <w:r w:rsidR="00783F23" w:rsidRPr="009B79B5">
        <w:rPr>
          <w:bCs/>
        </w:rPr>
        <w:t xml:space="preserve"> and closed to non-</w:t>
      </w:r>
      <w:r w:rsidR="007907A4">
        <w:rPr>
          <w:bCs/>
        </w:rPr>
        <w:t>COVID</w:t>
      </w:r>
      <w:r w:rsidR="00783F23" w:rsidRPr="009B79B5">
        <w:rPr>
          <w:bCs/>
        </w:rPr>
        <w:t>-</w:t>
      </w:r>
      <w:r w:rsidR="00185293" w:rsidRPr="009B79B5">
        <w:rPr>
          <w:bCs/>
        </w:rPr>
        <w:t xml:space="preserve">19 </w:t>
      </w:r>
      <w:r w:rsidR="00F45D2E">
        <w:rPr>
          <w:bCs/>
        </w:rPr>
        <w:t>patients</w:t>
      </w:r>
      <w:r w:rsidR="00783F23" w:rsidRPr="009B79B5">
        <w:rPr>
          <w:bCs/>
        </w:rPr>
        <w:t xml:space="preserve">. </w:t>
      </w:r>
      <w:r w:rsidR="00BD47E8" w:rsidRPr="009B79B5">
        <w:rPr>
          <w:bCs/>
        </w:rPr>
        <w:t>Thus,</w:t>
      </w:r>
      <w:r w:rsidR="00783F23" w:rsidRPr="009B79B5">
        <w:rPr>
          <w:bCs/>
        </w:rPr>
        <w:t xml:space="preserve"> Amana managed </w:t>
      </w:r>
      <w:r w:rsidR="007907A4">
        <w:rPr>
          <w:bCs/>
        </w:rPr>
        <w:t>COVID</w:t>
      </w:r>
      <w:r w:rsidR="00783F23" w:rsidRPr="009B79B5">
        <w:rPr>
          <w:bCs/>
        </w:rPr>
        <w:t xml:space="preserve">-19 </w:t>
      </w:r>
      <w:r w:rsidR="007907A4">
        <w:rPr>
          <w:bCs/>
        </w:rPr>
        <w:t>cases</w:t>
      </w:r>
      <w:r w:rsidR="007907A4" w:rsidRPr="009B79B5">
        <w:rPr>
          <w:bCs/>
        </w:rPr>
        <w:t xml:space="preserve"> </w:t>
      </w:r>
      <w:r w:rsidR="00783F23" w:rsidRPr="009B79B5">
        <w:rPr>
          <w:bCs/>
        </w:rPr>
        <w:t xml:space="preserve">from across Dar es Salaam </w:t>
      </w:r>
      <w:r w:rsidR="004E6865">
        <w:rPr>
          <w:bCs/>
        </w:rPr>
        <w:t>city</w:t>
      </w:r>
      <w:r w:rsidR="00783F23" w:rsidRPr="009B79B5">
        <w:rPr>
          <w:bCs/>
        </w:rPr>
        <w:t xml:space="preserve">. </w:t>
      </w:r>
      <w:r w:rsidRPr="009B79B5">
        <w:rPr>
          <w:bCs/>
        </w:rPr>
        <w:t xml:space="preserve">Hindu Mandal is </w:t>
      </w:r>
      <w:r w:rsidR="00D76334" w:rsidRPr="009B79B5">
        <w:rPr>
          <w:bCs/>
        </w:rPr>
        <w:t xml:space="preserve">a </w:t>
      </w:r>
      <w:r w:rsidRPr="009B79B5">
        <w:rPr>
          <w:bCs/>
        </w:rPr>
        <w:t xml:space="preserve">private </w:t>
      </w:r>
      <w:r w:rsidR="00783F23" w:rsidRPr="009B79B5">
        <w:rPr>
          <w:bCs/>
        </w:rPr>
        <w:t xml:space="preserve">not-for-profit </w:t>
      </w:r>
      <w:r w:rsidRPr="009B79B5">
        <w:rPr>
          <w:bCs/>
        </w:rPr>
        <w:t>hospital</w:t>
      </w:r>
      <w:r w:rsidR="00783F23" w:rsidRPr="009B79B5">
        <w:rPr>
          <w:bCs/>
        </w:rPr>
        <w:t xml:space="preserve"> that generally sees an older and wealthier population</w:t>
      </w:r>
      <w:r w:rsidR="00EE4B42">
        <w:rPr>
          <w:bCs/>
        </w:rPr>
        <w:t>.</w:t>
      </w:r>
      <w:r w:rsidR="004E6865">
        <w:rPr>
          <w:bCs/>
          <w:iCs/>
          <w:color w:val="000000"/>
          <w:lang w:val="en-ZA"/>
        </w:rPr>
        <w:t xml:space="preserve"> </w:t>
      </w:r>
    </w:p>
    <w:p w14:paraId="14C654A6" w14:textId="1E5737E3" w:rsidR="00FF6F85" w:rsidRDefault="005A44CD" w:rsidP="003237EF">
      <w:pPr>
        <w:autoSpaceDE w:val="0"/>
        <w:autoSpaceDN w:val="0"/>
        <w:adjustRightInd w:val="0"/>
        <w:spacing w:line="360" w:lineRule="auto"/>
        <w:jc w:val="both"/>
        <w:rPr>
          <w:bCs/>
          <w:iCs/>
          <w:color w:val="000000"/>
          <w:lang w:val="en-ZA"/>
        </w:rPr>
      </w:pPr>
      <w:r w:rsidRPr="009B79B5">
        <w:rPr>
          <w:bCs/>
          <w:iCs/>
          <w:color w:val="000000"/>
          <w:lang w:val="en-ZA"/>
        </w:rPr>
        <w:t xml:space="preserve">COVID-19 </w:t>
      </w:r>
      <w:r w:rsidR="001753DF" w:rsidRPr="009B79B5">
        <w:rPr>
          <w:bCs/>
          <w:iCs/>
          <w:color w:val="000000"/>
          <w:lang w:val="en-ZA"/>
        </w:rPr>
        <w:t xml:space="preserve">cases were identified </w:t>
      </w:r>
      <w:r w:rsidR="00782BD5" w:rsidRPr="009B79B5">
        <w:rPr>
          <w:bCs/>
          <w:iCs/>
          <w:color w:val="000000"/>
          <w:lang w:val="en-ZA"/>
        </w:rPr>
        <w:t xml:space="preserve">under the coordination of </w:t>
      </w:r>
      <w:r w:rsidR="001753DF" w:rsidRPr="009B79B5">
        <w:rPr>
          <w:bCs/>
          <w:iCs/>
          <w:color w:val="000000"/>
          <w:lang w:val="en-ZA"/>
        </w:rPr>
        <w:t xml:space="preserve">the </w:t>
      </w:r>
      <w:r w:rsidR="00782BD5" w:rsidRPr="009B79B5">
        <w:rPr>
          <w:bCs/>
          <w:iCs/>
          <w:color w:val="000000"/>
          <w:lang w:val="en-ZA"/>
        </w:rPr>
        <w:t>N</w:t>
      </w:r>
      <w:r w:rsidR="001753DF" w:rsidRPr="009B79B5">
        <w:rPr>
          <w:bCs/>
          <w:iCs/>
          <w:color w:val="000000"/>
          <w:lang w:val="en-ZA"/>
        </w:rPr>
        <w:t xml:space="preserve">ational </w:t>
      </w:r>
      <w:r w:rsidR="00782BD5" w:rsidRPr="009B79B5">
        <w:rPr>
          <w:bCs/>
          <w:iCs/>
          <w:color w:val="000000"/>
          <w:lang w:val="en-ZA"/>
        </w:rPr>
        <w:t>S</w:t>
      </w:r>
      <w:r w:rsidR="001753DF" w:rsidRPr="009B79B5">
        <w:rPr>
          <w:bCs/>
          <w:iCs/>
          <w:color w:val="000000"/>
          <w:lang w:val="en-ZA"/>
        </w:rPr>
        <w:t xml:space="preserve">urveillance </w:t>
      </w:r>
      <w:r w:rsidR="00782BD5" w:rsidRPr="009B79B5">
        <w:rPr>
          <w:bCs/>
          <w:iCs/>
          <w:color w:val="000000"/>
          <w:lang w:val="en-ZA"/>
        </w:rPr>
        <w:t>S</w:t>
      </w:r>
      <w:r w:rsidR="001753DF" w:rsidRPr="009B79B5">
        <w:rPr>
          <w:bCs/>
          <w:iCs/>
          <w:color w:val="000000"/>
          <w:lang w:val="en-ZA"/>
        </w:rPr>
        <w:t>ystem</w:t>
      </w:r>
      <w:r w:rsidR="005140C8" w:rsidRPr="009B79B5">
        <w:rPr>
          <w:bCs/>
          <w:iCs/>
          <w:color w:val="000000"/>
          <w:lang w:val="en-ZA"/>
        </w:rPr>
        <w:t xml:space="preserve">, </w:t>
      </w:r>
      <w:r w:rsidR="001753DF" w:rsidRPr="009B79B5">
        <w:rPr>
          <w:bCs/>
          <w:iCs/>
          <w:color w:val="000000"/>
          <w:lang w:val="en-ZA"/>
        </w:rPr>
        <w:t>Ministry of Health, Community Development, Gender, Elderly, and Children</w:t>
      </w:r>
      <w:r w:rsidR="00EE4B42">
        <w:rPr>
          <w:bCs/>
          <w:iCs/>
          <w:color w:val="000000"/>
          <w:lang w:val="en-ZA"/>
        </w:rPr>
        <w:t xml:space="preserve"> (</w:t>
      </w:r>
      <w:proofErr w:type="spellStart"/>
      <w:r w:rsidR="00EE4B42" w:rsidRPr="009B79B5">
        <w:rPr>
          <w:bCs/>
          <w:iCs/>
          <w:color w:val="000000"/>
          <w:lang w:val="en-ZA"/>
        </w:rPr>
        <w:t>MoHCD</w:t>
      </w:r>
      <w:r w:rsidR="00EE4B42">
        <w:rPr>
          <w:bCs/>
          <w:iCs/>
          <w:color w:val="000000"/>
          <w:lang w:val="en-ZA"/>
        </w:rPr>
        <w:t>G</w:t>
      </w:r>
      <w:r w:rsidR="00EE4B42" w:rsidRPr="009B79B5">
        <w:rPr>
          <w:bCs/>
          <w:iCs/>
          <w:color w:val="000000"/>
          <w:lang w:val="en-ZA"/>
        </w:rPr>
        <w:t>EC</w:t>
      </w:r>
      <w:proofErr w:type="spellEnd"/>
      <w:r w:rsidR="00EE4B42">
        <w:rPr>
          <w:bCs/>
          <w:iCs/>
          <w:color w:val="000000"/>
          <w:lang w:val="en-ZA"/>
        </w:rPr>
        <w:t>)</w:t>
      </w:r>
      <w:r w:rsidR="001753DF" w:rsidRPr="009B79B5">
        <w:rPr>
          <w:bCs/>
          <w:iCs/>
          <w:color w:val="000000"/>
          <w:lang w:val="en-ZA"/>
        </w:rPr>
        <w:t xml:space="preserve">. Only laboratory-confirmed cases were enrolled in the study. </w:t>
      </w:r>
      <w:r w:rsidR="00D061A5">
        <w:rPr>
          <w:bCs/>
          <w:iCs/>
          <w:color w:val="000000"/>
          <w:lang w:val="en-ZA"/>
        </w:rPr>
        <w:t>Individuals</w:t>
      </w:r>
      <w:r w:rsidR="004E6865">
        <w:rPr>
          <w:bCs/>
          <w:iCs/>
          <w:color w:val="000000"/>
          <w:lang w:val="en-ZA"/>
        </w:rPr>
        <w:t xml:space="preserve"> </w:t>
      </w:r>
      <w:r w:rsidR="00F45D2E">
        <w:rPr>
          <w:bCs/>
          <w:iCs/>
          <w:color w:val="000000"/>
          <w:lang w:val="en-ZA"/>
        </w:rPr>
        <w:t xml:space="preserve">who presented at the hospitals with suggestive symptoms were tested </w:t>
      </w:r>
      <w:r w:rsidR="004E6865">
        <w:rPr>
          <w:bCs/>
          <w:iCs/>
          <w:color w:val="000000"/>
          <w:lang w:val="en-ZA"/>
        </w:rPr>
        <w:t xml:space="preserve">and </w:t>
      </w:r>
      <w:r w:rsidR="00F45D2E">
        <w:rPr>
          <w:bCs/>
          <w:iCs/>
          <w:color w:val="000000"/>
          <w:lang w:val="en-ZA"/>
        </w:rPr>
        <w:t xml:space="preserve">those who were </w:t>
      </w:r>
      <w:r w:rsidR="004E6865">
        <w:rPr>
          <w:bCs/>
          <w:iCs/>
          <w:color w:val="000000"/>
          <w:lang w:val="en-ZA"/>
        </w:rPr>
        <w:t xml:space="preserve">confirmed positive were invited to enrol into the study. </w:t>
      </w:r>
      <w:r w:rsidR="00C57E80">
        <w:rPr>
          <w:bCs/>
          <w:iCs/>
          <w:color w:val="000000"/>
          <w:lang w:val="en-ZA"/>
        </w:rPr>
        <w:t>Patients were consecutively recruited</w:t>
      </w:r>
      <w:r w:rsidR="00C57E80">
        <w:t xml:space="preserve"> between</w:t>
      </w:r>
      <w:r w:rsidR="004E6865" w:rsidRPr="009B79B5">
        <w:t xml:space="preserve"> April 1</w:t>
      </w:r>
      <w:r w:rsidR="00C57E80">
        <w:t>-</w:t>
      </w:r>
      <w:r w:rsidR="004E6865" w:rsidRPr="009B79B5">
        <w:t>May 3</w:t>
      </w:r>
      <w:r w:rsidR="004E6865">
        <w:t xml:space="preserve">1, </w:t>
      </w:r>
      <w:r w:rsidR="004E6865" w:rsidRPr="009B79B5">
        <w:t>2020</w:t>
      </w:r>
      <w:r w:rsidR="00D061A5">
        <w:rPr>
          <w:bCs/>
          <w:iCs/>
          <w:color w:val="000000"/>
          <w:lang w:val="en-ZA"/>
        </w:rPr>
        <w:t xml:space="preserve"> and</w:t>
      </w:r>
      <w:r w:rsidR="00D76334" w:rsidRPr="009B79B5">
        <w:rPr>
          <w:bCs/>
          <w:iCs/>
          <w:color w:val="000000"/>
          <w:lang w:val="en-ZA"/>
        </w:rPr>
        <w:t xml:space="preserve"> </w:t>
      </w:r>
      <w:r w:rsidR="001753DF" w:rsidRPr="009B79B5">
        <w:rPr>
          <w:bCs/>
          <w:iCs/>
          <w:color w:val="000000"/>
          <w:lang w:val="en-ZA"/>
        </w:rPr>
        <w:t>followed-</w:t>
      </w:r>
      <w:r w:rsidR="00D76334" w:rsidRPr="009B79B5">
        <w:rPr>
          <w:bCs/>
          <w:iCs/>
          <w:color w:val="000000"/>
          <w:lang w:val="en-ZA"/>
        </w:rPr>
        <w:t xml:space="preserve">up for </w:t>
      </w:r>
      <w:r w:rsidR="001753DF" w:rsidRPr="009B79B5">
        <w:rPr>
          <w:bCs/>
          <w:iCs/>
          <w:color w:val="000000"/>
          <w:lang w:val="en-ZA"/>
        </w:rPr>
        <w:t>2</w:t>
      </w:r>
      <w:r w:rsidR="009A3D29" w:rsidRPr="009B79B5">
        <w:rPr>
          <w:bCs/>
          <w:iCs/>
          <w:color w:val="000000"/>
          <w:lang w:val="en-ZA"/>
        </w:rPr>
        <w:t>1</w:t>
      </w:r>
      <w:r w:rsidR="001753DF" w:rsidRPr="009B79B5">
        <w:rPr>
          <w:bCs/>
          <w:iCs/>
          <w:color w:val="000000"/>
          <w:lang w:val="en-ZA"/>
        </w:rPr>
        <w:t xml:space="preserve"> days to monitor clinical outcomes.</w:t>
      </w:r>
      <w:r w:rsidR="00876DE4" w:rsidRPr="009B79B5">
        <w:rPr>
          <w:bCs/>
          <w:iCs/>
          <w:color w:val="000000"/>
          <w:lang w:val="en-ZA"/>
        </w:rPr>
        <w:t xml:space="preserve"> </w:t>
      </w:r>
      <w:r w:rsidR="00F45D2E">
        <w:rPr>
          <w:bCs/>
          <w:iCs/>
          <w:color w:val="000000"/>
          <w:lang w:val="en-ZA"/>
        </w:rPr>
        <w:t>In cases of death, t</w:t>
      </w:r>
      <w:r w:rsidR="003B49E2">
        <w:rPr>
          <w:bCs/>
          <w:iCs/>
          <w:color w:val="000000"/>
          <w:lang w:val="en-ZA"/>
        </w:rPr>
        <w:t>he cause</w:t>
      </w:r>
      <w:r w:rsidR="0034277B">
        <w:rPr>
          <w:color w:val="222222"/>
          <w:shd w:val="clear" w:color="auto" w:fill="FFFFFF"/>
        </w:rPr>
        <w:t xml:space="preserve"> of death was determined and documented by the certifying </w:t>
      </w:r>
      <w:r w:rsidR="00F45D2E">
        <w:rPr>
          <w:color w:val="222222"/>
          <w:shd w:val="clear" w:color="auto" w:fill="FFFFFF"/>
        </w:rPr>
        <w:t>physician</w:t>
      </w:r>
      <w:r w:rsidR="0034277B">
        <w:rPr>
          <w:color w:val="222222"/>
          <w:shd w:val="clear" w:color="auto" w:fill="FFFFFF"/>
        </w:rPr>
        <w:t xml:space="preserve">. </w:t>
      </w:r>
      <w:r w:rsidR="001753DF" w:rsidRPr="009B79B5">
        <w:rPr>
          <w:bCs/>
          <w:iCs/>
          <w:color w:val="000000"/>
          <w:lang w:val="en-ZA"/>
        </w:rPr>
        <w:t xml:space="preserve">The </w:t>
      </w:r>
      <w:r w:rsidR="00F45D2E">
        <w:rPr>
          <w:bCs/>
          <w:iCs/>
          <w:color w:val="000000"/>
          <w:lang w:val="en-ZA"/>
        </w:rPr>
        <w:t xml:space="preserve">study </w:t>
      </w:r>
      <w:r w:rsidR="001753DF" w:rsidRPr="009B79B5">
        <w:rPr>
          <w:bCs/>
          <w:iCs/>
          <w:color w:val="000000"/>
          <w:lang w:val="en-ZA"/>
        </w:rPr>
        <w:t>protocol was approved by t</w:t>
      </w:r>
      <w:r w:rsidR="00B11AB5" w:rsidRPr="009B79B5">
        <w:rPr>
          <w:bCs/>
          <w:iCs/>
          <w:color w:val="000000"/>
          <w:lang w:val="en-ZA"/>
        </w:rPr>
        <w:t>he National Health Research Ethics Committee under the National Institute for Medical Research</w:t>
      </w:r>
      <w:r w:rsidR="001753DF" w:rsidRPr="009B79B5">
        <w:rPr>
          <w:bCs/>
          <w:iCs/>
          <w:color w:val="000000"/>
          <w:lang w:val="en-ZA"/>
        </w:rPr>
        <w:t>, Tanzania</w:t>
      </w:r>
      <w:r w:rsidR="00876DE4" w:rsidRPr="009B79B5">
        <w:rPr>
          <w:bCs/>
          <w:iCs/>
          <w:color w:val="000000"/>
          <w:lang w:val="en-ZA"/>
        </w:rPr>
        <w:t xml:space="preserve"> and written</w:t>
      </w:r>
      <w:r w:rsidR="00BD47E8" w:rsidRPr="009B79B5">
        <w:rPr>
          <w:bCs/>
          <w:iCs/>
          <w:color w:val="000000"/>
          <w:lang w:val="en-ZA"/>
        </w:rPr>
        <w:t xml:space="preserve"> informed</w:t>
      </w:r>
      <w:r w:rsidR="00876DE4" w:rsidRPr="009B79B5">
        <w:rPr>
          <w:bCs/>
          <w:iCs/>
          <w:color w:val="000000"/>
          <w:lang w:val="en-ZA"/>
        </w:rPr>
        <w:t xml:space="preserve"> consent</w:t>
      </w:r>
      <w:r w:rsidR="00BD47E8" w:rsidRPr="009B79B5">
        <w:rPr>
          <w:bCs/>
          <w:iCs/>
          <w:color w:val="000000"/>
          <w:lang w:val="en-ZA"/>
        </w:rPr>
        <w:t>/assent</w:t>
      </w:r>
      <w:r w:rsidR="00876DE4" w:rsidRPr="009B79B5">
        <w:rPr>
          <w:bCs/>
          <w:iCs/>
          <w:color w:val="000000"/>
          <w:lang w:val="en-ZA"/>
        </w:rPr>
        <w:t xml:space="preserve"> </w:t>
      </w:r>
      <w:r w:rsidR="00BD47E8" w:rsidRPr="009B79B5">
        <w:rPr>
          <w:bCs/>
          <w:iCs/>
          <w:color w:val="000000"/>
          <w:lang w:val="en-ZA"/>
        </w:rPr>
        <w:t xml:space="preserve">was </w:t>
      </w:r>
      <w:r w:rsidR="00876DE4" w:rsidRPr="009B79B5">
        <w:rPr>
          <w:bCs/>
          <w:iCs/>
          <w:color w:val="000000"/>
          <w:lang w:val="en-ZA"/>
        </w:rPr>
        <w:t xml:space="preserve">obtained from study </w:t>
      </w:r>
      <w:r w:rsidR="00DD5FFD" w:rsidRPr="009B79B5">
        <w:rPr>
          <w:bCs/>
          <w:iCs/>
          <w:color w:val="000000"/>
          <w:lang w:val="en-ZA"/>
        </w:rPr>
        <w:t>participants</w:t>
      </w:r>
      <w:r w:rsidR="00D76334" w:rsidRPr="009B79B5">
        <w:rPr>
          <w:bCs/>
          <w:iCs/>
          <w:color w:val="000000"/>
          <w:lang w:val="en-ZA"/>
        </w:rPr>
        <w:t xml:space="preserve"> or parents/guardians for minors</w:t>
      </w:r>
      <w:r w:rsidR="00876DE4" w:rsidRPr="009B79B5">
        <w:rPr>
          <w:bCs/>
          <w:iCs/>
          <w:color w:val="000000"/>
          <w:lang w:val="en-ZA"/>
        </w:rPr>
        <w:t>.</w:t>
      </w:r>
    </w:p>
    <w:p w14:paraId="695CE775" w14:textId="6609C7E8" w:rsidR="001753DF" w:rsidRPr="009B79B5" w:rsidRDefault="00D061A5" w:rsidP="003237EF">
      <w:pPr>
        <w:spacing w:before="100" w:beforeAutospacing="1" w:line="360" w:lineRule="auto"/>
        <w:rPr>
          <w:b/>
          <w:bCs/>
        </w:rPr>
      </w:pPr>
      <w:r>
        <w:rPr>
          <w:b/>
          <w:bCs/>
        </w:rPr>
        <w:t>Diagnosis and l</w:t>
      </w:r>
      <w:r w:rsidR="001753DF" w:rsidRPr="009B79B5">
        <w:rPr>
          <w:b/>
          <w:bCs/>
        </w:rPr>
        <w:t>aboratory procedures</w:t>
      </w:r>
    </w:p>
    <w:p w14:paraId="00E31E89" w14:textId="4787DBD7" w:rsidR="00DE3AC5" w:rsidRDefault="001753DF" w:rsidP="000B476A">
      <w:pPr>
        <w:spacing w:after="100" w:afterAutospacing="1" w:line="360" w:lineRule="auto"/>
        <w:jc w:val="both"/>
        <w:rPr>
          <w:bCs/>
          <w:iCs/>
          <w:color w:val="000000"/>
          <w:lang w:val="en-ZA"/>
        </w:rPr>
      </w:pPr>
      <w:r w:rsidRPr="009B79B5">
        <w:rPr>
          <w:bCs/>
          <w:iCs/>
          <w:color w:val="000000"/>
          <w:lang w:val="en-ZA"/>
        </w:rPr>
        <w:t>The National Rapid Response Team under the</w:t>
      </w:r>
      <w:r w:rsidR="00DF4F93">
        <w:rPr>
          <w:bCs/>
          <w:iCs/>
          <w:color w:val="000000"/>
          <w:lang w:val="en-ZA"/>
        </w:rPr>
        <w:t xml:space="preserve">  </w:t>
      </w:r>
      <w:proofErr w:type="spellStart"/>
      <w:r w:rsidR="00FC71CC" w:rsidRPr="009B79B5">
        <w:rPr>
          <w:bCs/>
          <w:iCs/>
          <w:color w:val="000000"/>
          <w:lang w:val="en-ZA"/>
        </w:rPr>
        <w:t>MoHCD</w:t>
      </w:r>
      <w:r w:rsidR="0085347F">
        <w:rPr>
          <w:bCs/>
          <w:iCs/>
          <w:color w:val="000000"/>
          <w:lang w:val="en-ZA"/>
        </w:rPr>
        <w:t>G</w:t>
      </w:r>
      <w:r w:rsidR="00FC71CC" w:rsidRPr="009B79B5">
        <w:rPr>
          <w:bCs/>
          <w:iCs/>
          <w:color w:val="000000"/>
          <w:lang w:val="en-ZA"/>
        </w:rPr>
        <w:t>EC</w:t>
      </w:r>
      <w:proofErr w:type="spellEnd"/>
      <w:r w:rsidR="0085347F">
        <w:rPr>
          <w:bCs/>
          <w:iCs/>
          <w:color w:val="000000"/>
          <w:lang w:val="en-ZA"/>
        </w:rPr>
        <w:t>,</w:t>
      </w:r>
      <w:r w:rsidR="00FC71CC" w:rsidRPr="009B79B5">
        <w:rPr>
          <w:bCs/>
          <w:iCs/>
          <w:color w:val="000000"/>
          <w:lang w:val="en-ZA"/>
        </w:rPr>
        <w:t xml:space="preserve"> Tanzania</w:t>
      </w:r>
      <w:r w:rsidR="00FC71CC" w:rsidRPr="009B79B5" w:rsidDel="00FC71CC">
        <w:rPr>
          <w:bCs/>
          <w:iCs/>
          <w:color w:val="000000"/>
          <w:lang w:val="en-ZA"/>
        </w:rPr>
        <w:t xml:space="preserve"> </w:t>
      </w:r>
      <w:r w:rsidRPr="009B79B5">
        <w:rPr>
          <w:bCs/>
          <w:iCs/>
          <w:color w:val="000000"/>
          <w:lang w:val="en-ZA"/>
        </w:rPr>
        <w:t>was responsible for sample collection and transportation</w:t>
      </w:r>
      <w:r w:rsidR="00E3305E">
        <w:rPr>
          <w:bCs/>
          <w:iCs/>
          <w:color w:val="000000"/>
          <w:lang w:val="en-ZA"/>
        </w:rPr>
        <w:t xml:space="preserve"> for COVID</w:t>
      </w:r>
      <w:r w:rsidR="004A065E">
        <w:rPr>
          <w:bCs/>
          <w:iCs/>
          <w:color w:val="000000"/>
          <w:lang w:val="en-ZA"/>
        </w:rPr>
        <w:t>-</w:t>
      </w:r>
      <w:r w:rsidR="00E3305E">
        <w:rPr>
          <w:bCs/>
          <w:iCs/>
          <w:color w:val="000000"/>
          <w:lang w:val="en-ZA"/>
        </w:rPr>
        <w:t>19 testing</w:t>
      </w:r>
      <w:r w:rsidRPr="009B79B5">
        <w:rPr>
          <w:bCs/>
          <w:iCs/>
          <w:color w:val="000000"/>
          <w:lang w:val="en-ZA"/>
        </w:rPr>
        <w:t>. Sample handling was as per the protocol described</w:t>
      </w:r>
      <w:r w:rsidR="00573E7D" w:rsidRPr="009B79B5">
        <w:rPr>
          <w:bCs/>
          <w:iCs/>
          <w:color w:val="000000"/>
          <w:lang w:val="en-ZA"/>
        </w:rPr>
        <w:t xml:space="preserve"> previously</w:t>
      </w:r>
      <w:r w:rsidR="00CA13B1">
        <w:rPr>
          <w:bCs/>
          <w:iCs/>
          <w:color w:val="000000"/>
          <w:lang w:val="en-ZA"/>
        </w:rPr>
        <w:t xml:space="preserve"> </w:t>
      </w:r>
      <w:r w:rsidRPr="009B79B5">
        <w:rPr>
          <w:rStyle w:val="FootnoteReference"/>
          <w:bCs/>
          <w:iCs/>
          <w:color w:val="000000"/>
          <w:lang w:val="en-ZA"/>
        </w:rPr>
        <w:fldChar w:fldCharType="begin" w:fldLock="1"/>
      </w:r>
      <w:r w:rsidR="00CA13B1">
        <w:rPr>
          <w:bCs/>
          <w:iCs/>
          <w:color w:val="000000"/>
          <w:lang w:val="en-ZA"/>
        </w:rPr>
        <w:instrText>ADDIN CSL_CITATION {"citationItems":[{"id":"ITEM-1","itemData":{"URL":"https://www.who.int/publications-detail/laboratory-testing-for-2019-novel-coronavirus-in-suspected-human-cases-20200117","author":[{"dropping-particle":"","family":"The World Health Organization","given":"","non-dropping-particle":"","parse-names":false,"suffix":""}],"id":"ITEM-1","issued":{"date-parts":[["2020"]]},"page":"2","title":"Laboratory testing for the 2019 novel Corona virus (2019-nCoV) in suspected human cases","type":"webpage"},"uris":["http://www.mendeley.com/documents/?uuid=50c0574f-b08f-4b78-bfc0-fef479c5f5a7"]}],"mendeley":{"formattedCitation":"[17]","plainTextFormattedCitation":"[17]","previouslyFormattedCitation":"&lt;sup&gt;17&lt;/sup&gt;"},"properties":{"noteIndex":0},"schema":"https://github.com/citation-style-language/schema/raw/master/csl-citation.json"}</w:instrText>
      </w:r>
      <w:r w:rsidRPr="009B79B5">
        <w:rPr>
          <w:rStyle w:val="FootnoteReference"/>
          <w:bCs/>
          <w:iCs/>
          <w:color w:val="000000"/>
          <w:lang w:val="en-ZA"/>
        </w:rPr>
        <w:fldChar w:fldCharType="separate"/>
      </w:r>
      <w:r w:rsidR="00CA13B1" w:rsidRPr="00CA13B1">
        <w:rPr>
          <w:bCs/>
          <w:iCs/>
          <w:noProof/>
          <w:color w:val="000000"/>
          <w:lang w:val="en-ZA"/>
        </w:rPr>
        <w:t>[17]</w:t>
      </w:r>
      <w:r w:rsidRPr="009B79B5">
        <w:rPr>
          <w:rStyle w:val="FootnoteReference"/>
          <w:bCs/>
          <w:iCs/>
          <w:color w:val="000000"/>
          <w:lang w:val="en-ZA"/>
        </w:rPr>
        <w:fldChar w:fldCharType="end"/>
      </w:r>
      <w:r w:rsidR="00CA13B1">
        <w:rPr>
          <w:bCs/>
          <w:iCs/>
          <w:color w:val="000000"/>
          <w:lang w:val="en-ZA"/>
        </w:rPr>
        <w:t>.</w:t>
      </w:r>
      <w:r w:rsidRPr="009B79B5">
        <w:rPr>
          <w:bCs/>
          <w:iCs/>
          <w:color w:val="000000"/>
          <w:lang w:val="en-ZA"/>
        </w:rPr>
        <w:t xml:space="preserve">  </w:t>
      </w:r>
      <w:r w:rsidR="00C44A64" w:rsidRPr="009B79B5">
        <w:rPr>
          <w:bCs/>
          <w:iCs/>
          <w:color w:val="000000"/>
          <w:lang w:val="en-ZA"/>
        </w:rPr>
        <w:t xml:space="preserve">Laboratory </w:t>
      </w:r>
      <w:r w:rsidR="009A3D29" w:rsidRPr="009B79B5">
        <w:rPr>
          <w:bCs/>
          <w:iCs/>
          <w:color w:val="000000"/>
          <w:lang w:val="en-ZA"/>
        </w:rPr>
        <w:t>confirmation</w:t>
      </w:r>
      <w:r w:rsidRPr="009B79B5">
        <w:rPr>
          <w:bCs/>
          <w:iCs/>
          <w:color w:val="000000"/>
          <w:lang w:val="en-ZA"/>
        </w:rPr>
        <w:t xml:space="preserve"> </w:t>
      </w:r>
      <w:r w:rsidR="00C44A64" w:rsidRPr="009B79B5">
        <w:rPr>
          <w:bCs/>
          <w:iCs/>
          <w:color w:val="000000"/>
          <w:lang w:val="en-ZA"/>
        </w:rPr>
        <w:t xml:space="preserve">of SARS-CoV-2 </w:t>
      </w:r>
      <w:r w:rsidRPr="009B79B5">
        <w:rPr>
          <w:bCs/>
          <w:iCs/>
          <w:color w:val="000000"/>
          <w:lang w:val="en-ZA"/>
        </w:rPr>
        <w:t xml:space="preserve">was done using real-time PCR </w:t>
      </w:r>
      <w:r w:rsidR="00C44A64" w:rsidRPr="009B79B5">
        <w:rPr>
          <w:bCs/>
          <w:iCs/>
          <w:color w:val="000000"/>
          <w:lang w:val="en-ZA"/>
        </w:rPr>
        <w:t xml:space="preserve">at the National </w:t>
      </w:r>
      <w:r w:rsidR="004521E7">
        <w:rPr>
          <w:bCs/>
          <w:iCs/>
          <w:color w:val="000000"/>
          <w:lang w:val="en-ZA"/>
        </w:rPr>
        <w:t xml:space="preserve">Public </w:t>
      </w:r>
      <w:r w:rsidR="00C44A64" w:rsidRPr="009B79B5">
        <w:rPr>
          <w:bCs/>
          <w:iCs/>
          <w:color w:val="000000"/>
          <w:lang w:val="en-ZA"/>
        </w:rPr>
        <w:t>Health Laboratory located in Dar es Salaam</w:t>
      </w:r>
      <w:r w:rsidR="00E3305E">
        <w:rPr>
          <w:bCs/>
          <w:iCs/>
          <w:color w:val="000000"/>
          <w:lang w:val="en-ZA"/>
        </w:rPr>
        <w:t>,</w:t>
      </w:r>
      <w:r w:rsidR="00C44A64" w:rsidRPr="009B79B5">
        <w:rPr>
          <w:bCs/>
          <w:iCs/>
          <w:color w:val="000000"/>
          <w:lang w:val="en-ZA"/>
        </w:rPr>
        <w:t xml:space="preserve"> </w:t>
      </w:r>
      <w:r w:rsidRPr="009B79B5">
        <w:rPr>
          <w:bCs/>
          <w:iCs/>
          <w:color w:val="000000"/>
          <w:lang w:val="en-ZA"/>
        </w:rPr>
        <w:t xml:space="preserve">as </w:t>
      </w:r>
      <w:r w:rsidR="00C44A64" w:rsidRPr="009B79B5">
        <w:rPr>
          <w:bCs/>
          <w:iCs/>
          <w:color w:val="000000"/>
          <w:lang w:val="en-ZA"/>
        </w:rPr>
        <w:t xml:space="preserve">per </w:t>
      </w:r>
      <w:r w:rsidR="00F4699C">
        <w:rPr>
          <w:bCs/>
          <w:iCs/>
          <w:color w:val="000000"/>
          <w:lang w:val="en-ZA"/>
        </w:rPr>
        <w:t xml:space="preserve">the </w:t>
      </w:r>
      <w:r w:rsidR="00C44A64" w:rsidRPr="009B79B5">
        <w:rPr>
          <w:bCs/>
          <w:iCs/>
          <w:color w:val="000000"/>
          <w:lang w:val="en-ZA"/>
        </w:rPr>
        <w:t xml:space="preserve">protocol </w:t>
      </w:r>
      <w:r w:rsidRPr="009B79B5">
        <w:rPr>
          <w:bCs/>
          <w:iCs/>
          <w:color w:val="000000"/>
          <w:lang w:val="en-ZA"/>
        </w:rPr>
        <w:t>described</w:t>
      </w:r>
      <w:r w:rsidR="00DD5FFD" w:rsidRPr="009B79B5">
        <w:rPr>
          <w:bCs/>
          <w:iCs/>
          <w:color w:val="000000"/>
          <w:lang w:val="en-ZA"/>
        </w:rPr>
        <w:t xml:space="preserve"> previously</w:t>
      </w:r>
      <w:r w:rsidR="00CA13B1">
        <w:rPr>
          <w:bCs/>
          <w:iCs/>
          <w:color w:val="000000"/>
          <w:lang w:val="en-ZA"/>
        </w:rPr>
        <w:t xml:space="preserve"> </w:t>
      </w:r>
      <w:r w:rsidRPr="009B79B5">
        <w:rPr>
          <w:bCs/>
          <w:iCs/>
          <w:color w:val="000000"/>
          <w:lang w:val="en-ZA"/>
        </w:rPr>
        <w:fldChar w:fldCharType="begin" w:fldLock="1"/>
      </w:r>
      <w:r w:rsidR="00CA13B1">
        <w:rPr>
          <w:bCs/>
          <w:iCs/>
          <w:color w:val="000000"/>
          <w:lang w:val="en-ZA"/>
        </w:rPr>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Medicine","id":"ITEM-1","issue":"18","issued":{"date-parts":[["2020"]]},"page":"1708-1720","title":"Clinical characteristics of coronavirus disease 2019 in China","type":"article-journal","volume":"382"},"uris":["http://www.mendeley.com/documents/?uuid=c3389bec-050a-40cd-bea9-c2b4da95c087"]}],"mendeley":{"formattedCitation":"[13]","plainTextFormattedCitation":"[13]","previouslyFormattedCitation":"&lt;sup&gt;13&lt;/sup&gt;"},"properties":{"noteIndex":0},"schema":"https://github.com/citation-style-language/schema/raw/master/csl-citation.json"}</w:instrText>
      </w:r>
      <w:r w:rsidRPr="009B79B5">
        <w:rPr>
          <w:bCs/>
          <w:iCs/>
          <w:color w:val="000000"/>
          <w:lang w:val="en-ZA"/>
        </w:rPr>
        <w:fldChar w:fldCharType="separate"/>
      </w:r>
      <w:r w:rsidR="00CA13B1" w:rsidRPr="00CA13B1">
        <w:rPr>
          <w:bCs/>
          <w:iCs/>
          <w:noProof/>
          <w:color w:val="000000"/>
          <w:lang w:val="en-ZA"/>
        </w:rPr>
        <w:t>[13]</w:t>
      </w:r>
      <w:r w:rsidRPr="009B79B5">
        <w:rPr>
          <w:bCs/>
          <w:iCs/>
          <w:color w:val="000000"/>
          <w:lang w:val="en-ZA"/>
        </w:rPr>
        <w:fldChar w:fldCharType="end"/>
      </w:r>
      <w:r w:rsidR="00CA13B1">
        <w:rPr>
          <w:bCs/>
          <w:iCs/>
          <w:color w:val="000000"/>
          <w:lang w:val="en-ZA"/>
        </w:rPr>
        <w:t>.</w:t>
      </w:r>
      <w:r w:rsidRPr="009B79B5">
        <w:t xml:space="preserve"> </w:t>
      </w:r>
      <w:r w:rsidR="00573E7D" w:rsidRPr="009B79B5">
        <w:rPr>
          <w:bCs/>
          <w:iCs/>
          <w:color w:val="000000"/>
          <w:lang w:val="en-ZA"/>
        </w:rPr>
        <w:t>Serum samples were collected from cases as soon as possible after laboratory confirmation</w:t>
      </w:r>
      <w:r w:rsidR="00981791">
        <w:rPr>
          <w:bCs/>
          <w:iCs/>
          <w:color w:val="000000"/>
          <w:lang w:val="en-ZA"/>
        </w:rPr>
        <w:t>. L</w:t>
      </w:r>
      <w:r w:rsidRPr="009B79B5">
        <w:rPr>
          <w:bCs/>
          <w:iCs/>
          <w:color w:val="000000"/>
          <w:lang w:val="en-ZA"/>
        </w:rPr>
        <w:t>aboratory tests were performed</w:t>
      </w:r>
      <w:r w:rsidR="004521E7">
        <w:rPr>
          <w:bCs/>
          <w:iCs/>
          <w:color w:val="000000"/>
          <w:lang w:val="en-ZA"/>
        </w:rPr>
        <w:t xml:space="preserve"> </w:t>
      </w:r>
      <w:r w:rsidR="004521E7" w:rsidRPr="009B79B5">
        <w:rPr>
          <w:bCs/>
          <w:iCs/>
          <w:color w:val="000000"/>
          <w:lang w:val="en-ZA"/>
        </w:rPr>
        <w:t>at Muhimbili National Hospital, Dar es Salaam</w:t>
      </w:r>
      <w:r w:rsidRPr="009B79B5">
        <w:rPr>
          <w:bCs/>
          <w:iCs/>
          <w:color w:val="000000"/>
          <w:lang w:val="en-ZA"/>
        </w:rPr>
        <w:t>: Renal function test</w:t>
      </w:r>
      <w:r w:rsidR="00B24F51">
        <w:rPr>
          <w:bCs/>
          <w:iCs/>
          <w:color w:val="000000"/>
          <w:lang w:val="en-ZA"/>
        </w:rPr>
        <w:t>s</w:t>
      </w:r>
      <w:r w:rsidRPr="009B79B5">
        <w:rPr>
          <w:bCs/>
          <w:iCs/>
          <w:color w:val="000000"/>
          <w:lang w:val="en-ZA"/>
        </w:rPr>
        <w:t xml:space="preserve"> (RFT</w:t>
      </w:r>
      <w:r w:rsidR="00981791">
        <w:rPr>
          <w:bCs/>
          <w:iCs/>
          <w:color w:val="000000"/>
          <w:lang w:val="en-ZA"/>
        </w:rPr>
        <w:t>s</w:t>
      </w:r>
      <w:r w:rsidR="00DF4F93">
        <w:rPr>
          <w:bCs/>
          <w:iCs/>
          <w:color w:val="000000"/>
          <w:lang w:val="en-ZA"/>
        </w:rPr>
        <w:t>),</w:t>
      </w:r>
      <w:r w:rsidR="00981791">
        <w:rPr>
          <w:bCs/>
          <w:iCs/>
          <w:color w:val="000000"/>
          <w:lang w:val="en-ZA"/>
        </w:rPr>
        <w:t xml:space="preserve"> </w:t>
      </w:r>
      <w:r w:rsidRPr="009B79B5">
        <w:rPr>
          <w:bCs/>
          <w:iCs/>
          <w:color w:val="000000"/>
          <w:lang w:val="en-ZA"/>
        </w:rPr>
        <w:t>Full blood count</w:t>
      </w:r>
      <w:r w:rsidR="00B24F51">
        <w:rPr>
          <w:bCs/>
          <w:iCs/>
          <w:color w:val="000000"/>
          <w:lang w:val="en-ZA"/>
        </w:rPr>
        <w:t xml:space="preserve"> with differentials</w:t>
      </w:r>
      <w:r w:rsidRPr="009B79B5">
        <w:rPr>
          <w:bCs/>
          <w:iCs/>
          <w:color w:val="000000"/>
          <w:lang w:val="en-ZA"/>
        </w:rPr>
        <w:t xml:space="preserve"> (FBC), Liver function test</w:t>
      </w:r>
      <w:r w:rsidR="00B24F51">
        <w:rPr>
          <w:bCs/>
          <w:iCs/>
          <w:color w:val="000000"/>
          <w:lang w:val="en-ZA"/>
        </w:rPr>
        <w:t>s</w:t>
      </w:r>
      <w:r w:rsidRPr="009B79B5">
        <w:rPr>
          <w:bCs/>
          <w:iCs/>
          <w:color w:val="000000"/>
          <w:lang w:val="en-ZA"/>
        </w:rPr>
        <w:t xml:space="preserve"> (</w:t>
      </w:r>
      <w:proofErr w:type="spellStart"/>
      <w:r w:rsidRPr="009B79B5">
        <w:rPr>
          <w:bCs/>
          <w:iCs/>
          <w:color w:val="000000"/>
          <w:lang w:val="en-ZA"/>
        </w:rPr>
        <w:t>LFT</w:t>
      </w:r>
      <w:r w:rsidR="00981791">
        <w:rPr>
          <w:bCs/>
          <w:iCs/>
          <w:color w:val="000000"/>
          <w:lang w:val="en-ZA"/>
        </w:rPr>
        <w:t>s</w:t>
      </w:r>
      <w:r w:rsidRPr="009B79B5">
        <w:rPr>
          <w:bCs/>
          <w:iCs/>
          <w:color w:val="000000"/>
          <w:lang w:val="en-ZA"/>
        </w:rPr>
        <w:t>C</w:t>
      </w:r>
      <w:proofErr w:type="spellEnd"/>
      <w:r w:rsidRPr="009B79B5">
        <w:rPr>
          <w:bCs/>
          <w:iCs/>
          <w:color w:val="000000"/>
          <w:lang w:val="en-ZA"/>
        </w:rPr>
        <w:t xml:space="preserve">-reactive protein (CRP), Ferritin, Erythrocyte sedimentation rate (ESR), D-dimer, Prothrombin time (PT), Partial thromboplastin time (PTT), and International normalized ratio (INR). </w:t>
      </w:r>
      <w:r w:rsidR="00D061A5" w:rsidRPr="00D061A5">
        <w:rPr>
          <w:bCs/>
          <w:iCs/>
          <w:color w:val="000000"/>
          <w:lang w:val="en-ZA"/>
        </w:rPr>
        <w:t>Pneumonia was diagnosed by chest X</w:t>
      </w:r>
      <w:r w:rsidR="00D061A5">
        <w:rPr>
          <w:bCs/>
          <w:iCs/>
          <w:color w:val="000000"/>
          <w:lang w:val="en-ZA"/>
        </w:rPr>
        <w:t>-</w:t>
      </w:r>
      <w:r w:rsidR="00D061A5" w:rsidRPr="00D061A5">
        <w:rPr>
          <w:bCs/>
          <w:iCs/>
          <w:color w:val="000000"/>
          <w:lang w:val="en-ZA"/>
        </w:rPr>
        <w:t>ray</w:t>
      </w:r>
      <w:r w:rsidR="00D061A5">
        <w:rPr>
          <w:bCs/>
          <w:iCs/>
          <w:color w:val="000000"/>
          <w:lang w:val="en-ZA"/>
        </w:rPr>
        <w:t xml:space="preserve"> examination</w:t>
      </w:r>
      <w:r w:rsidR="00C57E80">
        <w:rPr>
          <w:bCs/>
          <w:iCs/>
          <w:color w:val="000000"/>
          <w:lang w:val="en-ZA"/>
        </w:rPr>
        <w:t>. Chest X-ray</w:t>
      </w:r>
      <w:r w:rsidR="00D061A5">
        <w:rPr>
          <w:bCs/>
          <w:iCs/>
          <w:color w:val="000000"/>
          <w:lang w:val="en-ZA"/>
        </w:rPr>
        <w:t xml:space="preserve"> was</w:t>
      </w:r>
      <w:r w:rsidR="00487375" w:rsidRPr="009B79B5">
        <w:rPr>
          <w:bCs/>
          <w:iCs/>
          <w:color w:val="000000"/>
          <w:lang w:val="en-ZA"/>
        </w:rPr>
        <w:t xml:space="preserve"> </w:t>
      </w:r>
      <w:r w:rsidR="00654618" w:rsidRPr="009B79B5">
        <w:rPr>
          <w:bCs/>
          <w:iCs/>
          <w:color w:val="000000"/>
          <w:lang w:val="en-ZA"/>
        </w:rPr>
        <w:t>performed</w:t>
      </w:r>
      <w:r w:rsidR="00804851" w:rsidRPr="009B79B5">
        <w:rPr>
          <w:bCs/>
          <w:iCs/>
          <w:color w:val="000000"/>
          <w:lang w:val="en-ZA"/>
        </w:rPr>
        <w:t xml:space="preserve"> </w:t>
      </w:r>
      <w:r w:rsidR="00654618" w:rsidRPr="009B79B5">
        <w:rPr>
          <w:bCs/>
          <w:iCs/>
          <w:color w:val="000000"/>
          <w:lang w:val="en-ZA"/>
        </w:rPr>
        <w:t xml:space="preserve">only when </w:t>
      </w:r>
      <w:r w:rsidR="009B5007" w:rsidRPr="009B79B5">
        <w:rPr>
          <w:bCs/>
          <w:iCs/>
          <w:color w:val="000000"/>
          <w:lang w:val="en-ZA"/>
        </w:rPr>
        <w:t>requested by</w:t>
      </w:r>
      <w:r w:rsidR="00654618" w:rsidRPr="009B79B5">
        <w:rPr>
          <w:bCs/>
          <w:iCs/>
          <w:color w:val="000000"/>
          <w:lang w:val="en-ZA"/>
        </w:rPr>
        <w:t xml:space="preserve"> the attending</w:t>
      </w:r>
      <w:r w:rsidR="009B5007" w:rsidRPr="009B79B5">
        <w:rPr>
          <w:bCs/>
          <w:iCs/>
          <w:color w:val="000000"/>
          <w:lang w:val="en-ZA"/>
        </w:rPr>
        <w:t xml:space="preserve"> physician</w:t>
      </w:r>
      <w:r w:rsidR="00D061A5">
        <w:rPr>
          <w:bCs/>
          <w:iCs/>
          <w:color w:val="000000"/>
          <w:lang w:val="en-ZA"/>
        </w:rPr>
        <w:t>.</w:t>
      </w:r>
      <w:r w:rsidR="00B56A25">
        <w:rPr>
          <w:bCs/>
          <w:iCs/>
          <w:color w:val="000000"/>
          <w:lang w:val="en-ZA"/>
        </w:rPr>
        <w:t xml:space="preserve"> </w:t>
      </w:r>
      <w:r w:rsidR="00D061A5">
        <w:rPr>
          <w:bCs/>
          <w:iCs/>
          <w:color w:val="000000"/>
          <w:lang w:val="en-ZA"/>
        </w:rPr>
        <w:t>Di</w:t>
      </w:r>
      <w:r w:rsidR="00B56A25">
        <w:rPr>
          <w:bCs/>
          <w:iCs/>
          <w:color w:val="000000"/>
          <w:lang w:val="en-ZA"/>
        </w:rPr>
        <w:t xml:space="preserve">agnosis of </w:t>
      </w:r>
      <w:r w:rsidR="00D061A5" w:rsidRPr="00C05539">
        <w:t>a</w:t>
      </w:r>
      <w:r w:rsidR="00D061A5" w:rsidRPr="00C05539">
        <w:rPr>
          <w:rStyle w:val="e24kjd"/>
          <w:rFonts w:eastAsiaTheme="majorEastAsia"/>
        </w:rPr>
        <w:t>cute respiratory distress syndrome</w:t>
      </w:r>
      <w:r w:rsidR="00D061A5" w:rsidRPr="00B56A25">
        <w:rPr>
          <w:bCs/>
          <w:iCs/>
          <w:color w:val="000000"/>
          <w:lang w:val="en-ZA"/>
        </w:rPr>
        <w:t xml:space="preserve"> </w:t>
      </w:r>
      <w:r w:rsidR="00D061A5">
        <w:rPr>
          <w:bCs/>
          <w:iCs/>
          <w:color w:val="000000"/>
          <w:lang w:val="en-ZA"/>
        </w:rPr>
        <w:t>(</w:t>
      </w:r>
      <w:r w:rsidR="00B56A25" w:rsidRPr="00B56A25">
        <w:rPr>
          <w:bCs/>
          <w:iCs/>
          <w:color w:val="000000"/>
          <w:lang w:val="en-ZA"/>
        </w:rPr>
        <w:t>ARDS</w:t>
      </w:r>
      <w:r w:rsidR="00D061A5">
        <w:rPr>
          <w:bCs/>
          <w:iCs/>
          <w:color w:val="000000"/>
          <w:lang w:val="en-ZA"/>
        </w:rPr>
        <w:t>)</w:t>
      </w:r>
      <w:r w:rsidR="00B56A25" w:rsidRPr="00B56A25">
        <w:rPr>
          <w:bCs/>
          <w:iCs/>
          <w:color w:val="000000"/>
          <w:lang w:val="en-ZA"/>
        </w:rPr>
        <w:t xml:space="preserve"> was based on acuteness of respiratory symptoms, bilateral opacities observed on chest </w:t>
      </w:r>
      <w:r w:rsidR="00B56A25">
        <w:rPr>
          <w:bCs/>
          <w:iCs/>
          <w:color w:val="000000"/>
          <w:lang w:val="en-ZA"/>
        </w:rPr>
        <w:t>X-</w:t>
      </w:r>
      <w:r w:rsidR="00B56A25" w:rsidRPr="00B56A25">
        <w:rPr>
          <w:bCs/>
          <w:iCs/>
          <w:color w:val="000000"/>
          <w:lang w:val="en-ZA"/>
        </w:rPr>
        <w:t>ray, and impaired oxygenation</w:t>
      </w:r>
      <w:r w:rsidR="00B56A25">
        <w:rPr>
          <w:bCs/>
          <w:iCs/>
          <w:color w:val="000000"/>
          <w:lang w:val="en-ZA"/>
        </w:rPr>
        <w:t xml:space="preserve"> as per </w:t>
      </w:r>
      <w:r w:rsidR="00B56A25" w:rsidRPr="00B56A25">
        <w:rPr>
          <w:bCs/>
          <w:iCs/>
          <w:color w:val="000000"/>
          <w:lang w:val="en-ZA"/>
        </w:rPr>
        <w:t>the WHO guideline on clinical management of severe acute respiratory infection in COVID-19 patients</w:t>
      </w:r>
      <w:r w:rsidR="00CA13B1">
        <w:rPr>
          <w:bCs/>
          <w:iCs/>
          <w:color w:val="000000"/>
          <w:lang w:val="en-ZA"/>
        </w:rPr>
        <w:t xml:space="preserve"> </w:t>
      </w:r>
      <w:r w:rsidR="00B56A25">
        <w:rPr>
          <w:bCs/>
          <w:iCs/>
          <w:color w:val="000000"/>
          <w:lang w:val="en-ZA"/>
        </w:rPr>
        <w:fldChar w:fldCharType="begin" w:fldLock="1"/>
      </w:r>
      <w:r w:rsidR="00CA13B1">
        <w:rPr>
          <w:bCs/>
          <w:iCs/>
          <w:color w:val="000000"/>
          <w:lang w:val="en-ZA"/>
        </w:rPr>
        <w:instrText>ADDIN CSL_CITATION {"citationItems":[{"id":"ITEM-1","itemData":{"abstract":"This document is intended for clinicians taking care of hospitalised adult and paediatric patients with severe acute respiratory infection (SARI) when a nCoV infection is suspected. It is not meant to replace clinical judgment or specialist consultation but rather to strengthen clinical management of these patients and provide to up-to-date guidance. Best practices for SARI including IPC and optimized supportive care for severely ill patients are essential.","author":[{"dropping-particle":"","family":"WHO","given":"","non-dropping-particle":"","parse-names":false,"suffix":""}],"id":"ITEM-1","issue":"January","issued":{"date-parts":[["2020"]]},"page":"12","title":"Clinical management of severe acute respiratory infection when novel coronavirus (nCoV) infection is suspected","type":"speech","volume":"2019"},"uris":["http://www.mendeley.com/documents/?uuid=2a5a93f0-2fe6-4197-9218-06bbeb28c093"]}],"mendeley":{"formattedCitation":"[18]","plainTextFormattedCitation":"[18]","previouslyFormattedCitation":"&lt;sup&gt;18&lt;/sup&gt;"},"properties":{"noteIndex":0},"schema":"https://github.com/citation-style-language/schema/raw/master/csl-citation.json"}</w:instrText>
      </w:r>
      <w:r w:rsidR="00B56A25">
        <w:rPr>
          <w:bCs/>
          <w:iCs/>
          <w:color w:val="000000"/>
          <w:lang w:val="en-ZA"/>
        </w:rPr>
        <w:fldChar w:fldCharType="separate"/>
      </w:r>
      <w:r w:rsidR="00CA13B1" w:rsidRPr="00CA13B1">
        <w:rPr>
          <w:bCs/>
          <w:iCs/>
          <w:noProof/>
          <w:color w:val="000000"/>
          <w:lang w:val="en-ZA"/>
        </w:rPr>
        <w:t>[18]</w:t>
      </w:r>
      <w:r w:rsidR="00B56A25">
        <w:rPr>
          <w:bCs/>
          <w:iCs/>
          <w:color w:val="000000"/>
          <w:lang w:val="en-ZA"/>
        </w:rPr>
        <w:fldChar w:fldCharType="end"/>
      </w:r>
      <w:r w:rsidR="00B56A25" w:rsidRPr="00B56A25">
        <w:rPr>
          <w:bCs/>
          <w:iCs/>
          <w:color w:val="000000"/>
          <w:lang w:val="en-ZA"/>
        </w:rPr>
        <w:t xml:space="preserve">. </w:t>
      </w:r>
      <w:r w:rsidR="00D061A5" w:rsidRPr="00D061A5">
        <w:rPr>
          <w:bCs/>
          <w:iCs/>
          <w:color w:val="000000"/>
          <w:lang w:val="en-ZA"/>
        </w:rPr>
        <w:t xml:space="preserve">Underlying conditions were self-reported by patients </w:t>
      </w:r>
      <w:r w:rsidR="00483DB6">
        <w:rPr>
          <w:bCs/>
          <w:iCs/>
          <w:color w:val="000000"/>
          <w:lang w:val="en-ZA"/>
        </w:rPr>
        <w:t>based on</w:t>
      </w:r>
      <w:r w:rsidR="00D061A5" w:rsidRPr="00D061A5">
        <w:rPr>
          <w:bCs/>
          <w:iCs/>
          <w:color w:val="000000"/>
          <w:lang w:val="en-ZA"/>
        </w:rPr>
        <w:t xml:space="preserve"> </w:t>
      </w:r>
      <w:r w:rsidR="00B04565">
        <w:rPr>
          <w:bCs/>
          <w:iCs/>
          <w:color w:val="000000"/>
          <w:lang w:val="en-ZA"/>
        </w:rPr>
        <w:t xml:space="preserve">the </w:t>
      </w:r>
      <w:r w:rsidR="00D061A5" w:rsidRPr="00D061A5">
        <w:rPr>
          <w:bCs/>
          <w:iCs/>
          <w:color w:val="000000"/>
          <w:lang w:val="en-ZA"/>
        </w:rPr>
        <w:t>previous diagnos</w:t>
      </w:r>
      <w:r w:rsidR="00483DB6">
        <w:rPr>
          <w:bCs/>
          <w:iCs/>
          <w:color w:val="000000"/>
          <w:lang w:val="en-ZA"/>
        </w:rPr>
        <w:t>is</w:t>
      </w:r>
      <w:r w:rsidR="00D061A5" w:rsidRPr="00D061A5">
        <w:rPr>
          <w:bCs/>
          <w:iCs/>
          <w:color w:val="000000"/>
          <w:lang w:val="en-ZA"/>
        </w:rPr>
        <w:t xml:space="preserve"> </w:t>
      </w:r>
      <w:r w:rsidR="00B24F51" w:rsidRPr="00D061A5">
        <w:rPr>
          <w:bCs/>
          <w:iCs/>
          <w:color w:val="000000"/>
          <w:lang w:val="en-ZA"/>
        </w:rPr>
        <w:t xml:space="preserve">or </w:t>
      </w:r>
      <w:r w:rsidR="00B24F51">
        <w:rPr>
          <w:bCs/>
          <w:iCs/>
          <w:color w:val="000000"/>
          <w:lang w:val="en-ZA"/>
        </w:rPr>
        <w:t xml:space="preserve">were </w:t>
      </w:r>
      <w:r w:rsidR="00B24F51" w:rsidRPr="00D061A5">
        <w:rPr>
          <w:bCs/>
          <w:iCs/>
          <w:color w:val="000000"/>
          <w:lang w:val="en-ZA"/>
        </w:rPr>
        <w:t>reported on referral note for referred cases</w:t>
      </w:r>
      <w:r w:rsidR="00981791">
        <w:rPr>
          <w:bCs/>
          <w:iCs/>
          <w:color w:val="000000"/>
          <w:lang w:val="en-ZA"/>
        </w:rPr>
        <w:t>.</w:t>
      </w:r>
    </w:p>
    <w:p w14:paraId="707EFCF1" w14:textId="77777777" w:rsidR="00AC0979" w:rsidRDefault="00AC0979" w:rsidP="003237EF">
      <w:pPr>
        <w:spacing w:line="360" w:lineRule="auto"/>
        <w:jc w:val="both"/>
        <w:rPr>
          <w:b/>
          <w:bCs/>
        </w:rPr>
      </w:pPr>
    </w:p>
    <w:p w14:paraId="6DA9FDCB" w14:textId="75057420" w:rsidR="001753DF" w:rsidRPr="009B79B5" w:rsidRDefault="001753DF" w:rsidP="003237EF">
      <w:pPr>
        <w:spacing w:line="360" w:lineRule="auto"/>
        <w:jc w:val="both"/>
        <w:rPr>
          <w:b/>
          <w:bCs/>
        </w:rPr>
      </w:pPr>
      <w:r w:rsidRPr="009B79B5">
        <w:rPr>
          <w:b/>
          <w:bCs/>
        </w:rPr>
        <w:lastRenderedPageBreak/>
        <w:t xml:space="preserve">Data management </w:t>
      </w:r>
      <w:r w:rsidR="009B36B0" w:rsidRPr="009B79B5">
        <w:rPr>
          <w:b/>
          <w:bCs/>
        </w:rPr>
        <w:t>and analysis</w:t>
      </w:r>
    </w:p>
    <w:p w14:paraId="555BB193" w14:textId="48755509" w:rsidR="00937EF0" w:rsidRPr="009B79B5" w:rsidRDefault="00F834E2" w:rsidP="003237EF">
      <w:pPr>
        <w:spacing w:after="100" w:afterAutospacing="1" w:line="360" w:lineRule="auto"/>
        <w:jc w:val="both"/>
      </w:pPr>
      <w:r w:rsidRPr="009B79B5">
        <w:t xml:space="preserve">We collected </w:t>
      </w:r>
      <w:r w:rsidR="00D502D5" w:rsidRPr="009B79B5">
        <w:t xml:space="preserve">data on </w:t>
      </w:r>
      <w:r w:rsidRPr="009B79B5">
        <w:t>socio-demographic characteristics, symptoms, exposure history</w:t>
      </w:r>
      <w:r w:rsidR="008A1DDF" w:rsidRPr="009B79B5">
        <w:t>,</w:t>
      </w:r>
      <w:r w:rsidRPr="009B79B5">
        <w:t xml:space="preserve"> and pre-existing medical </w:t>
      </w:r>
      <w:r w:rsidR="008A1DDF" w:rsidRPr="009B79B5">
        <w:t>conditions</w:t>
      </w:r>
      <w:r w:rsidR="00DF58F0" w:rsidRPr="009B79B5">
        <w:t xml:space="preserve"> using standardized data collection forms </w:t>
      </w:r>
      <w:r w:rsidR="00F4699C">
        <w:t xml:space="preserve">that were </w:t>
      </w:r>
      <w:r w:rsidR="0050251C">
        <w:t xml:space="preserve">adopted from </w:t>
      </w:r>
      <w:r w:rsidR="00F4699C">
        <w:t xml:space="preserve">the </w:t>
      </w:r>
      <w:r w:rsidR="009204B9">
        <w:t>World Health Organization (</w:t>
      </w:r>
      <w:r w:rsidR="0050251C" w:rsidRPr="009B79B5">
        <w:t>WHO</w:t>
      </w:r>
      <w:r w:rsidR="009204B9">
        <w:t>)</w:t>
      </w:r>
      <w:r w:rsidR="0050251C">
        <w:t xml:space="preserve"> forms</w:t>
      </w:r>
      <w:r w:rsidR="00C118A3">
        <w:t>.</w:t>
      </w:r>
      <w:r w:rsidR="0050251C" w:rsidRPr="009B79B5">
        <w:t xml:space="preserve"> </w:t>
      </w:r>
      <w:r w:rsidR="004703F8" w:rsidRPr="009B79B5">
        <w:t>Attending physicians</w:t>
      </w:r>
      <w:r w:rsidR="00C118A3">
        <w:t>,</w:t>
      </w:r>
      <w:r w:rsidR="004703F8" w:rsidRPr="009B79B5">
        <w:t xml:space="preserve"> conducted</w:t>
      </w:r>
      <w:r w:rsidR="00D502D5" w:rsidRPr="009B79B5">
        <w:t xml:space="preserve"> </w:t>
      </w:r>
      <w:r w:rsidR="004703F8" w:rsidRPr="009B79B5">
        <w:t xml:space="preserve">interviews with patients or their relatives in the case of minors, </w:t>
      </w:r>
      <w:r w:rsidR="00FF2986" w:rsidRPr="009B79B5">
        <w:t>s</w:t>
      </w:r>
      <w:r w:rsidR="004703F8" w:rsidRPr="009B79B5">
        <w:t>evere</w:t>
      </w:r>
      <w:r w:rsidR="00E72108" w:rsidRPr="009B79B5">
        <w:t>ly</w:t>
      </w:r>
      <w:r w:rsidR="00FF2986" w:rsidRPr="009B79B5">
        <w:t>/critical</w:t>
      </w:r>
      <w:r w:rsidR="00E72108" w:rsidRPr="009B79B5">
        <w:t>ly</w:t>
      </w:r>
      <w:r w:rsidR="004703F8" w:rsidRPr="009B79B5">
        <w:t xml:space="preserve"> ill</w:t>
      </w:r>
      <w:r w:rsidR="00FF2986" w:rsidRPr="009B79B5">
        <w:t xml:space="preserve">, </w:t>
      </w:r>
      <w:r w:rsidR="004703F8" w:rsidRPr="009B79B5">
        <w:t>or deceased patients.</w:t>
      </w:r>
      <w:r w:rsidR="00DF61E7" w:rsidRPr="009B79B5">
        <w:t xml:space="preserve"> </w:t>
      </w:r>
      <w:r w:rsidR="004703F8" w:rsidRPr="009B79B5">
        <w:t xml:space="preserve">Blood samples were taken immediately after the patient was diagnosed with </w:t>
      </w:r>
      <w:r w:rsidR="00C118A3">
        <w:t>COVID</w:t>
      </w:r>
      <w:r w:rsidR="004703F8" w:rsidRPr="009B79B5">
        <w:t>-19</w:t>
      </w:r>
      <w:r w:rsidR="009B36B0" w:rsidRPr="009B79B5">
        <w:t xml:space="preserve"> and w</w:t>
      </w:r>
      <w:r w:rsidR="004703F8" w:rsidRPr="009B79B5">
        <w:t>ithin an hour of collection, samples were transported in cooler boxes spiked with ice packs to the Central Pathology Laboratory at Muhimbili National Hospital for</w:t>
      </w:r>
      <w:r w:rsidR="00FF2986" w:rsidRPr="009B79B5">
        <w:t xml:space="preserve"> laboratory </w:t>
      </w:r>
      <w:r w:rsidR="00BD5A7D" w:rsidRPr="009B79B5">
        <w:t>analys</w:t>
      </w:r>
      <w:r w:rsidR="001E009A" w:rsidRPr="009B79B5">
        <w:t>is.</w:t>
      </w:r>
      <w:r w:rsidR="00FF2986" w:rsidRPr="009B79B5">
        <w:t xml:space="preserve"> </w:t>
      </w:r>
      <w:r w:rsidR="003D2105" w:rsidRPr="009B79B5">
        <w:t xml:space="preserve">Data </w:t>
      </w:r>
      <w:r w:rsidR="00F7383D" w:rsidRPr="009B79B5">
        <w:t>were managed</w:t>
      </w:r>
      <w:r w:rsidR="009C4E37" w:rsidRPr="009B79B5">
        <w:t xml:space="preserve"> using </w:t>
      </w:r>
      <w:r w:rsidR="003D2105" w:rsidRPr="009B79B5">
        <w:t>Go.</w:t>
      </w:r>
      <w:r w:rsidR="008A1DDF" w:rsidRPr="009B79B5">
        <w:t xml:space="preserve"> </w:t>
      </w:r>
      <w:r w:rsidR="003D2105" w:rsidRPr="009B79B5">
        <w:t>Data (</w:t>
      </w:r>
      <w:hyperlink r:id="rId9" w:history="1">
        <w:r w:rsidR="003D2105" w:rsidRPr="009B79B5">
          <w:rPr>
            <w:rStyle w:val="Hyperlink"/>
          </w:rPr>
          <w:t>https://www.who.int/godata</w:t>
        </w:r>
      </w:hyperlink>
      <w:r w:rsidR="003D2105" w:rsidRPr="009B79B5">
        <w:t xml:space="preserve">) </w:t>
      </w:r>
      <w:r w:rsidR="008A1DDF" w:rsidRPr="009B79B5">
        <w:t>open-source</w:t>
      </w:r>
      <w:r w:rsidR="003D2105" w:rsidRPr="009B79B5">
        <w:t xml:space="preserve"> software.</w:t>
      </w:r>
      <w:r w:rsidR="00C0118B" w:rsidRPr="009B79B5">
        <w:t xml:space="preserve"> </w:t>
      </w:r>
    </w:p>
    <w:p w14:paraId="3779437A" w14:textId="0D869255" w:rsidR="009B36B0" w:rsidRPr="00F760EF" w:rsidRDefault="00340F31" w:rsidP="00F760EF">
      <w:pPr>
        <w:spacing w:line="360" w:lineRule="auto"/>
        <w:jc w:val="both"/>
      </w:pPr>
      <w:r w:rsidRPr="009B79B5">
        <w:t xml:space="preserve">Bivariate analysis to compare </w:t>
      </w:r>
      <w:r w:rsidR="00C118A3">
        <w:t xml:space="preserve">the </w:t>
      </w:r>
      <w:r w:rsidRPr="009B79B5">
        <w:t>association between symptom</w:t>
      </w:r>
      <w:r w:rsidR="00C118A3">
        <w:t>s</w:t>
      </w:r>
      <w:r w:rsidRPr="009B79B5">
        <w:t xml:space="preserve">, pre-existing </w:t>
      </w:r>
      <w:r w:rsidR="00F41F5C" w:rsidRPr="009B79B5">
        <w:t xml:space="preserve">conditions, and </w:t>
      </w:r>
      <w:r w:rsidRPr="009B79B5">
        <w:t>soc</w:t>
      </w:r>
      <w:r w:rsidR="00D4659F" w:rsidRPr="009B79B5">
        <w:t>io-</w:t>
      </w:r>
      <w:r w:rsidRPr="009B79B5">
        <w:t>demographic characteristics against mortality rate were conducted</w:t>
      </w:r>
      <w:r w:rsidR="00F41F5C" w:rsidRPr="009B79B5">
        <w:t xml:space="preserve">. Association between explanatory and response </w:t>
      </w:r>
      <w:r w:rsidR="00F4699C">
        <w:t>variables</w:t>
      </w:r>
      <w:r w:rsidR="00F41F5C" w:rsidRPr="009B79B5">
        <w:t xml:space="preserve"> </w:t>
      </w:r>
      <w:r w:rsidRPr="009B79B5">
        <w:t>was done using Chi-square</w:t>
      </w:r>
      <w:r w:rsidR="00D4659F" w:rsidRPr="009B79B5">
        <w:t xml:space="preserve">. </w:t>
      </w:r>
      <w:r w:rsidR="00630653" w:rsidRPr="009B79B5">
        <w:t xml:space="preserve">The </w:t>
      </w:r>
      <w:r w:rsidRPr="009B79B5">
        <w:t xml:space="preserve">relationship between </w:t>
      </w:r>
      <w:r w:rsidR="00C118A3">
        <w:t xml:space="preserve">the </w:t>
      </w:r>
      <w:r w:rsidRPr="009B79B5">
        <w:t xml:space="preserve">explanatory </w:t>
      </w:r>
      <w:r w:rsidR="00630653" w:rsidRPr="009B79B5">
        <w:t>variable</w:t>
      </w:r>
      <w:r w:rsidR="00C118A3">
        <w:t>s</w:t>
      </w:r>
      <w:r w:rsidR="00630653" w:rsidRPr="009B79B5">
        <w:t xml:space="preserve"> (</w:t>
      </w:r>
      <w:r w:rsidR="001E76AB">
        <w:t>symptoms</w:t>
      </w:r>
      <w:r w:rsidR="00630653" w:rsidRPr="009B79B5">
        <w:t xml:space="preserve">, </w:t>
      </w:r>
      <w:r w:rsidRPr="009B79B5">
        <w:t>age, sex</w:t>
      </w:r>
      <w:r w:rsidR="00F4699C">
        <w:t>,</w:t>
      </w:r>
      <w:r w:rsidRPr="009B79B5">
        <w:t xml:space="preserve"> </w:t>
      </w:r>
      <w:r w:rsidR="00D4659F" w:rsidRPr="009B79B5">
        <w:t xml:space="preserve">and </w:t>
      </w:r>
      <w:r w:rsidRPr="009B79B5">
        <w:t>comorbidity</w:t>
      </w:r>
      <w:r w:rsidR="00630653" w:rsidRPr="009B79B5">
        <w:t>)</w:t>
      </w:r>
      <w:r w:rsidRPr="009B79B5">
        <w:t xml:space="preserve"> against </w:t>
      </w:r>
      <w:r w:rsidR="001E76AB">
        <w:t>death</w:t>
      </w:r>
      <w:r w:rsidR="001E76AB" w:rsidRPr="009B79B5">
        <w:t xml:space="preserve"> </w:t>
      </w:r>
      <w:r w:rsidRPr="009B79B5">
        <w:t>rate</w:t>
      </w:r>
      <w:r w:rsidR="00D4659F" w:rsidRPr="009B79B5">
        <w:t xml:space="preserve"> over a follow</w:t>
      </w:r>
      <w:r w:rsidR="00630653" w:rsidRPr="009B79B5">
        <w:t>-</w:t>
      </w:r>
      <w:r w:rsidR="00D4659F" w:rsidRPr="009B79B5">
        <w:t>up period of 21 days</w:t>
      </w:r>
      <w:r w:rsidR="00630653" w:rsidRPr="009B79B5">
        <w:t xml:space="preserve"> was </w:t>
      </w:r>
      <w:r w:rsidR="00FB49DE">
        <w:t>analyzed</w:t>
      </w:r>
      <w:r w:rsidR="00FB49DE" w:rsidRPr="009B79B5">
        <w:t xml:space="preserve"> </w:t>
      </w:r>
      <w:r w:rsidR="00630653" w:rsidRPr="009B79B5">
        <w:t xml:space="preserve">using </w:t>
      </w:r>
      <w:r w:rsidR="00F4699C">
        <w:t xml:space="preserve">the </w:t>
      </w:r>
      <w:r w:rsidR="00630653" w:rsidRPr="009B79B5">
        <w:t>Cox regression model</w:t>
      </w:r>
      <w:r w:rsidR="00C118A3">
        <w:t>.</w:t>
      </w:r>
      <w:r w:rsidR="00630653" w:rsidRPr="009B79B5">
        <w:t xml:space="preserve"> Association was valid if </w:t>
      </w:r>
      <w:r w:rsidR="00F4699C">
        <w:t xml:space="preserve">the </w:t>
      </w:r>
      <w:r w:rsidR="001B433C" w:rsidRPr="009B79B5">
        <w:rPr>
          <w:i/>
          <w:iCs/>
        </w:rPr>
        <w:t>p</w:t>
      </w:r>
      <w:r w:rsidR="001B433C" w:rsidRPr="009B79B5">
        <w:t>-</w:t>
      </w:r>
      <w:r w:rsidR="00630653" w:rsidRPr="009B79B5">
        <w:t>value was less than 5%.</w:t>
      </w:r>
    </w:p>
    <w:p w14:paraId="4E080C58" w14:textId="6525C992" w:rsidR="007D5737" w:rsidRPr="009B79B5" w:rsidRDefault="007D5737" w:rsidP="00604F49">
      <w:pPr>
        <w:spacing w:line="360" w:lineRule="auto"/>
        <w:jc w:val="both"/>
        <w:rPr>
          <w:b/>
          <w:bCs/>
        </w:rPr>
      </w:pPr>
      <w:r w:rsidRPr="009B79B5">
        <w:rPr>
          <w:b/>
          <w:bCs/>
        </w:rPr>
        <w:t>Results</w:t>
      </w:r>
    </w:p>
    <w:p w14:paraId="3ED7F3CF" w14:textId="28645ED3" w:rsidR="007A2E5C" w:rsidRPr="009B79B5" w:rsidRDefault="007D5737" w:rsidP="009B79B5">
      <w:pPr>
        <w:spacing w:line="360" w:lineRule="auto"/>
        <w:rPr>
          <w:b/>
        </w:rPr>
      </w:pPr>
      <w:r w:rsidRPr="009B79B5">
        <w:rPr>
          <w:b/>
        </w:rPr>
        <w:t xml:space="preserve">Sociodemographic </w:t>
      </w:r>
      <w:r w:rsidR="007A6D36" w:rsidRPr="009B79B5">
        <w:rPr>
          <w:b/>
        </w:rPr>
        <w:t>characteristics</w:t>
      </w:r>
      <w:r w:rsidR="007A2E5C">
        <w:rPr>
          <w:b/>
        </w:rPr>
        <w:t xml:space="preserve"> </w:t>
      </w:r>
    </w:p>
    <w:p w14:paraId="197CA3E1" w14:textId="2062271F" w:rsidR="00FA6350" w:rsidRDefault="009C2365" w:rsidP="007948D8">
      <w:pPr>
        <w:spacing w:line="360" w:lineRule="auto"/>
        <w:jc w:val="both"/>
      </w:pPr>
      <w:r w:rsidRPr="009B79B5">
        <w:t xml:space="preserve">A total of 121 </w:t>
      </w:r>
      <w:r w:rsidR="009B36B0" w:rsidRPr="009B79B5">
        <w:t xml:space="preserve">people positive with </w:t>
      </w:r>
      <w:r w:rsidR="005A44CD" w:rsidRPr="009B79B5">
        <w:t xml:space="preserve">COVID-19 </w:t>
      </w:r>
      <w:r w:rsidRPr="009B79B5">
        <w:t>were recruited. The majority were male</w:t>
      </w:r>
      <w:r w:rsidR="0085347F">
        <w:t xml:space="preserve"> </w:t>
      </w:r>
      <w:r w:rsidR="009B36B0" w:rsidRPr="009B79B5">
        <w:t>and</w:t>
      </w:r>
      <w:r w:rsidR="006A1A3F" w:rsidRPr="009B79B5">
        <w:t xml:space="preserve"> </w:t>
      </w:r>
      <w:r w:rsidR="004E60E9" w:rsidRPr="004E60E9">
        <w:t xml:space="preserve">≤ </w:t>
      </w:r>
      <w:r w:rsidR="006A1A3F" w:rsidRPr="009B79B5">
        <w:t xml:space="preserve">60 </w:t>
      </w:r>
      <w:r w:rsidRPr="009B79B5">
        <w:t>years</w:t>
      </w:r>
      <w:r w:rsidR="006A1A3F" w:rsidRPr="009B79B5">
        <w:t xml:space="preserve"> old</w:t>
      </w:r>
      <w:r w:rsidRPr="009B79B5">
        <w:t xml:space="preserve">. </w:t>
      </w:r>
      <w:r w:rsidR="00DE3AC5">
        <w:t>Seven were children</w:t>
      </w:r>
      <w:r w:rsidR="00B04565">
        <w:t xml:space="preserve"> </w:t>
      </w:r>
      <w:r w:rsidR="00C57E80">
        <w:t>while</w:t>
      </w:r>
      <w:r w:rsidR="00B04565">
        <w:t xml:space="preserve"> </w:t>
      </w:r>
      <w:r w:rsidR="00C57E80">
        <w:t xml:space="preserve">4 </w:t>
      </w:r>
      <w:r w:rsidR="00B04565" w:rsidRPr="009B79B5">
        <w:t>were pregnant</w:t>
      </w:r>
      <w:r w:rsidR="00C57E80">
        <w:t xml:space="preserve"> woman</w:t>
      </w:r>
      <w:r w:rsidR="00B04565">
        <w:t xml:space="preserve"> (see Table 1)</w:t>
      </w:r>
      <w:r w:rsidR="00B04565" w:rsidRPr="009B79B5">
        <w:t xml:space="preserve">. </w:t>
      </w:r>
    </w:p>
    <w:p w14:paraId="005807EB" w14:textId="3816F54C" w:rsidR="009C2365" w:rsidRPr="009B79B5" w:rsidRDefault="009C2365" w:rsidP="000B476A">
      <w:pPr>
        <w:spacing w:before="100" w:beforeAutospacing="1" w:line="360" w:lineRule="auto"/>
        <w:jc w:val="both"/>
        <w:rPr>
          <w:b/>
          <w:bCs/>
        </w:rPr>
      </w:pPr>
      <w:r w:rsidRPr="009B79B5">
        <w:rPr>
          <w:b/>
          <w:bCs/>
        </w:rPr>
        <w:t>Presenting symptoms</w:t>
      </w:r>
      <w:r w:rsidR="0030642A">
        <w:rPr>
          <w:b/>
          <w:bCs/>
        </w:rPr>
        <w:t xml:space="preserve"> and signs</w:t>
      </w:r>
    </w:p>
    <w:p w14:paraId="6EDBB46D" w14:textId="0FF5787A" w:rsidR="00FF6F85" w:rsidRDefault="00CB38F7" w:rsidP="008709D3">
      <w:pPr>
        <w:spacing w:line="360" w:lineRule="auto"/>
        <w:jc w:val="both"/>
      </w:pPr>
      <w:r w:rsidRPr="009B79B5">
        <w:t xml:space="preserve">Table 2 shows </w:t>
      </w:r>
      <w:r w:rsidR="001E76AB">
        <w:t xml:space="preserve">sociodemographic characteristics and </w:t>
      </w:r>
      <w:r w:rsidRPr="009B79B5">
        <w:t>presenting symptoms</w:t>
      </w:r>
      <w:r w:rsidR="007A6D36" w:rsidRPr="009B79B5">
        <w:t xml:space="preserve"> </w:t>
      </w:r>
      <w:r w:rsidR="0030642A">
        <w:t>among patients</w:t>
      </w:r>
      <w:r w:rsidRPr="009B79B5">
        <w:t xml:space="preserve">. </w:t>
      </w:r>
      <w:r w:rsidR="009C2365" w:rsidRPr="009B79B5">
        <w:t xml:space="preserve">The majority of patients presented with headache (54.6%), cough (48.8%), fever (47.8%), shortness of breath (46.3%), fatigue (45.5%), and chest pain (41.3%). </w:t>
      </w:r>
      <w:r w:rsidRPr="009B79B5">
        <w:t xml:space="preserve">The median </w:t>
      </w:r>
      <w:r w:rsidR="00B700F7" w:rsidRPr="009B79B5">
        <w:t>time</w:t>
      </w:r>
      <w:r w:rsidRPr="009B79B5">
        <w:t xml:space="preserve"> from onset of symptoms to reporting to </w:t>
      </w:r>
      <w:r w:rsidR="00686651">
        <w:t xml:space="preserve">the </w:t>
      </w:r>
      <w:r w:rsidRPr="009B79B5">
        <w:t>hospital</w:t>
      </w:r>
      <w:r w:rsidR="00686651">
        <w:t>s</w:t>
      </w:r>
      <w:r w:rsidRPr="009B79B5">
        <w:t xml:space="preserve"> was 3</w:t>
      </w:r>
      <w:r w:rsidR="008D67BF" w:rsidRPr="009B79B5">
        <w:t xml:space="preserve"> (</w:t>
      </w:r>
      <w:r w:rsidR="00744B15">
        <w:t xml:space="preserve">IQR </w:t>
      </w:r>
      <w:r w:rsidR="003E71B5">
        <w:t>=</w:t>
      </w:r>
      <w:r w:rsidR="00744B15">
        <w:t xml:space="preserve"> </w:t>
      </w:r>
      <w:r w:rsidR="008D67BF" w:rsidRPr="009B79B5">
        <w:t>1-6)</w:t>
      </w:r>
      <w:r w:rsidRPr="009B79B5">
        <w:t xml:space="preserve"> days.</w:t>
      </w:r>
      <w:r w:rsidR="00236C6B" w:rsidRPr="0047397F">
        <w:t xml:space="preserve"> </w:t>
      </w:r>
      <w:r w:rsidR="002630AF" w:rsidRPr="009B79B5">
        <w:t>Seven (</w:t>
      </w:r>
      <w:r w:rsidR="009C4A0D" w:rsidRPr="009B79B5">
        <w:t>5.</w:t>
      </w:r>
      <w:r w:rsidR="00236C6B">
        <w:t>8</w:t>
      </w:r>
      <w:r w:rsidR="009C4A0D" w:rsidRPr="009B79B5">
        <w:t>%</w:t>
      </w:r>
      <w:r w:rsidR="002630AF" w:rsidRPr="009B79B5">
        <w:t>) patients were</w:t>
      </w:r>
      <w:r w:rsidR="00C05539" w:rsidRPr="00C05539">
        <w:t xml:space="preserve"> </w:t>
      </w:r>
      <w:r w:rsidR="00C05539">
        <w:t>asymptomatic</w:t>
      </w:r>
      <w:r w:rsidR="00C05539" w:rsidRPr="00E7701E">
        <w:rPr>
          <w:rStyle w:val="FootnoteReference"/>
        </w:rPr>
        <w:footnoteReference w:id="1"/>
      </w:r>
      <w:r w:rsidR="002630AF" w:rsidRPr="009B79B5">
        <w:t xml:space="preserve">; 1 adult (35 years old female) and </w:t>
      </w:r>
      <w:r w:rsidR="00E15D08">
        <w:t>six</w:t>
      </w:r>
      <w:r w:rsidR="002630AF" w:rsidRPr="009B79B5">
        <w:t xml:space="preserve"> children (aged 3 - 12 years). These patients were </w:t>
      </w:r>
      <w:r w:rsidR="001E5D03" w:rsidRPr="009B79B5">
        <w:t>among individuals</w:t>
      </w:r>
      <w:r w:rsidR="002630AF" w:rsidRPr="009B79B5">
        <w:t xml:space="preserve"> who were </w:t>
      </w:r>
      <w:r w:rsidR="005F5748" w:rsidRPr="009B79B5">
        <w:t>isolated</w:t>
      </w:r>
      <w:r w:rsidR="002630AF" w:rsidRPr="009B79B5">
        <w:t xml:space="preserve"> as a result of an outbreak at the oncology ward at </w:t>
      </w:r>
      <w:r w:rsidR="00686651">
        <w:t xml:space="preserve">the </w:t>
      </w:r>
      <w:r w:rsidR="002630AF" w:rsidRPr="009B79B5">
        <w:t>Muhimbili National Hospital.</w:t>
      </w:r>
      <w:r w:rsidR="005F5748" w:rsidRPr="009B79B5">
        <w:t xml:space="preserve"> </w:t>
      </w:r>
      <w:r w:rsidR="00664C0E" w:rsidRPr="009B79B5">
        <w:t>On</w:t>
      </w:r>
      <w:r w:rsidR="009C2365" w:rsidRPr="009B79B5">
        <w:t xml:space="preserve"> arrival, 56</w:t>
      </w:r>
      <w:r w:rsidR="00AE0F0E">
        <w:t>/121</w:t>
      </w:r>
      <w:r w:rsidR="008C14AA" w:rsidRPr="009B79B5">
        <w:t xml:space="preserve"> (46.3%)</w:t>
      </w:r>
      <w:r w:rsidR="008B638D" w:rsidRPr="009B79B5">
        <w:t xml:space="preserve"> </w:t>
      </w:r>
      <w:r w:rsidR="009C2365" w:rsidRPr="009B79B5">
        <w:t>patients had oxygen saturation &lt; 94% (</w:t>
      </w:r>
      <w:r w:rsidR="003E71B5">
        <w:t>IQR</w:t>
      </w:r>
      <w:r w:rsidR="00646CE4">
        <w:t xml:space="preserve"> </w:t>
      </w:r>
      <w:r w:rsidR="00AE0F0E">
        <w:t xml:space="preserve">= </w:t>
      </w:r>
      <w:r w:rsidR="001A703C">
        <w:t>60%-</w:t>
      </w:r>
      <w:r w:rsidR="009C2365" w:rsidRPr="009B79B5">
        <w:lastRenderedPageBreak/>
        <w:t>93%</w:t>
      </w:r>
      <w:r w:rsidR="001A703C">
        <w:t>)</w:t>
      </w:r>
      <w:r w:rsidR="001E76AB">
        <w:t>. Of the 121 patients</w:t>
      </w:r>
      <w:r w:rsidR="008C14AA" w:rsidRPr="00414343">
        <w:t xml:space="preserve"> 4</w:t>
      </w:r>
      <w:r w:rsidR="001E76AB" w:rsidRPr="00414343">
        <w:t>4</w:t>
      </w:r>
      <w:r w:rsidR="007A6D36" w:rsidRPr="00414343">
        <w:t xml:space="preserve">(36.4%) </w:t>
      </w:r>
      <w:r w:rsidR="001E76AB" w:rsidRPr="00414343">
        <w:t>had</w:t>
      </w:r>
      <w:r w:rsidR="007A6D36" w:rsidRPr="00414343">
        <w:t xml:space="preserve"> </w:t>
      </w:r>
      <w:r w:rsidR="001E76AB" w:rsidRPr="00414343">
        <w:t>underlying conditions</w:t>
      </w:r>
      <w:r w:rsidR="00604F49" w:rsidRPr="00414343">
        <w:t xml:space="preserve">. </w:t>
      </w:r>
      <w:r w:rsidR="00DF4F93" w:rsidRPr="00414343">
        <w:t>The prevalence</w:t>
      </w:r>
      <w:r w:rsidR="00604F49" w:rsidRPr="00414343">
        <w:t xml:space="preserve"> of underlying conditions </w:t>
      </w:r>
      <w:r w:rsidR="00DF4F93" w:rsidRPr="00414343">
        <w:t>was</w:t>
      </w:r>
      <w:r w:rsidR="00604F49" w:rsidRPr="00414343">
        <w:t xml:space="preserve"> as follows:</w:t>
      </w:r>
      <w:r w:rsidR="007A6D36" w:rsidRPr="009B79B5">
        <w:t xml:space="preserve"> </w:t>
      </w:r>
      <w:r w:rsidR="007A6D36" w:rsidRPr="00DF4F93">
        <w:t>heart diseases</w:t>
      </w:r>
      <w:r w:rsidR="00646CE4">
        <w:t xml:space="preserve"> </w:t>
      </w:r>
      <w:r w:rsidR="007A6D36" w:rsidRPr="009B79B5">
        <w:t>(</w:t>
      </w:r>
      <w:r w:rsidR="001612F0" w:rsidRPr="00414343">
        <w:t>16</w:t>
      </w:r>
      <w:r w:rsidR="00677934" w:rsidRPr="00414343">
        <w:t>/121</w:t>
      </w:r>
      <w:r w:rsidR="004A065E" w:rsidRPr="00414343">
        <w:t xml:space="preserve"> </w:t>
      </w:r>
      <w:r w:rsidR="001612F0" w:rsidRPr="00414343">
        <w:t>[13.2</w:t>
      </w:r>
      <w:r w:rsidR="0085347F" w:rsidRPr="00414343">
        <w:t>%</w:t>
      </w:r>
      <w:r w:rsidR="001612F0" w:rsidRPr="00414343">
        <w:t>]</w:t>
      </w:r>
      <w:r w:rsidR="007A6D36" w:rsidRPr="009B79B5">
        <w:t>) diabetes (</w:t>
      </w:r>
      <w:r w:rsidR="001612F0" w:rsidRPr="00414343">
        <w:t>13</w:t>
      </w:r>
      <w:r w:rsidR="00677934" w:rsidRPr="00414343">
        <w:t>/121</w:t>
      </w:r>
      <w:r w:rsidR="004A065E" w:rsidRPr="00414343">
        <w:t xml:space="preserve"> </w:t>
      </w:r>
      <w:r w:rsidR="001612F0" w:rsidRPr="00414343">
        <w:t>[10.7</w:t>
      </w:r>
      <w:r w:rsidR="0085347F" w:rsidRPr="00414343">
        <w:t>%</w:t>
      </w:r>
      <w:r w:rsidR="001612F0" w:rsidRPr="00414343">
        <w:t>])</w:t>
      </w:r>
      <w:r w:rsidR="0070517D">
        <w:t xml:space="preserve">, </w:t>
      </w:r>
      <w:r w:rsidR="007A6D36" w:rsidRPr="009B79B5">
        <w:t xml:space="preserve">obesity </w:t>
      </w:r>
      <w:r w:rsidR="001612F0" w:rsidRPr="009B79B5">
        <w:t>(</w:t>
      </w:r>
      <w:r w:rsidR="001612F0" w:rsidRPr="009B79B5">
        <w:rPr>
          <w:sz w:val="22"/>
          <w:szCs w:val="22"/>
        </w:rPr>
        <w:t>10</w:t>
      </w:r>
      <w:r w:rsidR="00677934">
        <w:rPr>
          <w:sz w:val="22"/>
          <w:szCs w:val="22"/>
        </w:rPr>
        <w:t>/121</w:t>
      </w:r>
      <w:r w:rsidR="009B6647">
        <w:rPr>
          <w:sz w:val="22"/>
          <w:szCs w:val="22"/>
        </w:rPr>
        <w:t xml:space="preserve"> </w:t>
      </w:r>
      <w:r w:rsidR="001612F0" w:rsidRPr="009B79B5">
        <w:rPr>
          <w:sz w:val="22"/>
          <w:szCs w:val="22"/>
        </w:rPr>
        <w:t>[8.3</w:t>
      </w:r>
      <w:r w:rsidR="008C14AA" w:rsidRPr="009B79B5">
        <w:rPr>
          <w:sz w:val="22"/>
          <w:szCs w:val="22"/>
        </w:rPr>
        <w:t>%</w:t>
      </w:r>
      <w:r w:rsidR="001612F0" w:rsidRPr="009B79B5">
        <w:rPr>
          <w:sz w:val="22"/>
          <w:szCs w:val="22"/>
        </w:rPr>
        <w:t>])</w:t>
      </w:r>
      <w:r w:rsidR="001612F0" w:rsidRPr="009B79B5" w:rsidDel="001612F0">
        <w:t xml:space="preserve"> </w:t>
      </w:r>
      <w:r w:rsidR="001612F0" w:rsidRPr="009B79B5">
        <w:t xml:space="preserve">and </w:t>
      </w:r>
      <w:r w:rsidR="007A6D36" w:rsidRPr="00DF4F93">
        <w:t xml:space="preserve">cancer </w:t>
      </w:r>
      <w:r w:rsidR="001612F0" w:rsidRPr="00DF4F93">
        <w:t>(</w:t>
      </w:r>
      <w:r w:rsidR="001612F0" w:rsidRPr="009B79B5">
        <w:rPr>
          <w:sz w:val="22"/>
          <w:szCs w:val="22"/>
        </w:rPr>
        <w:t>5</w:t>
      </w:r>
      <w:r w:rsidR="00677934">
        <w:rPr>
          <w:sz w:val="22"/>
          <w:szCs w:val="22"/>
        </w:rPr>
        <w:t>/121</w:t>
      </w:r>
      <w:r w:rsidR="004A065E">
        <w:rPr>
          <w:sz w:val="22"/>
          <w:szCs w:val="22"/>
        </w:rPr>
        <w:t xml:space="preserve"> </w:t>
      </w:r>
      <w:r w:rsidR="001612F0" w:rsidRPr="009B79B5">
        <w:rPr>
          <w:sz w:val="22"/>
          <w:szCs w:val="22"/>
        </w:rPr>
        <w:t>[4.1</w:t>
      </w:r>
      <w:r w:rsidR="008C14AA" w:rsidRPr="009B79B5">
        <w:rPr>
          <w:sz w:val="22"/>
          <w:szCs w:val="22"/>
        </w:rPr>
        <w:t>%</w:t>
      </w:r>
      <w:r w:rsidR="001612F0" w:rsidRPr="009B79B5">
        <w:rPr>
          <w:sz w:val="22"/>
          <w:szCs w:val="22"/>
        </w:rPr>
        <w:t>])</w:t>
      </w:r>
      <w:r w:rsidR="001612F0" w:rsidRPr="009B79B5">
        <w:t>.</w:t>
      </w:r>
      <w:r w:rsidR="00EC204C" w:rsidRPr="009B79B5">
        <w:t xml:space="preserve"> </w:t>
      </w:r>
      <w:r w:rsidR="00F70AD1" w:rsidRPr="009B79B5">
        <w:t xml:space="preserve"> </w:t>
      </w:r>
      <w:r w:rsidR="00CE7327" w:rsidRPr="009B79B5">
        <w:t xml:space="preserve">Bivariate analysis showed that shortness of breath, altered consciousness, </w:t>
      </w:r>
      <w:r w:rsidR="000327DF">
        <w:t>muscle</w:t>
      </w:r>
      <w:r w:rsidR="00CE7327" w:rsidRPr="009B79B5">
        <w:t xml:space="preserve"> pain and neurological signs were</w:t>
      </w:r>
      <w:r w:rsidR="00414343">
        <w:t xml:space="preserve"> significantly associated with</w:t>
      </w:r>
      <w:r w:rsidR="00CE7327" w:rsidRPr="009B79B5">
        <w:t xml:space="preserve"> mortality in </w:t>
      </w:r>
      <w:r w:rsidR="009B6647" w:rsidRPr="009B79B5">
        <w:t>COVID-19</w:t>
      </w:r>
      <w:r w:rsidR="00CE7327" w:rsidRPr="009B79B5">
        <w:t xml:space="preserve"> patients </w:t>
      </w:r>
      <w:r w:rsidR="00CE7327" w:rsidRPr="009B79B5">
        <w:rPr>
          <w:color w:val="222222"/>
          <w:shd w:val="clear" w:color="auto" w:fill="FFFFFF"/>
        </w:rPr>
        <w:t>(Table 2</w:t>
      </w:r>
      <w:r w:rsidR="00CE7327">
        <w:rPr>
          <w:color w:val="222222"/>
          <w:shd w:val="clear" w:color="auto" w:fill="FFFFFF"/>
        </w:rPr>
        <w:t>)</w:t>
      </w:r>
      <w:r w:rsidR="00711546">
        <w:rPr>
          <w:color w:val="222222"/>
          <w:shd w:val="clear" w:color="auto" w:fill="FFFFFF"/>
        </w:rPr>
        <w:t>.</w:t>
      </w:r>
      <w:r w:rsidR="00CE7327">
        <w:t xml:space="preserve"> </w:t>
      </w:r>
      <w:r w:rsidR="005F5748" w:rsidRPr="009B79B5">
        <w:t>P</w:t>
      </w:r>
      <w:r w:rsidR="009C2365" w:rsidRPr="009B79B5">
        <w:t>hysical examination</w:t>
      </w:r>
      <w:r w:rsidR="005F5748" w:rsidRPr="009B79B5">
        <w:t xml:space="preserve"> revealed that </w:t>
      </w:r>
      <w:r w:rsidR="009C2365" w:rsidRPr="009B79B5">
        <w:t>58</w:t>
      </w:r>
      <w:r w:rsidR="00CE7327">
        <w:t xml:space="preserve"> </w:t>
      </w:r>
      <w:r w:rsidR="00F1359A" w:rsidRPr="009B79B5">
        <w:t>(48%)</w:t>
      </w:r>
      <w:r w:rsidR="009C2365" w:rsidRPr="009B79B5">
        <w:t xml:space="preserve"> patients were febrile, </w:t>
      </w:r>
      <w:r w:rsidR="000379E0" w:rsidRPr="009B79B5">
        <w:t>48</w:t>
      </w:r>
      <w:r w:rsidR="009B6647">
        <w:t xml:space="preserve"> </w:t>
      </w:r>
      <w:r w:rsidR="000379E0" w:rsidRPr="009B79B5">
        <w:t xml:space="preserve">(40%) </w:t>
      </w:r>
      <w:r w:rsidR="0067001C">
        <w:t>had</w:t>
      </w:r>
      <w:r w:rsidR="0067001C" w:rsidRPr="009B79B5">
        <w:t xml:space="preserve"> </w:t>
      </w:r>
      <w:r w:rsidR="000379E0" w:rsidRPr="009B79B5">
        <w:t>dyspne</w:t>
      </w:r>
      <w:r w:rsidR="0067001C">
        <w:t>a</w:t>
      </w:r>
      <w:r w:rsidR="000379E0" w:rsidRPr="009B79B5">
        <w:t xml:space="preserve"> and tachypnea, 18 (14.9%) had abnormalities on lung auscultation, </w:t>
      </w:r>
      <w:r w:rsidR="004B33B5" w:rsidRPr="009B79B5">
        <w:t xml:space="preserve">13 (10.7%) had pharyngeal exudates, </w:t>
      </w:r>
      <w:r w:rsidR="000379E0" w:rsidRPr="009B79B5">
        <w:t>3</w:t>
      </w:r>
      <w:r w:rsidR="00CE7327">
        <w:t xml:space="preserve"> </w:t>
      </w:r>
      <w:r w:rsidR="0063122E">
        <w:t>(</w:t>
      </w:r>
      <w:r w:rsidR="000379E0" w:rsidRPr="009B79B5">
        <w:t>2.5%</w:t>
      </w:r>
      <w:r w:rsidR="0063122E">
        <w:t>)</w:t>
      </w:r>
      <w:r w:rsidR="000379E0" w:rsidRPr="009B79B5">
        <w:t xml:space="preserve"> had seizure</w:t>
      </w:r>
      <w:r w:rsidR="004B33B5" w:rsidRPr="009B79B5">
        <w:t>,</w:t>
      </w:r>
      <w:r w:rsidR="000379E0" w:rsidRPr="009B79B5">
        <w:t xml:space="preserve"> </w:t>
      </w:r>
      <w:r w:rsidR="005F5748" w:rsidRPr="009B79B5">
        <w:t>1</w:t>
      </w:r>
      <w:r w:rsidR="007E61F7" w:rsidRPr="009B79B5">
        <w:t xml:space="preserve"> (0.8%)</w:t>
      </w:r>
      <w:r w:rsidR="005F5748" w:rsidRPr="009B79B5">
        <w:t xml:space="preserve"> </w:t>
      </w:r>
      <w:r w:rsidR="009C2365" w:rsidRPr="009B79B5">
        <w:t>was in coma</w:t>
      </w:r>
      <w:r w:rsidR="004B33B5" w:rsidRPr="009B79B5">
        <w:t xml:space="preserve"> and </w:t>
      </w:r>
      <w:r w:rsidR="005F5748" w:rsidRPr="009B79B5">
        <w:t>1</w:t>
      </w:r>
      <w:r w:rsidR="00CE7327">
        <w:t xml:space="preserve"> </w:t>
      </w:r>
      <w:r w:rsidR="007E61F7" w:rsidRPr="009B79B5">
        <w:t xml:space="preserve">(0.8%) </w:t>
      </w:r>
      <w:r w:rsidR="009C2365" w:rsidRPr="009B79B5">
        <w:t>had conjunctival injection</w:t>
      </w:r>
      <w:r w:rsidR="00E15D08">
        <w:t>.</w:t>
      </w:r>
      <w:r w:rsidR="009C2365" w:rsidRPr="009B79B5">
        <w:t xml:space="preserve"> </w:t>
      </w:r>
    </w:p>
    <w:p w14:paraId="58621F2C" w14:textId="6EFA7BAF" w:rsidR="007652B8" w:rsidRDefault="007652B8" w:rsidP="008709D3">
      <w:pPr>
        <w:spacing w:line="360" w:lineRule="auto"/>
        <w:jc w:val="both"/>
      </w:pPr>
      <w:r>
        <w:t>Above you are combining children and adults – e.g.</w:t>
      </w:r>
      <w:r w:rsidR="000B476A">
        <w:t>,</w:t>
      </w:r>
      <w:r>
        <w:t xml:space="preserve"> when presenting heart disease or diabetes</w:t>
      </w:r>
      <w:r w:rsidR="00763210">
        <w:t>.</w:t>
      </w:r>
      <w:r>
        <w:t xml:space="preserve"> </w:t>
      </w:r>
    </w:p>
    <w:p w14:paraId="09443829" w14:textId="78E81414" w:rsidR="00941018" w:rsidRPr="009B79B5" w:rsidRDefault="00BB5A44" w:rsidP="00AC0979">
      <w:pPr>
        <w:spacing w:after="100" w:afterAutospacing="1"/>
        <w:contextualSpacing/>
      </w:pPr>
      <w:r>
        <w:rPr>
          <w:b/>
          <w:bCs/>
        </w:rPr>
        <w:t>Disease severity and c</w:t>
      </w:r>
      <w:r w:rsidRPr="009B79B5">
        <w:rPr>
          <w:b/>
          <w:bCs/>
        </w:rPr>
        <w:t xml:space="preserve">linical outcomes </w:t>
      </w:r>
    </w:p>
    <w:p w14:paraId="563B3D08" w14:textId="571B8FC0" w:rsidR="00BB5FB4" w:rsidRPr="00AC0979" w:rsidRDefault="009854EA" w:rsidP="00017851">
      <w:pPr>
        <w:spacing w:line="360" w:lineRule="auto"/>
        <w:jc w:val="both"/>
      </w:pPr>
      <w:r w:rsidRPr="009B79B5">
        <w:t>Of the 121 patients, 9 (7</w:t>
      </w:r>
      <w:r w:rsidR="001314C7">
        <w:t>.0</w:t>
      </w:r>
      <w:r w:rsidRPr="009B79B5">
        <w:t>%) were seen as outpatients</w:t>
      </w:r>
      <w:r w:rsidR="00D94F6B">
        <w:t xml:space="preserve"> and the reminder </w:t>
      </w:r>
      <w:r w:rsidRPr="009B79B5">
        <w:t>112 (93%) were hospitalized. 17</w:t>
      </w:r>
      <w:r>
        <w:t xml:space="preserve">/112 </w:t>
      </w:r>
      <w:r w:rsidRPr="009B79B5">
        <w:t>(</w:t>
      </w:r>
      <w:r>
        <w:t>15.2</w:t>
      </w:r>
      <w:r w:rsidRPr="009B79B5">
        <w:t xml:space="preserve">%) </w:t>
      </w:r>
      <w:r>
        <w:t>of hospitalized patients</w:t>
      </w:r>
      <w:r w:rsidRPr="009B79B5">
        <w:t xml:space="preserve"> were admitted to ICU</w:t>
      </w:r>
      <w:r w:rsidR="00246ECA">
        <w:t xml:space="preserve"> and 14 </w:t>
      </w:r>
      <w:r w:rsidR="00775977">
        <w:t xml:space="preserve">(5 were female) </w:t>
      </w:r>
      <w:r w:rsidR="00246ECA">
        <w:t>died which translates to an</w:t>
      </w:r>
      <w:r w:rsidR="00420CB6">
        <w:t xml:space="preserve"> </w:t>
      </w:r>
      <w:r w:rsidR="00246ECA">
        <w:t xml:space="preserve">ICU death rate of </w:t>
      </w:r>
      <w:r w:rsidR="00BB5A44">
        <w:t>82.4</w:t>
      </w:r>
      <w:r w:rsidR="00246ECA">
        <w:t>%.</w:t>
      </w:r>
      <w:r w:rsidR="007A47F0">
        <w:t xml:space="preserve"> </w:t>
      </w:r>
      <w:r w:rsidR="00246ECA">
        <w:t xml:space="preserve">Of the </w:t>
      </w:r>
      <w:r w:rsidR="00EE5D43">
        <w:t>95</w:t>
      </w:r>
      <w:r w:rsidR="007A47F0">
        <w:t xml:space="preserve"> </w:t>
      </w:r>
      <w:r w:rsidR="00246ECA">
        <w:t xml:space="preserve">patients </w:t>
      </w:r>
      <w:r w:rsidR="007A47F0">
        <w:t xml:space="preserve">who were admitted </w:t>
      </w:r>
      <w:r w:rsidR="000327DF">
        <w:t>to</w:t>
      </w:r>
      <w:r w:rsidR="007A47F0">
        <w:t xml:space="preserve"> </w:t>
      </w:r>
      <w:r w:rsidR="000327DF">
        <w:t xml:space="preserve">the </w:t>
      </w:r>
      <w:r w:rsidR="00420CB6">
        <w:t xml:space="preserve">medical </w:t>
      </w:r>
      <w:r w:rsidR="007A47F0">
        <w:t xml:space="preserve">ward, </w:t>
      </w:r>
      <w:r w:rsidR="00775977">
        <w:t xml:space="preserve">4 (4.2%) </w:t>
      </w:r>
      <w:r w:rsidR="007A47F0" w:rsidRPr="00D02EC8">
        <w:t>died</w:t>
      </w:r>
      <w:r w:rsidR="00775977" w:rsidRPr="00D02EC8">
        <w:t xml:space="preserve">. </w:t>
      </w:r>
      <w:r w:rsidR="00C07876" w:rsidRPr="00D02EC8">
        <w:t>O</w:t>
      </w:r>
      <w:r w:rsidR="00775977" w:rsidRPr="00D02EC8">
        <w:t>f all</w:t>
      </w:r>
      <w:r w:rsidR="00737034" w:rsidRPr="007971D8">
        <w:t xml:space="preserve"> </w:t>
      </w:r>
      <w:r w:rsidR="006B01E9" w:rsidRPr="00A316E3">
        <w:t>112</w:t>
      </w:r>
      <w:r w:rsidR="00D94F6B" w:rsidRPr="003A580B">
        <w:t xml:space="preserve"> </w:t>
      </w:r>
      <w:r w:rsidRPr="003A580B">
        <w:t>hospitalized</w:t>
      </w:r>
      <w:r w:rsidR="00D94F6B" w:rsidRPr="009615C5">
        <w:t xml:space="preserve"> patients</w:t>
      </w:r>
      <w:r w:rsidRPr="009615C5">
        <w:t>,</w:t>
      </w:r>
      <w:r w:rsidR="006B01E9" w:rsidRPr="009615C5">
        <w:t xml:space="preserve"> 8</w:t>
      </w:r>
      <w:r w:rsidR="00EE10A8" w:rsidRPr="009615C5">
        <w:t>4</w:t>
      </w:r>
      <w:r w:rsidR="006B01E9" w:rsidRPr="009615C5">
        <w:t xml:space="preserve"> (7</w:t>
      </w:r>
      <w:r w:rsidR="00EE10A8" w:rsidRPr="009615C5">
        <w:t>5</w:t>
      </w:r>
      <w:r w:rsidR="006B01E9" w:rsidRPr="009615C5">
        <w:t>%) recovered</w:t>
      </w:r>
      <w:r w:rsidR="00420CB6" w:rsidRPr="009615C5">
        <w:t xml:space="preserve"> as did </w:t>
      </w:r>
      <w:r w:rsidR="00775977" w:rsidRPr="009615C5">
        <w:t xml:space="preserve">for </w:t>
      </w:r>
      <w:r w:rsidR="00420CB6" w:rsidRPr="00297069">
        <w:t xml:space="preserve">all </w:t>
      </w:r>
      <w:r w:rsidR="006B01E9" w:rsidRPr="00D02EC8">
        <w:t>9</w:t>
      </w:r>
      <w:r w:rsidR="00BB5A44" w:rsidRPr="00D02EC8">
        <w:t xml:space="preserve"> </w:t>
      </w:r>
      <w:r w:rsidR="006B01E9" w:rsidRPr="00D02EC8">
        <w:t xml:space="preserve">(100%) </w:t>
      </w:r>
      <w:r w:rsidR="00775977" w:rsidRPr="00D02EC8">
        <w:t>outpatients</w:t>
      </w:r>
      <w:r w:rsidR="00AC28C3" w:rsidRPr="00D02EC8">
        <w:t xml:space="preserve">. All 7 </w:t>
      </w:r>
      <w:r w:rsidR="00AC28C3" w:rsidRPr="00D02EC8">
        <w:rPr>
          <w:color w:val="222222"/>
          <w:shd w:val="clear" w:color="auto" w:fill="FFFFFF"/>
        </w:rPr>
        <w:t>(5.8%)</w:t>
      </w:r>
      <w:r w:rsidR="00AC28C3">
        <w:rPr>
          <w:color w:val="222222"/>
          <w:shd w:val="clear" w:color="auto" w:fill="FFFFFF"/>
        </w:rPr>
        <w:t xml:space="preserve"> asymptomatic patients </w:t>
      </w:r>
      <w:r w:rsidR="00784E56">
        <w:rPr>
          <w:color w:val="222222"/>
          <w:shd w:val="clear" w:color="auto" w:fill="FFFFFF"/>
        </w:rPr>
        <w:t>remained</w:t>
      </w:r>
      <w:r w:rsidR="00AC28C3">
        <w:rPr>
          <w:color w:val="222222"/>
          <w:shd w:val="clear" w:color="auto" w:fill="FFFFFF"/>
        </w:rPr>
        <w:t xml:space="preserve"> </w:t>
      </w:r>
      <w:r w:rsidR="00784E56">
        <w:rPr>
          <w:color w:val="222222"/>
          <w:shd w:val="clear" w:color="auto" w:fill="FFFFFF"/>
        </w:rPr>
        <w:t xml:space="preserve">asymptomatic </w:t>
      </w:r>
      <w:r w:rsidR="00AC28C3">
        <w:rPr>
          <w:color w:val="222222"/>
          <w:shd w:val="clear" w:color="auto" w:fill="FFFFFF"/>
        </w:rPr>
        <w:t xml:space="preserve">at the end of the follow up. </w:t>
      </w:r>
      <w:r w:rsidR="00AC28C3">
        <w:t xml:space="preserve"> The</w:t>
      </w:r>
      <w:r w:rsidR="00C07876">
        <w:t xml:space="preserve"> death rate </w:t>
      </w:r>
      <w:r w:rsidR="00AC28C3">
        <w:t>for all</w:t>
      </w:r>
      <w:r w:rsidR="00C07876">
        <w:t xml:space="preserve"> admissions was 16.07% (18/112)</w:t>
      </w:r>
      <w:r w:rsidR="00AC28C3">
        <w:t xml:space="preserve"> and the overall death rate</w:t>
      </w:r>
      <w:r w:rsidR="00C07876">
        <w:t xml:space="preserve"> </w:t>
      </w:r>
      <w:r w:rsidR="00AC28C3">
        <w:t>for all COVID-19 patients (including those seen as outpatients) was 14.9% (18/121)</w:t>
      </w:r>
      <w:r w:rsidR="00AC28C3" w:rsidRPr="00AC28C3">
        <w:rPr>
          <w:color w:val="222222"/>
          <w:shd w:val="clear" w:color="auto" w:fill="FFFFFF"/>
        </w:rPr>
        <w:t xml:space="preserve"> </w:t>
      </w:r>
      <w:r w:rsidR="00AC28C3" w:rsidRPr="009B79B5">
        <w:rPr>
          <w:color w:val="222222"/>
          <w:shd w:val="clear" w:color="auto" w:fill="FFFFFF"/>
        </w:rPr>
        <w:t xml:space="preserve">(Figure 1). </w:t>
      </w:r>
      <w:r w:rsidR="00784E56">
        <w:rPr>
          <w:color w:val="222222"/>
          <w:shd w:val="clear" w:color="auto" w:fill="FFFFFF"/>
        </w:rPr>
        <w:t xml:space="preserve">Out of 44 patients with underlying conditions, 12 died (mortality rate = 27.3%). </w:t>
      </w:r>
      <w:r w:rsidR="00784E56">
        <w:t>Among the remaining 77 patients without underlying conditions, 6 died (mortality rate = 8.0%)</w:t>
      </w:r>
      <w:r w:rsidR="00802015">
        <w:t xml:space="preserve">. </w:t>
      </w:r>
      <w:r w:rsidR="00BB5FB4">
        <w:rPr>
          <w:color w:val="222222"/>
          <w:shd w:val="clear" w:color="auto" w:fill="FFFFFF"/>
        </w:rPr>
        <w:t xml:space="preserve">All children in this cohort </w:t>
      </w:r>
      <w:r w:rsidR="00BB5FB4" w:rsidRPr="00AC0979">
        <w:rPr>
          <w:color w:val="222222"/>
          <w:shd w:val="clear" w:color="auto" w:fill="FFFFFF"/>
        </w:rPr>
        <w:t xml:space="preserve">survived. </w:t>
      </w:r>
      <w:r w:rsidR="00EE10A8" w:rsidRPr="00AC0979">
        <w:rPr>
          <w:color w:val="222222"/>
          <w:shd w:val="clear" w:color="auto" w:fill="FFFFFF"/>
        </w:rPr>
        <w:t xml:space="preserve">The median (IQR) age of patients who died was 58.0 (54-61) years. </w:t>
      </w:r>
      <w:r w:rsidR="00EE10A8" w:rsidRPr="00AC0979">
        <w:t xml:space="preserve">Median time from onset of symptoms to; hospital admission was 3.0 (1-6), recovery (14 [9-22]), death (10.5 [8-13]) (Table 1). </w:t>
      </w:r>
      <w:r w:rsidR="00EE10A8" w:rsidRPr="00AC0979" w:rsidDel="00EA231D">
        <w:t xml:space="preserve"> </w:t>
      </w:r>
    </w:p>
    <w:p w14:paraId="1E6B6908" w14:textId="49DDA674" w:rsidR="00CC099E" w:rsidRPr="00AC0979" w:rsidRDefault="009427FA" w:rsidP="00AC0979">
      <w:pPr>
        <w:pStyle w:val="Caption"/>
        <w:rPr>
          <w:rFonts w:ascii="Times New Roman" w:hAnsi="Times New Roman"/>
          <w:b w:val="0"/>
          <w:bCs w:val="0"/>
          <w:sz w:val="24"/>
          <w:szCs w:val="24"/>
        </w:rPr>
      </w:pPr>
      <w:r w:rsidRPr="00AC0979">
        <w:rPr>
          <w:rFonts w:ascii="Times New Roman" w:hAnsi="Times New Roman"/>
          <w:noProof/>
          <w:sz w:val="24"/>
          <w:szCs w:val="24"/>
        </w:rPr>
        <w:t xml:space="preserve"> </w:t>
      </w:r>
      <w:r w:rsidR="00CC099E" w:rsidRPr="00AC0979">
        <w:rPr>
          <w:rFonts w:ascii="Times New Roman" w:hAnsi="Times New Roman"/>
          <w:sz w:val="24"/>
          <w:szCs w:val="24"/>
        </w:rPr>
        <w:t>Underlying condition and complications</w:t>
      </w:r>
    </w:p>
    <w:p w14:paraId="0227BF3D" w14:textId="2DDE4BAE" w:rsidR="00941018" w:rsidRDefault="00236C6B" w:rsidP="00F760EF">
      <w:pPr>
        <w:spacing w:after="100" w:afterAutospacing="1" w:line="360" w:lineRule="auto"/>
        <w:jc w:val="both"/>
        <w:rPr>
          <w:color w:val="222222"/>
          <w:shd w:val="clear" w:color="auto" w:fill="FFFFFF"/>
        </w:rPr>
      </w:pPr>
      <w:r w:rsidRPr="00AC0979">
        <w:t xml:space="preserve"> </w:t>
      </w:r>
      <w:r w:rsidR="00FA6AD8" w:rsidRPr="00AC0979">
        <w:rPr>
          <w:shd w:val="clear" w:color="auto" w:fill="FFFFFF" w:themeFill="background1"/>
        </w:rPr>
        <w:t>A total</w:t>
      </w:r>
      <w:r w:rsidR="00FA6AD8" w:rsidRPr="00AC0979">
        <w:t xml:space="preserve"> of 38 patients had complications at the time of recruitment; ARDS (21), pneumonia evident on chest x-ray (16), acute renal failure (2), cardiac failure (2), hypertension requiring vasopressors (2) and 1 had consumptive coagulopathy (Table </w:t>
      </w:r>
      <w:r w:rsidR="0030642A" w:rsidRPr="00AC0979">
        <w:t>3</w:t>
      </w:r>
      <w:r w:rsidR="00FA6AD8" w:rsidRPr="00AC0979">
        <w:t xml:space="preserve">). </w:t>
      </w:r>
      <w:r w:rsidRPr="00AC0979">
        <w:t>Overall, 46 (38.3%) patients had one or more underlying conditions, 24</w:t>
      </w:r>
      <w:r w:rsidR="009B6647" w:rsidRPr="00AC0979">
        <w:t xml:space="preserve"> </w:t>
      </w:r>
      <w:r w:rsidRPr="00AC0979">
        <w:t xml:space="preserve">(19.8%) had </w:t>
      </w:r>
      <w:r w:rsidR="00C81E5F" w:rsidRPr="00AC0979">
        <w:t xml:space="preserve">a </w:t>
      </w:r>
      <w:r w:rsidRPr="00AC0979">
        <w:t>single underlying condition, 13</w:t>
      </w:r>
      <w:r w:rsidR="009B6647" w:rsidRPr="00AC0979">
        <w:t xml:space="preserve"> </w:t>
      </w:r>
      <w:r w:rsidRPr="00AC0979">
        <w:t>(10.7</w:t>
      </w:r>
      <w:r w:rsidR="009B6647" w:rsidRPr="00AC0979">
        <w:t>%</w:t>
      </w:r>
      <w:r w:rsidRPr="00AC0979">
        <w:t>) had 2 underlying conditions while 7</w:t>
      </w:r>
      <w:r w:rsidR="009B6647" w:rsidRPr="00AC0979">
        <w:t xml:space="preserve"> </w:t>
      </w:r>
      <w:r w:rsidRPr="00AC0979">
        <w:t>(5.8%) had 3 or more underlying conditions.</w:t>
      </w:r>
      <w:r w:rsidR="00D94F6B" w:rsidRPr="00AC0979">
        <w:t xml:space="preserve"> </w:t>
      </w:r>
      <w:r w:rsidR="00983621" w:rsidRPr="00AC0979">
        <w:rPr>
          <w:color w:val="222222"/>
          <w:shd w:val="clear" w:color="auto" w:fill="FFFFFF"/>
        </w:rPr>
        <w:t>COVID-19</w:t>
      </w:r>
      <w:r w:rsidR="000E303B" w:rsidRPr="00AC0979">
        <w:rPr>
          <w:color w:val="222222"/>
          <w:shd w:val="clear" w:color="auto" w:fill="FFFFFF"/>
        </w:rPr>
        <w:t xml:space="preserve"> was the primary cause of death </w:t>
      </w:r>
      <w:r w:rsidR="00597306" w:rsidRPr="00AC0979">
        <w:rPr>
          <w:color w:val="222222"/>
          <w:shd w:val="clear" w:color="auto" w:fill="FFFFFF"/>
        </w:rPr>
        <w:t xml:space="preserve">in </w:t>
      </w:r>
      <w:r w:rsidR="00C81E5F" w:rsidRPr="00AC0979">
        <w:rPr>
          <w:color w:val="222222"/>
          <w:shd w:val="clear" w:color="auto" w:fill="FFFFFF"/>
        </w:rPr>
        <w:t xml:space="preserve">3 </w:t>
      </w:r>
      <w:r w:rsidR="000E303B" w:rsidRPr="00AC0979">
        <w:rPr>
          <w:color w:val="222222"/>
          <w:shd w:val="clear" w:color="auto" w:fill="FFFFFF"/>
        </w:rPr>
        <w:t>patients, and secondary/contributing for 15 patients</w:t>
      </w:r>
      <w:r w:rsidR="00737034" w:rsidRPr="00AC0979">
        <w:rPr>
          <w:color w:val="222222"/>
          <w:shd w:val="clear" w:color="auto" w:fill="FFFFFF"/>
        </w:rPr>
        <w:t>. The c</w:t>
      </w:r>
      <w:r w:rsidR="006B01E9" w:rsidRPr="00AC0979">
        <w:rPr>
          <w:color w:val="222222"/>
          <w:shd w:val="clear" w:color="auto" w:fill="FFFFFF"/>
        </w:rPr>
        <w:t>ause of death was determined and documented</w:t>
      </w:r>
      <w:r w:rsidR="006B01E9">
        <w:rPr>
          <w:color w:val="222222"/>
          <w:shd w:val="clear" w:color="auto" w:fill="FFFFFF"/>
        </w:rPr>
        <w:t xml:space="preserve"> by the certifying doctor</w:t>
      </w:r>
      <w:r w:rsidR="000E303B" w:rsidRPr="009B79B5">
        <w:rPr>
          <w:color w:val="222222"/>
          <w:shd w:val="clear" w:color="auto" w:fill="FFFFFF"/>
        </w:rPr>
        <w:t xml:space="preserve">. The immediate cause of death for all </w:t>
      </w:r>
      <w:r w:rsidR="006B01E9">
        <w:rPr>
          <w:color w:val="222222"/>
          <w:shd w:val="clear" w:color="auto" w:fill="FFFFFF"/>
        </w:rPr>
        <w:t xml:space="preserve">18 </w:t>
      </w:r>
      <w:r w:rsidR="000E303B" w:rsidRPr="009B79B5">
        <w:rPr>
          <w:color w:val="222222"/>
          <w:shd w:val="clear" w:color="auto" w:fill="FFFFFF"/>
        </w:rPr>
        <w:t xml:space="preserve">fatalities was respiratory failure following severe acute respiratory distress </w:t>
      </w:r>
      <w:r w:rsidR="000E303B" w:rsidRPr="00983621">
        <w:rPr>
          <w:color w:val="222222"/>
          <w:shd w:val="clear" w:color="auto" w:fill="FFFFFF"/>
        </w:rPr>
        <w:t>syndrome</w:t>
      </w:r>
      <w:r w:rsidR="00C81E5F">
        <w:rPr>
          <w:color w:val="222222"/>
          <w:shd w:val="clear" w:color="auto" w:fill="FFFFFF"/>
        </w:rPr>
        <w:t>.</w:t>
      </w:r>
      <w:r w:rsidR="00047926" w:rsidRPr="00983621">
        <w:rPr>
          <w:color w:val="222222"/>
          <w:shd w:val="clear" w:color="auto" w:fill="FFFFFF"/>
        </w:rPr>
        <w:t xml:space="preserve"> </w:t>
      </w:r>
    </w:p>
    <w:p w14:paraId="2D77E985" w14:textId="7835AED3" w:rsidR="00CE7327" w:rsidRPr="00CE7327" w:rsidRDefault="00E42018" w:rsidP="00D94F6B">
      <w:pPr>
        <w:spacing w:before="100" w:beforeAutospacing="1" w:after="100" w:afterAutospacing="1" w:line="360" w:lineRule="auto"/>
        <w:jc w:val="both"/>
        <w:rPr>
          <w:color w:val="222222"/>
          <w:shd w:val="clear" w:color="auto" w:fill="FFFFFF"/>
        </w:rPr>
      </w:pPr>
      <w:r w:rsidRPr="0018445E">
        <w:rPr>
          <w:color w:val="222222"/>
          <w:shd w:val="clear" w:color="auto" w:fill="FFFFFF"/>
        </w:rPr>
        <w:lastRenderedPageBreak/>
        <w:t>Of th</w:t>
      </w:r>
      <w:r w:rsidR="000E303B" w:rsidRPr="00236C6B">
        <w:rPr>
          <w:color w:val="222222"/>
          <w:shd w:val="clear" w:color="auto" w:fill="FFFFFF"/>
        </w:rPr>
        <w:t>ose</w:t>
      </w:r>
      <w:r w:rsidR="00F13AC4" w:rsidRPr="00236C6B">
        <w:rPr>
          <w:color w:val="222222"/>
          <w:shd w:val="clear" w:color="auto" w:fill="FFFFFF"/>
        </w:rPr>
        <w:t xml:space="preserve"> </w:t>
      </w:r>
      <w:r w:rsidRPr="00C05539">
        <w:rPr>
          <w:color w:val="222222"/>
          <w:shd w:val="clear" w:color="auto" w:fill="FFFFFF"/>
        </w:rPr>
        <w:t xml:space="preserve">who died, </w:t>
      </w:r>
      <w:r w:rsidR="00F13AC4" w:rsidRPr="00C05539">
        <w:rPr>
          <w:color w:val="222222"/>
          <w:shd w:val="clear" w:color="auto" w:fill="FFFFFF"/>
        </w:rPr>
        <w:t>12/18</w:t>
      </w:r>
      <w:r w:rsidR="00BD36C7" w:rsidRPr="00C05539">
        <w:rPr>
          <w:color w:val="222222"/>
          <w:shd w:val="clear" w:color="auto" w:fill="FFFFFF"/>
        </w:rPr>
        <w:t xml:space="preserve"> </w:t>
      </w:r>
      <w:r w:rsidR="00F13AC4" w:rsidRPr="00C05539">
        <w:rPr>
          <w:color w:val="222222"/>
          <w:shd w:val="clear" w:color="auto" w:fill="FFFFFF"/>
        </w:rPr>
        <w:t>(66.7%) had at least one como</w:t>
      </w:r>
      <w:r w:rsidR="008D5C9F" w:rsidRPr="00C05539">
        <w:rPr>
          <w:color w:val="222222"/>
          <w:shd w:val="clear" w:color="auto" w:fill="FFFFFF"/>
        </w:rPr>
        <w:t>rbi</w:t>
      </w:r>
      <w:r w:rsidR="00F13AC4" w:rsidRPr="00C05539">
        <w:rPr>
          <w:color w:val="222222"/>
          <w:shd w:val="clear" w:color="auto" w:fill="FFFFFF"/>
        </w:rPr>
        <w:t>dity</w:t>
      </w:r>
      <w:r w:rsidR="003041C5" w:rsidRPr="00C05539">
        <w:rPr>
          <w:color w:val="222222"/>
          <w:shd w:val="clear" w:color="auto" w:fill="FFFFFF"/>
        </w:rPr>
        <w:t xml:space="preserve"> while 4 had two or more comorbidities; </w:t>
      </w:r>
      <w:r w:rsidR="000B476A">
        <w:rPr>
          <w:color w:val="222222"/>
          <w:shd w:val="clear" w:color="auto" w:fill="FFFFFF"/>
        </w:rPr>
        <w:t>6</w:t>
      </w:r>
      <w:r w:rsidR="003041C5" w:rsidRPr="00C05539">
        <w:rPr>
          <w:color w:val="222222"/>
          <w:shd w:val="clear" w:color="auto" w:fill="FFFFFF"/>
        </w:rPr>
        <w:t xml:space="preserve"> </w:t>
      </w:r>
      <w:r w:rsidR="003041C5" w:rsidRPr="00983621">
        <w:t>had heart diseases</w:t>
      </w:r>
      <w:r w:rsidR="003041C5" w:rsidRPr="00983621">
        <w:rPr>
          <w:color w:val="222222"/>
          <w:shd w:val="clear" w:color="auto" w:fill="FFFFFF"/>
        </w:rPr>
        <w:t xml:space="preserve">, </w:t>
      </w:r>
      <w:r w:rsidR="000B476A">
        <w:rPr>
          <w:color w:val="222222"/>
          <w:shd w:val="clear" w:color="auto" w:fill="FFFFFF"/>
        </w:rPr>
        <w:t>3</w:t>
      </w:r>
      <w:r w:rsidR="002A5794" w:rsidRPr="00983621">
        <w:rPr>
          <w:color w:val="222222"/>
          <w:shd w:val="clear" w:color="auto" w:fill="FFFFFF"/>
        </w:rPr>
        <w:t xml:space="preserve">diabetes, and </w:t>
      </w:r>
      <w:r w:rsidR="000B476A">
        <w:rPr>
          <w:color w:val="222222"/>
          <w:shd w:val="clear" w:color="auto" w:fill="FFFFFF"/>
        </w:rPr>
        <w:t xml:space="preserve">2 </w:t>
      </w:r>
      <w:r w:rsidR="003041C5" w:rsidRPr="00983621">
        <w:rPr>
          <w:color w:val="222222"/>
          <w:shd w:val="clear" w:color="auto" w:fill="FFFFFF"/>
        </w:rPr>
        <w:t>HIV</w:t>
      </w:r>
      <w:r w:rsidR="002A5794" w:rsidRPr="00983621">
        <w:rPr>
          <w:color w:val="222222"/>
          <w:shd w:val="clear" w:color="auto" w:fill="FFFFFF"/>
        </w:rPr>
        <w:t>.</w:t>
      </w:r>
      <w:r w:rsidR="00983621" w:rsidRPr="00983621">
        <w:rPr>
          <w:color w:val="222222"/>
          <w:shd w:val="clear" w:color="auto" w:fill="FFFFFF"/>
        </w:rPr>
        <w:t xml:space="preserve"> Of th</w:t>
      </w:r>
      <w:r w:rsidR="00983621">
        <w:rPr>
          <w:color w:val="222222"/>
          <w:shd w:val="clear" w:color="auto" w:fill="FFFFFF"/>
        </w:rPr>
        <w:t>e survivors</w:t>
      </w:r>
      <w:r w:rsidR="00983621" w:rsidRPr="00983621">
        <w:rPr>
          <w:color w:val="222222"/>
          <w:shd w:val="clear" w:color="auto" w:fill="FFFFFF"/>
        </w:rPr>
        <w:t>, 32</w:t>
      </w:r>
      <w:r w:rsidR="00A030B0">
        <w:rPr>
          <w:color w:val="222222"/>
          <w:shd w:val="clear" w:color="auto" w:fill="FFFFFF"/>
        </w:rPr>
        <w:t xml:space="preserve"> </w:t>
      </w:r>
      <w:r w:rsidR="00983621" w:rsidRPr="00983621">
        <w:rPr>
          <w:color w:val="222222"/>
          <w:shd w:val="clear" w:color="auto" w:fill="FFFFFF"/>
        </w:rPr>
        <w:t xml:space="preserve">(31.1%) had at least </w:t>
      </w:r>
      <w:r w:rsidR="00983621" w:rsidRPr="00941018">
        <w:rPr>
          <w:color w:val="222222"/>
          <w:shd w:val="clear" w:color="auto" w:fill="FFFFFF"/>
        </w:rPr>
        <w:t>one comorbidity</w:t>
      </w:r>
      <w:r w:rsidR="0018445E" w:rsidRPr="00941018">
        <w:rPr>
          <w:color w:val="222222"/>
          <w:shd w:val="clear" w:color="auto" w:fill="FFFFFF"/>
        </w:rPr>
        <w:t>,</w:t>
      </w:r>
      <w:r w:rsidR="00983621" w:rsidRPr="00941018">
        <w:rPr>
          <w:color w:val="222222"/>
          <w:shd w:val="clear" w:color="auto" w:fill="FFFFFF"/>
        </w:rPr>
        <w:t xml:space="preserve"> 10</w:t>
      </w:r>
      <w:r w:rsidR="009B6647">
        <w:rPr>
          <w:color w:val="222222"/>
          <w:shd w:val="clear" w:color="auto" w:fill="FFFFFF"/>
        </w:rPr>
        <w:t xml:space="preserve"> </w:t>
      </w:r>
      <w:r w:rsidR="00983621" w:rsidRPr="00941018">
        <w:rPr>
          <w:color w:val="222222"/>
          <w:shd w:val="clear" w:color="auto" w:fill="FFFFFF"/>
        </w:rPr>
        <w:t>(31.3%) heart disease, 7</w:t>
      </w:r>
      <w:r w:rsidR="00A030B0">
        <w:rPr>
          <w:color w:val="222222"/>
          <w:shd w:val="clear" w:color="auto" w:fill="FFFFFF"/>
        </w:rPr>
        <w:t xml:space="preserve"> </w:t>
      </w:r>
      <w:r w:rsidR="00983621" w:rsidRPr="00941018">
        <w:rPr>
          <w:color w:val="222222"/>
          <w:shd w:val="clear" w:color="auto" w:fill="FFFFFF"/>
        </w:rPr>
        <w:t>(21.9%) diabetes, 2 (6.3%) HIV and 7 (21.9%) were obes</w:t>
      </w:r>
      <w:r w:rsidR="0018445E" w:rsidRPr="00941018">
        <w:rPr>
          <w:color w:val="222222"/>
          <w:shd w:val="clear" w:color="auto" w:fill="FFFFFF"/>
        </w:rPr>
        <w:t>e</w:t>
      </w:r>
      <w:r w:rsidR="00983621" w:rsidRPr="00941018">
        <w:rPr>
          <w:color w:val="222222"/>
          <w:shd w:val="clear" w:color="auto" w:fill="FFFFFF"/>
        </w:rPr>
        <w:t>. Among survivors with comorbidity, 16</w:t>
      </w:r>
      <w:r w:rsidR="009B6647">
        <w:rPr>
          <w:color w:val="222222"/>
          <w:shd w:val="clear" w:color="auto" w:fill="FFFFFF"/>
        </w:rPr>
        <w:t xml:space="preserve"> </w:t>
      </w:r>
      <w:r w:rsidR="00983621" w:rsidRPr="00941018">
        <w:rPr>
          <w:color w:val="222222"/>
          <w:shd w:val="clear" w:color="auto" w:fill="FFFFFF"/>
        </w:rPr>
        <w:t>(50.0%) had two or more comorbidities.</w:t>
      </w:r>
      <w:r w:rsidRPr="00941018">
        <w:rPr>
          <w:color w:val="222222"/>
          <w:shd w:val="clear" w:color="auto" w:fill="FFFFFF"/>
        </w:rPr>
        <w:t xml:space="preserve"> </w:t>
      </w:r>
      <w:r w:rsidR="00CE7327" w:rsidRPr="00941018">
        <w:t xml:space="preserve">Bivariate analysis showed that </w:t>
      </w:r>
      <w:r w:rsidR="00AE602F" w:rsidRPr="00941018">
        <w:t xml:space="preserve">heart disease and HIV </w:t>
      </w:r>
      <w:r w:rsidR="00CE7327" w:rsidRPr="00941018">
        <w:t xml:space="preserve">were significantly associated with mortality in </w:t>
      </w:r>
      <w:r w:rsidR="009B6647" w:rsidRPr="00941018">
        <w:t xml:space="preserve">COVID-19 </w:t>
      </w:r>
      <w:r w:rsidR="00CE7327" w:rsidRPr="00941018">
        <w:t xml:space="preserve">patients </w:t>
      </w:r>
      <w:r w:rsidR="00CE7327" w:rsidRPr="00941018">
        <w:rPr>
          <w:color w:val="222222"/>
          <w:shd w:val="clear" w:color="auto" w:fill="FFFFFF"/>
        </w:rPr>
        <w:t>(Table 3)</w:t>
      </w:r>
      <w:r w:rsidR="000D13B8">
        <w:rPr>
          <w:color w:val="222222"/>
          <w:shd w:val="clear" w:color="auto" w:fill="FFFFFF"/>
        </w:rPr>
        <w:t>.</w:t>
      </w:r>
      <w:r w:rsidR="00CE7327">
        <w:t xml:space="preserve"> </w:t>
      </w:r>
    </w:p>
    <w:p w14:paraId="34CEB815" w14:textId="2141B167" w:rsidR="009346EC" w:rsidRPr="009B79B5" w:rsidRDefault="004A02DB" w:rsidP="009B79B5">
      <w:pPr>
        <w:spacing w:line="360" w:lineRule="auto"/>
        <w:jc w:val="both"/>
      </w:pPr>
      <w:r w:rsidRPr="009B79B5">
        <w:t>In addition,</w:t>
      </w:r>
      <w:r w:rsidR="00ED717A">
        <w:t xml:space="preserve"> both</w:t>
      </w:r>
      <w:r w:rsidR="00ED717A" w:rsidRPr="009B79B5">
        <w:t xml:space="preserve"> unadjusted</w:t>
      </w:r>
      <w:r w:rsidR="00ED717A">
        <w:t xml:space="preserve"> and adjusted</w:t>
      </w:r>
      <w:r w:rsidR="002121EA" w:rsidRPr="009B79B5">
        <w:t xml:space="preserve"> </w:t>
      </w:r>
      <w:r w:rsidR="00DF7F51" w:rsidRPr="009B79B5">
        <w:t>analysis</w:t>
      </w:r>
      <w:r w:rsidR="001F6843" w:rsidRPr="009B79B5">
        <w:t xml:space="preserve"> showed association of mortality with: </w:t>
      </w:r>
      <w:r w:rsidR="00C30BD3" w:rsidRPr="009B79B5">
        <w:t xml:space="preserve"> </w:t>
      </w:r>
      <w:r w:rsidR="00DF7F51" w:rsidRPr="009B79B5">
        <w:t>comorbidity</w:t>
      </w:r>
      <w:r w:rsidR="00C30BD3" w:rsidRPr="009B79B5">
        <w:t xml:space="preserve">, </w:t>
      </w:r>
      <w:r w:rsidR="00BD4671" w:rsidRPr="009B79B5">
        <w:t>shortness of breath</w:t>
      </w:r>
      <w:r w:rsidR="00AE602F">
        <w:t>,</w:t>
      </w:r>
      <w:r w:rsidR="00BD4671" w:rsidRPr="009B79B5">
        <w:t xml:space="preserve"> </w:t>
      </w:r>
      <w:r w:rsidR="007B5DDF">
        <w:t xml:space="preserve">fatigue, </w:t>
      </w:r>
      <w:r w:rsidR="005C492B" w:rsidRPr="00120148">
        <w:t>muscles pain</w:t>
      </w:r>
      <w:r w:rsidR="00AE602F" w:rsidRPr="00120148">
        <w:t>,</w:t>
      </w:r>
      <w:r w:rsidR="005C492B" w:rsidRPr="00120148">
        <w:t xml:space="preserve"> </w:t>
      </w:r>
      <w:r w:rsidR="00AC7F20" w:rsidRPr="00120148">
        <w:rPr>
          <w:bCs/>
        </w:rPr>
        <w:t>a</w:t>
      </w:r>
      <w:r w:rsidR="00F857CA" w:rsidRPr="00120148">
        <w:rPr>
          <w:bCs/>
        </w:rPr>
        <w:t>ltered consciousness</w:t>
      </w:r>
      <w:r w:rsidR="00F857CA" w:rsidRPr="00120148">
        <w:t xml:space="preserve"> </w:t>
      </w:r>
      <w:r w:rsidR="00AC7F20" w:rsidRPr="00120148">
        <w:t>and</w:t>
      </w:r>
      <w:r w:rsidR="00C461B6">
        <w:t xml:space="preserve"> age</w:t>
      </w:r>
      <w:r w:rsidR="00897F84">
        <w:rPr>
          <w:lang w:val="en-US"/>
        </w:rPr>
        <w:t xml:space="preserve"> (Table 4 and 5)</w:t>
      </w:r>
      <w:r w:rsidR="00ED717A">
        <w:t xml:space="preserve">. </w:t>
      </w:r>
      <w:r w:rsidR="000327DF">
        <w:t>The death</w:t>
      </w:r>
      <w:r w:rsidR="00841CCF" w:rsidRPr="009B79B5">
        <w:t xml:space="preserve"> rate recorded at 6-week was 0.4 </w:t>
      </w:r>
      <w:r w:rsidR="00282EAD">
        <w:t>for</w:t>
      </w:r>
      <w:r w:rsidR="00282EAD" w:rsidRPr="009B79B5">
        <w:t xml:space="preserve"> </w:t>
      </w:r>
      <w:r w:rsidR="005A44CD" w:rsidRPr="009B79B5">
        <w:t xml:space="preserve">COVID-19 </w:t>
      </w:r>
      <w:r w:rsidR="00841CCF" w:rsidRPr="009B79B5">
        <w:t xml:space="preserve">patients with co-morbidity and 0.125 for patients without comorbidity from the date of onset of symptoms. Last death </w:t>
      </w:r>
      <w:r w:rsidR="000C51A1">
        <w:t xml:space="preserve">was </w:t>
      </w:r>
      <w:r w:rsidR="00841CCF" w:rsidRPr="009B79B5">
        <w:t xml:space="preserve">recorded at week 3 for patients with co-morbidity and week 5 for </w:t>
      </w:r>
      <w:r w:rsidR="000C51A1" w:rsidRPr="009B79B5">
        <w:t xml:space="preserve">patients </w:t>
      </w:r>
      <w:r w:rsidR="00841CCF" w:rsidRPr="009B79B5">
        <w:t>without comorbidit</w:t>
      </w:r>
      <w:r w:rsidR="00877271">
        <w:t>y</w:t>
      </w:r>
      <w:r w:rsidR="00FF6AD5">
        <w:t xml:space="preserve"> (Figure 2)</w:t>
      </w:r>
      <w:r w:rsidR="00E552A7">
        <w:t>.</w:t>
      </w:r>
    </w:p>
    <w:p w14:paraId="5E9E1835" w14:textId="77777777" w:rsidR="00AC0979" w:rsidRDefault="00AC0979" w:rsidP="00897F84">
      <w:pPr>
        <w:tabs>
          <w:tab w:val="left" w:pos="2444"/>
        </w:tabs>
        <w:spacing w:before="100" w:beforeAutospacing="1" w:line="360" w:lineRule="auto"/>
        <w:rPr>
          <w:b/>
          <w:bCs/>
        </w:rPr>
      </w:pPr>
      <w:r w:rsidRPr="009B79B5">
        <w:rPr>
          <w:b/>
          <w:bCs/>
        </w:rPr>
        <w:t>Laboratory findings</w:t>
      </w:r>
      <w:r>
        <w:rPr>
          <w:b/>
          <w:bCs/>
        </w:rPr>
        <w:t xml:space="preserve"> </w:t>
      </w:r>
    </w:p>
    <w:p w14:paraId="268DEA5A" w14:textId="58CB066F" w:rsidR="008247F6" w:rsidRDefault="00DB65BE" w:rsidP="000B476A">
      <w:pPr>
        <w:spacing w:line="360" w:lineRule="auto"/>
        <w:jc w:val="both"/>
      </w:pPr>
      <w:r>
        <w:t>L</w:t>
      </w:r>
      <w:r w:rsidR="00FE478A" w:rsidRPr="009B79B5">
        <w:t xml:space="preserve">ow </w:t>
      </w:r>
      <w:r w:rsidR="00BB05B2" w:rsidRPr="009B79B5">
        <w:t>level</w:t>
      </w:r>
      <w:r>
        <w:t>s</w:t>
      </w:r>
      <w:r w:rsidR="00BB05B2" w:rsidRPr="009B79B5">
        <w:t xml:space="preserve"> of </w:t>
      </w:r>
      <w:r w:rsidR="00FE478A" w:rsidRPr="009B79B5">
        <w:t xml:space="preserve">hemoglobin </w:t>
      </w:r>
      <w:r w:rsidR="00BB05B2" w:rsidRPr="009B79B5">
        <w:t>w</w:t>
      </w:r>
      <w:r>
        <w:t>ere</w:t>
      </w:r>
      <w:r w:rsidR="00BB05B2" w:rsidRPr="009B79B5">
        <w:t xml:space="preserve"> </w:t>
      </w:r>
      <w:r w:rsidR="00723CD5" w:rsidRPr="009B79B5">
        <w:t xml:space="preserve">present in </w:t>
      </w:r>
      <w:r w:rsidR="00BB05B2" w:rsidRPr="009B79B5">
        <w:t>26</w:t>
      </w:r>
      <w:r w:rsidR="0025471E">
        <w:t>/64</w:t>
      </w:r>
      <w:r w:rsidR="004E0035" w:rsidRPr="009B79B5">
        <w:t xml:space="preserve"> </w:t>
      </w:r>
      <w:r w:rsidR="00BB05B2" w:rsidRPr="009B79B5">
        <w:t>(40.6</w:t>
      </w:r>
      <w:r w:rsidR="004E0035" w:rsidRPr="009B79B5">
        <w:t>%</w:t>
      </w:r>
      <w:r w:rsidR="00BB05B2" w:rsidRPr="009B79B5">
        <w:t>)</w:t>
      </w:r>
      <w:r w:rsidR="0007676D" w:rsidRPr="009B79B5">
        <w:t xml:space="preserve"> patients</w:t>
      </w:r>
      <w:r w:rsidR="00BB05B2" w:rsidRPr="009B79B5">
        <w:t>.</w:t>
      </w:r>
      <w:r w:rsidR="00FE478A" w:rsidRPr="009B79B5">
        <w:t xml:space="preserve"> </w:t>
      </w:r>
      <w:r w:rsidR="009B7B4E" w:rsidRPr="009B79B5">
        <w:t>Among r</w:t>
      </w:r>
      <w:r w:rsidR="00FE478A" w:rsidRPr="009B79B5">
        <w:t>enal function parameters</w:t>
      </w:r>
      <w:r w:rsidR="00723CD5" w:rsidRPr="009B79B5">
        <w:t xml:space="preserve">; </w:t>
      </w:r>
      <w:r w:rsidR="00C3673E" w:rsidRPr="009B79B5">
        <w:t>22</w:t>
      </w:r>
      <w:r w:rsidR="0025471E">
        <w:t>/63</w:t>
      </w:r>
      <w:r w:rsidR="00C3673E" w:rsidRPr="009B79B5">
        <w:t xml:space="preserve"> (35.5%) </w:t>
      </w:r>
      <w:r w:rsidR="00C3673E">
        <w:t xml:space="preserve">had </w:t>
      </w:r>
      <w:r w:rsidR="000327DF">
        <w:t xml:space="preserve">a </w:t>
      </w:r>
      <w:r w:rsidR="009B7B4E" w:rsidRPr="009B79B5">
        <w:t xml:space="preserve">high level of </w:t>
      </w:r>
      <w:r w:rsidR="009B7B4E" w:rsidRPr="004D3040">
        <w:t>Potassium</w:t>
      </w:r>
      <w:r w:rsidR="009B7B4E" w:rsidRPr="009B79B5">
        <w:rPr>
          <w:sz w:val="21"/>
          <w:szCs w:val="21"/>
        </w:rPr>
        <w:t xml:space="preserve"> </w:t>
      </w:r>
      <w:r w:rsidR="009B7B4E" w:rsidRPr="009B79B5">
        <w:t xml:space="preserve">and low </w:t>
      </w:r>
      <w:r w:rsidR="009B7B4E" w:rsidRPr="004D3040">
        <w:t>level</w:t>
      </w:r>
      <w:r w:rsidR="00C3673E">
        <w:t>s</w:t>
      </w:r>
      <w:r w:rsidR="009B7B4E" w:rsidRPr="004D3040">
        <w:t xml:space="preserve"> of BUN</w:t>
      </w:r>
      <w:r w:rsidR="009B7B4E" w:rsidRPr="009B79B5">
        <w:t xml:space="preserve"> (</w:t>
      </w:r>
      <w:r w:rsidR="00C3673E" w:rsidRPr="009B79B5">
        <w:t>28</w:t>
      </w:r>
      <w:r w:rsidR="0025471E">
        <w:t>/62</w:t>
      </w:r>
      <w:r w:rsidR="00C3673E">
        <w:t xml:space="preserve"> [</w:t>
      </w:r>
      <w:r w:rsidR="009B7B4E" w:rsidRPr="009B79B5">
        <w:t>44.4</w:t>
      </w:r>
      <w:r w:rsidR="004E0035" w:rsidRPr="009B79B5">
        <w:t>%</w:t>
      </w:r>
      <w:r w:rsidR="00C3673E">
        <w:t>]</w:t>
      </w:r>
      <w:r w:rsidR="009B7B4E" w:rsidRPr="009B79B5">
        <w:t>)</w:t>
      </w:r>
      <w:r w:rsidR="0007676D" w:rsidRPr="009B79B5">
        <w:t xml:space="preserve">. </w:t>
      </w:r>
      <w:r w:rsidR="00FE478A" w:rsidRPr="009B79B5">
        <w:t xml:space="preserve">Liver function parameters were within normal levels in the majority of patients. Liver enzymes ALT and AST were elevated in </w:t>
      </w:r>
      <w:r w:rsidR="009B7B4E" w:rsidRPr="009B79B5">
        <w:t>10</w:t>
      </w:r>
      <w:r w:rsidR="00D4418D">
        <w:t>/62</w:t>
      </w:r>
      <w:r w:rsidR="004E0035" w:rsidRPr="009B79B5">
        <w:t xml:space="preserve"> </w:t>
      </w:r>
      <w:r w:rsidR="009B7B4E" w:rsidRPr="009B79B5">
        <w:t>(16.1</w:t>
      </w:r>
      <w:r w:rsidR="004E0035" w:rsidRPr="009B79B5">
        <w:t>%</w:t>
      </w:r>
      <w:r w:rsidR="009B7B4E" w:rsidRPr="009B79B5">
        <w:t>)</w:t>
      </w:r>
      <w:r w:rsidR="00FE478A" w:rsidRPr="009B79B5">
        <w:t xml:space="preserve"> and </w:t>
      </w:r>
      <w:r w:rsidR="009B7B4E" w:rsidRPr="009B79B5">
        <w:t>23</w:t>
      </w:r>
      <w:r w:rsidR="00D4418D">
        <w:t>/61</w:t>
      </w:r>
      <w:r w:rsidR="004E0035" w:rsidRPr="009B79B5">
        <w:t xml:space="preserve"> </w:t>
      </w:r>
      <w:r w:rsidR="009B7B4E" w:rsidRPr="009B79B5">
        <w:t>(37.7</w:t>
      </w:r>
      <w:r w:rsidR="004E0035" w:rsidRPr="009B79B5">
        <w:t>%</w:t>
      </w:r>
      <w:r w:rsidR="009B7B4E" w:rsidRPr="009B79B5">
        <w:t xml:space="preserve">) </w:t>
      </w:r>
      <w:r w:rsidR="00FE478A" w:rsidRPr="009B79B5">
        <w:t xml:space="preserve">patients respectively. Inflammatory markers </w:t>
      </w:r>
      <w:r w:rsidR="00584623">
        <w:t xml:space="preserve">ESR and ferritin </w:t>
      </w:r>
      <w:r w:rsidR="00FE478A" w:rsidRPr="009B79B5">
        <w:t>were raised</w:t>
      </w:r>
      <w:r w:rsidR="00584623">
        <w:t xml:space="preserve"> </w:t>
      </w:r>
      <w:r w:rsidR="00584623" w:rsidRPr="009B79B5">
        <w:t>in many patients</w:t>
      </w:r>
      <w:r w:rsidR="00584623">
        <w:t>;</w:t>
      </w:r>
      <w:r w:rsidR="00344959">
        <w:t xml:space="preserve"> </w:t>
      </w:r>
      <w:r w:rsidR="00FE478A" w:rsidRPr="009B79B5">
        <w:t xml:space="preserve">ESR </w:t>
      </w:r>
      <w:r w:rsidR="00837F6A">
        <w:t xml:space="preserve">in </w:t>
      </w:r>
      <w:r w:rsidR="009B7B4E" w:rsidRPr="009B79B5">
        <w:t>29</w:t>
      </w:r>
      <w:r w:rsidR="0025471E">
        <w:t>/54</w:t>
      </w:r>
      <w:r w:rsidR="004E0035" w:rsidRPr="009B79B5">
        <w:t xml:space="preserve"> </w:t>
      </w:r>
      <w:r w:rsidR="009B7B4E" w:rsidRPr="009B79B5">
        <w:t>(53.7</w:t>
      </w:r>
      <w:r w:rsidR="004E0035" w:rsidRPr="009B79B5">
        <w:t>%</w:t>
      </w:r>
      <w:r w:rsidR="009B7B4E" w:rsidRPr="009B79B5">
        <w:t>)</w:t>
      </w:r>
      <w:r w:rsidR="00E729D0" w:rsidRPr="009B79B5">
        <w:t xml:space="preserve"> and </w:t>
      </w:r>
      <w:r w:rsidR="00FE478A" w:rsidRPr="009B79B5">
        <w:t xml:space="preserve">ferritin </w:t>
      </w:r>
      <w:r w:rsidR="00837F6A">
        <w:t xml:space="preserve">in </w:t>
      </w:r>
      <w:r w:rsidR="009B7B4E" w:rsidRPr="009B79B5">
        <w:t>24</w:t>
      </w:r>
      <w:r w:rsidR="0025471E">
        <w:t>/59</w:t>
      </w:r>
      <w:r w:rsidR="004E0035" w:rsidRPr="009B79B5">
        <w:t xml:space="preserve"> </w:t>
      </w:r>
      <w:r w:rsidR="009B7B4E" w:rsidRPr="009B79B5">
        <w:t>(40.7</w:t>
      </w:r>
      <w:r w:rsidR="00723CD5" w:rsidRPr="009B79B5">
        <w:t>%</w:t>
      </w:r>
      <w:r w:rsidR="009B7B4E" w:rsidRPr="009B79B5">
        <w:t>)</w:t>
      </w:r>
      <w:r w:rsidR="0007676D" w:rsidRPr="009B79B5">
        <w:t>.</w:t>
      </w:r>
      <w:r w:rsidR="00D6722C" w:rsidRPr="009B79B5">
        <w:t xml:space="preserve"> </w:t>
      </w:r>
      <w:r w:rsidR="000327DF">
        <w:t>A low</w:t>
      </w:r>
      <w:r w:rsidR="00E729D0" w:rsidRPr="009B79B5">
        <w:t xml:space="preserve"> level</w:t>
      </w:r>
      <w:r w:rsidR="00D01F04">
        <w:t xml:space="preserve"> </w:t>
      </w:r>
      <w:r w:rsidR="00E729D0" w:rsidRPr="009B79B5">
        <w:t xml:space="preserve">of </w:t>
      </w:r>
      <w:r w:rsidR="00FE478A" w:rsidRPr="009B79B5">
        <w:t>CRP</w:t>
      </w:r>
      <w:r w:rsidR="00E729D0" w:rsidRPr="009B79B5">
        <w:t xml:space="preserve"> was </w:t>
      </w:r>
      <w:r w:rsidR="004E0035" w:rsidRPr="009B79B5">
        <w:t xml:space="preserve">observed in </w:t>
      </w:r>
      <w:r w:rsidR="00E729D0" w:rsidRPr="009B79B5">
        <w:t>40</w:t>
      </w:r>
      <w:r w:rsidR="0025471E">
        <w:t>/59</w:t>
      </w:r>
      <w:r w:rsidR="004E0035" w:rsidRPr="009B79B5">
        <w:t xml:space="preserve"> </w:t>
      </w:r>
      <w:r w:rsidR="00E729D0" w:rsidRPr="009B79B5">
        <w:t>(67.8</w:t>
      </w:r>
      <w:r w:rsidR="004E0035" w:rsidRPr="009B79B5">
        <w:t>%</w:t>
      </w:r>
      <w:r w:rsidR="00E729D0" w:rsidRPr="009B79B5">
        <w:t>)</w:t>
      </w:r>
      <w:r w:rsidR="004E0035" w:rsidRPr="009B79B5">
        <w:t xml:space="preserve"> patients</w:t>
      </w:r>
      <w:r w:rsidR="00FE478A" w:rsidRPr="009B79B5">
        <w:t>. Coagulation indices PT</w:t>
      </w:r>
      <w:r w:rsidR="00D6722C" w:rsidRPr="009B79B5">
        <w:t xml:space="preserve"> </w:t>
      </w:r>
      <w:r w:rsidR="00AB2CF4">
        <w:t xml:space="preserve">and INR were reduced </w:t>
      </w:r>
      <w:r w:rsidR="000327DF">
        <w:t>by</w:t>
      </w:r>
      <w:r w:rsidR="00AB2CF4">
        <w:t xml:space="preserve"> 27.8% each</w:t>
      </w:r>
      <w:r w:rsidR="00941018">
        <w:t>. T</w:t>
      </w:r>
      <w:r w:rsidR="00AB2CF4">
        <w:rPr>
          <w:noProof/>
        </w:rPr>
        <w:t>he</w:t>
      </w:r>
      <w:r w:rsidR="00E7057A">
        <w:rPr>
          <w:noProof/>
        </w:rPr>
        <w:t xml:space="preserve"> majority had </w:t>
      </w:r>
      <w:r w:rsidR="000327DF">
        <w:rPr>
          <w:noProof/>
        </w:rPr>
        <w:t>elevated</w:t>
      </w:r>
      <w:r w:rsidR="00E7057A">
        <w:rPr>
          <w:noProof/>
        </w:rPr>
        <w:t xml:space="preserve"> levels of </w:t>
      </w:r>
      <w:r w:rsidR="00AB2CF4">
        <w:rPr>
          <w:noProof/>
        </w:rPr>
        <w:t xml:space="preserve"> D </w:t>
      </w:r>
      <w:r w:rsidR="00941018">
        <w:rPr>
          <w:noProof/>
        </w:rPr>
        <w:t>–</w:t>
      </w:r>
      <w:r w:rsidR="00AB2CF4">
        <w:rPr>
          <w:noProof/>
        </w:rPr>
        <w:t xml:space="preserve"> dimer</w:t>
      </w:r>
      <w:r w:rsidR="00941018">
        <w:rPr>
          <w:noProof/>
        </w:rPr>
        <w:t xml:space="preserve"> </w:t>
      </w:r>
      <w:r w:rsidR="00E7057A">
        <w:rPr>
          <w:noProof/>
        </w:rPr>
        <w:t>(</w:t>
      </w:r>
      <w:r w:rsidR="00941018" w:rsidRPr="009B79B5">
        <w:t>31</w:t>
      </w:r>
      <w:r w:rsidR="0025471E">
        <w:t>/49</w:t>
      </w:r>
      <w:r w:rsidR="00941018">
        <w:t xml:space="preserve"> </w:t>
      </w:r>
      <w:r w:rsidR="00E7057A">
        <w:t>[</w:t>
      </w:r>
      <w:r w:rsidR="00941018" w:rsidRPr="009B79B5">
        <w:t>63.3%</w:t>
      </w:r>
      <w:r w:rsidR="00E7057A">
        <w:t>])</w:t>
      </w:r>
      <w:r w:rsidR="00941018">
        <w:t xml:space="preserve">. </w:t>
      </w:r>
      <w:r w:rsidR="00DB3F3B">
        <w:t>D</w:t>
      </w:r>
      <w:r w:rsidR="0007676D" w:rsidRPr="009B79B5">
        <w:t xml:space="preserve">ecreased </w:t>
      </w:r>
      <w:r w:rsidR="00E729D0" w:rsidRPr="009B79B5">
        <w:t xml:space="preserve">PTT </w:t>
      </w:r>
      <w:r w:rsidR="00D6722C" w:rsidRPr="009B79B5">
        <w:t xml:space="preserve">was </w:t>
      </w:r>
      <w:r w:rsidR="00DB3F3B">
        <w:t xml:space="preserve">also </w:t>
      </w:r>
      <w:r w:rsidR="00D6722C" w:rsidRPr="009B79B5">
        <w:t xml:space="preserve">observed </w:t>
      </w:r>
      <w:r w:rsidR="00E729D0" w:rsidRPr="009B79B5">
        <w:t xml:space="preserve">in </w:t>
      </w:r>
      <w:r w:rsidR="009B6647">
        <w:t xml:space="preserve">the </w:t>
      </w:r>
      <w:r w:rsidR="00E729D0" w:rsidRPr="009B79B5">
        <w:t>majority of patients</w:t>
      </w:r>
      <w:r w:rsidR="001402C1">
        <w:t xml:space="preserve"> (</w:t>
      </w:r>
      <w:r w:rsidR="0007676D" w:rsidRPr="009B79B5">
        <w:t>11</w:t>
      </w:r>
      <w:r w:rsidR="0025471E">
        <w:t>/18</w:t>
      </w:r>
      <w:r w:rsidR="00BD36C7">
        <w:t xml:space="preserve"> </w:t>
      </w:r>
      <w:r w:rsidR="0007676D" w:rsidRPr="009B79B5">
        <w:t>(61.1%)</w:t>
      </w:r>
      <w:r w:rsidR="001402C1">
        <w:t>)</w:t>
      </w:r>
      <w:r w:rsidR="00941018">
        <w:t xml:space="preserve"> </w:t>
      </w:r>
      <w:r w:rsidR="00FE478A" w:rsidRPr="009B79B5">
        <w:t xml:space="preserve">(Table </w:t>
      </w:r>
      <w:r w:rsidR="00897F84">
        <w:rPr>
          <w:lang w:val="en-US"/>
        </w:rPr>
        <w:t>6</w:t>
      </w:r>
      <w:r w:rsidR="00FE478A" w:rsidRPr="009B79B5">
        <w:t>).</w:t>
      </w:r>
    </w:p>
    <w:p w14:paraId="7CC23BA8" w14:textId="35624874" w:rsidR="008247F6" w:rsidRDefault="00F73E7B" w:rsidP="000B476A">
      <w:pPr>
        <w:spacing w:before="100" w:beforeAutospacing="1" w:line="360" w:lineRule="auto"/>
        <w:jc w:val="both"/>
        <w:rPr>
          <w:b/>
          <w:bCs/>
        </w:rPr>
      </w:pPr>
      <w:r w:rsidRPr="009B79B5">
        <w:rPr>
          <w:shd w:val="clear" w:color="auto" w:fill="FFFFFF"/>
        </w:rPr>
        <w:t>Chest x</w:t>
      </w:r>
      <w:r w:rsidR="005A44CD">
        <w:rPr>
          <w:shd w:val="clear" w:color="auto" w:fill="FFFFFF"/>
        </w:rPr>
        <w:t xml:space="preserve">-ray </w:t>
      </w:r>
      <w:r w:rsidRPr="009B79B5">
        <w:rPr>
          <w:shd w:val="clear" w:color="auto" w:fill="FFFFFF"/>
        </w:rPr>
        <w:t xml:space="preserve">was </w:t>
      </w:r>
      <w:r w:rsidR="00F97578" w:rsidRPr="009B79B5">
        <w:rPr>
          <w:shd w:val="clear" w:color="auto" w:fill="FFFFFF"/>
        </w:rPr>
        <w:t xml:space="preserve">done </w:t>
      </w:r>
      <w:r w:rsidRPr="009B79B5">
        <w:rPr>
          <w:shd w:val="clear" w:color="auto" w:fill="FFFFFF"/>
        </w:rPr>
        <w:t xml:space="preserve">in 24 patients on admission and radiographs showed that 8 had bilateral atypical pneumonia, 8 bilateral pneumonia, 2 </w:t>
      </w:r>
      <w:r w:rsidR="000623F4">
        <w:rPr>
          <w:shd w:val="clear" w:color="auto" w:fill="FFFFFF"/>
        </w:rPr>
        <w:t>ground-glass</w:t>
      </w:r>
      <w:r w:rsidRPr="009B79B5">
        <w:rPr>
          <w:shd w:val="clear" w:color="auto" w:fill="FFFFFF"/>
        </w:rPr>
        <w:t xml:space="preserve"> opacities, 1 bilateral interstitial lung disease</w:t>
      </w:r>
      <w:r w:rsidR="000623F4">
        <w:rPr>
          <w:shd w:val="clear" w:color="auto" w:fill="FFFFFF"/>
        </w:rPr>
        <w:t>,</w:t>
      </w:r>
      <w:r w:rsidRPr="009B79B5">
        <w:rPr>
          <w:shd w:val="clear" w:color="auto" w:fill="FFFFFF"/>
        </w:rPr>
        <w:t xml:space="preserve"> and 1 unilateral interstitial lung disease.  The remaining 4 patients had </w:t>
      </w:r>
      <w:r w:rsidR="000623F4">
        <w:rPr>
          <w:shd w:val="clear" w:color="auto" w:fill="FFFFFF"/>
        </w:rPr>
        <w:t xml:space="preserve">a </w:t>
      </w:r>
      <w:r w:rsidRPr="009B79B5">
        <w:rPr>
          <w:shd w:val="clear" w:color="auto" w:fill="FFFFFF"/>
        </w:rPr>
        <w:t xml:space="preserve">normal chest </w:t>
      </w:r>
      <w:r w:rsidR="00E26934">
        <w:rPr>
          <w:shd w:val="clear" w:color="auto" w:fill="FFFFFF"/>
        </w:rPr>
        <w:t>X</w:t>
      </w:r>
      <w:r w:rsidRPr="009B79B5">
        <w:rPr>
          <w:shd w:val="clear" w:color="auto" w:fill="FFFFFF"/>
        </w:rPr>
        <w:t xml:space="preserve">-ray. </w:t>
      </w:r>
    </w:p>
    <w:p w14:paraId="4F32D82F" w14:textId="18971B6C" w:rsidR="007D5737" w:rsidRDefault="007D5737" w:rsidP="00F760EF">
      <w:pPr>
        <w:spacing w:before="100" w:beforeAutospacing="1" w:line="360" w:lineRule="auto"/>
        <w:rPr>
          <w:b/>
          <w:bCs/>
        </w:rPr>
      </w:pPr>
      <w:r w:rsidRPr="009B79B5">
        <w:rPr>
          <w:b/>
          <w:bCs/>
        </w:rPr>
        <w:t>Discussion</w:t>
      </w:r>
    </w:p>
    <w:p w14:paraId="26F1870D" w14:textId="7840EAA8" w:rsidR="00CC685F" w:rsidRDefault="000612C9" w:rsidP="00F760EF">
      <w:pPr>
        <w:spacing w:line="360" w:lineRule="auto"/>
        <w:jc w:val="both"/>
      </w:pPr>
      <w:r>
        <w:lastRenderedPageBreak/>
        <w:t>This study</w:t>
      </w:r>
      <w:r w:rsidR="00362D23" w:rsidRPr="009B79B5">
        <w:t xml:space="preserve"> </w:t>
      </w:r>
      <w:r w:rsidR="00DD516A" w:rsidRPr="009B79B5">
        <w:t>provides</w:t>
      </w:r>
      <w:r w:rsidRPr="009B79B5">
        <w:t xml:space="preserve"> insights</w:t>
      </w:r>
      <w:r w:rsidR="003F0630" w:rsidRPr="009B79B5">
        <w:t xml:space="preserve"> </w:t>
      </w:r>
      <w:r w:rsidR="00804851" w:rsidRPr="009B79B5">
        <w:t>into</w:t>
      </w:r>
      <w:r w:rsidR="003F0630" w:rsidRPr="009B79B5">
        <w:t xml:space="preserve"> the </w:t>
      </w:r>
      <w:r w:rsidR="00BE2E2B" w:rsidRPr="009B79B5">
        <w:t xml:space="preserve">clinical characteristics </w:t>
      </w:r>
      <w:r w:rsidR="005D2485">
        <w:t xml:space="preserve">and outcomes </w:t>
      </w:r>
      <w:r w:rsidR="003810F1" w:rsidRPr="009B79B5">
        <w:t>of SARS-Co</w:t>
      </w:r>
      <w:r w:rsidR="0048668E" w:rsidRPr="009B79B5">
        <w:t>V</w:t>
      </w:r>
      <w:r w:rsidR="003810F1" w:rsidRPr="009B79B5">
        <w:t xml:space="preserve">-2 infection </w:t>
      </w:r>
      <w:r w:rsidR="000678C9">
        <w:t xml:space="preserve">at the early of the pandemic 2020, </w:t>
      </w:r>
      <w:r w:rsidR="00DD516A">
        <w:t>first report</w:t>
      </w:r>
      <w:r w:rsidR="000678C9">
        <w:t xml:space="preserve"> </w:t>
      </w:r>
      <w:r w:rsidR="00390DBD" w:rsidRPr="009B79B5">
        <w:t>in Tanzania</w:t>
      </w:r>
      <w:r w:rsidR="00C0118B" w:rsidRPr="009B79B5">
        <w:t xml:space="preserve">. </w:t>
      </w:r>
      <w:r w:rsidR="000020CF" w:rsidRPr="009B79B5">
        <w:t>Generally,</w:t>
      </w:r>
      <w:r w:rsidR="00924F84" w:rsidRPr="009B79B5">
        <w:t xml:space="preserve"> </w:t>
      </w:r>
      <w:r w:rsidR="000020CF" w:rsidRPr="009B79B5">
        <w:t>patients infected with SARS-Cov-2 presented with symptoms similar to those described</w:t>
      </w:r>
      <w:r w:rsidR="000678C9">
        <w:t xml:space="preserve"> previously</w:t>
      </w:r>
      <w:r w:rsidR="00CA13B1">
        <w:rPr>
          <w:lang w:val="en-US"/>
        </w:rPr>
        <w:t xml:space="preserve"> </w:t>
      </w:r>
      <w:r w:rsidR="000020CF" w:rsidRPr="009B79B5">
        <w:rPr>
          <w:rStyle w:val="FootnoteReference"/>
          <w:bCs/>
          <w:iCs/>
          <w:color w:val="000000"/>
          <w:lang w:val="en-ZA"/>
        </w:rPr>
        <w:fldChar w:fldCharType="begin" w:fldLock="1"/>
      </w:r>
      <w:r w:rsidR="00CA13B1">
        <w:rPr>
          <w:bCs/>
          <w:iCs/>
          <w:color w:val="000000"/>
          <w:lang w:val="en-ZA"/>
        </w:rPr>
        <w:instrText>ADDIN CSL_CITATION {"citationItems":[{"id":"ITEM-1","itemData":{"ISSN":"0924-8579","author":[{"dropping-particle":"","family":"Lai","given":"Chih-Cheng","non-dropping-particle":"","parse-names":false,"suffix":""},{"dropping-particle":"","family":"Shih","given":"Tzu-Ping","non-dropping-particle":"","parse-names":false,"suffix":""},{"dropping-particle":"","family":"Ko","given":"Wen-Chien","non-dropping-particle":"","parse-names":false,"suffix":""},{"dropping-particle":"","family":"Tang","given":"Hung-Jen","non-dropping-particle":"","parse-names":false,"suffix":""},{"dropping-particle":"","family":"Hsueh","given":"Po-Ren","non-dropping-particle":"","parse-names":false,"suffix":""}],"container-title":"International journal of antimicrobial agents","id":"ITEM-1","issued":{"date-parts":[["2020"]]},"page":"105924","publisher":"Elsevier","title":"Severe acute respiratory syndrome coronavirus 2 (SARS-CoV-2) and corona virus disease-2019 (COVID-19): the epidemic and the challenges","type":"article-journal"},"uris":["http://www.mendeley.com/documents/?uuid=fb795cac-41ae-4127-bb59-40fa1c5b2e62"]},{"id":"ITEM-2","itemData":{"author":[{"dropping-particle":"","family":"Wu","given":"Zunyou","non-dropping-particle":"","parse-names":false,"suffix":""},{"dropping-particle":"","family":"McGoogan","given":"Jennifer M","non-dropping-particle":"","parse-names":false,"suffix":""}],"container-title":"Jama","id":"ITEM-2","issued":{"date-parts":[["2020"]]},"title":"Characteristics of and important lessons from the coronavirus disease 2019 (COVID-19) outbreak in China: summary of a report of 72 314 cases from the Chinese Center for Disease Control and Prevention","type":"article-journal"},"uris":["http://www.mendeley.com/documents/?uuid=2882ac98-df58-42fb-b36f-6f9ef0fa5d34"]},{"id":"ITEM-3","itemData":{"DOI":"10.1056/NEJMoa2002032","ISSN":"15334406","PMID":"32109013","abstract":"BACKGROUND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Medicine","id":"ITEM-3","issue":"18","issued":{"date-parts":[["2020"]]},"page":"1708-1720","title":"Clinical characteristics of coronavirus disease 2019 in China","type":"article-journal","volume":"382"},"uris":["http://www.mendeley.com/documents/?uuid=c3389bec-050a-40cd-bea9-c2b4da95c087"]},{"id":"ITEM-4","itemData":{"DOI":"10.1001/jama.2020.1585","ISSN":"15383598","PMID":"32031570","abstract":"Importance: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Association","id":"ITEM-4","issue":"11","issued":{"date-parts":[["2020","3","17"]]},"page":"1061-1069","publisher":"American Medical Association","title":"Clinical Characteristics of 138 Hospitalized Patients with 2019 Novel Coronavirus-Infected Pneumonia in Wuhan, China","type":"article-journal","volume":"323"},"uris":["http://www.mendeley.com/documents/?uuid=93c34cb7-f567-30c4-81d4-022cf9b6dc30"]},{"id":"ITEM-5","itemData":{"PMID":"32150360","abstract":"According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-5","issued":{"date-parts":[["2020","4","6"]]},"publisher":"StatPearls Publishing","title":"Features, Evaluation and Treatment Coronavirus (COVID-19)","type":"book"},"uris":["http://www.mendeley.com/documents/?uuid=ef55aef5-40b9-3b47-bf42-662b4595e523"]},{"id":"ITEM-6","itemData":{"DOI":"10.1016/S0140-6736(20)30211-7","ISSN":"1474547X","PMID":"32007143","abstract":"Background: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Lancet","id":"ITEM-6","issue":"10223","issued":{"date-parts":[["2020","2","15"]]},"page":"507-513","publisher":"Lancet Publishing Group","title":"Epidemiological and clinical characteristics of 99 cases of 2019 novel coronavirus pneumonia in Wuhan, China: a descriptive study","type":"article-journal","volume":"395"},"uris":["http://www.mendeley.com/documents/?uuid=52125413-e611-3a73-8afe-9b8e51532dae"]},{"id":"ITEM-7","itemData":{"DOI":"10.14309/ajg.0000000000000620","ISSN":"0002-9270","abstract":"haracteristics, laboratory data, and treatment. Data were followed up until March 5th, 2020. Results: In the present study, 204 patients with COVID-19 and full laboratory, imaging, and historical data were analyzed. The average age was 54.9 years (SD +15.4), including 107 men and 97 women. We found that 99 patients (48.5%) presented to the hospital with digestive symptoms as their chief complaint. Patients with digestive symptoms had a significantly longer time from onset to admission than patients without digestive symptoms (9.0 days vs. 7.3 days). Patients with digestive symptoms had a variety of manifestations, such as anorexia (83 [83.8%] cases), diarrhea (29 [29.3%] cases), vomiting (8 [0.8%] cases), and abdominal pain (4 [0.4%] cases). In 7 cases there were digestive symptoms but no respiratory symptoms. As the severity of the disease increased, digestive symptoms became more pronounced. Patients without digestive symptoms were more likely to be cured and discharged than patients with digestive symptoms (60% vs. 34.3%). Laboratory data revealed no significant liver injury in this case series. Conclusion: We found that digestive symptoms are common in patients with COVID-19. Moreover, these patients have a longer time from onset to admission and their prognosis is worse than patients without digestive symptoms. Clinicians should recognize that digestive symptoms, such as diarrhea, may be a presenting feature of COVID-19, and that the index of suspicion may need to be raised earlier in at-risk patients presenting with digestive symptoms rather than waiting for respiratory symptoms to emerge.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Gastroenterology","id":"ITEM-7","issue":"5","issued":{"date-parts":[["2020","5"]]},"page":"766-773","publisher":"Ovid Technologies (Wolters Kluwer Health)","title":"Clinical Characteristics of COVID-19 Patients With Digestive Symptoms in Hubei, China","type":"article-journal","volume":"115"},"uris":["http://www.mendeley.com/documents/?uuid=aff7d0aa-2f52-3e0c-998b-7005d9b70529"]},{"id":"ITEM-8","itemData":{"DOI":"10.1016/S0140-6736(20)30183-5","abstract":"Background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Lancet","id":"ITEM-8","issued":{"date-parts":[["2020"]]},"page":"497-506","title":"Clinical features of patients infected with 2019 novel coronavirus in Wuhan, China","type":"article-journal","volume":"395"},"uris":["http://www.mendeley.com/documents/?uuid=e0579c8b-60a9-3b4e-8e67-c1d972a95494"]}],"mendeley":{"formattedCitation":"[6–13]","plainTextFormattedCitation":"[6–13]","previouslyFormattedCitation":"&lt;sup&gt;6–13&lt;/sup&gt;"},"properties":{"noteIndex":0},"schema":"https://github.com/citation-style-language/schema/raw/master/csl-citation.json"}</w:instrText>
      </w:r>
      <w:r w:rsidR="000020CF" w:rsidRPr="009B79B5">
        <w:rPr>
          <w:rStyle w:val="FootnoteReference"/>
          <w:bCs/>
          <w:iCs/>
          <w:color w:val="000000"/>
          <w:lang w:val="en-ZA"/>
        </w:rPr>
        <w:fldChar w:fldCharType="separate"/>
      </w:r>
      <w:r w:rsidR="00CA13B1" w:rsidRPr="00CA13B1">
        <w:rPr>
          <w:bCs/>
          <w:iCs/>
          <w:noProof/>
          <w:color w:val="000000"/>
          <w:lang w:val="en-ZA"/>
        </w:rPr>
        <w:t>[6–13]</w:t>
      </w:r>
      <w:r w:rsidR="000020CF" w:rsidRPr="009B79B5">
        <w:rPr>
          <w:rStyle w:val="FootnoteReference"/>
          <w:bCs/>
          <w:iCs/>
          <w:color w:val="000000"/>
          <w:lang w:val="en-ZA"/>
        </w:rPr>
        <w:fldChar w:fldCharType="end"/>
      </w:r>
      <w:r w:rsidR="00CA13B1">
        <w:rPr>
          <w:bCs/>
          <w:iCs/>
          <w:color w:val="000000"/>
          <w:lang w:val="en-ZA"/>
        </w:rPr>
        <w:t>,</w:t>
      </w:r>
      <w:r w:rsidR="000623F4">
        <w:rPr>
          <w:bCs/>
          <w:iCs/>
          <w:color w:val="000000"/>
          <w:lang w:val="en-ZA"/>
        </w:rPr>
        <w:t xml:space="preserve"> </w:t>
      </w:r>
      <w:r w:rsidR="00646D58" w:rsidRPr="009B79B5">
        <w:t xml:space="preserve">and </w:t>
      </w:r>
      <w:r w:rsidR="00E2646F" w:rsidRPr="009B79B5">
        <w:t>three</w:t>
      </w:r>
      <w:r w:rsidR="00F90B36" w:rsidRPr="009B79B5">
        <w:t>-</w:t>
      </w:r>
      <w:r w:rsidR="00E2646F" w:rsidRPr="009B79B5">
        <w:t xml:space="preserve">quarters </w:t>
      </w:r>
      <w:r w:rsidR="00C915DF">
        <w:t xml:space="preserve">were </w:t>
      </w:r>
      <w:r w:rsidR="00362D23" w:rsidRPr="009B79B5">
        <w:rPr>
          <w:bCs/>
          <w:iCs/>
          <w:lang w:val="en-ZA"/>
        </w:rPr>
        <w:t>aged ≤60</w:t>
      </w:r>
      <w:r w:rsidR="000020CF" w:rsidRPr="009B79B5">
        <w:rPr>
          <w:bCs/>
          <w:iCs/>
          <w:lang w:val="en-ZA"/>
        </w:rPr>
        <w:t xml:space="preserve"> years</w:t>
      </w:r>
      <w:r w:rsidR="00A17815" w:rsidRPr="009B79B5">
        <w:rPr>
          <w:bCs/>
          <w:iCs/>
          <w:lang w:val="en-ZA"/>
        </w:rPr>
        <w:t>)</w:t>
      </w:r>
      <w:r w:rsidR="004D3040">
        <w:rPr>
          <w:bCs/>
          <w:iCs/>
          <w:lang w:val="en-ZA"/>
        </w:rPr>
        <w:t>,</w:t>
      </w:r>
      <w:r w:rsidR="003373D2">
        <w:rPr>
          <w:bCs/>
          <w:iCs/>
          <w:lang w:val="en-ZA"/>
        </w:rPr>
        <w:t xml:space="preserve"> </w:t>
      </w:r>
      <w:r w:rsidR="003373D2" w:rsidRPr="004D3040">
        <w:t>high</w:t>
      </w:r>
      <w:r w:rsidR="00646D58" w:rsidRPr="004D3040">
        <w:t xml:space="preserve"> co-morbidities,</w:t>
      </w:r>
      <w:r w:rsidR="00095E0F" w:rsidRPr="004D3040">
        <w:t xml:space="preserve"> </w:t>
      </w:r>
      <w:r w:rsidR="0023524C" w:rsidRPr="004D3040">
        <w:t xml:space="preserve">hospital </w:t>
      </w:r>
      <w:r w:rsidR="0028292F" w:rsidRPr="004D3040">
        <w:t>mortality</w:t>
      </w:r>
      <w:r w:rsidR="009919D5">
        <w:t>,</w:t>
      </w:r>
      <w:r w:rsidR="00095E0F" w:rsidRPr="004D3040">
        <w:t xml:space="preserve"> </w:t>
      </w:r>
      <w:r w:rsidR="000020CF" w:rsidRPr="004D3040">
        <w:t xml:space="preserve">and </w:t>
      </w:r>
      <w:r w:rsidR="00095E0F" w:rsidRPr="004D3040">
        <w:t>admission to ICU</w:t>
      </w:r>
      <w:r w:rsidR="00646D58" w:rsidRPr="004D3040">
        <w:t xml:space="preserve"> were observed.</w:t>
      </w:r>
      <w:r w:rsidR="0023524C" w:rsidRPr="009B6647">
        <w:t xml:space="preserve"> </w:t>
      </w:r>
      <w:r w:rsidR="00A365A9" w:rsidRPr="00BC2E1D">
        <w:t xml:space="preserve">Quantitative D-dimer levels were elevated in </w:t>
      </w:r>
      <w:r w:rsidR="004D3040">
        <w:t>three-fi</w:t>
      </w:r>
      <w:r w:rsidR="00305C9B">
        <w:t>f</w:t>
      </w:r>
      <w:r w:rsidR="004D3040">
        <w:t>ths</w:t>
      </w:r>
      <w:r w:rsidR="00A365A9" w:rsidRPr="00BC2E1D">
        <w:t xml:space="preserve"> </w:t>
      </w:r>
      <w:r w:rsidR="004D3040">
        <w:t>and</w:t>
      </w:r>
      <w:r w:rsidR="00A365A9" w:rsidRPr="00BC2E1D">
        <w:t xml:space="preserve"> decreased</w:t>
      </w:r>
      <w:r w:rsidR="004D3040">
        <w:t xml:space="preserve"> </w:t>
      </w:r>
      <w:r w:rsidR="00A365A9" w:rsidRPr="00BC2E1D">
        <w:t>PTT</w:t>
      </w:r>
      <w:r w:rsidR="00877271">
        <w:t xml:space="preserve"> (3/5)</w:t>
      </w:r>
      <w:r w:rsidR="00877271" w:rsidRPr="00BC2E1D">
        <w:t xml:space="preserve"> and</w:t>
      </w:r>
      <w:r w:rsidR="00A365A9" w:rsidRPr="00BC2E1D">
        <w:t xml:space="preserve"> PT </w:t>
      </w:r>
      <w:r w:rsidR="004D3040">
        <w:t xml:space="preserve">(3/10) were </w:t>
      </w:r>
      <w:r w:rsidR="00877271">
        <w:t>observed</w:t>
      </w:r>
      <w:r w:rsidR="00A365A9" w:rsidRPr="00BC2E1D">
        <w:t xml:space="preserve">. These indicators </w:t>
      </w:r>
      <w:r w:rsidR="00187155">
        <w:t>suggest the existence o</w:t>
      </w:r>
      <w:r w:rsidR="00A365A9" w:rsidRPr="00BC2E1D">
        <w:t>f thromboembolic process</w:t>
      </w:r>
      <w:r w:rsidR="00187155">
        <w:t xml:space="preserve"> which </w:t>
      </w:r>
      <w:r w:rsidR="00A365A9" w:rsidRPr="00BC2E1D">
        <w:t>includes disseminated intravascular coagulation</w:t>
      </w:r>
      <w:r w:rsidR="000678C9">
        <w:t>;</w:t>
      </w:r>
      <w:r w:rsidR="00A365A9" w:rsidRPr="00BC2E1D">
        <w:t xml:space="preserve"> </w:t>
      </w:r>
      <w:r w:rsidR="000678C9">
        <w:t xml:space="preserve">a </w:t>
      </w:r>
      <w:r w:rsidR="00A365A9" w:rsidRPr="00BC2E1D">
        <w:t xml:space="preserve">pathogenesis that is </w:t>
      </w:r>
      <w:r w:rsidR="009919D5">
        <w:t>consistent</w:t>
      </w:r>
      <w:r w:rsidR="00A365A9" w:rsidRPr="00BC2E1D">
        <w:t xml:space="preserve"> with COVID</w:t>
      </w:r>
      <w:r w:rsidR="00A365A9">
        <w:t>-</w:t>
      </w:r>
      <w:r w:rsidR="00A365A9" w:rsidRPr="00BC2E1D">
        <w:t>19</w:t>
      </w:r>
      <w:r w:rsidR="00A365A9">
        <w:t xml:space="preserve">. </w:t>
      </w:r>
    </w:p>
    <w:p w14:paraId="6345CDD3" w14:textId="242A9277" w:rsidR="002575DE" w:rsidRPr="009B79B5" w:rsidRDefault="002575DE" w:rsidP="009B79B5">
      <w:pPr>
        <w:spacing w:before="100" w:beforeAutospacing="1" w:after="100" w:afterAutospacing="1" w:line="360" w:lineRule="auto"/>
        <w:jc w:val="both"/>
        <w:rPr>
          <w:bCs/>
          <w:iCs/>
          <w:color w:val="000000"/>
          <w:lang w:val="en-ZA"/>
        </w:rPr>
      </w:pPr>
      <w:r w:rsidRPr="009B79B5">
        <w:rPr>
          <w:color w:val="000000"/>
          <w:shd w:val="clear" w:color="auto" w:fill="FFFFFF"/>
        </w:rPr>
        <w:t>Male</w:t>
      </w:r>
      <w:r w:rsidR="00DC00FD" w:rsidRPr="009B79B5">
        <w:rPr>
          <w:color w:val="000000"/>
          <w:shd w:val="clear" w:color="auto" w:fill="FFFFFF"/>
        </w:rPr>
        <w:t>s</w:t>
      </w:r>
      <w:r w:rsidRPr="009B79B5">
        <w:rPr>
          <w:color w:val="000000"/>
          <w:shd w:val="clear" w:color="auto" w:fill="FFFFFF"/>
        </w:rPr>
        <w:t xml:space="preserve"> constituted most of </w:t>
      </w:r>
      <w:r w:rsidR="00804851" w:rsidRPr="009B79B5">
        <w:rPr>
          <w:color w:val="000000"/>
          <w:shd w:val="clear" w:color="auto" w:fill="FFFFFF"/>
        </w:rPr>
        <w:t xml:space="preserve">the </w:t>
      </w:r>
      <w:r w:rsidR="005A44CD" w:rsidRPr="009B79B5">
        <w:rPr>
          <w:color w:val="000000"/>
          <w:shd w:val="clear" w:color="auto" w:fill="FFFFFF"/>
        </w:rPr>
        <w:t xml:space="preserve">COVID-19 </w:t>
      </w:r>
      <w:r w:rsidRPr="009B79B5">
        <w:rPr>
          <w:color w:val="000000"/>
          <w:shd w:val="clear" w:color="auto" w:fill="FFFFFF"/>
        </w:rPr>
        <w:t>patients,</w:t>
      </w:r>
      <w:r w:rsidR="000612C9">
        <w:rPr>
          <w:color w:val="000000"/>
          <w:shd w:val="clear" w:color="auto" w:fill="FFFFFF"/>
        </w:rPr>
        <w:t xml:space="preserve"> these findings are</w:t>
      </w:r>
      <w:r w:rsidR="000678C9">
        <w:rPr>
          <w:color w:val="000000"/>
          <w:shd w:val="clear" w:color="auto" w:fill="FFFFFF"/>
        </w:rPr>
        <w:t xml:space="preserve"> </w:t>
      </w:r>
      <w:r w:rsidR="000612C9">
        <w:rPr>
          <w:color w:val="000000"/>
          <w:shd w:val="clear" w:color="auto" w:fill="FFFFFF"/>
        </w:rPr>
        <w:t>constituent with prior-studies</w:t>
      </w:r>
      <w:r w:rsidRPr="009B79B5">
        <w:rPr>
          <w:color w:val="000000"/>
          <w:shd w:val="clear" w:color="auto" w:fill="FFFFFF"/>
        </w:rPr>
        <w:t xml:space="preserve"> in </w:t>
      </w:r>
      <w:r w:rsidR="00A030B0" w:rsidRPr="009B79B5">
        <w:rPr>
          <w:color w:val="000000"/>
          <w:shd w:val="clear" w:color="auto" w:fill="FFFFFF"/>
        </w:rPr>
        <w:t>COVID</w:t>
      </w:r>
      <w:r w:rsidRPr="009B79B5">
        <w:rPr>
          <w:color w:val="000000"/>
          <w:shd w:val="clear" w:color="auto" w:fill="FFFFFF"/>
        </w:rPr>
        <w:t>-19 patien</w:t>
      </w:r>
      <w:r w:rsidR="00F345B7">
        <w:rPr>
          <w:color w:val="000000"/>
          <w:shd w:val="clear" w:color="auto" w:fill="FFFFFF"/>
        </w:rPr>
        <w:t>t</w:t>
      </w:r>
      <w:r w:rsidRPr="009B79B5">
        <w:rPr>
          <w:color w:val="000000"/>
          <w:shd w:val="clear" w:color="auto" w:fill="FFFFFF"/>
        </w:rPr>
        <w:t>s</w:t>
      </w:r>
      <w:r w:rsidR="00CA13B1">
        <w:rPr>
          <w:color w:val="000000"/>
          <w:shd w:val="clear" w:color="auto" w:fill="FFFFFF"/>
          <w:lang w:val="en-US"/>
        </w:rPr>
        <w:t xml:space="preserve"> </w:t>
      </w:r>
      <w:r w:rsidRPr="009B79B5">
        <w:rPr>
          <w:color w:val="000000"/>
          <w:shd w:val="clear" w:color="auto" w:fill="FFFFFF"/>
        </w:rPr>
        <w:fldChar w:fldCharType="begin" w:fldLock="1"/>
      </w:r>
      <w:r w:rsidR="00CA13B1">
        <w:rPr>
          <w:color w:val="000000"/>
          <w:shd w:val="clear" w:color="auto" w:fill="FFFFFF"/>
        </w:rPr>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Medicine","id":"ITEM-1","issue":"18","issued":{"date-parts":[["2020"]]},"page":"1708-1720","title":"Clinical characteristics of coronavirus disease 2019 in China","type":"article-journal","volume":"382"},"uris":["http://www.mendeley.com/documents/?uuid=c3389bec-050a-40cd-bea9-c2b4da95c087"]},{"id":"ITEM-2","itemData":{"DOI":"10.1056/nejmc2010419","ISSN":"0028-4793","PMID":"32302078","abstract":"Covid-19 in New York City In this series of 393 consecutive patients admitted with Covid-19 to two New York City hospitals from March 3 to March 27, a third of patients received invasive mechanical...","author":[{"dropping-particle":"","family":"Goyal","given":"Parag","non-dropping-particle":"","parse-names":false,"suffix":""},{"dropping-particle":"","family":"Choi","given":"Justin J.","non-dropping-particle":"","parse-names":false,"suffix":""},{"dropping-particle":"","family":"Pinheiro","given":"Laura C.","non-dropping-particle":"","parse-names":false,"suffix":""},{"dropping-particle":"","family":"Schenck","given":"Edward J.","non-dropping-particle":"","parse-names":false,"suffix":""},{"dropping-particle":"","family":"Chen","given":"Ruijun","non-dropping-particle":"","parse-names":false,"suffix":""},{"dropping-particle":"","family":"Jabri","given":"Assem","non-dropping-particle":"","parse-names":false,"suffix":""},{"dropping-particle":"","family":"Satlin","given":"Michael J.","non-dropping-particle":"","parse-names":false,"suffix":""},{"dropping-particle":"","family":"Campion","given":"Thomas R.","non-dropping-particle":"","parse-names":false,"suffix":""},{"dropping-particle":"","family":"Nahid","given":"Musarrat","non-dropping-particle":"","parse-names":false,"suffix":""},{"dropping-particle":"","family":"Ringel","given":"Joanna B.","non-dropping-particle":"","parse-names":false,"suffix":""},{"dropping-particle":"","family":"Hoffman","given":"Katherine L.","non-dropping-particle":"","parse-names":false,"suffix":""},{"dropping-particle":"","family":"Alshak","given":"Mark N.","non-dropping-particle":"","parse-names":false,"suffix":""},{"dropping-particle":"","family":"Li","given":"Han A.","non-dropping-particle":"","parse-names":false,"suffix":""},{"dropping-particle":"","family":"Wehmeyer","given":"Graham T.","non-dropping-particle":"","parse-names":false,"suffix":""},{"dropping-particle":"","family":"Rajan","given":"Mangala","non-dropping-particle":"","parse-names":false,"suffix":""},{"dropping-particle":"","family":"Reshetnyak","given":"Evgeniya","non-dropping-particle":"","parse-names":false,"suffix":""},{"dropping-particle":"","family":"Hupert","given":"Nathaniel","non-dropping-particle":"","parse-names":false,"suffix":""},{"dropping-particle":"","family":"Horn","given":"Evelyn M.","non-dropping-particle":"","parse-names":false,"suffix":""},{"dropping-particle":"","family":"Martinez","given":"Fernando J.","non-dropping-particle":"","parse-names":false,"suffix":""},{"dropping-particle":"","family":"Gulick","given":"Roy M.","non-dropping-particle":"","parse-names":false,"suffix":""},{"dropping-particle":"","family":"Safford","given":"Monika M.","non-dropping-particle":"","parse-names":false,"suffix":""}],"container-title":"New England Journal of Medicine","id":"ITEM-2","issued":{"date-parts":[["2020","4","17"]]},"publisher":"Massachusetts Medical Society","title":"Clinical Characteristics of Covid-19 in New York City","type":"article-journal"},"uris":["http://www.mendeley.com/documents/?uuid=1c1ebecc-f28a-3c73-ba2d-ce41ee06a4f8"]},{"id":"ITEM-3","itemData":{"DOI":"10.1001/jama.2020.5394","ISSN":"15383598","PMID":"32250385","abstract":"Importance: In December 2019, a novel coronavirus (severe acute respiratory syndrome coronavirus 2 [SARS-CoV-2]) emerged in China and has spread globally, creating a pandemic. Information about the clinical characteristics of infected patients who require intensive care is limited. Objective: To characterize patients with coronavirus disease 2019 (COVID-19) requiring treatment in an intensive care unit (ICU) in the Lombardy region of Italy. Design, Setting, and Participants: Retrospective case series of 1591 consecutive patients with laboratory-confirmed COVID-19 referred for ICU admission to the coordinator center (Fondazione IRCCS Ca' Granda Ospedale Maggiore Policlinico, Milan, Italy) of the COVID-19 Lombardy ICU Network and treated at one of the ICUs of the 72 hospitals in this network between February 20 and March 18, 2020. Date of final follow-up was March 25, 2020. Exposures: SARS-CoV-2 infection confirmed by real-time reverse transcriptase-polymerase chain reaction (RT-PCR) assay of nasal and pharyngeal swabs. Main Outcomes and Measures: Demographic and clinical data were collected, including data on clinical management, respiratory failure, and patient mortality. Data were recorded by the coordinator center on an electronic worksheet during telephone calls by the staff of the COVID-19 Lombardy ICU Network. Results: Of the 1591 patients included in the study, the median (IQR) age was 63 (56-70) years and 1304 (82%) were male. Of the 1043 patients with available data, 709 (68%) had at least 1 comorbidity and 509 (49%) had hypertension. Among 1300 patients with available respiratory support data, 1287 (99% [95% CI, 98%-99%]) needed respiratory support, including 1150 (88% [95% CI, 87%-90%]) who received mechanical ventilation and 137 (11% [95% CI, 9%-12%]) who received noninvasive ventilation. The median positive end-expiratory pressure (PEEP) was 14 (IQR, 12-16) cm H2O, and Fio2 was greater than 50% in 89% of patients. The median Pao2/Fio2 was 160 (IQR, 114-220). The median PEEP level was not different between younger patients (n = 503 aged ≤63 years) and older patients (n = 514 aged ≥64 years) (14 [IQR, 12-15] vs 14 [IQR, 12-16] cm H2O, respectively; median difference, 0 [95% CI, 0-0]; P =.94). Median Fio2 was lower in younger patients: 60% (IQR, 50%-80%) vs 70% (IQR, 50%-80%) (median difference, -10% [95% CI, -14% to 6%]; P =.006), and median Pao2/Fio2 was higher in younger patients: 163.5 (IQR, 120-230) vs 156 (IQR, 110-205) (median difference…","author":[{"dropping-particle":"","family":"Grasselli","given":"Giacomo","non-dropping-particle":"","parse-names":false,"suffix":""},{"dropping-particle":"","family":"Zangrillo","given":"Alberto","non-dropping-particle":"","parse-names":false,"suffix":""},{"dropping-particle":"","family":"Zanella","given":"Alberto","non-dropping-particle":"","parse-names":false,"suffix":""},{"dropping-particle":"","family":"Antonelli","given":"Massimo","non-dropping-particle":"","parse-names":false,"suffix":""},{"dropping-particle":"","family":"Cabrini","given":"Luca","non-dropping-particle":"","parse-names":false,"suffix":""},{"dropping-particle":"","family":"Castelli","given":"Antonio","non-dropping-particle":"","parse-names":false,"suffix":""},{"dropping-particle":"","family":"Cereda","given":"Danilo","non-dropping-particle":"","parse-names":false,"suffix":""},{"dropping-particle":"","family":"Coluccello","given":"Antonio","non-dropping-particle":"","parse-names":false,"suffix":""},{"dropping-particle":"","family":"Foti","given":"Giuseppe","non-dropping-particle":"","parse-names":false,"suffix":""},{"dropping-particle":"","family":"Fumagalli","given":"Roberto","non-dropping-particle":"","parse-names":false,"suffix":""},{"dropping-particle":"","family":"Iotti","given":"Giorgio","non-dropping-particle":"","parse-names":false,"suffix":""},{"dropping-particle":"","family":"Latronico","given":"Nicola","non-dropping-particle":"","parse-names":false,"suffix":""},{"dropping-particle":"","family":"Lorini","given":"Luca","non-dropping-particle":"","parse-names":false,"suffix":""},{"dropping-particle":"","family":"Merler","given":"Stefano","non-dropping-particle":"","parse-names":false,"suffix":""},{"dropping-particle":"","family":"Natalini","given":"Giuseppe","non-dropping-particle":"","parse-names":false,"suffix":""},{"dropping-particle":"","family":"Piatti","given":"Alessandra","non-dropping-particle":"","parse-names":false,"suffix":""},{"dropping-particle":"","family":"Ranieri","given":"Marco Vito","non-dropping-particle":"","parse-names":false,"suffix":""},{"dropping-particle":"","family":"Scandroglio","given":"Anna Mara","non-dropping-particle":"","parse-names":false,"suffix":""},{"dropping-particle":"","family":"Storti","given":"Enrico","non-dropping-particle":"","parse-names":false,"suffix":""},{"dropping-particle":"","family":"Cecconi","given":"Maurizio","non-dropping-particle":"","parse-names":false,"suffix":""},{"dropping-particle":"","family":"Pesenti","given":"Antonio","non-dropping-particle":"","parse-names":false,"suffix":""}],"container-title":"JAMA - Journal of the American Medical Association","id":"ITEM-3","issue":"16","issued":{"date-parts":[["2020","4","28"]]},"page":"1574-1581","publisher":"American Medical Association","title":"Baseline Characteristics and Outcomes of 1591 Patients Infected with SARS-CoV-2 Admitted to ICUs of the Lombardy Region, Italy","type":"article-journal","volume":"323"},"uris":["http://www.mendeley.com/documents/?uuid=976b6fc3-2a87-3e7e-b64f-89dc0e1e1327"]}],"mendeley":{"formattedCitation":"[13,19,20]","plainTextFormattedCitation":"[13,19,20]","previouslyFormattedCitation":"&lt;sup&gt;13,19,20&lt;/sup&gt;"},"properties":{"noteIndex":0},"schema":"https://github.com/citation-style-language/schema/raw/master/csl-citation.json"}</w:instrText>
      </w:r>
      <w:r w:rsidRPr="009B79B5">
        <w:rPr>
          <w:color w:val="000000"/>
          <w:shd w:val="clear" w:color="auto" w:fill="FFFFFF"/>
        </w:rPr>
        <w:fldChar w:fldCharType="separate"/>
      </w:r>
      <w:r w:rsidR="00CA13B1" w:rsidRPr="00CA13B1">
        <w:rPr>
          <w:noProof/>
          <w:color w:val="000000"/>
          <w:shd w:val="clear" w:color="auto" w:fill="FFFFFF"/>
        </w:rPr>
        <w:t>[13,19,20]</w:t>
      </w:r>
      <w:r w:rsidRPr="009B79B5">
        <w:rPr>
          <w:color w:val="000000"/>
          <w:shd w:val="clear" w:color="auto" w:fill="FFFFFF"/>
        </w:rPr>
        <w:fldChar w:fldCharType="end"/>
      </w:r>
      <w:r w:rsidRPr="009B79B5">
        <w:rPr>
          <w:color w:val="000000"/>
          <w:shd w:val="clear" w:color="auto" w:fill="FFFFFF"/>
        </w:rPr>
        <w:t xml:space="preserve"> and other </w:t>
      </w:r>
      <w:r w:rsidRPr="009B79B5">
        <w:rPr>
          <w:shd w:val="clear" w:color="auto" w:fill="FFFFFF"/>
        </w:rPr>
        <w:t xml:space="preserve">respiratory infectious diseases. </w:t>
      </w:r>
      <w:r w:rsidR="000612C9">
        <w:rPr>
          <w:shd w:val="clear" w:color="auto" w:fill="FFFFFF"/>
        </w:rPr>
        <w:t>T</w:t>
      </w:r>
      <w:r w:rsidR="00747DDB">
        <w:rPr>
          <w:shd w:val="clear" w:color="auto" w:fill="FFFFFF"/>
        </w:rPr>
        <w:t xml:space="preserve">he </w:t>
      </w:r>
      <w:r w:rsidRPr="009B79B5">
        <w:t>median age</w:t>
      </w:r>
      <w:r w:rsidR="00400252" w:rsidRPr="009B79B5">
        <w:t xml:space="preserve"> </w:t>
      </w:r>
      <w:r w:rsidR="00747DDB">
        <w:t xml:space="preserve">of the participants was </w:t>
      </w:r>
      <w:r w:rsidR="00400252" w:rsidRPr="009B79B5">
        <w:t>41 years</w:t>
      </w:r>
      <w:r w:rsidR="00747DDB">
        <w:t xml:space="preserve">, </w:t>
      </w:r>
      <w:r w:rsidR="00982115">
        <w:t>equivalent to that reported in South Africa</w:t>
      </w:r>
      <w:r w:rsidR="00CA13B1">
        <w:rPr>
          <w:lang w:val="en-US"/>
        </w:rPr>
        <w:t xml:space="preserve"> </w:t>
      </w:r>
      <w:r w:rsidR="00982115">
        <w:fldChar w:fldCharType="begin" w:fldLock="1"/>
      </w:r>
      <w:r w:rsidR="00CA13B1">
        <w:instrText>ADDIN CSL_CITATION {"citationItems":[{"id":"ITEM-1","itemData":{"DOI":"10.4102/SAFP.V63I1.5253","PMID":"34212748","abstract":"Background: Coronavirus disease 2019 (COVID-19) is a public health crisis that threatens the current health system. The sudden expansion in the need for inpatient and intensive care facilities raised concerns about optimal clinical management and resource allocation. Despite the pressing need for evidence to make context-specific decisions on COVID-19 management, evidence from South Africa remained limited. This study aimed to describe the clinical characteristics and outcomes of COVID-19 hospitalised patients.Methods: A retrospective cross-sectional study design was used to evaluate the clinical outcomes of hospitalised adult patients (≥ 18 years old) with laboratory-confirmed COVID-19 illness at Mthatha Regional Hospital (MRH), Eastern Cape.Results: Of the 1814 patients tested for COVID-19 between 20 March 2020 and 31 July 2020 at MRH, two-thirds (65.4%) were female. About two-thirds (242) of the 392 patients (21.6%) who tested positive for this disease were hospitalised and one-third (150) were quarantined at home. The mean age of the patients tested for COVID-19 was 42.6 years and there was no difference between males and females. The mean age of hospitalised patients was 55.5 years and the mean age of hospitalised patients who died (61.3 years) was much higher than recovered (49.5 years). Overall, 188 (77.6%) hospitalised patients had clinical comorbidity on admission. Diabetes (36.8%) and hypertension (33.1%) were the most common comorbidities amongst COVID-19 hospitalised patients.Conclusion: The majority of the patients who were hospitalised for COVID-19 were elderly and had high baseline comorbidities. Advance age and underlying comorbidities (diabetes, hypertension and HIV) were associated with high mortality in hospitalised COVID-19 patients.","author":[{"dropping-particle":"","family":"Kaswa","given":"Ramprakash","non-dropping-particle":"","parse-names":false,"suffix":""},{"dropping-particle":"","family":"Yogeswaran","given":"Parimalaranie","non-dropping-particle":"","parse-names":false,"suffix":""},{"dropping-particle":"","family":"Cawe","given":"Busisiwe","non-dropping-particle":"","parse-names":false,"suffix":""}],"container-title":"South African Family Practice","id":"ITEM-1","issue":"1","issued":{"date-parts":[["2021","6","10"]]},"publisher":"AOSIS","title":"Clinical outcomes of hospitalised COVID-19 patients at Mthatha Regional Hospital, Eastern Cape, South Africa: A retrospective study","type":"article-journal","volume":"63"},"uris":["http://www.mendeley.com/documents/?uuid=5098261b-86ed-3b04-8983-5ecadc7e7e2b"]}],"mendeley":{"formattedCitation":"[21]","plainTextFormattedCitation":"[21]","previouslyFormattedCitation":"&lt;sup&gt;21&lt;/sup&gt;"},"properties":{"noteIndex":0},"schema":"https://github.com/citation-style-language/schema/raw/master/csl-citation.json"}</w:instrText>
      </w:r>
      <w:r w:rsidR="00982115">
        <w:fldChar w:fldCharType="separate"/>
      </w:r>
      <w:r w:rsidR="00CA13B1" w:rsidRPr="00CA13B1">
        <w:rPr>
          <w:noProof/>
        </w:rPr>
        <w:t>[21]</w:t>
      </w:r>
      <w:r w:rsidR="00982115">
        <w:fldChar w:fldCharType="end"/>
      </w:r>
      <w:r w:rsidR="00982115">
        <w:t xml:space="preserve"> </w:t>
      </w:r>
      <w:r w:rsidR="00747DDB">
        <w:t>relatively lower</w:t>
      </w:r>
      <w:r w:rsidRPr="009B79B5">
        <w:t xml:space="preserve"> </w:t>
      </w:r>
      <w:r w:rsidR="00400252" w:rsidRPr="009B79B5">
        <w:t>t</w:t>
      </w:r>
      <w:r w:rsidRPr="009B79B5">
        <w:t xml:space="preserve">han </w:t>
      </w:r>
      <w:r w:rsidR="00284FEA">
        <w:t>those</w:t>
      </w:r>
      <w:r w:rsidRPr="009B79B5">
        <w:t xml:space="preserve"> reported in China </w:t>
      </w:r>
      <w:r w:rsidR="00400252" w:rsidRPr="009B79B5">
        <w:t xml:space="preserve">(47 </w:t>
      </w:r>
      <w:r w:rsidRPr="009B79B5">
        <w:t>years</w:t>
      </w:r>
      <w:r w:rsidR="00400252" w:rsidRPr="009B79B5">
        <w:t>)</w:t>
      </w:r>
      <w:r w:rsidR="00CA13B1">
        <w:rPr>
          <w:lang w:val="en-US"/>
        </w:rPr>
        <w:t xml:space="preserve"> </w:t>
      </w:r>
      <w:r w:rsidRPr="009B79B5">
        <w:rPr>
          <w:shd w:val="clear" w:color="auto" w:fill="FFFFFF"/>
        </w:rPr>
        <w:fldChar w:fldCharType="begin" w:fldLock="1"/>
      </w:r>
      <w:r w:rsidR="00CA13B1">
        <w:rPr>
          <w:shd w:val="clear" w:color="auto" w:fill="FFFFFF"/>
        </w:rPr>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Medicine","id":"ITEM-1","issue":"18","issued":{"date-parts":[["2020"]]},"page":"1708-1720","title":"Clinical characteristics of coronavirus disease 2019 in China","type":"article-journal","volume":"382"},"uris":["http://www.mendeley.com/documents/?uuid=c3389bec-050a-40cd-bea9-c2b4da95c087"]}],"mendeley":{"formattedCitation":"[13]","plainTextFormattedCitation":"[13]","previouslyFormattedCitation":"&lt;sup&gt;13&lt;/sup&gt;"},"properties":{"noteIndex":0},"schema":"https://github.com/citation-style-language/schema/raw/master/csl-citation.json"}</w:instrText>
      </w:r>
      <w:r w:rsidRPr="009B79B5">
        <w:rPr>
          <w:shd w:val="clear" w:color="auto" w:fill="FFFFFF"/>
        </w:rPr>
        <w:fldChar w:fldCharType="separate"/>
      </w:r>
      <w:r w:rsidR="00CA13B1" w:rsidRPr="00CA13B1">
        <w:rPr>
          <w:noProof/>
          <w:shd w:val="clear" w:color="auto" w:fill="FFFFFF"/>
        </w:rPr>
        <w:t>[13]</w:t>
      </w:r>
      <w:r w:rsidRPr="009B79B5">
        <w:rPr>
          <w:shd w:val="clear" w:color="auto" w:fill="FFFFFF"/>
        </w:rPr>
        <w:fldChar w:fldCharType="end"/>
      </w:r>
      <w:r w:rsidR="00CA13B1">
        <w:rPr>
          <w:shd w:val="clear" w:color="auto" w:fill="FFFFFF"/>
          <w:lang w:val="en-US"/>
        </w:rPr>
        <w:t xml:space="preserve">, </w:t>
      </w:r>
      <w:r w:rsidR="00982115">
        <w:rPr>
          <w:shd w:val="clear" w:color="auto" w:fill="FFFFFF"/>
        </w:rPr>
        <w:t>Libya (56)</w:t>
      </w:r>
      <w:r w:rsidR="00CA13B1">
        <w:rPr>
          <w:shd w:val="clear" w:color="auto" w:fill="FFFFFF"/>
          <w:lang w:val="en-US"/>
        </w:rPr>
        <w:t xml:space="preserve"> </w:t>
      </w:r>
      <w:r w:rsidR="00982115">
        <w:rPr>
          <w:shd w:val="clear" w:color="auto" w:fill="FFFFFF"/>
        </w:rPr>
        <w:fldChar w:fldCharType="begin" w:fldLock="1"/>
      </w:r>
      <w:r w:rsidR="00CA13B1">
        <w:rPr>
          <w:shd w:val="clear" w:color="auto" w:fill="FFFFFF"/>
        </w:rPr>
        <w:instrText>ADDIN CSL_CITATION {"citationItems":[{"id":"ITEM-1","itemData":{"DOI":"10.1016/J.TMAID.2021.102064","ISSN":"1477-8939","abstract":"Background: The first case of the novel coronavirus disease 2019 (COVID-19) in Libya was diagnosed in March 2020. We aimed to determine the epidemiological, clinical, and laboratory characteristics of COVID-19 in Libya. Method: In this retrospective descriptive study, we analyzed the demographics, initial clinical presentation, history, comorbidities, laboratory findings, complications, and outcomes of hospitalized patients with COVID-19 at several centers in the Western part of Libya between March 24, 2020, and December 3, 2020. Results: The study included 811 (67.2%) men and 396 (32.8%) women. The median (interquartile range [IQR]) age was 56 (40–64). A total of 173 (14.3%) patients developed respiratory distress syndrome, while 70 (5.8%) developed circulatory shock and hypotension; 190 (15.7%) were admitted to the intensive care unit. Acute cardiac injury occurred in 27 (2.2%) patients, and 45 (3.7%) developed arrhythmia. Acute kidney injury occurred in 44 (3.6%) patients. Of the patients admitted during the study period, 149 (12.3%) died. The predominant comorbidities ordered in a descending manner were as follows; diabetes mellitus, presented 490 (40.6%), hypertension in 414 (34.3%), chronic kidney disease in 114 (9.4%), and lung diseases in 103 (8.5%). The total white blood cell, neutrophil; monocyte; D-dimer; creatinine kinase; creatine kinase–MB; creatinine; total bilirubin; alanine and aspartate aminotransferase; and hypersensitive troponin were increased among non-survivors, whereas lymphocyte and platelet counts were decreased among non-survivors. Conclusion: This is the first report of the clinical presentations and laboratory findings in patients hospitalized with COVID-19 in Libya. Libyan authorities must implement several restrictions to control the pandemic. However, incoming international travelers pose a challenge to the local authorities, especially with the recent discovery of new variants.","author":[{"dropping-particle":"","family":"Elhadi","given":"Muhammed","non-dropping-particle":"","parse-names":false,"suffix":""},{"dropping-particle":"","family":"Momen","given":"Ahmed Abdulhakim","non-dropping-particle":"","parse-names":false,"suffix":""},{"dropping-particle":"","family":"Alsoufi","given":"Ahmed","non-dropping-particle":"","parse-names":false,"suffix":""},{"dropping-particle":"","family":"Msherghi","given":"Ahmed","non-dropping-particle":"","parse-names":false,"suffix":""},{"dropping-particle":"","family":"Zaid","given":"Ahmed","non-dropping-particle":"","parse-names":false,"suffix":""},{"dropping-particle":"","family":"Ali Senussi Abdulhadi","given":"Osama Mohamed","non-dropping-particle":"","parse-names":false,"suffix":""},{"dropping-particle":"","family":"Elhadi","given":"Ahmed","non-dropping-particle":"","parse-names":false,"suffix":""},{"dropping-particle":"","family":"Omar Elfandi","given":"Hamza Bilaid","non-dropping-particle":"","parse-names":false,"suffix":""},{"dropping-particle":"","family":"Salam Alshammam","given":"Abdullatif Muhammad","non-dropping-particle":"","parse-names":false,"suffix":""},{"dropping-particle":"","family":"Hadreiez","given":"Ahmed Khalifa","non-dropping-particle":"","parse-names":false,"suffix":""},{"dropping-particle":"","family":"Abdulsalam Elbulati","given":"Mohammed Tawfik","non-dropping-particle":"","parse-names":false,"suffix":""},{"dropping-particle":"","family":"Almahdi El Bibas","given":"Mohamed Abdulla","non-dropping-particle":"","parse-names":false,"suffix":""},{"dropping-particle":"","family":"Mohamed Benaser","given":"Abdulhamed Amer","non-dropping-particle":"","parse-names":false,"suffix":""},{"dropping-particle":"","family":"Rajab Zendah","given":"Mohamed Mahfud","non-dropping-particle":"","parse-names":false,"suffix":""},{"dropping-particle":"","family":"Mohammed Makhlouf","given":"Alauldin Ali","non-dropping-particle":"","parse-names":false,"suffix":""},{"dropping-particle":"","family":"Abdulhamed","given":"Mohamed Abdulelah","non-dropping-particle":"","parse-names":false,"suffix":""},{"dropping-particle":"","family":"BenSuleiman","given":"Mahmoud Mohamed","non-dropping-particle":"","parse-names":false,"suffix":""},{"dropping-particle":"","family":"Amer","given":"Asel Omar","non-dropping-particle":"","parse-names":false,"suffix":""},{"dropping-particle":"","family":"Shaban","given":"Mosab Abdelrazak A.","non-dropping-particle":"","parse-names":false,"suffix":""},{"dropping-particle":"","family":"Faraj","given":"Hazem Abdelkarem","non-dropping-particle":"","parse-names":false,"suffix":""}],"container-title":"Travel Medicine and Infectious Disease","id":"ITEM-1","issued":{"date-parts":[["2021","7","1"]]},"page":"102064","publisher":"Elsevier","title":"Epidemiological and clinical presentations of hospitalized COVID-19 patients in Libya: An initial report from Africa","type":"article-journal","volume":"42"},"uris":["http://www.mendeley.com/documents/?uuid=d0b2b58d-99c9-32e2-98b1-2d0911faef70"]}],"mendeley":{"formattedCitation":"[22]","plainTextFormattedCitation":"[22]","previouslyFormattedCitation":"&lt;sup&gt;22&lt;/sup&gt;"},"properties":{"noteIndex":0},"schema":"https://github.com/citation-style-language/schema/raw/master/csl-citation.json"}</w:instrText>
      </w:r>
      <w:r w:rsidR="00982115">
        <w:rPr>
          <w:shd w:val="clear" w:color="auto" w:fill="FFFFFF"/>
        </w:rPr>
        <w:fldChar w:fldCharType="separate"/>
      </w:r>
      <w:r w:rsidR="00CA13B1" w:rsidRPr="00CA13B1">
        <w:rPr>
          <w:noProof/>
          <w:shd w:val="clear" w:color="auto" w:fill="FFFFFF"/>
        </w:rPr>
        <w:t>[22]</w:t>
      </w:r>
      <w:r w:rsidR="00982115">
        <w:rPr>
          <w:shd w:val="clear" w:color="auto" w:fill="FFFFFF"/>
        </w:rPr>
        <w:fldChar w:fldCharType="end"/>
      </w:r>
      <w:r w:rsidR="00CA13B1">
        <w:rPr>
          <w:shd w:val="clear" w:color="auto" w:fill="FFFFFF"/>
          <w:lang w:val="en-US"/>
        </w:rPr>
        <w:t>,</w:t>
      </w:r>
      <w:r w:rsidR="00982115">
        <w:rPr>
          <w:shd w:val="clear" w:color="auto" w:fill="FFFFFF"/>
        </w:rPr>
        <w:t xml:space="preserve"> </w:t>
      </w:r>
      <w:r w:rsidRPr="009B79B5">
        <w:t>New York</w:t>
      </w:r>
      <w:r w:rsidR="00400252" w:rsidRPr="009B79B5">
        <w:t xml:space="preserve"> (</w:t>
      </w:r>
      <w:r w:rsidR="00400252" w:rsidRPr="000D4C3A">
        <w:t>62.</w:t>
      </w:r>
      <w:r w:rsidR="00804851" w:rsidRPr="000D4C3A">
        <w:t xml:space="preserve">2 </w:t>
      </w:r>
      <w:r w:rsidR="00400252" w:rsidRPr="000D4C3A">
        <w:t>years)</w:t>
      </w:r>
      <w:r w:rsidR="00CA13B1">
        <w:rPr>
          <w:lang w:val="en-US"/>
        </w:rPr>
        <w:t xml:space="preserve"> </w:t>
      </w:r>
      <w:r w:rsidRPr="000D4C3A">
        <w:fldChar w:fldCharType="begin" w:fldLock="1"/>
      </w:r>
      <w:r w:rsidR="00CA13B1">
        <w:instrText>ADDIN CSL_CITATION {"citationItems":[{"id":"ITEM-1","itemData":{"DOI":"10.1056/nejmc2010419","ISSN":"0028-4793","PMID":"32302078","abstract":"Covid-19 in New York City In this series of 393 consecutive patients admitted with Covid-19 to two New York City hospitals from March 3 to March 27, a third of patients received invasive mechanical...","author":[{"dropping-particle":"","family":"Goyal","given":"Parag","non-dropping-particle":"","parse-names":false,"suffix":""},{"dropping-particle":"","family":"Choi","given":"Justin J.","non-dropping-particle":"","parse-names":false,"suffix":""},{"dropping-particle":"","family":"Pinheiro","given":"Laura C.","non-dropping-particle":"","parse-names":false,"suffix":""},{"dropping-particle":"","family":"Schenck","given":"Edward J.","non-dropping-particle":"","parse-names":false,"suffix":""},{"dropping-particle":"","family":"Chen","given":"Ruijun","non-dropping-particle":"","parse-names":false,"suffix":""},{"dropping-particle":"","family":"Jabri","given":"Assem","non-dropping-particle":"","parse-names":false,"suffix":""},{"dropping-particle":"","family":"Satlin","given":"Michael J.","non-dropping-particle":"","parse-names":false,"suffix":""},{"dropping-particle":"","family":"Campion","given":"Thomas R.","non-dropping-particle":"","parse-names":false,"suffix":""},{"dropping-particle":"","family":"Nahid","given":"Musarrat","non-dropping-particle":"","parse-names":false,"suffix":""},{"dropping-particle":"","family":"Ringel","given":"Joanna B.","non-dropping-particle":"","parse-names":false,"suffix":""},{"dropping-particle":"","family":"Hoffman","given":"Katherine L.","non-dropping-particle":"","parse-names":false,"suffix":""},{"dropping-particle":"","family":"Alshak","given":"Mark N.","non-dropping-particle":"","parse-names":false,"suffix":""},{"dropping-particle":"","family":"Li","given":"Han A.","non-dropping-particle":"","parse-names":false,"suffix":""},{"dropping-particle":"","family":"Wehmeyer","given":"Graham T.","non-dropping-particle":"","parse-names":false,"suffix":""},{"dropping-particle":"","family":"Rajan","given":"Mangala","non-dropping-particle":"","parse-names":false,"suffix":""},{"dropping-particle":"","family":"Reshetnyak","given":"Evgeniya","non-dropping-particle":"","parse-names":false,"suffix":""},{"dropping-particle":"","family":"Hupert","given":"Nathaniel","non-dropping-particle":"","parse-names":false,"suffix":""},{"dropping-particle":"","family":"Horn","given":"Evelyn M.","non-dropping-particle":"","parse-names":false,"suffix":""},{"dropping-particle":"","family":"Martinez","given":"Fernando J.","non-dropping-particle":"","parse-names":false,"suffix":""},{"dropping-particle":"","family":"Gulick","given":"Roy M.","non-dropping-particle":"","parse-names":false,"suffix":""},{"dropping-particle":"","family":"Safford","given":"Monika M.","non-dropping-particle":"","parse-names":false,"suffix":""}],"container-title":"New England Journal of Medicine","id":"ITEM-1","issued":{"date-parts":[["2020","4","17"]]},"publisher":"Massachusetts Medical Society","title":"Clinical Characteristics of Covid-19 in New York City","type":"article-journal"},"uris":["http://www.mendeley.com/documents/?uuid=1c1ebecc-f28a-3c73-ba2d-ce41ee06a4f8"]}],"mendeley":{"formattedCitation":"[19]","plainTextFormattedCitation":"[19]","previouslyFormattedCitation":"&lt;sup&gt;19&lt;/sup&gt;"},"properties":{"noteIndex":0},"schema":"https://github.com/citation-style-language/schema/raw/master/csl-citation.json"}</w:instrText>
      </w:r>
      <w:r w:rsidRPr="000D4C3A">
        <w:fldChar w:fldCharType="separate"/>
      </w:r>
      <w:r w:rsidR="00CA13B1" w:rsidRPr="00CA13B1">
        <w:rPr>
          <w:noProof/>
        </w:rPr>
        <w:t>[19]</w:t>
      </w:r>
      <w:r w:rsidRPr="000D4C3A">
        <w:fldChar w:fldCharType="end"/>
      </w:r>
      <w:r w:rsidR="00CA13B1">
        <w:rPr>
          <w:lang w:val="en-US"/>
        </w:rPr>
        <w:t>,</w:t>
      </w:r>
      <w:r w:rsidRPr="000D4C3A">
        <w:t xml:space="preserve"> </w:t>
      </w:r>
      <w:r w:rsidR="00054AD8" w:rsidRPr="000D4C3A">
        <w:t xml:space="preserve">and </w:t>
      </w:r>
      <w:r w:rsidRPr="000D4C3A">
        <w:t>Italy</w:t>
      </w:r>
      <w:r w:rsidR="00400252" w:rsidRPr="000D4C3A">
        <w:t xml:space="preserve"> (63)</w:t>
      </w:r>
      <w:r w:rsidR="00CA13B1">
        <w:rPr>
          <w:lang w:val="en-US"/>
        </w:rPr>
        <w:t xml:space="preserve"> </w:t>
      </w:r>
      <w:r w:rsidRPr="000D4C3A">
        <w:fldChar w:fldCharType="begin" w:fldLock="1"/>
      </w:r>
      <w:r w:rsidR="00CA13B1">
        <w:instrText>ADDIN CSL_CITATION {"citationItems":[{"id":"ITEM-1","itemData":{"DOI":"10.1001/jama.2020.5394","ISSN":"15383598","PMID":"32250385","abstract":"Importance: In December 2019, a novel coronavirus (severe acute respiratory syndrome coronavirus 2 [SARS-CoV-2]) emerged in China and has spread globally, creating a pandemic. Information about the clinical characteristics of infected patients who require intensive care is limited. Objective: To characterize patients with coronavirus disease 2019 (COVID-19) requiring treatment in an intensive care unit (ICU) in the Lombardy region of Italy. Design, Setting, and Participants: Retrospective case series of 1591 consecutive patients with laboratory-confirmed COVID-19 referred for ICU admission to the coordinator center (Fondazione IRCCS Ca' Granda Ospedale Maggiore Policlinico, Milan, Italy) of the COVID-19 Lombardy ICU Network and treated at one of the ICUs of the 72 hospitals in this network between February 20 and March 18, 2020. Date of final follow-up was March 25, 2020. Exposures: SARS-CoV-2 infection confirmed by real-time reverse transcriptase-polymerase chain reaction (RT-PCR) assay of nasal and pharyngeal swabs. Main Outcomes and Measures: Demographic and clinical data were collected, including data on clinical management, respiratory failure, and patient mortality. Data were recorded by the coordinator center on an electronic worksheet during telephone calls by the staff of the COVID-19 Lombardy ICU Network. Results: Of the 1591 patients included in the study, the median (IQR) age was 63 (56-70) years and 1304 (82%) were male. Of the 1043 patients with available data, 709 (68%) had at least 1 comorbidity and 509 (49%) had hypertension. Among 1300 patients with available respiratory support data, 1287 (99% [95% CI, 98%-99%]) needed respiratory support, including 1150 (88% [95% CI, 87%-90%]) who received mechanical ventilation and 137 (11% [95% CI, 9%-12%]) who received noninvasive ventilation. The median positive end-expiratory pressure (PEEP) was 14 (IQR, 12-16) cm H2O, and Fio2 was greater than 50% in 89% of patients. The median Pao2/Fio2 was 160 (IQR, 114-220). The median PEEP level was not different between younger patients (n = 503 aged ≤63 years) and older patients (n = 514 aged ≥64 years) (14 [IQR, 12-15] vs 14 [IQR, 12-16] cm H2O, respectively; median difference, 0 [95% CI, 0-0]; P =.94). Median Fio2 was lower in younger patients: 60% (IQR, 50%-80%) vs 70% (IQR, 50%-80%) (median difference, -10% [95% CI, -14% to 6%]; P =.006), and median Pao2/Fio2 was higher in younger patients: 163.5 (IQR, 120-230) vs 156 (IQR, 110-205) (median difference…","author":[{"dropping-particle":"","family":"Grasselli","given":"Giacomo","non-dropping-particle":"","parse-names":false,"suffix":""},{"dropping-particle":"","family":"Zangrillo","given":"Alberto","non-dropping-particle":"","parse-names":false,"suffix":""},{"dropping-particle":"","family":"Zanella","given":"Alberto","non-dropping-particle":"","parse-names":false,"suffix":""},{"dropping-particle":"","family":"Antonelli","given":"Massimo","non-dropping-particle":"","parse-names":false,"suffix":""},{"dropping-particle":"","family":"Cabrini","given":"Luca","non-dropping-particle":"","parse-names":false,"suffix":""},{"dropping-particle":"","family":"Castelli","given":"Antonio","non-dropping-particle":"","parse-names":false,"suffix":""},{"dropping-particle":"","family":"Cereda","given":"Danilo","non-dropping-particle":"","parse-names":false,"suffix":""},{"dropping-particle":"","family":"Coluccello","given":"Antonio","non-dropping-particle":"","parse-names":false,"suffix":""},{"dropping-particle":"","family":"Foti","given":"Giuseppe","non-dropping-particle":"","parse-names":false,"suffix":""},{"dropping-particle":"","family":"Fumagalli","given":"Roberto","non-dropping-particle":"","parse-names":false,"suffix":""},{"dropping-particle":"","family":"Iotti","given":"Giorgio","non-dropping-particle":"","parse-names":false,"suffix":""},{"dropping-particle":"","family":"Latronico","given":"Nicola","non-dropping-particle":"","parse-names":false,"suffix":""},{"dropping-particle":"","family":"Lorini","given":"Luca","non-dropping-particle":"","parse-names":false,"suffix":""},{"dropping-particle":"","family":"Merler","given":"Stefano","non-dropping-particle":"","parse-names":false,"suffix":""},{"dropping-particle":"","family":"Natalini","given":"Giuseppe","non-dropping-particle":"","parse-names":false,"suffix":""},{"dropping-particle":"","family":"Piatti","given":"Alessandra","non-dropping-particle":"","parse-names":false,"suffix":""},{"dropping-particle":"","family":"Ranieri","given":"Marco Vito","non-dropping-particle":"","parse-names":false,"suffix":""},{"dropping-particle":"","family":"Scandroglio","given":"Anna Mara","non-dropping-particle":"","parse-names":false,"suffix":""},{"dropping-particle":"","family":"Storti","given":"Enrico","non-dropping-particle":"","parse-names":false,"suffix":""},{"dropping-particle":"","family":"Cecconi","given":"Maurizio","non-dropping-particle":"","parse-names":false,"suffix":""},{"dropping-particle":"","family":"Pesenti","given":"Antonio","non-dropping-particle":"","parse-names":false,"suffix":""}],"container-title":"JAMA - Journal of the American Medical Association","id":"ITEM-1","issue":"16","issued":{"date-parts":[["2020","4","28"]]},"page":"1574-1581","publisher":"American Medical Association","title":"Baseline Characteristics and Outcomes of 1591 Patients Infected with SARS-CoV-2 Admitted to ICUs of the Lombardy Region, Italy","type":"article-journal","volume":"323"},"uris":["http://www.mendeley.com/documents/?uuid=976b6fc3-2a87-3e7e-b64f-89dc0e1e1327"]}],"mendeley":{"formattedCitation":"[20]","plainTextFormattedCitation":"[20]","previouslyFormattedCitation":"&lt;sup&gt;20&lt;/sup&gt;"},"properties":{"noteIndex":0},"schema":"https://github.com/citation-style-language/schema/raw/master/csl-citation.json"}</w:instrText>
      </w:r>
      <w:r w:rsidRPr="000D4C3A">
        <w:fldChar w:fldCharType="separate"/>
      </w:r>
      <w:r w:rsidR="00CA13B1" w:rsidRPr="00CA13B1">
        <w:rPr>
          <w:noProof/>
        </w:rPr>
        <w:t>[20]</w:t>
      </w:r>
      <w:r w:rsidRPr="000D4C3A">
        <w:fldChar w:fldCharType="end"/>
      </w:r>
      <w:r w:rsidR="00CA13B1">
        <w:rPr>
          <w:lang w:val="en-US"/>
        </w:rPr>
        <w:t>.</w:t>
      </w:r>
      <w:r w:rsidRPr="000D4C3A">
        <w:t xml:space="preserve"> </w:t>
      </w:r>
      <w:r w:rsidR="009A329F" w:rsidRPr="000D4C3A">
        <w:t>Also</w:t>
      </w:r>
      <w:r w:rsidR="00400252" w:rsidRPr="000D4C3A">
        <w:t xml:space="preserve">, </w:t>
      </w:r>
      <w:r w:rsidR="009A329F" w:rsidRPr="000D4C3A">
        <w:t xml:space="preserve">the </w:t>
      </w:r>
      <w:r w:rsidR="00E2646F" w:rsidRPr="000D4C3A">
        <w:t>majority</w:t>
      </w:r>
      <w:r w:rsidRPr="00D02EC8">
        <w:t xml:space="preserve"> </w:t>
      </w:r>
      <w:r w:rsidR="00813D4C" w:rsidRPr="00D02EC8">
        <w:t xml:space="preserve">of </w:t>
      </w:r>
      <w:r w:rsidR="00646B65" w:rsidRPr="00D02EC8">
        <w:t xml:space="preserve">COVID-19 </w:t>
      </w:r>
      <w:r w:rsidR="00400252" w:rsidRPr="007971D8">
        <w:t xml:space="preserve">patients </w:t>
      </w:r>
      <w:r w:rsidRPr="00A316E3">
        <w:t xml:space="preserve">were aged ≤ 60 years, </w:t>
      </w:r>
      <w:r w:rsidR="00A821E6" w:rsidRPr="003A580B">
        <w:t xml:space="preserve">which </w:t>
      </w:r>
      <w:r w:rsidRPr="003A580B">
        <w:t>reflect</w:t>
      </w:r>
      <w:r w:rsidR="00A821E6" w:rsidRPr="009615C5">
        <w:t>s</w:t>
      </w:r>
      <w:r w:rsidRPr="009615C5">
        <w:t xml:space="preserve"> the demographic structure</w:t>
      </w:r>
      <w:r w:rsidR="00042B24" w:rsidRPr="009615C5">
        <w:t xml:space="preserve"> of</w:t>
      </w:r>
      <w:r w:rsidRPr="009615C5">
        <w:t xml:space="preserve"> sub-Saharan Africa that is dominated by</w:t>
      </w:r>
      <w:r w:rsidR="00813D4C" w:rsidRPr="009615C5">
        <w:t xml:space="preserve"> a</w:t>
      </w:r>
      <w:r w:rsidRPr="009615C5">
        <w:t xml:space="preserve"> younger population as compared to other </w:t>
      </w:r>
      <w:r w:rsidR="00A821E6" w:rsidRPr="009615C5">
        <w:t>regions</w:t>
      </w:r>
      <w:r w:rsidRPr="009615C5">
        <w:t xml:space="preserve"> of the world. </w:t>
      </w:r>
      <w:r w:rsidR="00EE10A8" w:rsidRPr="009615C5">
        <w:t>T</w:t>
      </w:r>
      <w:r w:rsidR="009919D5" w:rsidRPr="00297069">
        <w:t xml:space="preserve">he </w:t>
      </w:r>
      <w:r w:rsidR="00042B24" w:rsidRPr="00297069">
        <w:t>y</w:t>
      </w:r>
      <w:r w:rsidRPr="00297069">
        <w:t xml:space="preserve">oung population </w:t>
      </w:r>
      <w:r w:rsidR="00042B24" w:rsidRPr="000D4C3A">
        <w:t>can be</w:t>
      </w:r>
      <w:r w:rsidR="00E74D7B" w:rsidRPr="000D4C3A">
        <w:t xml:space="preserve"> </w:t>
      </w:r>
      <w:r w:rsidRPr="000D4C3A">
        <w:t>considered as a protective factor against the</w:t>
      </w:r>
      <w:r w:rsidR="00042B24" w:rsidRPr="000D4C3A">
        <w:t xml:space="preserve"> </w:t>
      </w:r>
      <w:r w:rsidR="009919D5" w:rsidRPr="000D4C3A">
        <w:t>disease</w:t>
      </w:r>
      <w:r w:rsidR="00042B24" w:rsidRPr="000D4C3A">
        <w:t xml:space="preserve"> severity</w:t>
      </w:r>
      <w:r w:rsidR="00EE10A8" w:rsidRPr="000D4C3A">
        <w:t xml:space="preserve">. </w:t>
      </w:r>
      <w:r w:rsidR="00042B24" w:rsidRPr="000D4C3A">
        <w:t xml:space="preserve"> </w:t>
      </w:r>
      <w:r w:rsidR="007E1C9C" w:rsidRPr="000D4C3A">
        <w:t xml:space="preserve">Our findings </w:t>
      </w:r>
      <w:r w:rsidR="00576AF4" w:rsidRPr="000D4C3A">
        <w:t>reported</w:t>
      </w:r>
      <w:r w:rsidR="007E1C9C" w:rsidRPr="000D4C3A">
        <w:t xml:space="preserve"> case </w:t>
      </w:r>
      <w:r w:rsidR="00576AF4" w:rsidRPr="000D4C3A">
        <w:t xml:space="preserve">fatality </w:t>
      </w:r>
      <w:r w:rsidR="007E1C9C" w:rsidRPr="000D4C3A">
        <w:t xml:space="preserve">rate of 15% </w:t>
      </w:r>
      <w:r w:rsidR="000D4C3A" w:rsidRPr="000D4C3A">
        <w:t xml:space="preserve">that </w:t>
      </w:r>
      <w:r w:rsidR="00576AF4" w:rsidRPr="000D4C3A">
        <w:t xml:space="preserve">was </w:t>
      </w:r>
      <w:r w:rsidR="007E1C9C" w:rsidRPr="000D4C3A">
        <w:t xml:space="preserve">relative higher than those reported </w:t>
      </w:r>
      <w:r w:rsidR="00EA2142" w:rsidRPr="000D4C3A">
        <w:t>in Europe and America</w:t>
      </w:r>
      <w:r w:rsidR="00CA13B1">
        <w:rPr>
          <w:lang w:val="en-US"/>
        </w:rPr>
        <w:t xml:space="preserve"> </w:t>
      </w:r>
      <w:r w:rsidR="00A55102" w:rsidRPr="000D4C3A">
        <w:fldChar w:fldCharType="begin" w:fldLock="1"/>
      </w:r>
      <w:r w:rsidR="00CA13B1">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Medicine","id":"ITEM-1","issue":"18","issued":{"date-parts":[["2020"]]},"page":"1708-1720","title":"Clinical characteristics of coronavirus disease 2019 in China","type":"article-journal","volume":"382"},"uris":["http://www.mendeley.com/documents/?uuid=c3389bec-050a-40cd-bea9-c2b4da95c087"]},{"id":"ITEM-2","itemData":{"DOI":"10.1016/S0140-6736(20)30211-7","ISSN":"1474547X","PMID":"32007143","abstract":"Background: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Lancet","id":"ITEM-2","issue":"10223","issued":{"date-parts":[["2020","2","15"]]},"page":"507-513","publisher":"Lancet Publishing Group","title":"Epidemiological and clinical characteristics of 99 cases of 2019 novel coronavirus pneumonia in Wuhan, China: a descriptive study","type":"article-journal","volume":"395"},"uris":["http://www.mendeley.com/documents/?uuid=52125413-e611-3a73-8afe-9b8e51532dae"]},{"id":"ITEM-3","itemData":{"DOI":"10.1016/S0140-6736(20)30183-5","abstract":"Background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Lancet","id":"ITEM-3","issued":{"date-parts":[["2020"]]},"page":"497-506","title":"Clinical features of patients infected with 2019 novel coronavirus in Wuhan, China","type":"article-journal","volume":"395"},"uris":["http://www.mendeley.com/documents/?uuid=e0579c8b-60a9-3b4e-8e67-c1d972a95494"]}],"mendeley":{"formattedCitation":"[8,10,13]","plainTextFormattedCitation":"[8,10,13]","previouslyFormattedCitation":"&lt;sup&gt;8,10,13&lt;/sup&gt;"},"properties":{"noteIndex":0},"schema":"https://github.com/citation-style-language/schema/raw/master/csl-citation.json"}</w:instrText>
      </w:r>
      <w:r w:rsidR="00A55102" w:rsidRPr="000D4C3A">
        <w:fldChar w:fldCharType="separate"/>
      </w:r>
      <w:r w:rsidR="00CA13B1" w:rsidRPr="00CA13B1">
        <w:rPr>
          <w:noProof/>
        </w:rPr>
        <w:t>[8,10,13]</w:t>
      </w:r>
      <w:r w:rsidR="00A55102" w:rsidRPr="000D4C3A">
        <w:fldChar w:fldCharType="end"/>
      </w:r>
      <w:r w:rsidR="00CA13B1">
        <w:rPr>
          <w:lang w:val="en-US"/>
        </w:rPr>
        <w:t>.</w:t>
      </w:r>
      <w:r w:rsidR="00813D4C" w:rsidRPr="000D4C3A">
        <w:t xml:space="preserve"> </w:t>
      </w:r>
      <w:r w:rsidR="00EA2142" w:rsidRPr="000D4C3A">
        <w:t xml:space="preserve">However, </w:t>
      </w:r>
      <w:r w:rsidR="00EA2142" w:rsidRPr="000D4C3A">
        <w:rPr>
          <w:iCs/>
          <w:lang w:val="en-ZA"/>
        </w:rPr>
        <w:t>Hospital  death rate  was lower</w:t>
      </w:r>
      <w:r w:rsidR="000D4C3A" w:rsidRPr="000D4C3A">
        <w:rPr>
          <w:iCs/>
          <w:lang w:val="en-ZA"/>
        </w:rPr>
        <w:t xml:space="preserve"> (16.1%)</w:t>
      </w:r>
      <w:r w:rsidR="00EA2142" w:rsidRPr="000D4C3A">
        <w:rPr>
          <w:iCs/>
          <w:lang w:val="en-ZA"/>
        </w:rPr>
        <w:t xml:space="preserve"> compared to that reported in Europe (22.9%) and America (22.23%)</w:t>
      </w:r>
      <w:r w:rsidR="00CA13B1">
        <w:rPr>
          <w:iCs/>
          <w:lang w:val="en-ZA"/>
        </w:rPr>
        <w:t xml:space="preserve"> </w:t>
      </w:r>
      <w:r w:rsidR="000D4C3A" w:rsidRPr="000D4C3A">
        <w:rPr>
          <w:iCs/>
          <w:lang w:val="en-ZA"/>
        </w:rPr>
        <w:fldChar w:fldCharType="begin" w:fldLock="1"/>
      </w:r>
      <w:r w:rsidR="00CA13B1">
        <w:rPr>
          <w:iCs/>
          <w:lang w:val="en-ZA"/>
        </w:rPr>
        <w:instrText>ADDIN CSL_CITATION {"citationItems":[{"id":"ITEM-1","itemData":{"DOI":"10.1007/s40119-020-00189-0","ISSN":"2193-8261","abstract":"INTRODUCTION: Numerous case series have reported on the baseline characteristics and  in-hospital mortality of patients with COVID-19, however, these studies included patients localized in a specific geographic region. The purpose of our study was to identify differences in the clinical characteristics and the in-hospital mortality of patients with a laboratory-confirmed diagnosis of COVID-19 internationally. METHODS: A comprehensive search of all published literature on adult patients with laboratory-confirmed diagnosis of COVID-19 that reported on the clinical characteristics and in-hospital mortality was performed. Groups were compared using a Chi-square test with Yates correction of continuity. A two-tailed p value of less than 0.05 was considered as statistically significant. RESULTS: After screening 516 studies across the globe, 43 studies from 12 countries were included in our final analysis. Patients with COVID-19 in America and Europe were older compared to their Asian counterparts. Europe had the highest percentage of male patients. American and European patients had a higher incidence of co-morbid conditions (p &lt; 0.05 for all variables). In-hospital mortality was significantly higher in America (22.23%) and Europe (22.9%) compared to Asia (12.65%) (p &lt; 0.0001), but no difference was seen when compared with each other (p = 0.49). CONCLUSIONS: There is a significant variation in the clinical characteristics in patients diagnosed with COVID-19 across the globe. In-hospital mortality is similar between America and Europe, but considerably higher than Asia.","author":[{"dropping-particle":"","family":"Goel","given":"Sunny","non-dropping-particle":"","parse-names":false,"suffix":""},{"dropping-particle":"","family":"Jain","given":"Tarun","non-dropping-particle":"","parse-names":false,"suffix":""},{"dropping-particle":"","family":"Hooda","given":"Amit","non-dropping-particle":"","parse-names":false,"suffix":""},{"dropping-particle":"","family":"Malhotra","given":"Rohit","non-dropping-particle":"","parse-names":false,"suffix":""},{"dropping-particle":"","family":"Johal","given":"Gurpreet","non-dropping-particle":"","parse-names":false,"suffix":""},{"dropping-particle":"","family":"Masoomi","given":"Reza","non-dropping-particle":"","parse-names":false,"suffix":""},{"dropping-particle":"","family":"Kamran","given":"Haroon","non-dropping-particle":"","parse-names":false,"suffix":""},{"dropping-particle":"","family":"Krishnamoorthy","given":"Parasuram Melarcode","non-dropping-particle":"","parse-names":false,"suffix":""},{"dropping-particle":"","family":"Senguttuvan","given":"Nagendra Boopathy","non-dropping-particle":"","parse-names":false,"suffix":""},{"dropping-particle":"","family":"Sharma","given":"Abhishek","non-dropping-particle":"","parse-names":false,"suffix":""},{"dropping-particle":"","family":"Gidwani","given":"Umesh","non-dropping-particle":"","parse-names":false,"suffix":""}],"container-title":"Cardiology and Therapy","id":"ITEM-1","issue":"2","issued":{"date-parts":[["2020","12","18"]]},"page":"553-559","publisher":"Springer Science and Business Media LLC","title":"Clinical Characteristics and In-Hospital Mortality for COVID-19 Across The Globe","type":"article-journal","volume":"9"},"uris":["http://www.mendeley.com/documents/?uuid=170d705c-897b-3784-8658-dd9a05e64690"]}],"mendeley":{"formattedCitation":"[23]","plainTextFormattedCitation":"[23]","previouslyFormattedCitation":"&lt;sup&gt;23&lt;/sup&gt;"},"properties":{"noteIndex":0},"schema":"https://github.com/citation-style-language/schema/raw/master/csl-citation.json"}</w:instrText>
      </w:r>
      <w:r w:rsidR="000D4C3A" w:rsidRPr="000D4C3A">
        <w:rPr>
          <w:iCs/>
          <w:lang w:val="en-ZA"/>
        </w:rPr>
        <w:fldChar w:fldCharType="separate"/>
      </w:r>
      <w:r w:rsidR="00CA13B1" w:rsidRPr="00CA13B1">
        <w:rPr>
          <w:iCs/>
          <w:noProof/>
          <w:lang w:val="en-ZA"/>
        </w:rPr>
        <w:t>[23]</w:t>
      </w:r>
      <w:r w:rsidR="000D4C3A" w:rsidRPr="000D4C3A">
        <w:rPr>
          <w:iCs/>
          <w:lang w:val="en-ZA"/>
        </w:rPr>
        <w:fldChar w:fldCharType="end"/>
      </w:r>
      <w:r w:rsidR="00EA2142" w:rsidRPr="000D4C3A">
        <w:rPr>
          <w:iCs/>
          <w:lang w:val="en-ZA"/>
        </w:rPr>
        <w:t xml:space="preserve">.  </w:t>
      </w:r>
      <w:r w:rsidR="00ED09B1" w:rsidRPr="00D02EC8">
        <w:t>In the present study,</w:t>
      </w:r>
      <w:r w:rsidR="00794913" w:rsidRPr="00D02EC8">
        <w:t xml:space="preserve"> </w:t>
      </w:r>
      <w:r w:rsidR="00ED09B1" w:rsidRPr="007971D8">
        <w:t xml:space="preserve">the </w:t>
      </w:r>
      <w:r w:rsidR="00794913" w:rsidRPr="00A316E3">
        <w:t>admission rate to ICU was</w:t>
      </w:r>
      <w:r w:rsidR="001F11C5" w:rsidRPr="003A580B">
        <w:t xml:space="preserve"> </w:t>
      </w:r>
      <w:r w:rsidR="00164500" w:rsidRPr="003A580B">
        <w:t>1</w:t>
      </w:r>
      <w:r w:rsidR="00794913" w:rsidRPr="009615C5">
        <w:t>4</w:t>
      </w:r>
      <w:r w:rsidR="00164500" w:rsidRPr="009615C5">
        <w:t>%</w:t>
      </w:r>
      <w:r w:rsidR="00EA2142" w:rsidRPr="009615C5">
        <w:t xml:space="preserve"> and previous studies have reported that </w:t>
      </w:r>
      <w:r w:rsidR="00C467B4" w:rsidRPr="009615C5">
        <w:t>rates for patients requiring admission to I</w:t>
      </w:r>
      <w:r w:rsidR="00CC6C40" w:rsidRPr="009615C5">
        <w:t>CU</w:t>
      </w:r>
      <w:r w:rsidR="00794913" w:rsidRPr="009615C5">
        <w:t xml:space="preserve"> </w:t>
      </w:r>
      <w:r w:rsidR="00794913" w:rsidRPr="00297069">
        <w:t>rang</w:t>
      </w:r>
      <w:r w:rsidR="00EA2142" w:rsidRPr="00297069">
        <w:t>es</w:t>
      </w:r>
      <w:r w:rsidR="00794913" w:rsidRPr="00297069">
        <w:t xml:space="preserve"> from </w:t>
      </w:r>
      <w:r w:rsidR="00750977" w:rsidRPr="00297069">
        <w:rPr>
          <w:bCs/>
          <w:iCs/>
          <w:color w:val="000000"/>
          <w:lang w:val="en-ZA"/>
        </w:rPr>
        <w:t xml:space="preserve">5% </w:t>
      </w:r>
      <w:r w:rsidR="00794913" w:rsidRPr="000D4C3A">
        <w:rPr>
          <w:bCs/>
          <w:iCs/>
          <w:color w:val="000000"/>
          <w:lang w:val="en-ZA"/>
        </w:rPr>
        <w:t xml:space="preserve">to </w:t>
      </w:r>
      <w:r w:rsidR="00495FA4" w:rsidRPr="000D4C3A">
        <w:rPr>
          <w:bCs/>
          <w:iCs/>
          <w:color w:val="000000"/>
          <w:lang w:val="en-ZA"/>
        </w:rPr>
        <w:t>2</w:t>
      </w:r>
      <w:r w:rsidR="00F2289C" w:rsidRPr="000D4C3A">
        <w:rPr>
          <w:bCs/>
          <w:iCs/>
          <w:color w:val="000000"/>
          <w:lang w:val="en-ZA"/>
        </w:rPr>
        <w:t>6</w:t>
      </w:r>
      <w:r w:rsidR="00495FA4" w:rsidRPr="000D4C3A">
        <w:rPr>
          <w:bCs/>
          <w:iCs/>
          <w:color w:val="000000"/>
          <w:lang w:val="en-ZA"/>
        </w:rPr>
        <w:t>%</w:t>
      </w:r>
      <w:r w:rsidR="00CA13B1">
        <w:rPr>
          <w:bCs/>
          <w:iCs/>
          <w:color w:val="000000"/>
          <w:lang w:val="en-ZA"/>
        </w:rPr>
        <w:t xml:space="preserve"> </w:t>
      </w:r>
      <w:r w:rsidR="00F2289C" w:rsidRPr="000D4C3A">
        <w:rPr>
          <w:rStyle w:val="FootnoteReference"/>
          <w:bCs/>
          <w:iCs/>
          <w:color w:val="000000"/>
          <w:lang w:val="en-ZA"/>
        </w:rPr>
        <w:fldChar w:fldCharType="begin" w:fldLock="1"/>
      </w:r>
      <w:r w:rsidR="00CA13B1">
        <w:rPr>
          <w:bCs/>
          <w:iCs/>
          <w:color w:val="000000"/>
          <w:lang w:val="en-ZA"/>
        </w:rPr>
        <w:instrText>ADDIN CSL_CITATION {"citationItems":[{"id":"ITEM-1","itemData":{"abstract":"This document is intended for clinicians taking care of hospitalised adult and paediatric patients with severe acute respiratory infection (SARI) when a nCoV infection is suspected. It is not meant to replace clinical judgment or specialist consultation but rather to strengthen clinical management of these patients and provide to up-to-date guidance. Best practices for SARI including IPC and optimized supportive care for severely ill patients are essential.","author":[{"dropping-particle":"","family":"WHO","given":"","non-dropping-particle":"","parse-names":false,"suffix":""}],"id":"ITEM-1","issue":"March","issued":{"date-parts":[["2020"]]},"title":"Clinical management of severe acute respiratory infection when novel coronavirus (nCoV) infection is suspected","type":"article-journal","volume":"2019"},"uris":["http://www.mendeley.com/documents/?uuid=9f772a8c-09c6-451c-aa7e-0c9ed155b37c"]},{"id":"ITEM-2","itemData":{"DOI":"10.1186/s13054-020-02957-9","ISSN":"1466609X","PMID":"32414403","author":[{"dropping-particle":"","family":"Immovilli","given":"Paolo","non-dropping-particle":"","parse-names":false,"suffix":""},{"dropping-particle":"","family":"Morelli","given":"Nicola","non-dropping-particle":"","parse-names":false,"suffix":""},{"dropping-particle":"","family":"Antonucci","given":"Elio","non-dropping-particle":"","parse-names":false,"suffix":""},{"dropping-particle":"","family":"Radaelli","given":"Guido","non-dropping-particle":"","parse-names":false,"suffix":""},{"dropping-particle":"","family":"Barbera","given":"Mario","non-dropping-particle":"","parse-names":false,"suffix":""},{"dropping-particle":"","family":"Guidetti","given":"Donata","non-dropping-particle":"","parse-names":false,"suffix":""}],"container-title":"Critical Care","id":"ITEM-2","issue":"1","issued":{"date-parts":[["2020","12","15"]]},"page":"228","publisher":"BioMed Central Ltd.","title":"COVID-19 mortality and ICU admission: The Italian experience","type":"article","volume":"24"},"uris":["http://www.mendeley.com/documents/?uuid=9d3c1c6e-90be-313f-9cbb-ffb5c22fbaa8"]},{"id":"ITEM-3","itemData":{"DOI":"10.1001/jama.2020.6775","ISSN":"0098-7484","abstract":"Importance: There is limited information describing the presenting characteristics and outcomes of US patients requiring hospitalization for coronavirus disease 2019 (COVID-19). 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 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As of April 4, 2020, for patients requiring mechanical ventilation (n = 1151, 20.2%), 38 (3.3%) were discharged alive, 282 (24.5%) died, and 831 (72.2%) remained in hospital.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2.4-8…","author":[{"dropping-particle":"","family":"Richardson","given":"Safiya","non-dropping-particle":"","parse-names":false,"suffix":""},{"dropping-particle":"","family":"Hirsch","given":"Jamie S.","non-dropping-particle":"","parse-names":false,"suffix":""},{"dropping-particle":"","family":"Narasimhan","given":"Mangala","non-dropping-particle":"","parse-names":false,"suffix":""},{"dropping-particle":"","family":"Crawford","given":"James M.","non-dropping-particle":"","parse-names":false,"suffix":""},{"dropping-particle":"","family":"McGinn","given":"Thomas","non-dropping-particle":"","parse-names":false,"suffix":""},{"dropping-particle":"","family":"Davidson","given":"Karina W.","non-dropping-particle":"","parse-names":false,"suffix":""},{"dropping-particle":"","family":"Barnaby","given":"Douglas P.","non-dropping-particle":"","parse-names":false,"suffix":""},{"dropping-particle":"","family":"Becker","given":"Lance B.","non-dropping-particle":"","parse-names":false,"suffix":""},{"dropping-particle":"","family":"Chelico","given":"John D.","non-dropping-particle":"","parse-names":false,"suffix":""},{"dropping-particle":"","family":"Cohen","given":"Stuart L.","non-dropping-particle":"","parse-names":false,"suffix":""},{"dropping-particle":"","family":"Cookingham","given":"Jennifer","non-dropping-particle":"","parse-names":false,"suffix":""},{"dropping-particle":"","family":"Coppa","given":"Kevin","non-dropping-particle":"","parse-names":false,"suffix":""},{"dropping-particle":"","family":"Diefenbach","given":"Michael A.","non-dropping-particle":"","parse-names":false,"suffix":""},{"dropping-particle":"","family":"Dominello","given":"Andrew J.","non-dropping-particle":"","parse-names":false,"suffix":""},{"dropping-particle":"","family":"Duer-Hefele","given":"Joan","non-dropping-particle":"","parse-names":false,"suffix":""},{"dropping-particle":"","family":"Falzon","given":"Louise","non-dropping-particle":"","parse-names":false,"suffix":""},{"dropping-particle":"","family":"Gitlin","given":"Jordan","non-dropping-particle":"","parse-names":false,"suffix":""},{"dropping-particle":"","family":"Hajizadeh","given":"Negin","non-dropping-particle":"","parse-names":false,"suffix":""},{"dropping-particle":"","family":"Harvin","given":"Tiffany G.","non-dropping-particle":"","parse-names":false,"suffix":""},{"dropping-particle":"","family":"Hirschwerk","given":"David A.","non-dropping-particle":"","parse-names":false,"suffix":""},{"dropping-particle":"","family":"Kim","given":"Eun Ji","non-dropping-particle":"","parse-names":false,"suffix":""},{"dropping-particle":"","family":"Kozel","given":"Zachary M.","non-dropping-particle":"","parse-names":false,"suffix":""},{"dropping-particle":"","family":"Marrast","given":"Lyndonna M.","non-dropping-particle":"","parse-names":false,"suffix":""},{"dropping-particle":"","family":"Mogavero","given":"Jazmin N.","non-dropping-particle":"","parse-names":false,"suffix":""},{"dropping-particle":"","family":"Osorio","given":"Gabrielle A.","non-dropping-particle":"","parse-names":false,"suffix":""},{"dropping-particle":"","family":"Qiu","given":"Michael","non-dropping-particle":"","parse-names":false,"suffix":""},{"dropping-particle":"","family":"Zanos","given":"Theodoros P.","non-dropping-particle":"","parse-names":false,"suffix":""}],"container-title":"JAMA","id":"ITEM-3","issue":"20","issued":{"date-parts":[["2020","5","26"]]},"page":"2052","publisher":"American Medical Association","title":"Presenting Characteristics, Comorbidities, and Outcomes Among 5700 Patients Hospitalized With COVID-19 in the New York City Area","type":"article-journal","volume":"323"},"uris":["http://www.mendeley.com/documents/?uuid=f7625cd7-484c-39ef-8ab0-ec0d5f2a5fa4"]},{"id":"ITEM-4","itemData":{"DOI":"10.1001/jamainternmed.2020.0994","ISSN":"2168-6106","abstract":"Importance: Coronavirus disease 2019 (COVID-19) is an emerging infectious disease that was first reported in Wuhan, China, and has subsequently spread worldwide. Risk factors for the clinical outcomes of COVID-19 pneumonia have not yet been well delineated. Objective: To describe the clinical characteristics and outcomes in patients with COVID-19 pneumonia who developed acute respiratory distress syndrome (ARDS) or died. Design, Setting, and Participants: Retrospective cohort study of 201 patients with confirmed COVID-19 pneumonia admitted to Wuhan Jinyintan Hospital in China between December 25, 2019, and January 26, 2020. The final date of follow-up was February 13, 2020. Exposures: Confirmed COVID-19 pneumonia. Main Outcomes and Measures: The development of ARDS and death. Epidemiological, demographic, clinical, laboratory, management, treatment, and outcome data were also collected and analyzed. Results: Of 201 patients, the median age was 51 years (interquartile range, 43-60 years), and 128 (63.7%) patients were men. Eighty-four patients (41.8%) developed ARDS, and of those 84 patients, 44 (52.4%) died. In those who developed ARDS, compared with those who did not, more patients presented with dyspnea (50 of 84 [59.5%] patients and 30 of 117 [25.6%] patients, respectively [difference, 33.9%; 95% CI, 19.7%-48.1%]) and had comorbidities such as hypertension (23 of 84 [27.4%] patients and 16 of 117 [13.7%] patients, respectively [difference, 13.7%; 95% CI, 1.3%-26.1%]) and diabetes (16 of 84 [19.0%] patients and 6 of 117 [5.1%] patients, respectively [difference, 13.9%; 95% CI, 3.6%-24.2%]). In bivariate Cox regression analysis, risk factors associated with the development of ARDS and progression from ARDS to death included older age (hazard ratio [HR], 3.26; 95% CI 2.08-5.11; and HR, 6.17; 95% CI, 3.26-11.67, respectively), neutrophilia (HR, 1.14; 95% CI, 1.09-1.19; and HR, 1.08; 95% CI, 1.01-1.17, respectively), and organ and coagulation dysfunction (eg, higher lactate dehydrogenase [HR, 1.61; 95% CI, 1.44-1.79; and HR, 1.30; 95% CI, 1.11-1.52, respectively] and D-dimer [HR, 1.03; 95% CI, 1.01-1.04; and HR, 1.02; 95% CI, 1.01-1.04, respectively]). High fever (≥39 °C) was associated with higher likelihood of ARDS development (HR, 1.77; 95% CI, 1.11-2.84) and lower likelihood of death (HR, 0.41; 95% CI, 0.21-0.82). Among patients with ARDS, treatment with methylprednisolone decreased the risk of death (HR, 0.38; 95% CI, 0.20-0.72). Conclusions and Rele…","author":[{"dropping-particle":"","family":"Wu","given":"Chaomin","non-dropping-particle":"","parse-names":false,"suffix":""},{"dropping-particle":"","family":"Chen","given":"Xiaoyan","non-dropping-particle":"","parse-names":false,"suffix":""},{"dropping-particle":"","family":"Cai","given":"Yanping","non-dropping-particle":"","parse-names":false,"suffix":""},{"dropping-particle":"","family":"Xia","given":"Jia’an","non-dropping-particle":"","parse-names":false,"suffix":""},{"dropping-particle":"","family":"Zhou","given":"Xing","non-dropping-particle":"","parse-names":false,"suffix":""},{"dropping-particle":"","family":"Xu","given":"Sha","non-dropping-particle":"","parse-names":false,"suffix":""},{"dropping-particle":"","family":"Huang","given":"Hanping","non-dropping-particle":"","parse-names":false,"suffix":""},{"dropping-particle":"","family":"Zhang","given":"Li","non-dropping-particle":"","parse-names":false,"suffix":""},{"dropping-particle":"","family":"Zhou","given":"Xia","non-dropping-particle":"","parse-names":false,"suffix":""},{"dropping-particle":"","family":"Du","given":"Chunling","non-dropping-particle":"","parse-names":false,"suffix":""},{"dropping-particle":"","family":"Zhang","given":"Yuye","non-dropping-particle":"","parse-names":false,"suffix":""},{"dropping-particle":"","family":"Song","given":"Juan","non-dropping-particle":"","parse-names":false,"suffix":""},{"dropping-particle":"","family":"Wang","given":"Sijiao","non-dropping-particle":"","parse-names":false,"suffix":""},{"dropping-particle":"","family":"Chao","given":"Yencheng","non-dropping-particle":"","parse-names":false,"suffix":""},{"dropping-particle":"","family":"Yang","given":"Zeyong","non-dropping-particle":"","parse-names":false,"suffix":""},{"dropping-particle":"","family":"Xu","given":"Jie","non-dropping-particle":"","parse-names":false,"suffix":""},{"dropping-particle":"","family":"Zhou","given":"Xin","non-dropping-particle":"","parse-names":false,"suffix":""},{"dropping-particle":"","family":"Chen","given":"Dechang","non-dropping-particle":"","parse-names":false,"suffix":""},{"dropping-particle":"","family":"Xiong","given":"Weining","non-dropping-particle":"","parse-names":false,"suffix":""},{"dropping-particle":"","family":"Xu","given":"Lei","non-dropping-particle":"","parse-names":false,"suffix":""},{"dropping-particle":"","family":"Zhou","given":"Feng","non-dropping-particle":"","parse-names":false,"suffix":""},{"dropping-particle":"","family":"Jiang","given":"Jinjun","non-dropping-particle":"","parse-names":false,"suffix":""},{"dropping-particle":"","family":"Bai","given":"Chunxue","non-dropping-particle":"","parse-names":false,"suffix":""},{"dropping-particle":"","family":"Zheng","given":"Junhua","non-dropping-particle":"","parse-names":false,"suffix":""},{"dropping-particle":"","family":"Song","given":"Yuanlin","non-dropping-particle":"","parse-names":false,"suffix":""}],"container-title":"JAMA Internal Medicine","id":"ITEM-4","issue":"7","issued":{"date-parts":[["2020","7","1"]]},"page":"934","publisher":"American Medical Association","title":"Risk Factors Associated With Acute Respiratory Distress Syndrome and Death in Patients With Coronavirus Disease 2019 Pneumonia in Wuhan, China","type":"article-journal","volume":"180"},"uris":["http://www.mendeley.com/documents/?uuid=86c08836-23f6-34e0-ac82-58ae78606c94"]},{"id":"ITEM-5","itemData":{"DOI":"10.1001/jama.2020.1585","ISSN":"15383598","PMID":"32031570","abstract":"Importance: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Association","id":"ITEM-5","issue":"11","issued":{"date-parts":[["2020","3","17"]]},"page":"1061-1069","publisher":"American Medical Association","title":"Clinical Characteristics of 138 Hospitalized Patients with 2019 Novel Coronavirus-Infected Pneumonia in Wuhan, China","type":"article-journal","volume":"323"},"uris":["http://www.mendeley.com/documents/?uuid=93c34cb7-f567-30c4-81d4-022cf9b6dc30"]}],"mendeley":{"formattedCitation":"[5,6,24–26]","plainTextFormattedCitation":"[5,6,24–26]","previouslyFormattedCitation":"&lt;sup&gt;5,6,24–26&lt;/sup&gt;"},"properties":{"noteIndex":0},"schema":"https://github.com/citation-style-language/schema/raw/master/csl-citation.json"}</w:instrText>
      </w:r>
      <w:r w:rsidR="00F2289C" w:rsidRPr="000D4C3A">
        <w:rPr>
          <w:rStyle w:val="FootnoteReference"/>
          <w:bCs/>
          <w:iCs/>
          <w:color w:val="000000"/>
          <w:lang w:val="en-ZA"/>
        </w:rPr>
        <w:fldChar w:fldCharType="separate"/>
      </w:r>
      <w:r w:rsidR="00CA13B1" w:rsidRPr="00CA13B1">
        <w:rPr>
          <w:bCs/>
          <w:iCs/>
          <w:noProof/>
          <w:color w:val="000000"/>
          <w:lang w:val="en-ZA"/>
        </w:rPr>
        <w:t>[5,6,24–26]</w:t>
      </w:r>
      <w:r w:rsidR="00F2289C" w:rsidRPr="000D4C3A">
        <w:rPr>
          <w:rStyle w:val="FootnoteReference"/>
          <w:bCs/>
          <w:iCs/>
          <w:color w:val="000000"/>
          <w:lang w:val="en-ZA"/>
        </w:rPr>
        <w:fldChar w:fldCharType="end"/>
      </w:r>
      <w:r w:rsidR="00CA13B1">
        <w:rPr>
          <w:bCs/>
          <w:iCs/>
          <w:color w:val="000000"/>
          <w:lang w:val="en-ZA"/>
        </w:rPr>
        <w:t>.</w:t>
      </w:r>
      <w:r w:rsidR="00B269E5" w:rsidRPr="000D4C3A">
        <w:rPr>
          <w:bCs/>
          <w:iCs/>
          <w:color w:val="000000"/>
          <w:lang w:val="en-ZA"/>
        </w:rPr>
        <w:t xml:space="preserve">  In this study,</w:t>
      </w:r>
      <w:r w:rsidR="00272241" w:rsidRPr="000D4C3A">
        <w:rPr>
          <w:bCs/>
          <w:iCs/>
          <w:color w:val="000000"/>
          <w:lang w:val="en-ZA"/>
        </w:rPr>
        <w:t xml:space="preserve">  </w:t>
      </w:r>
      <w:r w:rsidR="009A329F" w:rsidRPr="000D4C3A">
        <w:rPr>
          <w:bCs/>
          <w:iCs/>
          <w:color w:val="000000"/>
          <w:lang w:val="en-ZA"/>
        </w:rPr>
        <w:t xml:space="preserve">the </w:t>
      </w:r>
      <w:r w:rsidR="0028292F" w:rsidRPr="000D4C3A">
        <w:rPr>
          <w:bCs/>
          <w:iCs/>
          <w:color w:val="000000"/>
          <w:lang w:val="en-ZA"/>
        </w:rPr>
        <w:t>mortality</w:t>
      </w:r>
      <w:r w:rsidR="00CF520A" w:rsidRPr="000D4C3A">
        <w:rPr>
          <w:bCs/>
          <w:iCs/>
          <w:color w:val="000000"/>
          <w:lang w:val="en-ZA"/>
        </w:rPr>
        <w:t xml:space="preserve"> rate</w:t>
      </w:r>
      <w:r w:rsidR="00272241" w:rsidRPr="000D4C3A">
        <w:rPr>
          <w:bCs/>
          <w:iCs/>
          <w:color w:val="000000"/>
          <w:lang w:val="en-ZA"/>
        </w:rPr>
        <w:t xml:space="preserve"> among those admitted to ICU was high a</w:t>
      </w:r>
      <w:r w:rsidR="00835463" w:rsidRPr="000D4C3A">
        <w:rPr>
          <w:bCs/>
          <w:iCs/>
          <w:color w:val="000000"/>
          <w:lang w:val="en-ZA"/>
        </w:rPr>
        <w:t>t</w:t>
      </w:r>
      <w:r w:rsidR="00272241" w:rsidRPr="000D4C3A">
        <w:rPr>
          <w:bCs/>
          <w:iCs/>
          <w:color w:val="000000"/>
          <w:lang w:val="en-ZA"/>
        </w:rPr>
        <w:t xml:space="preserve"> 82%</w:t>
      </w:r>
      <w:r w:rsidR="00B269E5" w:rsidRPr="000D4C3A">
        <w:rPr>
          <w:bCs/>
          <w:iCs/>
          <w:color w:val="000000"/>
          <w:lang w:val="en-ZA"/>
        </w:rPr>
        <w:t xml:space="preserve">, </w:t>
      </w:r>
      <w:r w:rsidR="00EA2142" w:rsidRPr="00D02EC8">
        <w:rPr>
          <w:bCs/>
          <w:iCs/>
          <w:color w:val="000000"/>
          <w:lang w:val="en-ZA"/>
        </w:rPr>
        <w:t xml:space="preserve">corroborates with </w:t>
      </w:r>
      <w:r w:rsidR="00EA2142" w:rsidRPr="007971D8">
        <w:rPr>
          <w:bCs/>
          <w:iCs/>
          <w:color w:val="000000"/>
          <w:lang w:val="en-ZA"/>
        </w:rPr>
        <w:t>those</w:t>
      </w:r>
      <w:r w:rsidR="00EA2142" w:rsidRPr="00A316E3">
        <w:rPr>
          <w:bCs/>
          <w:iCs/>
          <w:color w:val="000000"/>
          <w:lang w:val="en-ZA"/>
        </w:rPr>
        <w:t xml:space="preserve"> </w:t>
      </w:r>
      <w:r w:rsidR="00ED09B1" w:rsidRPr="003A580B">
        <w:rPr>
          <w:bCs/>
          <w:iCs/>
          <w:color w:val="000000"/>
          <w:lang w:val="en-ZA"/>
        </w:rPr>
        <w:t xml:space="preserve"> </w:t>
      </w:r>
      <w:r w:rsidR="00C915DF" w:rsidRPr="003A580B">
        <w:rPr>
          <w:bCs/>
          <w:iCs/>
          <w:color w:val="000000"/>
          <w:lang w:val="en-ZA"/>
        </w:rPr>
        <w:t>described in</w:t>
      </w:r>
      <w:r w:rsidR="00C915DF" w:rsidRPr="009615C5">
        <w:rPr>
          <w:bCs/>
          <w:iCs/>
          <w:color w:val="000000"/>
          <w:lang w:val="en-ZA"/>
        </w:rPr>
        <w:t xml:space="preserve"> the</w:t>
      </w:r>
      <w:r w:rsidR="00CF520A" w:rsidRPr="009615C5">
        <w:rPr>
          <w:bCs/>
          <w:iCs/>
          <w:color w:val="000000"/>
          <w:lang w:val="en-ZA"/>
        </w:rPr>
        <w:t xml:space="preserve"> </w:t>
      </w:r>
      <w:r w:rsidR="009919D5" w:rsidRPr="009615C5">
        <w:rPr>
          <w:bCs/>
          <w:iCs/>
          <w:color w:val="000000"/>
          <w:lang w:val="en-ZA"/>
        </w:rPr>
        <w:t>previous</w:t>
      </w:r>
      <w:r w:rsidR="00CF520A" w:rsidRPr="009615C5">
        <w:rPr>
          <w:bCs/>
          <w:iCs/>
          <w:color w:val="000000"/>
          <w:lang w:val="en-ZA"/>
        </w:rPr>
        <w:t xml:space="preserve"> studies</w:t>
      </w:r>
      <w:r w:rsidR="00CA13B1">
        <w:rPr>
          <w:bCs/>
          <w:iCs/>
          <w:color w:val="000000"/>
          <w:lang w:val="en-ZA"/>
        </w:rPr>
        <w:t xml:space="preserve"> </w:t>
      </w:r>
      <w:r w:rsidR="00B269E5" w:rsidRPr="000D4C3A">
        <w:rPr>
          <w:bCs/>
          <w:iCs/>
          <w:color w:val="000000"/>
          <w:lang w:val="en-ZA"/>
        </w:rPr>
        <w:fldChar w:fldCharType="begin" w:fldLock="1"/>
      </w:r>
      <w:r w:rsidR="00CA13B1">
        <w:rPr>
          <w:bCs/>
          <w:iCs/>
          <w:color w:val="000000"/>
          <w:lang w:val="en-ZA"/>
        </w:rPr>
        <w:instrText>ADDIN CSL_CITATION {"citationItems":[{"id":"ITEM-1","itemData":{"URL":"https://www.nejm.org/doi/full/10.1056/nejmoa2004500#","accessed":{"date-parts":[["2020","7","19"]]},"id":"ITEM-1","issued":{"date-parts":[["0"]]},"title":"Covid-19 in Critically Ill Patients in the Seattle Region — Case Series | NEJM","type":"webpage"},"uris":["http://www.mendeley.com/documents/?uuid=226c8e00-42d7-3d4d-8287-82ab1323e69d"]},{"id":"ITEM-2","itemData":{"DOI":"10.1097/ccm.0000000000004457","ISBN":"0000000000","ISSN":"0090-3493","PMID":"32452888","abstract":"OBJECTIVES To determine mortality rates among adults with critical illness from coronavirus disease 2019. DESIGN Observational cohort study of patients admitted from March 6, 2020, to April 17, 2020. SETTING Six coronavirus disease 2019 designated ICUs at three hospitals within an academic health center network in Atlanta, Georgia, United States. PATIENTS Adults greater than or equal to 18 years old with confirmed severe acute respiratory syndrome-CoV-2 disease who were admitted to an ICU during the study period. INTERVENTIONS None. MEASUREMENTS AND MAIN RESULTS Among 217 critically ill patients, mortality for those who required mechanical ventilation was 35.7% (59/165), with 4.8% of patients (8/165) still on the ventilator at the time of this report. Overall mortality to date in this critically ill cohort is 30.9% (67/217) and 60.4% (131/217) patients have survived to hospital discharge. Mortality was significantly associated with older age, lower body mass index, chronic renal disease, higher Sequential Organ Failure Assessment score, lower PaO2/FIO2 ratio, higher D-dimer, higher C-reactive protein, and receipt of mechanical ventilation, vasopressors, renal replacement therapy, or vasodilator therapy. CONCLUSIONS Despite multiple reports of mortality rates exceeding 50% among critically ill adults with coronavirus disease 2019, particularly among those requiring mechanical ventilation, our early experience indicates that many patients survive their critical illness.","author":[{"dropping-particle":"","family":"Auld","given":"Sara C.","non-dropping-particle":"","parse-names":false,"suffix":""},{"dropping-particle":"","family":"Caridi-Scheible","given":"Mark","non-dropping-particle":"","parse-names":false,"suffix":""},{"dropping-particle":"","family":"Blum","given":"James M.","non-dropping-particle":"","parse-names":false,"suffix":""},{"dropping-particle":"","family":"Robichaux","given":"Chad","non-dropping-particle":"","parse-names":false,"suffix":""},{"dropping-particle":"","family":"Kraft","given":"Colleen","non-dropping-particle":"","parse-names":false,"suffix":""},{"dropping-particle":"","family":"Jacob","given":"Jesse T.","non-dropping-particle":"","parse-names":false,"suffix":""},{"dropping-particle":"","family":"Jabaley","given":"Craig S.","non-dropping-particle":"","parse-names":false,"suffix":""},{"dropping-particle":"","family":"Carpenter","given":"David","non-dropping-particle":"","parse-names":false,"suffix":""},{"dropping-particle":"","family":"Kaplow","given":"Roberta","non-dropping-particle":"","parse-names":false,"suffix":""},{"dropping-particle":"","family":"Hernandez-Romieu","given":"Alfonso C.","non-dropping-particle":"","parse-names":false,"suffix":""},{"dropping-particle":"","family":"Adelman","given":"Max W.","non-dropping-particle":"","parse-names":false,"suffix":""},{"dropping-particle":"","family":"Martin","given":"Greg S.","non-dropping-particle":"","parse-names":false,"suffix":""},{"dropping-particle":"","family":"Coopersmith","given":"Craig M.","non-dropping-particle":"","parse-names":false,"suffix":""},{"dropping-particle":"","family":"Murphy","given":"David J.","non-dropping-particle":"","parse-names":false,"suffix":""}],"container-title":"Critical Care Medicine","id":"ITEM-2","issued":{"date-parts":[["2020"]]},"page":"1-6","title":"ICU and Ventilator Mortality Among Critically Ill Adults With Coronavirus Disease 2019","type":"article-journal","volume":"Publish Ah"},"uris":["http://www.mendeley.com/documents/?uuid=cde21811-5b72-4b5e-86be-89dc6f681204"]}],"mendeley":{"formattedCitation":"[27,28]","plainTextFormattedCitation":"[27,28]","previouslyFormattedCitation":"&lt;sup&gt;27,28&lt;/sup&gt;"},"properties":{"noteIndex":0},"schema":"https://github.com/citation-style-language/schema/raw/master/csl-citation.json"}</w:instrText>
      </w:r>
      <w:r w:rsidR="00B269E5" w:rsidRPr="000D4C3A">
        <w:rPr>
          <w:bCs/>
          <w:iCs/>
          <w:color w:val="000000"/>
          <w:lang w:val="en-ZA"/>
        </w:rPr>
        <w:fldChar w:fldCharType="separate"/>
      </w:r>
      <w:r w:rsidR="00CA13B1" w:rsidRPr="00CA13B1">
        <w:rPr>
          <w:bCs/>
          <w:iCs/>
          <w:noProof/>
          <w:color w:val="000000"/>
          <w:lang w:val="en-ZA"/>
        </w:rPr>
        <w:t>[27,28]</w:t>
      </w:r>
      <w:r w:rsidR="00B269E5" w:rsidRPr="000D4C3A">
        <w:rPr>
          <w:bCs/>
          <w:iCs/>
          <w:color w:val="000000"/>
          <w:lang w:val="en-ZA"/>
        </w:rPr>
        <w:fldChar w:fldCharType="end"/>
      </w:r>
      <w:r w:rsidR="00CA13B1">
        <w:rPr>
          <w:bCs/>
          <w:iCs/>
          <w:color w:val="000000"/>
          <w:lang w:val="en-ZA"/>
        </w:rPr>
        <w:t>.</w:t>
      </w:r>
      <w:r w:rsidR="009A329F" w:rsidRPr="000D4C3A">
        <w:rPr>
          <w:bCs/>
          <w:iCs/>
          <w:color w:val="000000"/>
          <w:lang w:val="en-ZA"/>
        </w:rPr>
        <w:t xml:space="preserve"> P</w:t>
      </w:r>
      <w:r w:rsidR="00A821E6" w:rsidRPr="000D4C3A">
        <w:rPr>
          <w:bCs/>
          <w:iCs/>
          <w:color w:val="000000"/>
          <w:lang w:val="en-ZA"/>
        </w:rPr>
        <w:t xml:space="preserve">revious studies have </w:t>
      </w:r>
      <w:r w:rsidR="00A821E6" w:rsidRPr="000D4C3A">
        <w:t xml:space="preserve">demonstrated </w:t>
      </w:r>
      <w:r w:rsidR="00D3026A" w:rsidRPr="000D4C3A">
        <w:t>that individuals</w:t>
      </w:r>
      <w:r w:rsidR="00A821E6" w:rsidRPr="000D4C3A">
        <w:rPr>
          <w:bCs/>
          <w:iCs/>
          <w:lang w:val="en-ZA"/>
        </w:rPr>
        <w:t xml:space="preserve"> aged over 60 years and those with underlying conditions are at </w:t>
      </w:r>
      <w:r w:rsidR="0066365F" w:rsidRPr="00D02EC8">
        <w:rPr>
          <w:bCs/>
          <w:iCs/>
          <w:lang w:val="en-ZA"/>
        </w:rPr>
        <w:t xml:space="preserve">the </w:t>
      </w:r>
      <w:r w:rsidR="00A821E6" w:rsidRPr="00D02EC8">
        <w:rPr>
          <w:bCs/>
          <w:iCs/>
          <w:lang w:val="en-ZA"/>
        </w:rPr>
        <w:t xml:space="preserve">highest risk for severe disease and poor clinical outcomes including </w:t>
      </w:r>
      <w:r w:rsidR="00FD74F6" w:rsidRPr="007971D8">
        <w:rPr>
          <w:bCs/>
          <w:iCs/>
          <w:lang w:val="en-ZA"/>
        </w:rPr>
        <w:t xml:space="preserve">high </w:t>
      </w:r>
      <w:r w:rsidR="0028292F" w:rsidRPr="000D4C3A">
        <w:rPr>
          <w:bCs/>
          <w:iCs/>
          <w:lang w:val="en-ZA"/>
        </w:rPr>
        <w:t>mortality</w:t>
      </w:r>
      <w:r w:rsidR="00CA13B1">
        <w:rPr>
          <w:bCs/>
          <w:iCs/>
          <w:lang w:val="en-ZA"/>
        </w:rPr>
        <w:t xml:space="preserve"> </w:t>
      </w:r>
      <w:r w:rsidR="00A821E6" w:rsidRPr="000D4C3A">
        <w:fldChar w:fldCharType="begin" w:fldLock="1"/>
      </w:r>
      <w:r w:rsidR="00CA13B1">
        <w:rPr>
          <w:bCs/>
          <w:iCs/>
          <w:lang w:val="en-ZA"/>
        </w:rPr>
        <w:instrText>ADDIN CSL_CITATION {"citationItems":[{"id":"ITEM-1","itemData":{"DOI":"10.15585/mmwr.mm6913e2","ISSN":"1545-861X","PMID":"32240123","abstract":"On March 11, 2020, the World Health Organization declared Coronavirus Disease 2019 (COVID-19) a pandemic (1). As of March 28, 2020, a total of 571,678 confirmed COVID-19 cases and 26,494 deaths have been reported worldwide (2). Reports from China and Italy suggest that risk factors for severe disease include older age and the presence of at least one of several underlying health conditions (3,4). U.S. older adults, including those aged ≥65 years and particularly those aged ≥85 years, also appear to be at higher risk for severe COVID-19-associated outcomes; however, data describing underlying health conditions among U.S. COVID-19 patients have not yet been reported (5). As of March 28, 2020, U.S. states and territories have reported 122,653 U.S. COVID-19 cases to CDC, including 7,162 (5.8%) for whom data on underlying health conditions and other known risk factors for severe outcomes from respiratory infections were reported. Among these 7,162 cases, 2,692 (37.6%) patients had one or more underlying health condition or risk factor, and 4,470 (62.4%) had none of these conditions reported. The percentage of COVID-19 patients with at least one underlying health condition or risk factor was higher among those requiring intensive care unit (ICU) admission (358 of 457, 78%) and those requiring hospitalization without ICU admission (732 of 1,037, 71%) than that among those who were not hospitalized (1,388 of 5,143, 27%). The most commonly reported conditions were diabetes mellitus, chronic lung disease, and cardiovascular disease. These preliminary findings suggest that in the United States, persons with underlying health conditions or other recognized risk factors for severe outcomes from respiratory infections appear to be at a higher risk for severe disease from COVID-19 than are persons without these conditions.","author":[{"dropping-particle":"","family":"CDC COVID-19 Response Team","given":"","non-dropping-particle":"","parse-names":false,"suffix":""}],"container-title":"MMWR. Morbidity and mortality weekly report","id":"ITEM-1","issue":"13","issued":{"date-parts":[["2020","4","3"]]},"page":"382-386","title":"Preliminary Estimates of the Prevalence of Selected Underlying Health Conditions Among Patients with Coronavirus Disease 2019 - United States, February 12-March 28, 2020.","type":"article-journal","volume":"69"},"uris":["http://www.mendeley.com/documents/?uuid=90f6dbe6-130a-3a49-aa02-df7515b818c6"]},{"id":"ITEM-2","itemData":{"abstract":"This document is intended for clinicians taking care of hospitalised adult and paediatric patients with severe acute respiratory infection (SARI) when a nCoV infection is suspected. It is not meant to replace clinical judgment or specialist consultation but rather to strengthen clinical management of these patients and provide to up-to-date guidance. Best practices for SARI including IPC and optimized supportive care for severely ill patients are essential.","author":[{"dropping-particle":"","family":"WHO","given":"","non-dropping-particle":"","parse-names":false,"suffix":""}],"id":"ITEM-2","issue":"March","issued":{"date-parts":[["2020"]]},"title":"Clinical management of severe acute respiratory infection when novel coronavirus (nCoV) infection is suspected","type":"article-journal","volume":"2019"},"uris":["http://www.mendeley.com/documents/?uuid=9f772a8c-09c6-451c-aa7e-0c9ed155b37c"]}],"mendeley":{"formattedCitation":"[5,14]","plainTextFormattedCitation":"[5,14]","previouslyFormattedCitation":"&lt;sup&gt;5,14&lt;/sup&gt;"},"properties":{"noteIndex":0},"schema":"https://github.com/citation-style-language/schema/raw/master/csl-citation.json"}</w:instrText>
      </w:r>
      <w:r w:rsidR="00A821E6" w:rsidRPr="000D4C3A">
        <w:fldChar w:fldCharType="separate"/>
      </w:r>
      <w:r w:rsidR="00CA13B1" w:rsidRPr="00CA13B1">
        <w:rPr>
          <w:bCs/>
          <w:iCs/>
          <w:noProof/>
          <w:lang w:val="en-ZA"/>
        </w:rPr>
        <w:t>[5,14]</w:t>
      </w:r>
      <w:r w:rsidR="00A821E6" w:rsidRPr="000D4C3A">
        <w:fldChar w:fldCharType="end"/>
      </w:r>
      <w:r w:rsidR="00CA13B1">
        <w:rPr>
          <w:lang w:val="en-US"/>
        </w:rPr>
        <w:t>.</w:t>
      </w:r>
      <w:r w:rsidR="00D50E75" w:rsidRPr="000D4C3A">
        <w:t xml:space="preserve"> </w:t>
      </w:r>
      <w:r w:rsidR="008A5B17" w:rsidRPr="000D4C3A">
        <w:t xml:space="preserve">ARDS </w:t>
      </w:r>
      <w:r w:rsidR="00F44DC4" w:rsidRPr="000D4C3A">
        <w:t>a</w:t>
      </w:r>
      <w:r w:rsidR="008A5B17" w:rsidRPr="000D4C3A">
        <w:t xml:space="preserve">nd pneumonia </w:t>
      </w:r>
      <w:r w:rsidR="00F44DC4" w:rsidRPr="000D4C3A">
        <w:t>were the complication</w:t>
      </w:r>
      <w:r w:rsidR="00570EFB" w:rsidRPr="000D4C3A">
        <w:t>s</w:t>
      </w:r>
      <w:r w:rsidR="00F44DC4" w:rsidRPr="000D4C3A">
        <w:t xml:space="preserve"> identified in this study, and </w:t>
      </w:r>
      <w:r w:rsidR="00F44DC4" w:rsidRPr="00D02EC8">
        <w:rPr>
          <w:bCs/>
          <w:iCs/>
          <w:color w:val="000000" w:themeColor="text1"/>
          <w:lang w:val="en-ZA"/>
        </w:rPr>
        <w:t>c</w:t>
      </w:r>
      <w:r w:rsidR="008A5B17" w:rsidRPr="00D02EC8">
        <w:rPr>
          <w:color w:val="000000" w:themeColor="text1"/>
        </w:rPr>
        <w:t xml:space="preserve">ox regression </w:t>
      </w:r>
      <w:r w:rsidR="00F44DC4" w:rsidRPr="007971D8">
        <w:t>analysis</w:t>
      </w:r>
      <w:r w:rsidR="00F44DC4" w:rsidRPr="00A316E3">
        <w:rPr>
          <w:color w:val="000000" w:themeColor="text1"/>
        </w:rPr>
        <w:t xml:space="preserve"> suggested </w:t>
      </w:r>
      <w:r w:rsidR="008A5B17" w:rsidRPr="003A580B">
        <w:rPr>
          <w:color w:val="000000" w:themeColor="text1"/>
        </w:rPr>
        <w:t xml:space="preserve">that </w:t>
      </w:r>
      <w:r w:rsidR="00F44DC4" w:rsidRPr="003A580B">
        <w:rPr>
          <w:color w:val="000000" w:themeColor="text1"/>
        </w:rPr>
        <w:t xml:space="preserve">at </w:t>
      </w:r>
      <w:r w:rsidR="008A5B17" w:rsidRPr="009615C5">
        <w:rPr>
          <w:color w:val="000000" w:themeColor="text1"/>
        </w:rPr>
        <w:t>any time</w:t>
      </w:r>
      <w:r w:rsidR="008A5B17" w:rsidRPr="009B79B5">
        <w:rPr>
          <w:color w:val="000000" w:themeColor="text1"/>
        </w:rPr>
        <w:t xml:space="preserve"> point, eleventh-folds as many patients succumbed proportionally to those without complications.</w:t>
      </w:r>
      <w:r w:rsidR="008A5B17" w:rsidRPr="009B79B5">
        <w:rPr>
          <w:color w:val="C00000"/>
        </w:rPr>
        <w:t xml:space="preserve"> </w:t>
      </w:r>
      <w:r w:rsidR="00F44DC4" w:rsidRPr="009B79B5">
        <w:t>However, it should be noted that n</w:t>
      </w:r>
      <w:r w:rsidR="00D50E75" w:rsidRPr="009B79B5">
        <w:t xml:space="preserve">one of </w:t>
      </w:r>
      <w:r w:rsidR="00D50E75" w:rsidRPr="00187155">
        <w:t>th</w:t>
      </w:r>
      <w:r w:rsidR="00187155">
        <w:t>e 4</w:t>
      </w:r>
      <w:r w:rsidR="00D50E75" w:rsidRPr="00187155">
        <w:t xml:space="preserve"> pregnant </w:t>
      </w:r>
      <w:r w:rsidR="00D50E75" w:rsidRPr="009B79B5">
        <w:t xml:space="preserve">women died or developed </w:t>
      </w:r>
      <w:r w:rsidR="0066365F" w:rsidRPr="009B79B5">
        <w:t>complications</w:t>
      </w:r>
      <w:r w:rsidR="00D50E75" w:rsidRPr="009B79B5">
        <w:t xml:space="preserve"> during the illness</w:t>
      </w:r>
      <w:r w:rsidR="00D3026A" w:rsidRPr="009B79B5">
        <w:t xml:space="preserve">. </w:t>
      </w:r>
    </w:p>
    <w:p w14:paraId="47CB5FBF" w14:textId="0A10F1A7" w:rsidR="00917655" w:rsidRPr="009B79B5" w:rsidRDefault="00412BA5" w:rsidP="00762196">
      <w:pPr>
        <w:spacing w:before="100" w:beforeAutospacing="1" w:after="100" w:afterAutospacing="1" w:line="360" w:lineRule="auto"/>
        <w:jc w:val="both"/>
      </w:pPr>
      <w:r>
        <w:t>O</w:t>
      </w:r>
      <w:r w:rsidR="003810F1" w:rsidRPr="009B79B5">
        <w:t xml:space="preserve">ur findings </w:t>
      </w:r>
      <w:r w:rsidR="00792185" w:rsidRPr="009B79B5">
        <w:t>suggest</w:t>
      </w:r>
      <w:r w:rsidR="003810F1" w:rsidRPr="009B79B5">
        <w:t xml:space="preserve"> that </w:t>
      </w:r>
      <w:r w:rsidR="00390DBD" w:rsidRPr="009B79B5">
        <w:t xml:space="preserve">clinical </w:t>
      </w:r>
      <w:r w:rsidR="003810F1" w:rsidRPr="009B79B5">
        <w:t>manifestations</w:t>
      </w:r>
      <w:r w:rsidR="00390DBD" w:rsidRPr="009B79B5">
        <w:t xml:space="preserve"> of </w:t>
      </w:r>
      <w:r w:rsidR="00646B65" w:rsidRPr="009B79B5">
        <w:t xml:space="preserve">COVID-19 </w:t>
      </w:r>
      <w:r w:rsidR="00FD74F6" w:rsidRPr="009B79B5">
        <w:t xml:space="preserve">that </w:t>
      </w:r>
      <w:r w:rsidR="0066365F" w:rsidRPr="009B79B5">
        <w:t>range</w:t>
      </w:r>
      <w:r w:rsidR="00FD74F6" w:rsidRPr="009B79B5">
        <w:t xml:space="preserve"> from </w:t>
      </w:r>
      <w:r w:rsidR="006B1826" w:rsidRPr="009B79B5">
        <w:t>asymptomatic</w:t>
      </w:r>
      <w:r w:rsidR="00FD74F6" w:rsidRPr="009B79B5">
        <w:t xml:space="preserve">, mild to </w:t>
      </w:r>
      <w:r w:rsidR="006D5B6F" w:rsidRPr="009B79B5">
        <w:t xml:space="preserve">acute </w:t>
      </w:r>
      <w:r w:rsidR="00FD74F6" w:rsidRPr="009B79B5">
        <w:t>respiratory failure and even death</w:t>
      </w:r>
      <w:r w:rsidR="006D5B6F" w:rsidRPr="009B79B5">
        <w:t>,</w:t>
      </w:r>
      <w:r w:rsidR="00390DBD" w:rsidRPr="009B79B5">
        <w:t xml:space="preserve"> </w:t>
      </w:r>
      <w:r w:rsidR="00B30E6B" w:rsidRPr="009B79B5">
        <w:t xml:space="preserve">were consistent with </w:t>
      </w:r>
      <w:r w:rsidR="00AB3F36" w:rsidRPr="009B79B5">
        <w:t xml:space="preserve">those </w:t>
      </w:r>
      <w:r w:rsidR="00390DBD" w:rsidRPr="009B79B5">
        <w:t>publishe</w:t>
      </w:r>
      <w:r w:rsidR="00390DBD" w:rsidRPr="009B79B5">
        <w:rPr>
          <w:color w:val="333333"/>
        </w:rPr>
        <w:t>d</w:t>
      </w:r>
      <w:r w:rsidR="006D5B6F" w:rsidRPr="009B79B5">
        <w:rPr>
          <w:color w:val="333333"/>
        </w:rPr>
        <w:t xml:space="preserve"> previously</w:t>
      </w:r>
      <w:r w:rsidR="00CA13B1">
        <w:rPr>
          <w:color w:val="333333"/>
          <w:lang w:val="en-US"/>
        </w:rPr>
        <w:t xml:space="preserve"> </w:t>
      </w:r>
      <w:r w:rsidR="00D92EE1" w:rsidRPr="009B79B5">
        <w:rPr>
          <w:rStyle w:val="FootnoteReference"/>
          <w:bCs/>
          <w:iCs/>
          <w:color w:val="000000"/>
          <w:lang w:val="en-ZA"/>
        </w:rPr>
        <w:fldChar w:fldCharType="begin" w:fldLock="1"/>
      </w:r>
      <w:r w:rsidR="00CA13B1">
        <w:rPr>
          <w:bCs/>
          <w:iCs/>
          <w:color w:val="000000"/>
          <w:lang w:val="en-ZA"/>
        </w:rPr>
        <w:instrText>ADDIN CSL_CITATION {"citationItems":[{"id":"ITEM-1","itemData":{"ISSN":"0924-8579","author":[{"dropping-particle":"","family":"Lai","given":"Chih-Cheng","non-dropping-particle":"","parse-names":false,"suffix":""},{"dropping-particle":"","family":"Shih","given":"Tzu-Ping","non-dropping-particle":"","parse-names":false,"suffix":""},{"dropping-particle":"","family":"Ko","given":"Wen-Chien","non-dropping-particle":"","parse-names":false,"suffix":""},{"dropping-particle":"","family":"Tang","given":"Hung-Jen","non-dropping-particle":"","parse-names":false,"suffix":""},{"dropping-particle":"","family":"Hsueh","given":"Po-Ren","non-dropping-particle":"","parse-names":false,"suffix":""}],"container-title":"International journal of antimicrobial agents","id":"ITEM-1","issued":{"date-parts":[["2020"]]},"page":"105924","publisher":"Elsevier","title":"Severe acute respiratory syndrome coronavirus 2 (SARS-CoV-2) and corona virus disease-2019 (COVID-19): the epidemic and the challenges","type":"article-journal"},"uris":["http://www.mendeley.com/documents/?uuid=fb795cac-41ae-4127-bb59-40fa1c5b2e62"]},{"id":"ITEM-2","itemData":{"author":[{"dropping-particle":"","family":"Wu","given":"Zunyou","non-dropping-particle":"","parse-names":false,"suffix":""},{"dropping-particle":"","family":"McGoogan","given":"Jennifer M","non-dropping-particle":"","parse-names":false,"suffix":""}],"container-title":"Jama","id":"ITEM-2","issued":{"date-parts":[["2020"]]},"title":"Characteristics of and important lessons from the coronavirus disease 2019 (COVID-19) outbreak in China: summary of a report of 72 314 cases from the Chinese Center for Disease Control and Prevention","type":"article-journal"},"uris":["http://www.mendeley.com/documents/?uuid=2882ac98-df58-42fb-b36f-6f9ef0fa5d34"]},{"id":"ITEM-3","itemData":{"DOI":"10.1056/NEJMoa2002032","ISSN":"15334406","PMID":"32109013","abstract":"BACKGROUND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Medicine","id":"ITEM-3","issue":"18","issued":{"date-parts":[["2020"]]},"page":"1708-1720","title":"Clinical characteristics of coronavirus disease 2019 in China","type":"article-journal","volume":"382"},"uris":["http://www.mendeley.com/documents/?uuid=c3389bec-050a-40cd-bea9-c2b4da95c087"]},{"id":"ITEM-4","itemData":{"DOI":"10.1001/jama.2020.1585","ISSN":"15383598","PMID":"32031570","abstract":"Importance: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Association","id":"ITEM-4","issue":"11","issued":{"date-parts":[["2020","3","17"]]},"page":"1061-1069","publisher":"American Medical Association","title":"Clinical Characteristics of 138 Hospitalized Patients with 2019 Novel Coronavirus-Infected Pneumonia in Wuhan, China","type":"article-journal","volume":"323"},"uris":["http://www.mendeley.com/documents/?uuid=93c34cb7-f567-30c4-81d4-022cf9b6dc30"]},{"id":"ITEM-5","itemData":{"PMID":"32150360","abstract":"According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-5","issued":{"date-parts":[["2020","4","6"]]},"publisher":"StatPearls Publishing","title":"Features, Evaluation and Treatment Coronavirus (COVID-19)","type":"book"},"uris":["http://www.mendeley.com/documents/?uuid=ef55aef5-40b9-3b47-bf42-662b4595e523"]},{"id":"ITEM-6","itemData":{"DOI":"10.1016/S0140-6736(20)30211-7","ISSN":"1474547X","PMID":"32007143","abstract":"Background: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Lancet","id":"ITEM-6","issue":"10223","issued":{"date-parts":[["2020","2","15"]]},"page":"507-513","publisher":"Lancet Publishing Group","title":"Epidemiological and clinical characteristics of 99 cases of 2019 novel coronavirus pneumonia in Wuhan, China: a descriptive study","type":"article-journal","volume":"395"},"uris":["http://www.mendeley.com/documents/?uuid=52125413-e611-3a73-8afe-9b8e51532dae"]},{"id":"ITEM-7","itemData":{"DOI":"10.14309/ajg.0000000000000620","ISSN":"0002-9270","abstract":"haracteristics, laboratory data, and treatment. Data were followed up until March 5th, 2020. Results: In the present study, 204 patients with COVID-19 and full laboratory, imaging, and historical data were analyzed. The average age was 54.9 years (SD +15.4), including 107 men and 97 women. We found that 99 patients (48.5%) presented to the hospital with digestive symptoms as their chief complaint. Patients with digestive symptoms had a significantly longer time from onset to admission than patients without digestive symptoms (9.0 days vs. 7.3 days). Patients with digestive symptoms had a variety of manifestations, such as anorexia (83 [83.8%] cases), diarrhea (29 [29.3%] cases), vomiting (8 [0.8%] cases), and abdominal pain (4 [0.4%] cases). In 7 cases there were digestive symptoms but no respiratory symptoms. As the severity of the disease increased, digestive symptoms became more pronounced. Patients without digestive symptoms were more likely to be cured and discharged than patients with digestive symptoms (60% vs. 34.3%). Laboratory data revealed no significant liver injury in this case series. Conclusion: We found that digestive symptoms are common in patients with COVID-19. Moreover, these patients have a longer time from onset to admission and their prognosis is worse than patients without digestive symptoms. Clinicians should recognize that digestive symptoms, such as diarrhea, may be a presenting feature of COVID-19, and that the index of suspicion may need to be raised earlier in at-risk patients presenting with digestive symptoms rather than waiting for respiratory symptoms to emerge.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Gastroenterology","id":"ITEM-7","issue":"5","issued":{"date-parts":[["2020","5"]]},"page":"766-773","publisher":"Ovid Technologies (Wolters Kluwer Health)","title":"Clinical Characteristics of COVID-19 Patients With Digestive Symptoms in Hubei, China","type":"article-journal","volume":"115"},"uris":["http://www.mendeley.com/documents/?uuid=aff7d0aa-2f52-3e0c-998b-7005d9b70529"]},{"id":"ITEM-8","itemData":{"DOI":"10.1016/S0140-6736(20)30183-5","abstract":"Background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Lancet","id":"ITEM-8","issued":{"date-parts":[["2020"]]},"page":"497-506","title":"Clinical features of patients infected with 2019 novel coronavirus in Wuhan, China","type":"article-journal","volume":"395"},"uris":["http://www.mendeley.com/documents/?uuid=e0579c8b-60a9-3b4e-8e67-c1d972a95494"]}],"mendeley":{"formattedCitation":"[6–13]","plainTextFormattedCitation":"[6–13]","previouslyFormattedCitation":"&lt;sup&gt;6–13&lt;/sup&gt;"},"properties":{"noteIndex":0},"schema":"https://github.com/citation-style-language/schema/raw/master/csl-citation.json"}</w:instrText>
      </w:r>
      <w:r w:rsidR="00D92EE1" w:rsidRPr="009B79B5">
        <w:rPr>
          <w:rStyle w:val="FootnoteReference"/>
          <w:bCs/>
          <w:iCs/>
          <w:color w:val="000000"/>
          <w:lang w:val="en-ZA"/>
        </w:rPr>
        <w:fldChar w:fldCharType="separate"/>
      </w:r>
      <w:r w:rsidR="00CA13B1" w:rsidRPr="00CA13B1">
        <w:rPr>
          <w:bCs/>
          <w:iCs/>
          <w:noProof/>
          <w:color w:val="000000"/>
          <w:lang w:val="en-ZA"/>
        </w:rPr>
        <w:t>[6–13]</w:t>
      </w:r>
      <w:r w:rsidR="00D92EE1" w:rsidRPr="009B79B5">
        <w:rPr>
          <w:rStyle w:val="FootnoteReference"/>
          <w:bCs/>
          <w:iCs/>
          <w:color w:val="000000"/>
          <w:lang w:val="en-ZA"/>
        </w:rPr>
        <w:fldChar w:fldCharType="end"/>
      </w:r>
      <w:r w:rsidR="00CA13B1">
        <w:rPr>
          <w:bCs/>
          <w:iCs/>
          <w:color w:val="000000"/>
          <w:lang w:val="en-ZA"/>
        </w:rPr>
        <w:t>.</w:t>
      </w:r>
      <w:r w:rsidR="00840408" w:rsidRPr="009B79B5">
        <w:t xml:space="preserve"> </w:t>
      </w:r>
      <w:r w:rsidR="00C467B4" w:rsidRPr="009B79B5">
        <w:t>V</w:t>
      </w:r>
      <w:r w:rsidR="00A85D0D" w:rsidRPr="009B79B5">
        <w:t xml:space="preserve">ariation </w:t>
      </w:r>
      <w:r w:rsidR="00607E42" w:rsidRPr="009B79B5">
        <w:t xml:space="preserve">in </w:t>
      </w:r>
      <w:r w:rsidR="00C467B4" w:rsidRPr="009B79B5">
        <w:t xml:space="preserve">proportions of symptoms and </w:t>
      </w:r>
      <w:r w:rsidR="00A85D0D" w:rsidRPr="009B79B5">
        <w:t xml:space="preserve">disease severity in this study can be attributed </w:t>
      </w:r>
      <w:r w:rsidR="00A85D0D" w:rsidRPr="009B79B5">
        <w:lastRenderedPageBreak/>
        <w:t>to geographical factors and</w:t>
      </w:r>
      <w:r w:rsidR="00414343">
        <w:t>/</w:t>
      </w:r>
      <w:r w:rsidR="00A85D0D" w:rsidRPr="009B79B5">
        <w:t>or merely by chance</w:t>
      </w:r>
      <w:r w:rsidR="005A283D" w:rsidRPr="009B79B5">
        <w:t>.</w:t>
      </w:r>
      <w:r w:rsidR="00607E42" w:rsidRPr="009B79B5">
        <w:t xml:space="preserve"> For example</w:t>
      </w:r>
      <w:r w:rsidR="007A53CF">
        <w:t>,</w:t>
      </w:r>
      <w:r w:rsidR="00607E42" w:rsidRPr="009B79B5">
        <w:t xml:space="preserve"> in our study</w:t>
      </w:r>
      <w:r w:rsidR="007A53CF">
        <w:t>,</w:t>
      </w:r>
      <w:r w:rsidR="00607E42" w:rsidRPr="009B79B5">
        <w:t xml:space="preserve"> headache was the most </w:t>
      </w:r>
      <w:r w:rsidR="007A53CF">
        <w:t xml:space="preserve">common complaint </w:t>
      </w:r>
      <w:r w:rsidR="00F90B36" w:rsidRPr="009B79B5">
        <w:t xml:space="preserve">among </w:t>
      </w:r>
      <w:r w:rsidR="005A44CD" w:rsidRPr="009B79B5">
        <w:t xml:space="preserve">COVID-19 </w:t>
      </w:r>
      <w:r w:rsidR="00F90B36" w:rsidRPr="009B79B5">
        <w:t>patients</w:t>
      </w:r>
      <w:r w:rsidR="00607E42" w:rsidRPr="009B79B5">
        <w:t xml:space="preserve"> while </w:t>
      </w:r>
      <w:r w:rsidR="007A53CF">
        <w:t>in China and New York</w:t>
      </w:r>
      <w:r w:rsidR="00414343">
        <w:t>,</w:t>
      </w:r>
      <w:r w:rsidR="007A53CF">
        <w:t xml:space="preserve"> </w:t>
      </w:r>
      <w:r w:rsidR="00F90B36" w:rsidRPr="009B79B5">
        <w:t>cough was the most presenting symptom reported</w:t>
      </w:r>
      <w:r w:rsidR="00CA13B1">
        <w:rPr>
          <w:lang w:val="en-US"/>
        </w:rPr>
        <w:t xml:space="preserve"> </w:t>
      </w:r>
      <w:r w:rsidR="00451F9F" w:rsidRPr="009B79B5">
        <w:fldChar w:fldCharType="begin" w:fldLock="1"/>
      </w:r>
      <w:r w:rsidR="00CA13B1">
        <w:instrText>ADDIN CSL_CITATION {"citationItems":[{"id":"ITEM-1","itemData":{"DOI":"10.1097/ccm.0000000000004457","ISBN":"0000000000","ISSN":"0090-3493","PMID":"32452888","abstract":"OBJECTIVES To determine mortality rates among adults with critical illness from coronavirus disease 2019. DESIGN Observational cohort study of patients admitted from March 6, 2020, to April 17, 2020. SETTING Six coronavirus disease 2019 designated ICUs at three hospitals within an academic health center network in Atlanta, Georgia, United States. PATIENTS Adults greater than or equal to 18 years old with confirmed severe acute respiratory syndrome-CoV-2 disease who were admitted to an ICU during the study period. INTERVENTIONS None. MEASUREMENTS AND MAIN RESULTS Among 217 critically ill patients, mortality for those who required mechanical ventilation was 35.7% (59/165), with 4.8% of patients (8/165) still on the ventilator at the time of this report. Overall mortality to date in this critically ill cohort is 30.9% (67/217) and 60.4% (131/217) patients have survived to hospital discharge. Mortality was significantly associated with older age, lower body mass index, chronic renal disease, higher Sequential Organ Failure Assessment score, lower PaO2/FIO2 ratio, higher D-dimer, higher C-reactive protein, and receipt of mechanical ventilation, vasopressors, renal replacement therapy, or vasodilator therapy. CONCLUSIONS Despite multiple reports of mortality rates exceeding 50% among critically ill adults with coronavirus disease 2019, particularly among those requiring mechanical ventilation, our early experience indicates that many patients survive their critical illness.","author":[{"dropping-particle":"","family":"Auld","given":"Sara C.","non-dropping-particle":"","parse-names":false,"suffix":""},{"dropping-particle":"","family":"Caridi-Scheible","given":"Mark","non-dropping-particle":"","parse-names":false,"suffix":""},{"dropping-particle":"","family":"Blum","given":"James M.","non-dropping-particle":"","parse-names":false,"suffix":""},{"dropping-particle":"","family":"Robichaux","given":"Chad","non-dropping-particle":"","parse-names":false,"suffix":""},{"dropping-particle":"","family":"Kraft","given":"Colleen","non-dropping-particle":"","parse-names":false,"suffix":""},{"dropping-particle":"","family":"Jacob","given":"Jesse T.","non-dropping-particle":"","parse-names":false,"suffix":""},{"dropping-particle":"","family":"Jabaley","given":"Craig S.","non-dropping-particle":"","parse-names":false,"suffix":""},{"dropping-particle":"","family":"Carpenter","given":"David","non-dropping-particle":"","parse-names":false,"suffix":""},{"dropping-particle":"","family":"Kaplow","given":"Roberta","non-dropping-particle":"","parse-names":false,"suffix":""},{"dropping-particle":"","family":"Hernandez-Romieu","given":"Alfonso C.","non-dropping-particle":"","parse-names":false,"suffix":""},{"dropping-particle":"","family":"Adelman","given":"Max W.","non-dropping-particle":"","parse-names":false,"suffix":""},{"dropping-particle":"","family":"Martin","given":"Greg S.","non-dropping-particle":"","parse-names":false,"suffix":""},{"dropping-particle":"","family":"Coopersmith","given":"Craig M.","non-dropping-particle":"","parse-names":false,"suffix":""},{"dropping-particle":"","family":"Murphy","given":"David J.","non-dropping-particle":"","parse-names":false,"suffix":""}],"container-title":"Critical Care Medicine","id":"ITEM-1","issued":{"date-parts":[["2020"]]},"page":"1-6","title":"ICU and Ventilator Mortality Among Critically Ill Adults With Coronavirus Disease 2019","type":"article-journal","volume":"Publish Ah"},"uris":["http://www.mendeley.com/documents/?uuid=cde21811-5b72-4b5e-86be-89dc6f681204"]},{"id":"ITEM-2","itemData":{"DOI":"10.1056/NEJMoa2002032","ISSN":"15334406","PMID":"32109013","abstract":"BACKGROUND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author":[{"dropping-particle":"","family":"Guan","given":"W.","non-dropping-particle":"","parse-names":false,"suffix":""},{"dropping-particle":"","family":"Ni","given":"Z.","non-dropping-particle":"","parse-names":false,"suffix":""},{"dropping-particle":"","family":"Hu","given":"Yu","non-dropping-particle":"","parse-names":false,"suffix":""},{"dropping-particle":"","family":"Liang","given":"W.","non-dropping-particle":"","parse-names":false,"suffix":""},{"dropping-particle":"","family":"Ou","given":"C.","non-dropping-particle":"","parse-names":false,"suffix":""},{"dropping-particle":"","family":"He","given":"J.","non-dropping-particle":"","parse-names":false,"suffix":""},{"dropping-particle":"","family":"Liu","given":"L.","non-dropping-particle":"","parse-names":false,"suffix":""},{"dropping-particle":"","family":"Shan","given":"H.","non-dropping-particle":"","parse-names":false,"suffix":""},{"dropping-particle":"","family":"Lei","given":"C.","non-dropping-particle":"","parse-names":false,"suffix":""},{"dropping-particle":"","family":"Hui","given":"D. S.C.","non-dropping-particle":"","parse-names":false,"suffix":""},{"dropping-particle":"","family":"Du","given":"B.","non-dropping-particle":"","parse-names":false,"suffix":""},{"dropping-particle":"","family":"Li","given":"L.","non-dropping-particle":"","parse-names":false,"suffix":""},{"dropping-particle":"","family":"Zeng","given":"G.","non-dropping-particle":"","parse-names":false,"suffix":""},{"dropping-particle":"","family":"Yuen","given":"K. Y.","non-dropping-particle":"","parse-names":false,"suffix":""},{"dropping-particle":"","family":"Chen","given":"R.","non-dropping-particle":"","parse-names":false,"suffix":""},{"dropping-particle":"","family":"Tang","given":"C.","non-dropping-particle":"","parse-names":false,"suffix":""},{"dropping-particle":"","family":"Wang","given":"T.","non-dropping-particle":"","parse-names":false,"suffix":""},{"dropping-particle":"","family":"Chen","given":"P.","non-dropping-particle":"","parse-names":false,"suffix":""},{"dropping-particle":"","family":"Xiang","given":"J.","non-dropping-particle":"","parse-names":false,"suffix":""},{"dropping-particle":"","family":"Li","given":"S.","non-dropping-particle":"","parse-names":false,"suffix":""},{"dropping-particle":"","family":"Wang","given":"Jin Lin","non-dropping-particle":"","parse-names":false,"suffix":""},{"dropping-particle":"","family":"Liang","given":"Z.","non-dropping-particle":"","parse-names":false,"suffix":""},{"dropping-particle":"","family":"Peng","given":"Y.","non-dropping-particle":"","parse-names":false,"suffix":""},{"dropping-particle":"","family":"Wei","given":"L.","non-dropping-particle":"","parse-names":false,"suffix":""},{"dropping-particle":"","family":"Liu","given":"Y.","non-dropping-particle":"","parse-names":false,"suffix":""},{"dropping-particle":"","family":"Hu","given":"Ya Hua","non-dropping-particle":"","parse-names":false,"suffix":""},{"dropping-particle":"","family":"Peng","given":"P.","non-dropping-particle":"","parse-names":false,"suffix":""},{"dropping-particle":"","family":"Wang","given":"Jian Ming","non-dropping-particle":"","parse-names":false,"suffix":""},{"dropping-particle":"","family":"Liu","given":"J.","non-dropping-particle":"","parse-names":false,"suffix":""},{"dropping-particle":"","family":"Chen","given":"Z.","non-dropping-particle":"","parse-names":false,"suffix":""},{"dropping-particle":"","family":"Li","given":"G.","non-dropping-particle":"","parse-names":false,"suffix":""},{"dropping-particle":"","family":"Zheng","given":"Z.","non-dropping-particle":"","parse-names":false,"suffix":""},{"dropping-particle":"","family":"Qiu","given":"S.","non-dropping-particle":"","parse-names":false,"suffix":""},{"dropping-particle":"","family":"Luo","given":"J.","non-dropping-particle":"","parse-names":false,"suffix":""},{"dropping-particle":"","family":"Ye","given":"C.","non-dropping-particle":"","parse-names":false,"suffix":""},{"dropping-particle":"","family":"Zhu","given":"S.","non-dropping-particle":"","parse-names":false,"suffix":""},{"dropping-particle":"","family":"Zhong","given":"N.","non-dropping-particle":"","parse-names":false,"suffix":""}],"container-title":"New England Journal of Medicine","id":"ITEM-2","issue":"18","issued":{"date-parts":[["2020"]]},"page":"1708-1720","title":"Clinical characteristics of coronavirus disease 2019 in China","type":"article-journal","volume":"382"},"uris":["http://www.mendeley.com/documents/?uuid=c3389bec-050a-40cd-bea9-c2b4da95c087"]}],"mendeley":{"formattedCitation":"[13,28]","plainTextFormattedCitation":"[13,28]","previouslyFormattedCitation":"&lt;sup&gt;13,28&lt;/sup&gt;"},"properties":{"noteIndex":0},"schema":"https://github.com/citation-style-language/schema/raw/master/csl-citation.json"}</w:instrText>
      </w:r>
      <w:r w:rsidR="00451F9F" w:rsidRPr="009B79B5">
        <w:fldChar w:fldCharType="separate"/>
      </w:r>
      <w:r w:rsidR="00CA13B1" w:rsidRPr="00CA13B1">
        <w:rPr>
          <w:noProof/>
        </w:rPr>
        <w:t>[13,28]</w:t>
      </w:r>
      <w:r w:rsidR="00451F9F" w:rsidRPr="009B79B5">
        <w:fldChar w:fldCharType="end"/>
      </w:r>
      <w:r w:rsidR="00607E42" w:rsidRPr="009B79B5">
        <w:t xml:space="preserve"> </w:t>
      </w:r>
      <w:r w:rsidR="007A16A4">
        <w:t xml:space="preserve">in </w:t>
      </w:r>
      <w:r w:rsidR="005A44CD" w:rsidRPr="009B79B5">
        <w:t xml:space="preserve">COVID-19 </w:t>
      </w:r>
      <w:r w:rsidR="00607E42" w:rsidRPr="009B79B5">
        <w:t>patients</w:t>
      </w:r>
      <w:r w:rsidR="007A16A4">
        <w:t>.</w:t>
      </w:r>
      <w:r w:rsidR="00607E42" w:rsidRPr="009B79B5">
        <w:t xml:space="preserve"> </w:t>
      </w:r>
      <w:r w:rsidR="00762196">
        <w:t xml:space="preserve">Children represented a small portion of the participants (5.8, </w:t>
      </w:r>
      <w:r w:rsidR="00A94153">
        <w:t>N</w:t>
      </w:r>
      <w:r w:rsidR="00762196">
        <w:t>=7), of which 6 children</w:t>
      </w:r>
      <w:r w:rsidR="007A16A4" w:rsidRPr="009B79B5">
        <w:t xml:space="preserve"> </w:t>
      </w:r>
      <w:r w:rsidR="006D5B6F" w:rsidRPr="009B79B5">
        <w:t xml:space="preserve">did not develop symptoms and remained asymptomatic </w:t>
      </w:r>
      <w:r w:rsidR="00762196">
        <w:t>for</w:t>
      </w:r>
      <w:r w:rsidR="00762196" w:rsidRPr="009B79B5">
        <w:t xml:space="preserve"> </w:t>
      </w:r>
      <w:r w:rsidR="006D5B6F" w:rsidRPr="009B79B5">
        <w:t xml:space="preserve">21 </w:t>
      </w:r>
      <w:r w:rsidR="007A16A4">
        <w:t xml:space="preserve">days </w:t>
      </w:r>
      <w:r w:rsidR="006D5B6F" w:rsidRPr="009B79B5">
        <w:t xml:space="preserve">of follow-up. </w:t>
      </w:r>
      <w:r w:rsidR="008D5A4D" w:rsidRPr="009B79B5">
        <w:rPr>
          <w:bCs/>
          <w:iCs/>
          <w:color w:val="000000"/>
          <w:lang w:val="en-ZA"/>
        </w:rPr>
        <w:t xml:space="preserve">This observation is consistent with previous </w:t>
      </w:r>
      <w:r w:rsidR="000D4ADB" w:rsidRPr="009B79B5">
        <w:rPr>
          <w:bCs/>
          <w:iCs/>
          <w:color w:val="000000"/>
          <w:lang w:val="en-ZA"/>
        </w:rPr>
        <w:t xml:space="preserve">studies </w:t>
      </w:r>
      <w:r w:rsidR="00762196">
        <w:rPr>
          <w:bCs/>
          <w:iCs/>
          <w:color w:val="000000"/>
          <w:lang w:val="en-ZA"/>
        </w:rPr>
        <w:t xml:space="preserve"> which have reported a </w:t>
      </w:r>
      <w:r w:rsidR="00D50E75" w:rsidRPr="009B79B5">
        <w:rPr>
          <w:bCs/>
          <w:iCs/>
          <w:color w:val="000000"/>
          <w:lang w:val="en-ZA"/>
        </w:rPr>
        <w:t xml:space="preserve">high </w:t>
      </w:r>
      <w:r w:rsidR="008377CE" w:rsidRPr="009B79B5">
        <w:t xml:space="preserve">prevalence of asymptomatic </w:t>
      </w:r>
      <w:r w:rsidR="00052F9E" w:rsidRPr="009B79B5">
        <w:t xml:space="preserve">and </w:t>
      </w:r>
      <w:r w:rsidR="008377CE" w:rsidRPr="009B79B5">
        <w:t xml:space="preserve">mild </w:t>
      </w:r>
      <w:r w:rsidR="005A44CD" w:rsidRPr="009B79B5">
        <w:t xml:space="preserve">COVID-19 </w:t>
      </w:r>
      <w:r w:rsidR="008377CE" w:rsidRPr="009B79B5">
        <w:t xml:space="preserve">cases </w:t>
      </w:r>
      <w:r w:rsidR="00762196">
        <w:t>among</w:t>
      </w:r>
      <w:r w:rsidR="008377CE" w:rsidRPr="009B79B5">
        <w:t xml:space="preserve"> children</w:t>
      </w:r>
      <w:r w:rsidR="00CA13B1">
        <w:rPr>
          <w:lang w:val="en-US"/>
        </w:rPr>
        <w:t xml:space="preserve"> </w:t>
      </w:r>
      <w:r w:rsidR="004E1C4A" w:rsidRPr="009B79B5">
        <w:fldChar w:fldCharType="begin" w:fldLock="1"/>
      </w:r>
      <w:r w:rsidR="00CA13B1">
        <w:instrText>ADDIN CSL_CITATION {"citationItems":[{"id":"ITEM-1","itemData":{"DOI":"10.1002/jmv.26069","ISSN":"0146-6615","author":[{"dropping-particle":"","family":"Miri","given":"Seyed Mohammad","non-dropping-particle":"","parse-names":false,"suffix":""},{"dropping-particle":"","family":"Noorbakhsh","given":"Farshid","non-dropping-particle":"","parse-names":false,"suffix":""},{"dropping-particle":"","family":"Mohebbi","given":"Seyed Reza","non-dropping-particle":"","parse-names":false,"suffix":""},{"dropping-particle":"","family":"Ghaemi","given":"Amir","non-dropping-particle":"","parse-names":false,"suffix":""}],"container-title":"Journal of Medical Virology","id":"ITEM-1","issued":{"date-parts":[["2020","6","9"]]},"page":"jmv.26069","publisher":"John Wiley and Sons Inc.","title":"Higher prevalence of asymptomatic or mild COVID‐19 in children, claims and clues","type":"article-journal"},"uris":["http://www.mendeley.com/documents/?uuid=297926cf-0f4d-3862-80a7-ff0708a7eddf"]},{"id":"ITEM-2","itemData":{"DOI":"10.1056/nejmoa2008457","ISSN":"0028-4793","PMID":"32329971","abstract":"BACKGROUND Severe acute respiratory syndrome coronavirus 2 (SARS-CoV-2) infection can spread rapidly within skilled nursing facilities. After identification of a case of Covid-19 in a skilled nursing facility, we assessed transmission and evaluated the adequacy of symptom-based screening to identify infections in residents. METHODS We conducted two serial point-prevalence surveys, 1 week apart, in which assenting residents of the facility underwent nasopharyngeal and oropharyngeal testing for SARS-CoV-2, including real-time reverse-transcriptase polymerase chain reaction (rRT-PCR), viral culture, and sequencing. Symptoms that had been present during the preceding 14 days were recorded. Asymptomatic residents who tested positive were reassessed 7 days later. Residents with SARS-CoV-2 infection were categorized as symptomatic with typical symptoms (fever, cough, or shortness of breath), symptomatic with only atypical symptoms, presymptomatic, or asymptomatic. RESULTS Twenty-three days after the first positive test result in a resident at this skilled nursing facility, 57 of 89 residents (64%) tested positive for SARS-CoV-2. Among 76 residents who participated in point-prevalence surveys, 48 (63%) tested positive. Of these 48 residents, 27 (56%) were asymptomatic at the time of testing; 24 subsequently developed symptoms (median time to onset, 4 days). Samples from these 24 presymptomatic residents had a median rRT-PCR cycle threshold value of 23.1, and viable virus was recovered from 17 residents. As of April 3, of the 57 residents with SARS-CoV-2 infection, 11 had been hospitalized (3 in the intensive care unit) and 15 had died (mortality, 26%). Of the 34 residents whose specimens were sequenced, 27 (79%) had sequences that fit into two clusters with a difference of one nucleotide. CONCLUSIONS Rapid and widespread transmission of SARS-CoV-2 was demonstrated in this skilled nursing facility. More than half of residents with positive test results were asymptomatic at the time of testing and most likely contributed to transmission. Infection-control strategies focused solely on symptomatic residents were not sufficient to prevent transmission after SARS-CoV-2 introduction into this facility.","author":[{"dropping-particle":"","family":"Arons","given":"Melissa M.","non-dropping-particle":"","parse-names":false,"suffix":""},{"dropping-particle":"","family":"Hatfield","given":"Kelly M.","non-dropping-particle":"","parse-names":false,"suffix":""},{"dropping-particle":"","family":"Reddy","given":"Sujan C.","non-dropping-particle":"","parse-names":false,"suffix":""},{"dropping-particle":"","family":"Kimball","given":"Anne","non-dropping-particle":"","parse-names":false,"suffix":""},{"dropping-particle":"","family":"James","given":"Allison","non-dropping-particle":"","parse-names":false,"suffix":""},{"dropping-particle":"","family":"Jacobs","given":"Jesica R.","non-dropping-particle":"","parse-names":false,"suffix":""},{"dropping-particle":"","family":"Taylor","given":"Joanne","non-dropping-particle":"","parse-names":false,"suffix":""},{"dropping-particle":"","family":"Spicer","given":"Kevin","non-dropping-particle":"","parse-names":false,"suffix":""},{"dropping-particle":"","family":"Bardossy","given":"Ana C.","non-dropping-particle":"","parse-names":false,"suffix":""},{"dropping-particle":"","family":"Oakley","given":"Lisa P.","non-dropping-particle":"","parse-names":false,"suffix":""},{"dropping-particle":"","family":"Tanwar","given":"Sukarma","non-dropping-particle":"","parse-names":false,"suffix":""},{"dropping-particle":"","family":"Dyal","given":"Jonathan W.","non-dropping-particle":"","parse-names":false,"suffix":""},{"dropping-particle":"","family":"Harney","given":"Josh","non-dropping-particle":"","parse-names":false,"suffix":""},{"dropping-particle":"","family":"Chisty","given":"Zeshan","non-dropping-particle":"","parse-names":false,"suffix":""},{"dropping-particle":"","family":"Bell","given":"Jeneita M.","non-dropping-particle":"","parse-names":false,"suffix":""},{"dropping-particle":"","family":"Methner","given":"Mark","non-dropping-particle":"","parse-names":false,"suffix":""},{"dropping-particle":"","family":"Paul","given":"Prabasaj","non-dropping-particle":"","parse-names":false,"suffix":""},{"dropping-particle":"","family":"Carlson","given":"Christina M.","non-dropping-particle":"","parse-names":false,"suffix":""},{"dropping-particle":"","family":"McLaughlin","given":"Heather P.","non-dropping-particle":"","parse-names":false,"suffix":""},{"dropping-particle":"","family":"Thornburg","given":"Natalie","non-dropping-particle":"","parse-names":false,"suffix":""},{"dropping-particle":"","family":"Tong","given":"Suxiang","non-dropping-particle":"","parse-names":false,"suffix":""},{"dropping-particle":"","family":"Tamin","given":"Azaibi","non-dropping-particle":"","parse-names":false,"suffix":""},{"dropping-particle":"","family":"Tao","given":"Ying","non-dropping-particle":"","parse-names":false,"suffix":""},{"dropping-particle":"","family":"Uehara","given":"Anna","non-dropping-particle":"","parse-names":false,"suffix":""},{"dropping-particle":"","family":"Harcourt","given":"Jennifer","non-dropping-particle":"","parse-names":false,"suffix":""},{"dropping-particle":"","family":"Clark","given":"Shauna","non-dropping-particle":"","parse-names":false,"suffix":""},{"dropping-particle":"","family":"Brostrom-Smith","given":"Claire","non-dropping-particle":"","parse-names":false,"suffix":""},{"dropping-particle":"","family":"Page","given":"Libby C.","non-dropping-particle":"","parse-names":false,"suffix":""},{"dropping-particle":"","family":"Kay","given":"Meagan","non-dropping-particle":"","parse-names":false,"suffix":""},{"dropping-particle":"","family":"Lewis","given":"James","non-dropping-particle":"","parse-names":false,"suffix":""},{"dropping-particle":"","family":"Montgomery","given":"Patty","non-dropping-particle":"","parse-names":false,"suffix":""},{"dropping-particle":"","family":"Stone","given":"Nimalie D.","non-dropping-particle":"","parse-names":false,"suffix":""},{"dropping-particle":"","family":"Clark","given":"Thomas A.","non-dropping-particle":"","parse-names":false,"suffix":""},{"dropping-particle":"","family":"Honein","given":"Margaret A.","non-dropping-particle":"","parse-names":false,"suffix":""},{"dropping-particle":"","family":"Duchin","given":"Jeffrey S.","non-dropping-particle":"","parse-names":false,"suffix":""},{"dropping-particle":"","family":"Jernigan","given":"John A.","non-dropping-particle":"","parse-names":false,"suffix":""}],"container-title":"New England Journal of Medicine","id":"ITEM-2","issued":{"date-parts":[["2020","4","24"]]},"publisher":"Massachusetts Medical Society","title":"Presymptomatic SARS-CoV-2 Infections and Transmission in a Skilled Nursing Facility","type":"article-journal"},"uris":["http://www.mendeley.com/documents/?uuid=a4703a42-56ee-3752-ad7f-942996e87e87"]}],"mendeley":{"formattedCitation":"[29,30]","plainTextFormattedCitation":"[29,30]","previouslyFormattedCitation":"&lt;sup&gt;29,30&lt;/sup&gt;"},"properties":{"noteIndex":0},"schema":"https://github.com/citation-style-language/schema/raw/master/csl-citation.json"}</w:instrText>
      </w:r>
      <w:r w:rsidR="004E1C4A" w:rsidRPr="009B79B5">
        <w:fldChar w:fldCharType="separate"/>
      </w:r>
      <w:r w:rsidR="00CA13B1" w:rsidRPr="00CA13B1">
        <w:rPr>
          <w:noProof/>
        </w:rPr>
        <w:t>[29,30]</w:t>
      </w:r>
      <w:r w:rsidR="004E1C4A" w:rsidRPr="009B79B5">
        <w:fldChar w:fldCharType="end"/>
      </w:r>
      <w:r w:rsidR="00CA13B1">
        <w:rPr>
          <w:lang w:val="en-US"/>
        </w:rPr>
        <w:t>.</w:t>
      </w:r>
      <w:r w:rsidR="00AA43E1" w:rsidRPr="009B79B5">
        <w:rPr>
          <w:color w:val="333333"/>
        </w:rPr>
        <w:t xml:space="preserve"> </w:t>
      </w:r>
      <w:r w:rsidR="00FA5828" w:rsidRPr="009B79B5">
        <w:rPr>
          <w:bCs/>
          <w:iCs/>
          <w:color w:val="000000"/>
          <w:lang w:val="en-ZA"/>
        </w:rPr>
        <w:t xml:space="preserve">The </w:t>
      </w:r>
      <w:r w:rsidR="00D9132F" w:rsidRPr="009B79B5">
        <w:rPr>
          <w:bCs/>
          <w:iCs/>
          <w:color w:val="000000"/>
          <w:lang w:val="en-ZA"/>
        </w:rPr>
        <w:t xml:space="preserve">presence of </w:t>
      </w:r>
      <w:r w:rsidR="0066365F" w:rsidRPr="009B79B5">
        <w:rPr>
          <w:bCs/>
          <w:iCs/>
          <w:color w:val="000000"/>
          <w:lang w:val="en-ZA"/>
        </w:rPr>
        <w:t xml:space="preserve">a </w:t>
      </w:r>
      <w:r w:rsidR="00D9132F" w:rsidRPr="009B79B5">
        <w:rPr>
          <w:bCs/>
          <w:iCs/>
          <w:color w:val="000000"/>
          <w:lang w:val="en-ZA"/>
        </w:rPr>
        <w:t xml:space="preserve">large percentage of mild and </w:t>
      </w:r>
      <w:r w:rsidR="006F67DB" w:rsidRPr="009B79B5">
        <w:rPr>
          <w:bCs/>
          <w:iCs/>
          <w:color w:val="000000"/>
          <w:lang w:val="en-ZA"/>
        </w:rPr>
        <w:t xml:space="preserve">asymptomatic </w:t>
      </w:r>
      <w:r w:rsidR="00D9132F" w:rsidRPr="009B79B5">
        <w:rPr>
          <w:bCs/>
          <w:iCs/>
          <w:color w:val="000000"/>
          <w:lang w:val="en-ZA"/>
        </w:rPr>
        <w:t xml:space="preserve">cases </w:t>
      </w:r>
      <w:r w:rsidR="008D5A4D" w:rsidRPr="009B79B5">
        <w:rPr>
          <w:bCs/>
          <w:iCs/>
          <w:color w:val="000000"/>
          <w:lang w:val="en-ZA"/>
        </w:rPr>
        <w:t xml:space="preserve">may </w:t>
      </w:r>
      <w:r w:rsidR="0075482B" w:rsidRPr="009B79B5">
        <w:rPr>
          <w:bCs/>
          <w:iCs/>
          <w:color w:val="000000"/>
          <w:lang w:val="en-ZA"/>
        </w:rPr>
        <w:t>impl</w:t>
      </w:r>
      <w:r w:rsidR="00B8414E">
        <w:rPr>
          <w:bCs/>
          <w:iCs/>
          <w:color w:val="000000"/>
          <w:lang w:val="en-ZA"/>
        </w:rPr>
        <w:t>y</w:t>
      </w:r>
      <w:r w:rsidR="006F67DB" w:rsidRPr="009B79B5">
        <w:rPr>
          <w:bCs/>
          <w:iCs/>
          <w:color w:val="000000"/>
          <w:lang w:val="en-ZA"/>
        </w:rPr>
        <w:t xml:space="preserve"> that many cases </w:t>
      </w:r>
      <w:r w:rsidR="008D5A4D" w:rsidRPr="009B79B5">
        <w:rPr>
          <w:bCs/>
          <w:iCs/>
          <w:color w:val="000000"/>
          <w:lang w:val="en-ZA"/>
        </w:rPr>
        <w:t>are going</w:t>
      </w:r>
      <w:r w:rsidR="006F67DB" w:rsidRPr="009B79B5">
        <w:rPr>
          <w:bCs/>
          <w:iCs/>
          <w:color w:val="000000"/>
          <w:lang w:val="en-ZA"/>
        </w:rPr>
        <w:t xml:space="preserve"> unnoticed</w:t>
      </w:r>
      <w:r w:rsidR="001565D8" w:rsidRPr="009B79B5">
        <w:rPr>
          <w:bCs/>
          <w:iCs/>
          <w:color w:val="000000"/>
          <w:lang w:val="en-ZA"/>
        </w:rPr>
        <w:t xml:space="preserve"> especially in sub-Saharan Africa</w:t>
      </w:r>
      <w:r w:rsidR="00945BD5">
        <w:rPr>
          <w:bCs/>
          <w:iCs/>
          <w:color w:val="000000"/>
          <w:lang w:val="en-ZA"/>
        </w:rPr>
        <w:t>,</w:t>
      </w:r>
      <w:r w:rsidR="001565D8" w:rsidRPr="009B79B5">
        <w:rPr>
          <w:bCs/>
          <w:iCs/>
          <w:color w:val="000000"/>
          <w:lang w:val="en-ZA"/>
        </w:rPr>
        <w:t xml:space="preserve"> where poor </w:t>
      </w:r>
      <w:r w:rsidR="009919D5">
        <w:rPr>
          <w:bCs/>
          <w:iCs/>
          <w:color w:val="000000"/>
          <w:lang w:val="en-ZA"/>
        </w:rPr>
        <w:t>health-seeking</w:t>
      </w:r>
      <w:r w:rsidR="001565D8" w:rsidRPr="009B79B5">
        <w:rPr>
          <w:bCs/>
          <w:iCs/>
          <w:color w:val="000000"/>
          <w:lang w:val="en-ZA"/>
        </w:rPr>
        <w:t xml:space="preserve"> </w:t>
      </w:r>
      <w:r w:rsidR="00DE6117">
        <w:rPr>
          <w:bCs/>
          <w:iCs/>
          <w:color w:val="000000"/>
          <w:lang w:val="en-ZA"/>
        </w:rPr>
        <w:t>behaviour</w:t>
      </w:r>
      <w:r w:rsidR="001565D8" w:rsidRPr="009B79B5">
        <w:rPr>
          <w:bCs/>
          <w:iCs/>
          <w:color w:val="000000"/>
          <w:lang w:val="en-ZA"/>
        </w:rPr>
        <w:t xml:space="preserve"> is </w:t>
      </w:r>
      <w:r w:rsidR="00CC6C40" w:rsidRPr="009B79B5">
        <w:rPr>
          <w:bCs/>
          <w:iCs/>
          <w:color w:val="000000"/>
          <w:lang w:val="en-ZA"/>
        </w:rPr>
        <w:t>common</w:t>
      </w:r>
      <w:r w:rsidR="006F67DB" w:rsidRPr="009B79B5">
        <w:rPr>
          <w:bCs/>
          <w:iCs/>
          <w:color w:val="000000"/>
          <w:lang w:val="en-ZA"/>
        </w:rPr>
        <w:t xml:space="preserve"> and </w:t>
      </w:r>
      <w:r w:rsidR="001565D8" w:rsidRPr="009B79B5">
        <w:rPr>
          <w:bCs/>
          <w:iCs/>
          <w:color w:val="000000"/>
          <w:lang w:val="en-ZA"/>
        </w:rPr>
        <w:t xml:space="preserve">this </w:t>
      </w:r>
      <w:r w:rsidR="008D5A4D" w:rsidRPr="009B79B5">
        <w:rPr>
          <w:bCs/>
          <w:iCs/>
          <w:color w:val="000000"/>
          <w:lang w:val="en-ZA"/>
        </w:rPr>
        <w:t xml:space="preserve">might be contributing to the </w:t>
      </w:r>
      <w:r w:rsidR="006F67DB" w:rsidRPr="009B79B5">
        <w:rPr>
          <w:bCs/>
          <w:iCs/>
          <w:color w:val="000000"/>
          <w:lang w:val="en-ZA"/>
        </w:rPr>
        <w:t>virus spread</w:t>
      </w:r>
      <w:r w:rsidR="00D50E75" w:rsidRPr="009B79B5">
        <w:rPr>
          <w:bCs/>
          <w:iCs/>
          <w:color w:val="000000"/>
          <w:lang w:val="en-ZA"/>
        </w:rPr>
        <w:t xml:space="preserve">, thus, </w:t>
      </w:r>
      <w:r w:rsidR="00607E42" w:rsidRPr="009B79B5">
        <w:rPr>
          <w:bCs/>
          <w:iCs/>
          <w:color w:val="000000"/>
          <w:lang w:val="en-ZA"/>
        </w:rPr>
        <w:t xml:space="preserve">a </w:t>
      </w:r>
      <w:r w:rsidR="00D50E75" w:rsidRPr="009B79B5">
        <w:rPr>
          <w:bCs/>
          <w:iCs/>
          <w:color w:val="000000"/>
          <w:lang w:val="en-ZA"/>
        </w:rPr>
        <w:t>c</w:t>
      </w:r>
      <w:r w:rsidR="00D9132F" w:rsidRPr="009B79B5">
        <w:rPr>
          <w:bCs/>
          <w:iCs/>
          <w:color w:val="000000"/>
          <w:lang w:val="en-ZA"/>
        </w:rPr>
        <w:t>all for</w:t>
      </w:r>
      <w:r w:rsidR="00BC63C6" w:rsidRPr="009B79B5">
        <w:rPr>
          <w:bCs/>
          <w:iCs/>
          <w:color w:val="000000"/>
          <w:lang w:val="en-ZA"/>
        </w:rPr>
        <w:t xml:space="preserve"> rigorously</w:t>
      </w:r>
      <w:r w:rsidR="00F85DA7" w:rsidRPr="009B79B5">
        <w:rPr>
          <w:bCs/>
          <w:iCs/>
          <w:color w:val="000000"/>
          <w:lang w:val="en-ZA"/>
        </w:rPr>
        <w:t xml:space="preserve"> </w:t>
      </w:r>
      <w:r w:rsidR="00D9132F" w:rsidRPr="009B79B5">
        <w:rPr>
          <w:bCs/>
          <w:iCs/>
          <w:color w:val="000000"/>
          <w:lang w:val="en-ZA"/>
        </w:rPr>
        <w:t>case finding</w:t>
      </w:r>
      <w:r w:rsidR="00F85DA7" w:rsidRPr="009B79B5">
        <w:rPr>
          <w:bCs/>
          <w:iCs/>
          <w:color w:val="000000"/>
          <w:lang w:val="en-ZA"/>
        </w:rPr>
        <w:t xml:space="preserve"> to halt the transmission</w:t>
      </w:r>
      <w:r w:rsidR="00FA5828" w:rsidRPr="009B79B5">
        <w:rPr>
          <w:bCs/>
          <w:iCs/>
          <w:color w:val="000000"/>
          <w:lang w:val="en-ZA"/>
        </w:rPr>
        <w:t>.</w:t>
      </w:r>
      <w:r w:rsidR="003F4748" w:rsidRPr="009B79B5">
        <w:rPr>
          <w:bCs/>
          <w:iCs/>
          <w:color w:val="000000"/>
          <w:lang w:val="en-ZA"/>
        </w:rPr>
        <w:t xml:space="preserve"> </w:t>
      </w:r>
    </w:p>
    <w:p w14:paraId="382EDE8F" w14:textId="3F2C2DE3" w:rsidR="00A86B39" w:rsidRPr="00CA13B1" w:rsidRDefault="005173A3" w:rsidP="009B79B5">
      <w:pPr>
        <w:spacing w:before="100" w:beforeAutospacing="1" w:after="100" w:afterAutospacing="1" w:line="360" w:lineRule="auto"/>
        <w:jc w:val="both"/>
        <w:rPr>
          <w:shd w:val="clear" w:color="auto" w:fill="FFFFFF"/>
          <w:lang w:val="en-US"/>
        </w:rPr>
      </w:pPr>
      <w:r>
        <w:rPr>
          <w:shd w:val="clear" w:color="auto" w:fill="FFFFFF"/>
        </w:rPr>
        <w:t>O</w:t>
      </w:r>
      <w:r w:rsidR="009B1397" w:rsidRPr="009B79B5">
        <w:rPr>
          <w:shd w:val="clear" w:color="auto" w:fill="FFFFFF"/>
        </w:rPr>
        <w:t xml:space="preserve">ur </w:t>
      </w:r>
      <w:r w:rsidR="00917655" w:rsidRPr="009B79B5">
        <w:rPr>
          <w:shd w:val="clear" w:color="auto" w:fill="FFFFFF"/>
        </w:rPr>
        <w:t xml:space="preserve">basic </w:t>
      </w:r>
      <w:r w:rsidR="009B1397" w:rsidRPr="009B79B5">
        <w:rPr>
          <w:shd w:val="clear" w:color="auto" w:fill="FFFFFF"/>
        </w:rPr>
        <w:t xml:space="preserve">analysis </w:t>
      </w:r>
      <w:r w:rsidR="00917655" w:rsidRPr="009B79B5">
        <w:rPr>
          <w:rFonts w:cs="Calibri"/>
        </w:rPr>
        <w:t xml:space="preserve">focusing on renal and liver function, and hematological parameters </w:t>
      </w:r>
      <w:r w:rsidR="00917655" w:rsidRPr="009B79B5">
        <w:rPr>
          <w:shd w:val="clear" w:color="auto" w:fill="FFFFFF"/>
        </w:rPr>
        <w:t>demonstrated</w:t>
      </w:r>
      <w:r w:rsidR="002166C8" w:rsidRPr="009B79B5">
        <w:t xml:space="preserve"> </w:t>
      </w:r>
      <w:r w:rsidR="009B1397" w:rsidRPr="009B79B5">
        <w:rPr>
          <w:shd w:val="clear" w:color="auto" w:fill="FFFFFF"/>
        </w:rPr>
        <w:t>inflammatory</w:t>
      </w:r>
      <w:r w:rsidR="00917655" w:rsidRPr="009B79B5">
        <w:rPr>
          <w:shd w:val="clear" w:color="auto" w:fill="FFFFFF"/>
        </w:rPr>
        <w:t xml:space="preserve"> </w:t>
      </w:r>
      <w:r w:rsidR="009B1397" w:rsidRPr="009B79B5">
        <w:rPr>
          <w:shd w:val="clear" w:color="auto" w:fill="FFFFFF"/>
        </w:rPr>
        <w:t>markers</w:t>
      </w:r>
      <w:r w:rsidR="002166C8" w:rsidRPr="009B79B5">
        <w:rPr>
          <w:shd w:val="clear" w:color="auto" w:fill="FFFFFF"/>
        </w:rPr>
        <w:t xml:space="preserve"> were </w:t>
      </w:r>
      <w:r w:rsidR="00917655" w:rsidRPr="009B79B5">
        <w:rPr>
          <w:shd w:val="clear" w:color="auto" w:fill="FFFFFF"/>
        </w:rPr>
        <w:t xml:space="preserve">elevated in </w:t>
      </w:r>
      <w:r w:rsidR="002166C8" w:rsidRPr="009B79B5">
        <w:rPr>
          <w:shd w:val="clear" w:color="auto" w:fill="FFFFFF"/>
        </w:rPr>
        <w:t xml:space="preserve">most </w:t>
      </w:r>
      <w:r w:rsidR="005A44CD" w:rsidRPr="009B79B5">
        <w:rPr>
          <w:shd w:val="clear" w:color="auto" w:fill="FFFFFF"/>
        </w:rPr>
        <w:t xml:space="preserve">COVID-19 </w:t>
      </w:r>
      <w:r w:rsidR="009B1397" w:rsidRPr="009B79B5">
        <w:rPr>
          <w:shd w:val="clear" w:color="auto" w:fill="FFFFFF"/>
        </w:rPr>
        <w:t>patients</w:t>
      </w:r>
      <w:r w:rsidR="00597043">
        <w:rPr>
          <w:shd w:val="clear" w:color="auto" w:fill="FFFFFF"/>
        </w:rPr>
        <w:t xml:space="preserve"> and </w:t>
      </w:r>
      <w:r w:rsidR="00597043" w:rsidRPr="009B79B5">
        <w:rPr>
          <w:shd w:val="clear" w:color="auto" w:fill="FFFFFF"/>
        </w:rPr>
        <w:t>abnormal chest radiograph was observed in 20 patients</w:t>
      </w:r>
      <w:r w:rsidR="00597043">
        <w:rPr>
          <w:shd w:val="clear" w:color="auto" w:fill="FFFFFF"/>
        </w:rPr>
        <w:t xml:space="preserve">, suggesting </w:t>
      </w:r>
      <w:r w:rsidR="008D1F7E">
        <w:rPr>
          <w:shd w:val="clear" w:color="auto" w:fill="FFFFFF"/>
        </w:rPr>
        <w:t xml:space="preserve">presence of </w:t>
      </w:r>
      <w:r w:rsidR="00597043">
        <w:rPr>
          <w:shd w:val="clear" w:color="auto" w:fill="FFFFFF"/>
        </w:rPr>
        <w:t xml:space="preserve">damage in these vital organs. </w:t>
      </w:r>
      <w:r w:rsidR="00597043">
        <w:t xml:space="preserve">Previous studies have reported </w:t>
      </w:r>
      <w:r w:rsidRPr="009B79B5">
        <w:t xml:space="preserve">COVID-19 </w:t>
      </w:r>
      <w:r w:rsidR="008D1F7E">
        <w:t xml:space="preserve">to </w:t>
      </w:r>
      <w:r w:rsidRPr="009B79B5">
        <w:t>affect nearly all of the body's primary organs</w:t>
      </w:r>
      <w:r>
        <w:t xml:space="preserve"> </w:t>
      </w:r>
      <w:r w:rsidR="00597043">
        <w:t>and causes damage</w:t>
      </w:r>
      <w:r w:rsidR="00CA13B1">
        <w:rPr>
          <w:lang w:val="en-US"/>
        </w:rPr>
        <w:t xml:space="preserve"> </w:t>
      </w:r>
      <w:r w:rsidR="00597043">
        <w:rPr>
          <w:shd w:val="clear" w:color="auto" w:fill="FFFFFF"/>
        </w:rPr>
        <w:fldChar w:fldCharType="begin" w:fldLock="1"/>
      </w:r>
      <w:r w:rsidR="00CA13B1">
        <w:rPr>
          <w:shd w:val="clear" w:color="auto" w:fill="FFFFFF"/>
        </w:rPr>
        <w:instrText>ADDIN CSL_CITATION {"citationItems":[{"id":"ITEM-1","itemData":{"DOI":"10.1016/S0140-6736(20)30211-7","ISSN":"1474547X","PMID":"32007143","abstract":"Background: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Lancet","id":"ITEM-1","issue":"10223","issued":{"date-parts":[["2020","2","15"]]},"page":"507-513","publisher":"Lancet Publishing Group","title":"Epidemiological and clinical characteristics of 99 cases of 2019 novel coronavirus pneumonia in Wuhan, China: a descriptive study","type":"article-journal","volume":"395"},"uris":["http://www.mendeley.com/documents/?uuid=52125413-e611-3a73-8afe-9b8e51532dae"]},{"id":"ITEM-2","itemData":{"DOI":"10.1111/jth.14768","ISSN":"15387836","PMID":"32073213","abstract":"Background: In the recent outbreak of novel coronavirus infection in Wuhan, China, significantly abnormal coagulation parameters in severe novel coronavirus pneumonia (NCP) cases were a concern. Objectives: To describe the coagulation feature of patients with NCP. Methods: Conventional coagulation results and outcomes of 183 consecutive patients with confirmed NCP in Tongji hospital were retrospectively analyzed. Results: The overall mortality was 11.5%, the non-survivors revealed significantly higher D-dimer and fibrin degradation product (FDP) levels, longer prothrombin time and activated partial thromboplastin time compared to survivors on admission (P &lt;.05); 71.4% of non-survivors and 0.6% survivors met the criteria of disseminated intravascular coagulation during their hospital stay. Conclusions: The present study shows that abnormal coagulation results, especially markedly elevated D-dimer and FDP are common in deaths with NCP.","author":[{"dropping-particle":"","family":"Tang","given":"Ning","non-dropping-particle":"","parse-names":false,"suffix":""},{"dropping-particle":"","family":"Li","given":"Dengju","non-dropping-particle":"","parse-names":false,"suffix":""},{"dropping-particle":"","family":"Wang","given":"Xiong","non-dropping-particle":"","parse-names":false,"suffix":""},{"dropping-particle":"","family":"Sun","given":"Ziyong","non-dropping-particle":"","parse-names":false,"suffix":""}],"container-title":"Journal of Thrombosis and Haemostasis","id":"ITEM-2","issue":"4","issued":{"date-parts":[["2020","4","1"]]},"page":"844-847","publisher":"Blackwell Publishing Ltd","title":"Abnormal coagulation parameters are associated with poor prognosis in patients with novel coronavirus pneumonia","type":"article-journal","volume":"18"},"uris":["http://www.mendeley.com/documents/?uuid=c7499f6d-ef65-350b-88ab-670b223e32e6"]},{"id":"ITEM-3","itemData":{"DOI":"10.1097/ccm.0000000000004457","ISBN":"0000000000","ISSN":"0090-3493","PMID":"32452888","abstract":"OBJECTIVES To determine mortality rates among adults with critical illness from coronavirus disease 2019. DESIGN Observational cohort study of patients admitted from March 6, 2020, to April 17, 2020. SETTING Six coronavirus disease 2019 designated ICUs at three hospitals within an academic health center network in Atlanta, Georgia, United States. PATIENTS Adults greater than or equal to 18 years old with confirmed severe acute respiratory syndrome-CoV-2 disease who were admitted to an ICU during the study period. INTERVENTIONS None. MEASUREMENTS AND MAIN RESULTS Among 217 critically ill patients, mortality for those who required mechanical ventilation was 35.7% (59/165), with 4.8% of patients (8/165) still on the ventilator at the time of this report. Overall mortality to date in this critically ill cohort is 30.9% (67/217) and 60.4% (131/217) patients have survived to hospital discharge. Mortality was significantly associated with older age, lower body mass index, chronic renal disease, higher Sequential Organ Failure Assessment score, lower PaO2/FIO2 ratio, higher D-dimer, higher C-reactive protein, and receipt of mechanical ventilation, vasopressors, renal replacement therapy, or vasodilator therapy. CONCLUSIONS Despite multiple reports of mortality rates exceeding 50% among critically ill adults with coronavirus disease 2019, particularly among those requiring mechanical ventilation, our early experience indicates that many patients survive their critical illness.","author":[{"dropping-particle":"","family":"Auld","given":"Sara C.","non-dropping-particle":"","parse-names":false,"suffix":""},{"dropping-particle":"","family":"Caridi-Scheible","given":"Mark","non-dropping-particle":"","parse-names":false,"suffix":""},{"dropping-particle":"","family":"Blum","given":"James M.","non-dropping-particle":"","parse-names":false,"suffix":""},{"dropping-particle":"","family":"Robichaux","given":"Chad","non-dropping-particle":"","parse-names":false,"suffix":""},{"dropping-particle":"","family":"Kraft","given":"Colleen","non-dropping-particle":"","parse-names":false,"suffix":""},{"dropping-particle":"","family":"Jacob","given":"Jesse T.","non-dropping-particle":"","parse-names":false,"suffix":""},{"dropping-particle":"","family":"Jabaley","given":"Craig S.","non-dropping-particle":"","parse-names":false,"suffix":""},{"dropping-particle":"","family":"Carpenter","given":"David","non-dropping-particle":"","parse-names":false,"suffix":""},{"dropping-particle":"","family":"Kaplow","given":"Roberta","non-dropping-particle":"","parse-names":false,"suffix":""},{"dropping-particle":"","family":"Hernandez-Romieu","given":"Alfonso C.","non-dropping-particle":"","parse-names":false,"suffix":""},{"dropping-particle":"","family":"Adelman","given":"Max W.","non-dropping-particle":"","parse-names":false,"suffix":""},{"dropping-particle":"","family":"Martin","given":"Greg S.","non-dropping-particle":"","parse-names":false,"suffix":""},{"dropping-particle":"","family":"Coopersmith","given":"Craig M.","non-dropping-particle":"","parse-names":false,"suffix":""},{"dropping-particle":"","family":"Murphy","given":"David J.","non-dropping-particle":"","parse-names":false,"suffix":""}],"container-title":"Critical Care Medicine","id":"ITEM-3","issued":{"date-parts":[["2020"]]},"page":"1-6","title":"ICU and Ventilator Mortality Among Critically Ill Adults With Coronavirus Disease 2019","type":"article-journal","volume":"Publish Ah"},"uris":["http://www.mendeley.com/documents/?uuid=cde21811-5b72-4b5e-86be-89dc6f681204"]}],"mendeley":{"formattedCitation":"[8,28,31]","plainTextFormattedCitation":"[8,28,31]","previouslyFormattedCitation":"&lt;sup&gt;8,28,31&lt;/sup&gt;"},"properties":{"noteIndex":0},"schema":"https://github.com/citation-style-language/schema/raw/master/csl-citation.json"}</w:instrText>
      </w:r>
      <w:r w:rsidR="00597043">
        <w:rPr>
          <w:shd w:val="clear" w:color="auto" w:fill="FFFFFF"/>
        </w:rPr>
        <w:fldChar w:fldCharType="separate"/>
      </w:r>
      <w:r w:rsidR="00CA13B1" w:rsidRPr="00CA13B1">
        <w:rPr>
          <w:noProof/>
          <w:shd w:val="clear" w:color="auto" w:fill="FFFFFF"/>
        </w:rPr>
        <w:t>[8,28,31]</w:t>
      </w:r>
      <w:r w:rsidR="00597043">
        <w:rPr>
          <w:shd w:val="clear" w:color="auto" w:fill="FFFFFF"/>
        </w:rPr>
        <w:fldChar w:fldCharType="end"/>
      </w:r>
      <w:r w:rsidR="00CA13B1">
        <w:rPr>
          <w:shd w:val="clear" w:color="auto" w:fill="FFFFFF"/>
          <w:lang w:val="en-US"/>
        </w:rPr>
        <w:t>.</w:t>
      </w:r>
    </w:p>
    <w:p w14:paraId="5AD5636C" w14:textId="6847741D" w:rsidR="00003148" w:rsidRPr="009B79B5" w:rsidRDefault="00003148" w:rsidP="009B79B5">
      <w:pPr>
        <w:spacing w:before="100" w:beforeAutospacing="1" w:after="100" w:afterAutospacing="1" w:line="360" w:lineRule="auto"/>
        <w:jc w:val="both"/>
      </w:pPr>
      <w:r w:rsidRPr="009B79B5">
        <w:t xml:space="preserve">In conclusion, we have presented </w:t>
      </w:r>
      <w:r w:rsidR="00414343">
        <w:t xml:space="preserve">a first report on </w:t>
      </w:r>
      <w:r w:rsidRPr="009B79B5">
        <w:t xml:space="preserve">clinical characteristics and outcomes </w:t>
      </w:r>
      <w:r w:rsidR="00BB7631" w:rsidRPr="009B79B5">
        <w:t xml:space="preserve">in </w:t>
      </w:r>
      <w:r w:rsidR="00414343">
        <w:t xml:space="preserve">patients infected with COVID-19 in Tanzanian </w:t>
      </w:r>
      <w:r w:rsidR="00BB7631" w:rsidRPr="009B79B5">
        <w:t>context</w:t>
      </w:r>
      <w:r w:rsidR="00414343">
        <w:t xml:space="preserve">. </w:t>
      </w:r>
      <w:r w:rsidR="007E496C" w:rsidRPr="009B79B5">
        <w:rPr>
          <w:bCs/>
          <w:iCs/>
          <w:lang w:val="en-ZA"/>
        </w:rPr>
        <w:t xml:space="preserve">The majority of </w:t>
      </w:r>
      <w:r w:rsidR="005A44CD" w:rsidRPr="009B79B5">
        <w:rPr>
          <w:bCs/>
          <w:iCs/>
          <w:lang w:val="en-ZA"/>
        </w:rPr>
        <w:t xml:space="preserve">COVID-19 </w:t>
      </w:r>
      <w:r w:rsidR="007E496C" w:rsidRPr="009B79B5">
        <w:rPr>
          <w:bCs/>
          <w:iCs/>
          <w:lang w:val="en-ZA"/>
        </w:rPr>
        <w:t xml:space="preserve">patients were aged ≤60 with </w:t>
      </w:r>
      <w:r w:rsidR="0066365F" w:rsidRPr="009B79B5">
        <w:rPr>
          <w:bCs/>
          <w:iCs/>
          <w:lang w:val="en-ZA"/>
        </w:rPr>
        <w:t xml:space="preserve">a </w:t>
      </w:r>
      <w:r w:rsidR="007E496C" w:rsidRPr="009B79B5">
        <w:rPr>
          <w:bCs/>
          <w:iCs/>
          <w:lang w:val="en-ZA"/>
        </w:rPr>
        <w:t>high proportion of comorbidities.</w:t>
      </w:r>
      <w:r w:rsidR="0066365F" w:rsidRPr="009B79B5">
        <w:rPr>
          <w:bCs/>
          <w:iCs/>
          <w:lang w:val="en-ZA"/>
        </w:rPr>
        <w:t xml:space="preserve"> </w:t>
      </w:r>
      <w:r w:rsidR="009919D5">
        <w:rPr>
          <w:bCs/>
          <w:iCs/>
          <w:lang w:val="en-ZA"/>
        </w:rPr>
        <w:t>The mortality</w:t>
      </w:r>
      <w:r w:rsidR="00FF53F4" w:rsidRPr="009B79B5">
        <w:rPr>
          <w:bCs/>
          <w:iCs/>
          <w:lang w:val="en-ZA"/>
        </w:rPr>
        <w:t xml:space="preserve"> rate reported in this study</w:t>
      </w:r>
      <w:r w:rsidR="00FF53F4">
        <w:rPr>
          <w:bCs/>
          <w:iCs/>
          <w:lang w:val="en-ZA"/>
        </w:rPr>
        <w:t xml:space="preserve"> is comparable to other hospital based studies and the </w:t>
      </w:r>
      <w:r w:rsidR="00FF53F4" w:rsidRPr="009B79B5">
        <w:rPr>
          <w:bCs/>
          <w:iCs/>
          <w:lang w:val="en-ZA"/>
        </w:rPr>
        <w:t>ARDS was the main cause of deat</w:t>
      </w:r>
      <w:r w:rsidR="00FF53F4">
        <w:rPr>
          <w:bCs/>
          <w:iCs/>
          <w:lang w:val="en-ZA"/>
        </w:rPr>
        <w:t xml:space="preserve">h. </w:t>
      </w:r>
    </w:p>
    <w:p w14:paraId="2A44BC72" w14:textId="768E1A00" w:rsidR="007D5737" w:rsidRPr="009B79B5" w:rsidRDefault="007D5737" w:rsidP="0050249E">
      <w:pPr>
        <w:tabs>
          <w:tab w:val="left" w:pos="1040"/>
        </w:tabs>
        <w:spacing w:line="360" w:lineRule="auto"/>
        <w:jc w:val="both"/>
      </w:pPr>
      <w:r w:rsidRPr="009B79B5">
        <w:rPr>
          <w:b/>
          <w:bCs/>
        </w:rPr>
        <w:t>Contributor</w:t>
      </w:r>
      <w:r w:rsidR="00F760EF">
        <w:rPr>
          <w:b/>
          <w:bCs/>
        </w:rPr>
        <w:t>s</w:t>
      </w:r>
      <w:r w:rsidRPr="009B79B5">
        <w:rPr>
          <w:b/>
          <w:bCs/>
        </w:rPr>
        <w:t>:</w:t>
      </w:r>
      <w:r w:rsidRPr="009B79B5">
        <w:t xml:space="preserve"> </w:t>
      </w:r>
      <w:r w:rsidR="00627760" w:rsidRPr="00627760">
        <w:t>N</w:t>
      </w:r>
      <w:r w:rsidR="0050249E">
        <w:t>P</w:t>
      </w:r>
      <w:r w:rsidR="00627760" w:rsidRPr="00627760">
        <w:t xml:space="preserve">M, </w:t>
      </w:r>
      <w:r w:rsidR="00627760">
        <w:t>CL</w:t>
      </w:r>
      <w:r w:rsidR="00627760" w:rsidRPr="00627760">
        <w:t xml:space="preserve">, </w:t>
      </w:r>
      <w:r w:rsidR="00627760">
        <w:t>EN</w:t>
      </w:r>
      <w:r w:rsidR="00627760" w:rsidRPr="00627760">
        <w:t>,</w:t>
      </w:r>
      <w:r w:rsidR="00627760">
        <w:t xml:space="preserve"> S</w:t>
      </w:r>
      <w:r w:rsidR="00143B9F">
        <w:t>G</w:t>
      </w:r>
      <w:r w:rsidR="00627760">
        <w:t>M</w:t>
      </w:r>
      <w:r w:rsidR="00CA1675">
        <w:t>, GK</w:t>
      </w:r>
      <w:r w:rsidR="009919D5">
        <w:t>,</w:t>
      </w:r>
      <w:r w:rsidR="00627760" w:rsidRPr="00627760">
        <w:t xml:space="preserve"> and </w:t>
      </w:r>
      <w:r w:rsidR="00627760">
        <w:t xml:space="preserve">MS </w:t>
      </w:r>
      <w:r w:rsidR="00627760" w:rsidRPr="00627760">
        <w:t>conceived the ide</w:t>
      </w:r>
      <w:r w:rsidR="00143B9F">
        <w:t xml:space="preserve">a and </w:t>
      </w:r>
      <w:r w:rsidR="00627760" w:rsidRPr="00627760">
        <w:t>co-designed</w:t>
      </w:r>
      <w:r w:rsidR="00627760">
        <w:t xml:space="preserve"> the study,</w:t>
      </w:r>
      <w:r w:rsidR="003F78FB">
        <w:t xml:space="preserve"> CL, GK</w:t>
      </w:r>
      <w:r w:rsidR="00627760">
        <w:t xml:space="preserve"> </w:t>
      </w:r>
      <w:r w:rsidR="00143B9F">
        <w:t>AZ, SJ</w:t>
      </w:r>
      <w:r w:rsidR="009919D5">
        <w:t>,</w:t>
      </w:r>
      <w:r w:rsidR="00143B9F">
        <w:t xml:space="preserve"> and SGM</w:t>
      </w:r>
      <w:r w:rsidR="00627760" w:rsidRPr="00627760">
        <w:t xml:space="preserve"> supervised the study. </w:t>
      </w:r>
      <w:r w:rsidR="00CA1675">
        <w:t xml:space="preserve">CL and MS coordinated data collection. </w:t>
      </w:r>
      <w:r w:rsidR="00627760" w:rsidRPr="00627760">
        <w:t>N</w:t>
      </w:r>
      <w:r w:rsidR="00CA1675">
        <w:t>P</w:t>
      </w:r>
      <w:r w:rsidR="00627760" w:rsidRPr="00627760">
        <w:t>M</w:t>
      </w:r>
      <w:r w:rsidR="00627760">
        <w:t>, CL,</w:t>
      </w:r>
      <w:r w:rsidR="005C3C94">
        <w:t xml:space="preserve"> EN</w:t>
      </w:r>
      <w:r w:rsidR="009919D5">
        <w:t>,</w:t>
      </w:r>
      <w:r w:rsidR="005C3C94">
        <w:t xml:space="preserve"> </w:t>
      </w:r>
      <w:r w:rsidR="00627760">
        <w:t>and G</w:t>
      </w:r>
      <w:r w:rsidR="003F78FB">
        <w:t>B</w:t>
      </w:r>
      <w:r w:rsidR="005C3C94">
        <w:t>K</w:t>
      </w:r>
      <w:r w:rsidR="00627760">
        <w:t xml:space="preserve"> analyzed the data</w:t>
      </w:r>
      <w:r w:rsidR="005C3C94">
        <w:t>. N</w:t>
      </w:r>
      <w:r w:rsidR="007642B1">
        <w:t>P</w:t>
      </w:r>
      <w:r w:rsidR="005C3C94">
        <w:t>M, CL</w:t>
      </w:r>
      <w:r w:rsidR="009919D5">
        <w:t>,</w:t>
      </w:r>
      <w:r w:rsidR="005C3C94">
        <w:t xml:space="preserve"> and EN drafted the manuscript. </w:t>
      </w:r>
      <w:r w:rsidR="00627760" w:rsidRPr="00627760">
        <w:t xml:space="preserve">EN, </w:t>
      </w:r>
      <w:r w:rsidR="005C3C94" w:rsidRPr="00CB0D93">
        <w:t>G</w:t>
      </w:r>
      <w:r w:rsidR="003F78FB">
        <w:t>K</w:t>
      </w:r>
      <w:r w:rsidR="005C3C94" w:rsidRPr="00CB0D93">
        <w:t xml:space="preserve">, </w:t>
      </w:r>
      <w:r w:rsidR="003F78FB">
        <w:t xml:space="preserve">GBK, </w:t>
      </w:r>
      <w:r w:rsidR="005C3C94" w:rsidRPr="00CB0D93">
        <w:t>S</w:t>
      </w:r>
      <w:r w:rsidR="003F78FB">
        <w:t>B</w:t>
      </w:r>
      <w:r w:rsidR="005C3C94" w:rsidRPr="00CB0D93">
        <w:t>,</w:t>
      </w:r>
      <w:r w:rsidR="009919D5">
        <w:t xml:space="preserve"> </w:t>
      </w:r>
      <w:r w:rsidR="005C3C94" w:rsidRPr="00CB0D93">
        <w:t>AM, PK,</w:t>
      </w:r>
      <w:r w:rsidR="003F78FB">
        <w:t xml:space="preserve"> </w:t>
      </w:r>
      <w:r w:rsidR="005C3C94" w:rsidRPr="00CB0D93">
        <w:t>NO, JM</w:t>
      </w:r>
      <w:r w:rsidR="003F78FB">
        <w:t>M</w:t>
      </w:r>
      <w:r w:rsidR="005C3C94" w:rsidRPr="00CB0D93">
        <w:t>,</w:t>
      </w:r>
      <w:r w:rsidR="005C3C94" w:rsidRPr="00CB0D93">
        <w:rPr>
          <w:vertAlign w:val="superscript"/>
        </w:rPr>
        <w:t xml:space="preserve"> </w:t>
      </w:r>
      <w:r w:rsidR="005C3C94" w:rsidRPr="00CB0D93">
        <w:t>KR</w:t>
      </w:r>
      <w:r w:rsidR="0050249E">
        <w:t xml:space="preserve">, AZ, SJ and SGM </w:t>
      </w:r>
      <w:r w:rsidR="00627760" w:rsidRPr="00627760">
        <w:t xml:space="preserve">revised the </w:t>
      </w:r>
      <w:r w:rsidR="0050249E">
        <w:t>manuscript while NPM compiled the final version</w:t>
      </w:r>
      <w:r w:rsidR="00627760" w:rsidRPr="00627760">
        <w:t>. All authors approved the final version for publication.</w:t>
      </w:r>
    </w:p>
    <w:p w14:paraId="29FE3C4E" w14:textId="1BE8952E" w:rsidR="007D5737" w:rsidRDefault="007D5737" w:rsidP="0050249E">
      <w:pPr>
        <w:tabs>
          <w:tab w:val="left" w:pos="1040"/>
        </w:tabs>
        <w:spacing w:before="100" w:beforeAutospacing="1" w:after="100" w:afterAutospacing="1" w:line="360" w:lineRule="auto"/>
      </w:pPr>
      <w:r w:rsidRPr="009B79B5">
        <w:rPr>
          <w:b/>
          <w:bCs/>
        </w:rPr>
        <w:t>Declaration of Interest:</w:t>
      </w:r>
      <w:r w:rsidRPr="009B79B5">
        <w:t xml:space="preserve"> All authors declare no competing interests. </w:t>
      </w:r>
    </w:p>
    <w:p w14:paraId="303C6DDD" w14:textId="19637C47" w:rsidR="0003769A" w:rsidRPr="009B79B5" w:rsidRDefault="0003769A" w:rsidP="0003769A">
      <w:pPr>
        <w:spacing w:line="276" w:lineRule="auto"/>
        <w:jc w:val="both"/>
      </w:pPr>
      <w:r w:rsidRPr="009B79B5">
        <w:rPr>
          <w:b/>
          <w:bCs/>
        </w:rPr>
        <w:t>Funding:</w:t>
      </w:r>
      <w:r w:rsidRPr="009B79B5">
        <w:t xml:space="preserve"> </w:t>
      </w:r>
      <w:r>
        <w:rPr>
          <w:lang w:val="en-US"/>
        </w:rPr>
        <w:t>T</w:t>
      </w:r>
      <w:r w:rsidRPr="009D39BC">
        <w:t xml:space="preserve">his work was supported by the </w:t>
      </w:r>
      <w:r w:rsidR="00355942" w:rsidRPr="001B6280">
        <w:rPr>
          <w:bCs/>
          <w:iCs/>
          <w:color w:val="000000"/>
          <w:lang w:val="en-ZA"/>
        </w:rPr>
        <w:t xml:space="preserve">Pan-African Network on Emerging and Re-Emerging Infections (PANDORA-ID-NET – _https:// </w:t>
      </w:r>
      <w:hyperlink r:id="rId10" w:history="1">
        <w:r w:rsidR="00355942" w:rsidRPr="00216E48">
          <w:rPr>
            <w:rStyle w:val="Hyperlink"/>
            <w:bCs/>
            <w:iCs/>
            <w:lang w:val="en-ZA"/>
          </w:rPr>
          <w:t>www.pandora-id.net/</w:t>
        </w:r>
      </w:hyperlink>
      <w:r w:rsidR="00355942" w:rsidRPr="001B6280">
        <w:rPr>
          <w:bCs/>
          <w:iCs/>
          <w:color w:val="000000"/>
          <w:lang w:val="en-ZA"/>
        </w:rPr>
        <w:t>)</w:t>
      </w:r>
      <w:r w:rsidR="00355942">
        <w:rPr>
          <w:bCs/>
          <w:iCs/>
          <w:color w:val="000000"/>
          <w:lang w:val="en-ZA"/>
        </w:rPr>
        <w:t xml:space="preserve"> and EXIT-TB project both funded by the </w:t>
      </w:r>
      <w:r w:rsidRPr="009D39BC">
        <w:t>European and Developing Countries Clinical Trials Partnership (EDCTP)</w:t>
      </w:r>
      <w:r w:rsidR="00355942">
        <w:rPr>
          <w:lang w:val="en-US"/>
        </w:rPr>
        <w:t>.</w:t>
      </w:r>
    </w:p>
    <w:p w14:paraId="7B48C941" w14:textId="00E6AE93" w:rsidR="007D5737" w:rsidRPr="00B411CD" w:rsidRDefault="007D5737" w:rsidP="00CA13B1">
      <w:pPr>
        <w:tabs>
          <w:tab w:val="left" w:pos="1040"/>
        </w:tabs>
        <w:spacing w:before="100" w:beforeAutospacing="1" w:after="100" w:afterAutospacing="1" w:line="360" w:lineRule="auto"/>
        <w:jc w:val="both"/>
        <w:rPr>
          <w:bCs/>
          <w:iCs/>
          <w:color w:val="000000"/>
          <w:lang w:val="en-ZA"/>
        </w:rPr>
      </w:pPr>
      <w:r w:rsidRPr="009B79B5">
        <w:rPr>
          <w:b/>
          <w:bCs/>
        </w:rPr>
        <w:lastRenderedPageBreak/>
        <w:t>Acknowledgments:</w:t>
      </w:r>
      <w:r w:rsidRPr="009B79B5">
        <w:t xml:space="preserve"> </w:t>
      </w:r>
      <w:r w:rsidR="00A13471" w:rsidRPr="009B79B5">
        <w:t xml:space="preserve">The authors thank the </w:t>
      </w:r>
      <w:r w:rsidR="00A13471" w:rsidRPr="009B79B5">
        <w:rPr>
          <w:bCs/>
          <w:iCs/>
          <w:color w:val="000000"/>
          <w:lang w:val="en-ZA"/>
        </w:rPr>
        <w:t>Ministry of Health, Community Development, Gender, Elderly, and Children</w:t>
      </w:r>
      <w:r w:rsidR="00A13471" w:rsidRPr="009B79B5">
        <w:t xml:space="preserve"> </w:t>
      </w:r>
      <w:r w:rsidRPr="009B79B5">
        <w:t xml:space="preserve">and </w:t>
      </w:r>
      <w:r w:rsidR="00355942">
        <w:rPr>
          <w:lang w:val="en-US"/>
        </w:rPr>
        <w:t>C</w:t>
      </w:r>
      <w:r w:rsidRPr="009B79B5">
        <w:t xml:space="preserve">linicians and </w:t>
      </w:r>
      <w:r w:rsidR="00A13471" w:rsidRPr="009B79B5">
        <w:t>administration</w:t>
      </w:r>
      <w:r w:rsidRPr="009B79B5">
        <w:t xml:space="preserve"> of the two hospitals</w:t>
      </w:r>
      <w:r w:rsidR="00A13471" w:rsidRPr="009B79B5">
        <w:t xml:space="preserve"> for their support in </w:t>
      </w:r>
      <w:r w:rsidR="009919D5">
        <w:t xml:space="preserve">the </w:t>
      </w:r>
      <w:r w:rsidR="00A13471" w:rsidRPr="009B79B5">
        <w:t>coordination and implementation of this study</w:t>
      </w:r>
      <w:r w:rsidR="007C23EB" w:rsidRPr="009B79B5">
        <w:t>. Nicholaus Mnyambwa, Mbazi Senkoro, Gibson Kagaruki</w:t>
      </w:r>
      <w:r w:rsidR="009919D5">
        <w:t>,</w:t>
      </w:r>
      <w:r w:rsidR="007C23EB" w:rsidRPr="009B79B5">
        <w:t xml:space="preserve"> and Sayoki Mfinanga received partial support from the Afrique-ONE Aspire</w:t>
      </w:r>
      <w:r w:rsidR="00B411CD">
        <w:t xml:space="preserve"> (funded by Wellcome Trust)</w:t>
      </w:r>
      <w:r w:rsidR="001424B2" w:rsidRPr="009B79B5">
        <w:t xml:space="preserve"> </w:t>
      </w:r>
      <w:r w:rsidR="001B6280">
        <w:t xml:space="preserve">while conducting this research and preparing </w:t>
      </w:r>
      <w:r w:rsidR="001424B2" w:rsidRPr="009B79B5">
        <w:t>the manuscript.</w:t>
      </w:r>
      <w:r w:rsidR="007C23EB" w:rsidRPr="009B79B5">
        <w:t xml:space="preserve"> </w:t>
      </w:r>
    </w:p>
    <w:p w14:paraId="56B70C95" w14:textId="50C7299F" w:rsidR="003373D2" w:rsidRDefault="00897F84" w:rsidP="009B79B5">
      <w:pPr>
        <w:tabs>
          <w:tab w:val="left" w:pos="1040"/>
        </w:tabs>
        <w:spacing w:line="360" w:lineRule="auto"/>
        <w:rPr>
          <w:b/>
          <w:bCs/>
          <w:lang w:val="en-US"/>
        </w:rPr>
      </w:pPr>
      <w:r>
        <w:rPr>
          <w:b/>
          <w:bCs/>
          <w:lang w:val="en-US"/>
        </w:rPr>
        <w:t>Legends</w:t>
      </w:r>
    </w:p>
    <w:p w14:paraId="4B56A1BD" w14:textId="77777777" w:rsidR="00897F84" w:rsidRPr="001456C2" w:rsidRDefault="00897F84" w:rsidP="00897F84">
      <w:pPr>
        <w:contextualSpacing/>
        <w:rPr>
          <w:b/>
          <w:sz w:val="20"/>
          <w:szCs w:val="20"/>
        </w:rPr>
      </w:pPr>
      <w:r w:rsidRPr="001456C2">
        <w:rPr>
          <w:b/>
          <w:sz w:val="20"/>
          <w:szCs w:val="20"/>
        </w:rPr>
        <w:t xml:space="preserve">Table 1: Socio-demographic </w:t>
      </w:r>
      <w:r>
        <w:rPr>
          <w:b/>
          <w:sz w:val="20"/>
          <w:szCs w:val="20"/>
        </w:rPr>
        <w:t xml:space="preserve">and clinical </w:t>
      </w:r>
      <w:r w:rsidRPr="001456C2">
        <w:rPr>
          <w:b/>
          <w:sz w:val="20"/>
          <w:szCs w:val="20"/>
        </w:rPr>
        <w:t>characteristics of cases (n=121)</w:t>
      </w:r>
    </w:p>
    <w:tbl>
      <w:tblPr>
        <w:tblStyle w:val="TableGrid"/>
        <w:tblpPr w:leftFromText="180" w:rightFromText="180" w:vertAnchor="text" w:tblpY="1"/>
        <w:tblOverlap w:val="never"/>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985"/>
      </w:tblGrid>
      <w:tr w:rsidR="00897F84" w:rsidRPr="00CA0CED" w14:paraId="5C731FFA" w14:textId="77777777" w:rsidTr="00D4470F">
        <w:tc>
          <w:tcPr>
            <w:tcW w:w="7508" w:type="dxa"/>
            <w:tcBorders>
              <w:top w:val="single" w:sz="4" w:space="0" w:color="auto"/>
              <w:bottom w:val="single" w:sz="4" w:space="0" w:color="auto"/>
            </w:tcBorders>
            <w:shd w:val="clear" w:color="auto" w:fill="auto"/>
          </w:tcPr>
          <w:p w14:paraId="5587BE54" w14:textId="77777777" w:rsidR="00897F84" w:rsidRPr="00CA0CED" w:rsidRDefault="00897F84" w:rsidP="00D4470F">
            <w:pPr>
              <w:contextualSpacing/>
              <w:rPr>
                <w:b/>
                <w:sz w:val="20"/>
                <w:szCs w:val="20"/>
              </w:rPr>
            </w:pPr>
            <w:r w:rsidRPr="00CA0CED">
              <w:rPr>
                <w:b/>
                <w:sz w:val="20"/>
                <w:szCs w:val="20"/>
              </w:rPr>
              <w:t>Characteristics</w:t>
            </w:r>
          </w:p>
        </w:tc>
        <w:tc>
          <w:tcPr>
            <w:tcW w:w="1985" w:type="dxa"/>
            <w:tcBorders>
              <w:top w:val="single" w:sz="4" w:space="0" w:color="auto"/>
              <w:bottom w:val="single" w:sz="4" w:space="0" w:color="auto"/>
            </w:tcBorders>
            <w:shd w:val="clear" w:color="auto" w:fill="auto"/>
          </w:tcPr>
          <w:p w14:paraId="539D8138" w14:textId="77777777" w:rsidR="00897F84" w:rsidRPr="00CA0CED" w:rsidRDefault="00897F84" w:rsidP="00D4470F">
            <w:pPr>
              <w:contextualSpacing/>
              <w:jc w:val="center"/>
              <w:rPr>
                <w:b/>
                <w:sz w:val="20"/>
                <w:szCs w:val="20"/>
              </w:rPr>
            </w:pPr>
            <w:r w:rsidRPr="00CA0CED">
              <w:rPr>
                <w:b/>
                <w:sz w:val="20"/>
                <w:szCs w:val="20"/>
              </w:rPr>
              <w:t>Patients, n(%)</w:t>
            </w:r>
          </w:p>
        </w:tc>
      </w:tr>
      <w:tr w:rsidR="00897F84" w:rsidRPr="00CA0CED" w14:paraId="007A8880" w14:textId="77777777" w:rsidTr="00D4470F">
        <w:tc>
          <w:tcPr>
            <w:tcW w:w="7508" w:type="dxa"/>
            <w:tcBorders>
              <w:top w:val="single" w:sz="4" w:space="0" w:color="auto"/>
            </w:tcBorders>
          </w:tcPr>
          <w:p w14:paraId="479EA378" w14:textId="77777777" w:rsidR="00897F84" w:rsidRPr="00CA0CED" w:rsidRDefault="00897F84" w:rsidP="00D4470F">
            <w:pPr>
              <w:contextualSpacing/>
              <w:rPr>
                <w:b/>
                <w:sz w:val="20"/>
                <w:szCs w:val="20"/>
              </w:rPr>
            </w:pPr>
            <w:r w:rsidRPr="00CA0CED">
              <w:rPr>
                <w:b/>
                <w:sz w:val="20"/>
                <w:szCs w:val="20"/>
              </w:rPr>
              <w:t>Age (years)</w:t>
            </w:r>
          </w:p>
        </w:tc>
        <w:tc>
          <w:tcPr>
            <w:tcW w:w="1985" w:type="dxa"/>
            <w:tcBorders>
              <w:top w:val="single" w:sz="4" w:space="0" w:color="auto"/>
            </w:tcBorders>
          </w:tcPr>
          <w:p w14:paraId="2BF210C8" w14:textId="77777777" w:rsidR="00897F84" w:rsidRPr="00CA0CED" w:rsidRDefault="00897F84" w:rsidP="00D4470F">
            <w:pPr>
              <w:contextualSpacing/>
              <w:jc w:val="center"/>
              <w:rPr>
                <w:sz w:val="20"/>
                <w:szCs w:val="20"/>
              </w:rPr>
            </w:pPr>
          </w:p>
        </w:tc>
      </w:tr>
      <w:tr w:rsidR="00897F84" w:rsidRPr="00CA0CED" w14:paraId="11C1F543" w14:textId="77777777" w:rsidTr="00D4470F">
        <w:tc>
          <w:tcPr>
            <w:tcW w:w="7508" w:type="dxa"/>
          </w:tcPr>
          <w:p w14:paraId="77D340AE" w14:textId="77777777" w:rsidR="00897F84" w:rsidRPr="00CA0CED" w:rsidRDefault="00897F84" w:rsidP="00D4470F">
            <w:pPr>
              <w:rPr>
                <w:sz w:val="20"/>
                <w:szCs w:val="20"/>
              </w:rPr>
            </w:pPr>
            <w:r w:rsidRPr="00CA0CED">
              <w:rPr>
                <w:sz w:val="20"/>
                <w:szCs w:val="20"/>
              </w:rPr>
              <w:t xml:space="preserve">     Median (IQR)</w:t>
            </w:r>
          </w:p>
        </w:tc>
        <w:tc>
          <w:tcPr>
            <w:tcW w:w="1985" w:type="dxa"/>
          </w:tcPr>
          <w:p w14:paraId="7E655D87" w14:textId="77777777" w:rsidR="00897F84" w:rsidRPr="00CA0CED" w:rsidRDefault="00897F84" w:rsidP="00D4470F">
            <w:pPr>
              <w:jc w:val="center"/>
              <w:rPr>
                <w:sz w:val="20"/>
                <w:szCs w:val="20"/>
              </w:rPr>
            </w:pPr>
            <w:r w:rsidRPr="00CA0CED">
              <w:rPr>
                <w:sz w:val="20"/>
                <w:szCs w:val="20"/>
              </w:rPr>
              <w:t>41(30-54)</w:t>
            </w:r>
          </w:p>
        </w:tc>
      </w:tr>
      <w:tr w:rsidR="00897F84" w:rsidRPr="00CA0CED" w14:paraId="10DD4A2C" w14:textId="77777777" w:rsidTr="00D4470F">
        <w:tc>
          <w:tcPr>
            <w:tcW w:w="7508" w:type="dxa"/>
          </w:tcPr>
          <w:p w14:paraId="58EAD07F" w14:textId="77777777" w:rsidR="00897F84" w:rsidRPr="00CA0CED" w:rsidRDefault="00897F84" w:rsidP="00D4470F">
            <w:pPr>
              <w:rPr>
                <w:sz w:val="20"/>
                <w:szCs w:val="20"/>
              </w:rPr>
            </w:pPr>
            <w:r w:rsidRPr="00CA0CED">
              <w:rPr>
                <w:sz w:val="20"/>
                <w:szCs w:val="20"/>
              </w:rPr>
              <w:t xml:space="preserve">     Minimum</w:t>
            </w:r>
          </w:p>
        </w:tc>
        <w:tc>
          <w:tcPr>
            <w:tcW w:w="1985" w:type="dxa"/>
          </w:tcPr>
          <w:p w14:paraId="434D8B14" w14:textId="77777777" w:rsidR="00897F84" w:rsidRPr="00CA0CED" w:rsidRDefault="00897F84" w:rsidP="00D4470F">
            <w:pPr>
              <w:jc w:val="center"/>
              <w:rPr>
                <w:sz w:val="20"/>
                <w:szCs w:val="20"/>
              </w:rPr>
            </w:pPr>
            <w:r w:rsidRPr="00CA0CED">
              <w:rPr>
                <w:sz w:val="20"/>
                <w:szCs w:val="20"/>
              </w:rPr>
              <w:t>2</w:t>
            </w:r>
          </w:p>
        </w:tc>
      </w:tr>
      <w:tr w:rsidR="00897F84" w:rsidRPr="00CA0CED" w14:paraId="1423C66A" w14:textId="77777777" w:rsidTr="00D4470F">
        <w:tc>
          <w:tcPr>
            <w:tcW w:w="7508" w:type="dxa"/>
          </w:tcPr>
          <w:p w14:paraId="14732D8A" w14:textId="77777777" w:rsidR="00897F84" w:rsidRPr="00CA0CED" w:rsidRDefault="00897F84" w:rsidP="00D4470F">
            <w:pPr>
              <w:rPr>
                <w:sz w:val="20"/>
                <w:szCs w:val="20"/>
              </w:rPr>
            </w:pPr>
            <w:r w:rsidRPr="00CA0CED">
              <w:rPr>
                <w:sz w:val="20"/>
                <w:szCs w:val="20"/>
              </w:rPr>
              <w:t xml:space="preserve">     Maximum</w:t>
            </w:r>
          </w:p>
        </w:tc>
        <w:tc>
          <w:tcPr>
            <w:tcW w:w="1985" w:type="dxa"/>
          </w:tcPr>
          <w:p w14:paraId="21A6B969" w14:textId="77777777" w:rsidR="00897F84" w:rsidRPr="00CA0CED" w:rsidRDefault="00897F84" w:rsidP="00D4470F">
            <w:pPr>
              <w:jc w:val="center"/>
              <w:rPr>
                <w:sz w:val="20"/>
                <w:szCs w:val="20"/>
              </w:rPr>
            </w:pPr>
            <w:r w:rsidRPr="00CA0CED">
              <w:rPr>
                <w:sz w:val="20"/>
                <w:szCs w:val="20"/>
              </w:rPr>
              <w:t>97</w:t>
            </w:r>
          </w:p>
        </w:tc>
      </w:tr>
      <w:tr w:rsidR="00897F84" w:rsidRPr="00CA0CED" w14:paraId="05F9F628" w14:textId="77777777" w:rsidTr="00D4470F">
        <w:tc>
          <w:tcPr>
            <w:tcW w:w="7508" w:type="dxa"/>
          </w:tcPr>
          <w:p w14:paraId="3B7F9F1C" w14:textId="77777777" w:rsidR="00897F84" w:rsidRPr="00CA0CED" w:rsidRDefault="00897F84" w:rsidP="00D4470F">
            <w:pPr>
              <w:rPr>
                <w:b/>
                <w:sz w:val="20"/>
                <w:szCs w:val="20"/>
              </w:rPr>
            </w:pPr>
            <w:r w:rsidRPr="00CA0CED">
              <w:rPr>
                <w:b/>
                <w:sz w:val="20"/>
                <w:szCs w:val="20"/>
              </w:rPr>
              <w:t>Age group (years)</w:t>
            </w:r>
          </w:p>
        </w:tc>
        <w:tc>
          <w:tcPr>
            <w:tcW w:w="1985" w:type="dxa"/>
          </w:tcPr>
          <w:p w14:paraId="2A07BD68" w14:textId="77777777" w:rsidR="00897F84" w:rsidRPr="00CA0CED" w:rsidRDefault="00897F84" w:rsidP="00D4470F">
            <w:pPr>
              <w:jc w:val="center"/>
              <w:rPr>
                <w:sz w:val="20"/>
                <w:szCs w:val="20"/>
              </w:rPr>
            </w:pPr>
          </w:p>
        </w:tc>
      </w:tr>
      <w:tr w:rsidR="00897F84" w:rsidRPr="00CA0CED" w14:paraId="2938D16F" w14:textId="77777777" w:rsidTr="00D4470F">
        <w:tc>
          <w:tcPr>
            <w:tcW w:w="7508" w:type="dxa"/>
          </w:tcPr>
          <w:p w14:paraId="616518EC" w14:textId="77777777" w:rsidR="00897F84" w:rsidRPr="00CA0CED" w:rsidRDefault="00897F84" w:rsidP="00D4470F">
            <w:pPr>
              <w:rPr>
                <w:sz w:val="20"/>
                <w:szCs w:val="20"/>
                <w:lang w:val="en-US"/>
              </w:rPr>
            </w:pPr>
            <w:r w:rsidRPr="00CA0CED">
              <w:rPr>
                <w:sz w:val="20"/>
                <w:szCs w:val="20"/>
                <w:lang w:val="en-US"/>
              </w:rPr>
              <w:t xml:space="preserve">    &lt;29</w:t>
            </w:r>
          </w:p>
        </w:tc>
        <w:tc>
          <w:tcPr>
            <w:tcW w:w="1985" w:type="dxa"/>
          </w:tcPr>
          <w:p w14:paraId="7E79FF01" w14:textId="77777777" w:rsidR="00897F84" w:rsidRPr="00CA0CED" w:rsidRDefault="00897F84" w:rsidP="00D4470F">
            <w:pPr>
              <w:jc w:val="center"/>
              <w:rPr>
                <w:sz w:val="20"/>
                <w:szCs w:val="20"/>
              </w:rPr>
            </w:pPr>
            <w:r w:rsidRPr="00CA0CED">
              <w:rPr>
                <w:sz w:val="20"/>
                <w:szCs w:val="20"/>
              </w:rPr>
              <w:t>28(23.2)</w:t>
            </w:r>
          </w:p>
        </w:tc>
      </w:tr>
      <w:tr w:rsidR="00897F84" w:rsidRPr="00CA0CED" w14:paraId="4A9258B9" w14:textId="77777777" w:rsidTr="00D4470F">
        <w:tc>
          <w:tcPr>
            <w:tcW w:w="7508" w:type="dxa"/>
          </w:tcPr>
          <w:p w14:paraId="03C763C6" w14:textId="77777777" w:rsidR="00897F84" w:rsidRPr="00CA0CED" w:rsidRDefault="00897F84" w:rsidP="00D4470F">
            <w:pPr>
              <w:rPr>
                <w:sz w:val="20"/>
                <w:szCs w:val="20"/>
                <w:lang w:val="en-US"/>
              </w:rPr>
            </w:pPr>
            <w:r w:rsidRPr="00CA0CED">
              <w:rPr>
                <w:sz w:val="20"/>
                <w:szCs w:val="20"/>
                <w:lang w:val="en-US"/>
              </w:rPr>
              <w:t xml:space="preserve">     30-59</w:t>
            </w:r>
          </w:p>
        </w:tc>
        <w:tc>
          <w:tcPr>
            <w:tcW w:w="1985" w:type="dxa"/>
          </w:tcPr>
          <w:p w14:paraId="134B4B3F" w14:textId="77777777" w:rsidR="00897F84" w:rsidRPr="00CA0CED" w:rsidRDefault="00897F84" w:rsidP="00D4470F">
            <w:pPr>
              <w:jc w:val="center"/>
              <w:rPr>
                <w:sz w:val="20"/>
                <w:szCs w:val="20"/>
              </w:rPr>
            </w:pPr>
            <w:r w:rsidRPr="00CA0CED">
              <w:rPr>
                <w:sz w:val="20"/>
                <w:szCs w:val="20"/>
              </w:rPr>
              <w:t>73(60.3)</w:t>
            </w:r>
          </w:p>
        </w:tc>
      </w:tr>
      <w:tr w:rsidR="00897F84" w:rsidRPr="00CA0CED" w14:paraId="15FC57B4" w14:textId="77777777" w:rsidTr="00D4470F">
        <w:tc>
          <w:tcPr>
            <w:tcW w:w="7508" w:type="dxa"/>
          </w:tcPr>
          <w:p w14:paraId="6B628AD2" w14:textId="77777777" w:rsidR="00897F84" w:rsidRPr="00CA0CED" w:rsidRDefault="00897F84" w:rsidP="00D4470F">
            <w:pPr>
              <w:rPr>
                <w:sz w:val="20"/>
                <w:szCs w:val="20"/>
                <w:lang w:val="en-US"/>
              </w:rPr>
            </w:pPr>
            <w:r w:rsidRPr="00CA0CED">
              <w:rPr>
                <w:sz w:val="20"/>
                <w:szCs w:val="20"/>
                <w:lang w:val="en-US"/>
              </w:rPr>
              <w:t xml:space="preserve">     60+</w:t>
            </w:r>
          </w:p>
        </w:tc>
        <w:tc>
          <w:tcPr>
            <w:tcW w:w="1985" w:type="dxa"/>
          </w:tcPr>
          <w:p w14:paraId="3E747D6B" w14:textId="77777777" w:rsidR="00897F84" w:rsidRPr="00CA0CED" w:rsidRDefault="00897F84" w:rsidP="00D4470F">
            <w:pPr>
              <w:jc w:val="center"/>
              <w:rPr>
                <w:sz w:val="20"/>
                <w:szCs w:val="20"/>
              </w:rPr>
            </w:pPr>
            <w:r w:rsidRPr="00CA0CED">
              <w:rPr>
                <w:sz w:val="20"/>
                <w:szCs w:val="20"/>
              </w:rPr>
              <w:t>20(16.5)</w:t>
            </w:r>
          </w:p>
        </w:tc>
      </w:tr>
      <w:tr w:rsidR="00897F84" w:rsidRPr="00CA0CED" w14:paraId="5DF50699" w14:textId="77777777" w:rsidTr="00D4470F">
        <w:tc>
          <w:tcPr>
            <w:tcW w:w="7508" w:type="dxa"/>
          </w:tcPr>
          <w:p w14:paraId="0CBD421A" w14:textId="77777777" w:rsidR="00897F84" w:rsidRPr="00CA0CED" w:rsidRDefault="00897F84" w:rsidP="00D4470F">
            <w:pPr>
              <w:rPr>
                <w:b/>
                <w:sz w:val="20"/>
                <w:szCs w:val="20"/>
              </w:rPr>
            </w:pPr>
            <w:r w:rsidRPr="00CA0CED">
              <w:rPr>
                <w:b/>
                <w:sz w:val="20"/>
                <w:szCs w:val="20"/>
              </w:rPr>
              <w:t>Sex</w:t>
            </w:r>
          </w:p>
        </w:tc>
        <w:tc>
          <w:tcPr>
            <w:tcW w:w="1985" w:type="dxa"/>
          </w:tcPr>
          <w:p w14:paraId="539D8B47" w14:textId="77777777" w:rsidR="00897F84" w:rsidRPr="00CA0CED" w:rsidRDefault="00897F84" w:rsidP="00D4470F">
            <w:pPr>
              <w:jc w:val="right"/>
              <w:rPr>
                <w:sz w:val="20"/>
                <w:szCs w:val="20"/>
              </w:rPr>
            </w:pPr>
          </w:p>
        </w:tc>
      </w:tr>
      <w:tr w:rsidR="00897F84" w:rsidRPr="00CA0CED" w14:paraId="198065BC" w14:textId="77777777" w:rsidTr="00D4470F">
        <w:tc>
          <w:tcPr>
            <w:tcW w:w="7508" w:type="dxa"/>
          </w:tcPr>
          <w:p w14:paraId="1C0AF353" w14:textId="77777777" w:rsidR="00897F84" w:rsidRPr="00CA0CED" w:rsidRDefault="00897F84" w:rsidP="00D4470F">
            <w:pPr>
              <w:rPr>
                <w:sz w:val="20"/>
                <w:szCs w:val="20"/>
              </w:rPr>
            </w:pPr>
            <w:r w:rsidRPr="00CA0CED">
              <w:rPr>
                <w:sz w:val="20"/>
                <w:szCs w:val="20"/>
              </w:rPr>
              <w:t xml:space="preserve">     Female</w:t>
            </w:r>
          </w:p>
        </w:tc>
        <w:tc>
          <w:tcPr>
            <w:tcW w:w="1985" w:type="dxa"/>
          </w:tcPr>
          <w:p w14:paraId="6B258586" w14:textId="77777777" w:rsidR="00897F84" w:rsidRPr="00CA0CED" w:rsidRDefault="00897F84" w:rsidP="00D4470F">
            <w:pPr>
              <w:jc w:val="center"/>
              <w:rPr>
                <w:sz w:val="20"/>
                <w:szCs w:val="20"/>
              </w:rPr>
            </w:pPr>
            <w:r w:rsidRPr="00CA0CED">
              <w:rPr>
                <w:sz w:val="20"/>
                <w:szCs w:val="20"/>
              </w:rPr>
              <w:t>49(40.5)</w:t>
            </w:r>
          </w:p>
        </w:tc>
      </w:tr>
      <w:tr w:rsidR="00897F84" w:rsidRPr="00CA0CED" w14:paraId="1E3B9280" w14:textId="77777777" w:rsidTr="00D4470F">
        <w:tc>
          <w:tcPr>
            <w:tcW w:w="7508" w:type="dxa"/>
          </w:tcPr>
          <w:p w14:paraId="6DCBA11B" w14:textId="77777777" w:rsidR="00897F84" w:rsidRPr="00CA0CED" w:rsidRDefault="00897F84" w:rsidP="00D4470F">
            <w:pPr>
              <w:rPr>
                <w:sz w:val="20"/>
                <w:szCs w:val="20"/>
              </w:rPr>
            </w:pPr>
            <w:r w:rsidRPr="00CA0CED">
              <w:rPr>
                <w:sz w:val="20"/>
                <w:szCs w:val="20"/>
              </w:rPr>
              <w:t xml:space="preserve">     Male</w:t>
            </w:r>
          </w:p>
        </w:tc>
        <w:tc>
          <w:tcPr>
            <w:tcW w:w="1985" w:type="dxa"/>
          </w:tcPr>
          <w:p w14:paraId="37F07169" w14:textId="77777777" w:rsidR="00897F84" w:rsidRPr="00CA0CED" w:rsidRDefault="00897F84" w:rsidP="00D4470F">
            <w:pPr>
              <w:jc w:val="center"/>
              <w:rPr>
                <w:sz w:val="20"/>
                <w:szCs w:val="20"/>
              </w:rPr>
            </w:pPr>
            <w:r w:rsidRPr="00CA0CED">
              <w:rPr>
                <w:sz w:val="20"/>
                <w:szCs w:val="20"/>
              </w:rPr>
              <w:t>72(59.5)</w:t>
            </w:r>
          </w:p>
        </w:tc>
      </w:tr>
      <w:tr w:rsidR="00897F84" w:rsidRPr="00CA0CED" w14:paraId="54CB5DFD" w14:textId="77777777" w:rsidTr="00D4470F">
        <w:tc>
          <w:tcPr>
            <w:tcW w:w="7508" w:type="dxa"/>
          </w:tcPr>
          <w:p w14:paraId="6E700BAB" w14:textId="77777777" w:rsidR="00897F84" w:rsidRPr="00CA0CED" w:rsidRDefault="00897F84" w:rsidP="00D4470F">
            <w:pPr>
              <w:rPr>
                <w:b/>
                <w:sz w:val="20"/>
                <w:szCs w:val="20"/>
              </w:rPr>
            </w:pPr>
            <w:r w:rsidRPr="00CA0CED">
              <w:rPr>
                <w:b/>
                <w:sz w:val="20"/>
                <w:szCs w:val="20"/>
              </w:rPr>
              <w:t>Site</w:t>
            </w:r>
          </w:p>
        </w:tc>
        <w:tc>
          <w:tcPr>
            <w:tcW w:w="1985" w:type="dxa"/>
          </w:tcPr>
          <w:p w14:paraId="5B7C90C9" w14:textId="77777777" w:rsidR="00897F84" w:rsidRPr="00CA0CED" w:rsidRDefault="00897F84" w:rsidP="00D4470F">
            <w:pPr>
              <w:jc w:val="center"/>
              <w:rPr>
                <w:sz w:val="20"/>
                <w:szCs w:val="20"/>
              </w:rPr>
            </w:pPr>
          </w:p>
        </w:tc>
      </w:tr>
      <w:tr w:rsidR="00897F84" w:rsidRPr="00CA0CED" w14:paraId="4E75E114" w14:textId="77777777" w:rsidTr="00D4470F">
        <w:tc>
          <w:tcPr>
            <w:tcW w:w="7508" w:type="dxa"/>
            <w:shd w:val="clear" w:color="auto" w:fill="auto"/>
          </w:tcPr>
          <w:p w14:paraId="18E18D20" w14:textId="77777777" w:rsidR="00897F84" w:rsidRPr="00CA0CED" w:rsidRDefault="00897F84" w:rsidP="00D4470F">
            <w:pPr>
              <w:rPr>
                <w:sz w:val="20"/>
                <w:szCs w:val="20"/>
              </w:rPr>
            </w:pPr>
            <w:r w:rsidRPr="00CA0CED">
              <w:rPr>
                <w:sz w:val="20"/>
                <w:szCs w:val="20"/>
              </w:rPr>
              <w:t xml:space="preserve">     Hindu Mandal Hospital</w:t>
            </w:r>
          </w:p>
        </w:tc>
        <w:tc>
          <w:tcPr>
            <w:tcW w:w="1985" w:type="dxa"/>
            <w:shd w:val="clear" w:color="auto" w:fill="auto"/>
          </w:tcPr>
          <w:p w14:paraId="1FEFD2C7" w14:textId="77777777" w:rsidR="00897F84" w:rsidRPr="00CA0CED" w:rsidRDefault="00897F84" w:rsidP="00D4470F">
            <w:pPr>
              <w:jc w:val="center"/>
              <w:rPr>
                <w:sz w:val="20"/>
                <w:szCs w:val="20"/>
              </w:rPr>
            </w:pPr>
            <w:r w:rsidRPr="00CA0CED">
              <w:rPr>
                <w:sz w:val="20"/>
                <w:szCs w:val="20"/>
              </w:rPr>
              <w:t>8(6.6)</w:t>
            </w:r>
          </w:p>
        </w:tc>
      </w:tr>
      <w:tr w:rsidR="00897F84" w:rsidRPr="00CA0CED" w14:paraId="5E079149" w14:textId="77777777" w:rsidTr="00D4470F">
        <w:tc>
          <w:tcPr>
            <w:tcW w:w="7508" w:type="dxa"/>
            <w:shd w:val="clear" w:color="auto" w:fill="auto"/>
          </w:tcPr>
          <w:p w14:paraId="1B488C5E" w14:textId="77777777" w:rsidR="00897F84" w:rsidRPr="00CA0CED" w:rsidRDefault="00897F84" w:rsidP="00D4470F">
            <w:pPr>
              <w:rPr>
                <w:sz w:val="20"/>
                <w:szCs w:val="20"/>
              </w:rPr>
            </w:pPr>
            <w:r w:rsidRPr="00CA0CED">
              <w:rPr>
                <w:sz w:val="20"/>
                <w:szCs w:val="20"/>
              </w:rPr>
              <w:t xml:space="preserve">     Amana Regional Referral Hospital</w:t>
            </w:r>
          </w:p>
        </w:tc>
        <w:tc>
          <w:tcPr>
            <w:tcW w:w="1985" w:type="dxa"/>
            <w:shd w:val="clear" w:color="auto" w:fill="auto"/>
          </w:tcPr>
          <w:p w14:paraId="493DAC4B" w14:textId="77777777" w:rsidR="00897F84" w:rsidRPr="00CA0CED" w:rsidRDefault="00897F84" w:rsidP="00D4470F">
            <w:pPr>
              <w:jc w:val="center"/>
              <w:rPr>
                <w:sz w:val="20"/>
                <w:szCs w:val="20"/>
              </w:rPr>
            </w:pPr>
            <w:r w:rsidRPr="00CA0CED">
              <w:rPr>
                <w:sz w:val="20"/>
                <w:szCs w:val="20"/>
              </w:rPr>
              <w:t>113(93.4)</w:t>
            </w:r>
          </w:p>
        </w:tc>
      </w:tr>
      <w:tr w:rsidR="00897F84" w:rsidRPr="00CA0CED" w14:paraId="0B36C62B" w14:textId="77777777" w:rsidTr="00D4470F">
        <w:tc>
          <w:tcPr>
            <w:tcW w:w="7508" w:type="dxa"/>
            <w:shd w:val="clear" w:color="auto" w:fill="auto"/>
          </w:tcPr>
          <w:p w14:paraId="635D87C4" w14:textId="77777777" w:rsidR="00897F84" w:rsidRPr="00981791" w:rsidRDefault="00897F84" w:rsidP="00D4470F">
            <w:pPr>
              <w:rPr>
                <w:b/>
                <w:sz w:val="20"/>
                <w:szCs w:val="20"/>
              </w:rPr>
            </w:pPr>
            <w:r w:rsidRPr="00981791">
              <w:rPr>
                <w:b/>
                <w:sz w:val="20"/>
                <w:szCs w:val="20"/>
              </w:rPr>
              <w:t>Time from onset to recovery (days)</w:t>
            </w:r>
          </w:p>
        </w:tc>
        <w:tc>
          <w:tcPr>
            <w:tcW w:w="1985" w:type="dxa"/>
            <w:shd w:val="clear" w:color="auto" w:fill="auto"/>
          </w:tcPr>
          <w:p w14:paraId="162E59C6" w14:textId="77777777" w:rsidR="00897F84" w:rsidRPr="00981791" w:rsidRDefault="00897F84" w:rsidP="00D4470F">
            <w:pPr>
              <w:jc w:val="center"/>
              <w:rPr>
                <w:sz w:val="20"/>
                <w:szCs w:val="20"/>
              </w:rPr>
            </w:pPr>
          </w:p>
        </w:tc>
      </w:tr>
      <w:tr w:rsidR="00897F84" w:rsidRPr="00CA0CED" w14:paraId="6A8E41AF" w14:textId="77777777" w:rsidTr="00D4470F">
        <w:tc>
          <w:tcPr>
            <w:tcW w:w="7508" w:type="dxa"/>
            <w:shd w:val="clear" w:color="auto" w:fill="auto"/>
          </w:tcPr>
          <w:p w14:paraId="4F5D0CCD" w14:textId="77777777" w:rsidR="00897F84" w:rsidRPr="00981791" w:rsidRDefault="00897F84" w:rsidP="00D4470F">
            <w:pPr>
              <w:rPr>
                <w:sz w:val="20"/>
                <w:szCs w:val="20"/>
              </w:rPr>
            </w:pPr>
            <w:r w:rsidRPr="00981791">
              <w:rPr>
                <w:sz w:val="20"/>
                <w:szCs w:val="20"/>
              </w:rPr>
              <w:t xml:space="preserve">     Median (IQR)</w:t>
            </w:r>
          </w:p>
        </w:tc>
        <w:tc>
          <w:tcPr>
            <w:tcW w:w="1985" w:type="dxa"/>
            <w:shd w:val="clear" w:color="auto" w:fill="auto"/>
          </w:tcPr>
          <w:p w14:paraId="3FC1029E" w14:textId="77777777" w:rsidR="00897F84" w:rsidRPr="00981791" w:rsidRDefault="00897F84" w:rsidP="00D4470F">
            <w:pPr>
              <w:jc w:val="center"/>
              <w:rPr>
                <w:sz w:val="20"/>
                <w:szCs w:val="20"/>
              </w:rPr>
            </w:pPr>
            <w:r w:rsidRPr="00981791">
              <w:rPr>
                <w:sz w:val="20"/>
                <w:szCs w:val="20"/>
              </w:rPr>
              <w:t>14(9-22)</w:t>
            </w:r>
          </w:p>
        </w:tc>
      </w:tr>
      <w:tr w:rsidR="00897F84" w:rsidRPr="00CA0CED" w14:paraId="42FD0B15" w14:textId="77777777" w:rsidTr="00D4470F">
        <w:tc>
          <w:tcPr>
            <w:tcW w:w="7508" w:type="dxa"/>
            <w:shd w:val="clear" w:color="auto" w:fill="auto"/>
          </w:tcPr>
          <w:p w14:paraId="6E7AD20E" w14:textId="77777777" w:rsidR="00897F84" w:rsidRPr="00981791" w:rsidRDefault="00897F84" w:rsidP="00D4470F">
            <w:pPr>
              <w:rPr>
                <w:sz w:val="20"/>
                <w:szCs w:val="20"/>
              </w:rPr>
            </w:pPr>
            <w:r w:rsidRPr="00981791">
              <w:rPr>
                <w:b/>
                <w:sz w:val="20"/>
                <w:szCs w:val="20"/>
              </w:rPr>
              <w:t>Time from onset to death (days)</w:t>
            </w:r>
          </w:p>
        </w:tc>
        <w:tc>
          <w:tcPr>
            <w:tcW w:w="1985" w:type="dxa"/>
            <w:shd w:val="clear" w:color="auto" w:fill="auto"/>
          </w:tcPr>
          <w:p w14:paraId="78D94A1C" w14:textId="77777777" w:rsidR="00897F84" w:rsidRPr="00981791" w:rsidRDefault="00897F84" w:rsidP="00D4470F">
            <w:pPr>
              <w:jc w:val="center"/>
              <w:rPr>
                <w:sz w:val="20"/>
                <w:szCs w:val="20"/>
              </w:rPr>
            </w:pPr>
          </w:p>
        </w:tc>
      </w:tr>
      <w:tr w:rsidR="00897F84" w:rsidRPr="00CA0CED" w14:paraId="7D793238" w14:textId="77777777" w:rsidTr="00D4470F">
        <w:tc>
          <w:tcPr>
            <w:tcW w:w="7508" w:type="dxa"/>
            <w:shd w:val="clear" w:color="auto" w:fill="auto"/>
          </w:tcPr>
          <w:p w14:paraId="009F08AA" w14:textId="77777777" w:rsidR="00897F84" w:rsidRPr="00981791" w:rsidRDefault="00897F84" w:rsidP="00D4470F">
            <w:pPr>
              <w:rPr>
                <w:sz w:val="20"/>
                <w:szCs w:val="20"/>
              </w:rPr>
            </w:pPr>
            <w:r w:rsidRPr="00981791">
              <w:rPr>
                <w:sz w:val="20"/>
                <w:szCs w:val="20"/>
              </w:rPr>
              <w:t xml:space="preserve">     Median (IQR)</w:t>
            </w:r>
          </w:p>
        </w:tc>
        <w:tc>
          <w:tcPr>
            <w:tcW w:w="1985" w:type="dxa"/>
            <w:shd w:val="clear" w:color="auto" w:fill="auto"/>
          </w:tcPr>
          <w:p w14:paraId="701C01AD" w14:textId="77777777" w:rsidR="00897F84" w:rsidRPr="00981791" w:rsidRDefault="00897F84" w:rsidP="00D4470F">
            <w:pPr>
              <w:jc w:val="center"/>
              <w:rPr>
                <w:sz w:val="20"/>
                <w:szCs w:val="20"/>
              </w:rPr>
            </w:pPr>
            <w:r w:rsidRPr="00981791">
              <w:rPr>
                <w:sz w:val="20"/>
                <w:szCs w:val="20"/>
              </w:rPr>
              <w:t>10.5(8-13)</w:t>
            </w:r>
          </w:p>
        </w:tc>
      </w:tr>
      <w:tr w:rsidR="00897F84" w:rsidRPr="00CA0CED" w14:paraId="5BF6324C" w14:textId="77777777" w:rsidTr="00D4470F">
        <w:tc>
          <w:tcPr>
            <w:tcW w:w="7508" w:type="dxa"/>
            <w:shd w:val="clear" w:color="auto" w:fill="auto"/>
          </w:tcPr>
          <w:p w14:paraId="2D889B23" w14:textId="77777777" w:rsidR="00897F84" w:rsidRPr="00981791" w:rsidRDefault="00897F84" w:rsidP="00D4470F">
            <w:pPr>
              <w:rPr>
                <w:sz w:val="20"/>
                <w:szCs w:val="20"/>
              </w:rPr>
            </w:pPr>
            <w:r w:rsidRPr="00981791">
              <w:rPr>
                <w:b/>
                <w:sz w:val="20"/>
                <w:szCs w:val="20"/>
              </w:rPr>
              <w:t>Time from onset to hospitalization/admission (days)</w:t>
            </w:r>
          </w:p>
        </w:tc>
        <w:tc>
          <w:tcPr>
            <w:tcW w:w="1985" w:type="dxa"/>
            <w:shd w:val="clear" w:color="auto" w:fill="auto"/>
          </w:tcPr>
          <w:p w14:paraId="6CB44CE1" w14:textId="77777777" w:rsidR="00897F84" w:rsidRPr="00981791" w:rsidRDefault="00897F84" w:rsidP="00D4470F">
            <w:pPr>
              <w:jc w:val="center"/>
              <w:rPr>
                <w:sz w:val="20"/>
                <w:szCs w:val="20"/>
              </w:rPr>
            </w:pPr>
          </w:p>
        </w:tc>
      </w:tr>
      <w:tr w:rsidR="00897F84" w:rsidRPr="00CA0CED" w14:paraId="22E8500C" w14:textId="77777777" w:rsidTr="00D4470F">
        <w:tc>
          <w:tcPr>
            <w:tcW w:w="7508" w:type="dxa"/>
            <w:shd w:val="clear" w:color="auto" w:fill="auto"/>
          </w:tcPr>
          <w:p w14:paraId="0EF47071" w14:textId="77777777" w:rsidR="00897F84" w:rsidRPr="00981791" w:rsidRDefault="00897F84" w:rsidP="00D4470F">
            <w:pPr>
              <w:rPr>
                <w:sz w:val="20"/>
                <w:szCs w:val="20"/>
              </w:rPr>
            </w:pPr>
            <w:r w:rsidRPr="00981791">
              <w:rPr>
                <w:sz w:val="20"/>
                <w:szCs w:val="20"/>
              </w:rPr>
              <w:t xml:space="preserve">     Median (IQR)</w:t>
            </w:r>
          </w:p>
        </w:tc>
        <w:tc>
          <w:tcPr>
            <w:tcW w:w="1985" w:type="dxa"/>
            <w:shd w:val="clear" w:color="auto" w:fill="auto"/>
          </w:tcPr>
          <w:p w14:paraId="528A68EE" w14:textId="77777777" w:rsidR="00897F84" w:rsidRPr="00981791" w:rsidRDefault="00897F84" w:rsidP="00D4470F">
            <w:pPr>
              <w:jc w:val="center"/>
              <w:rPr>
                <w:sz w:val="20"/>
                <w:szCs w:val="20"/>
              </w:rPr>
            </w:pPr>
            <w:r w:rsidRPr="00981791">
              <w:rPr>
                <w:sz w:val="20"/>
                <w:szCs w:val="20"/>
              </w:rPr>
              <w:t>3.0(1-6)</w:t>
            </w:r>
          </w:p>
        </w:tc>
      </w:tr>
      <w:tr w:rsidR="00897F84" w:rsidRPr="00CA0CED" w14:paraId="24B18B3F" w14:textId="77777777" w:rsidTr="00D4470F">
        <w:tc>
          <w:tcPr>
            <w:tcW w:w="7508" w:type="dxa"/>
            <w:shd w:val="clear" w:color="auto" w:fill="auto"/>
          </w:tcPr>
          <w:p w14:paraId="4553B12E" w14:textId="77777777" w:rsidR="00897F84" w:rsidRPr="00981791" w:rsidRDefault="00897F84" w:rsidP="00D4470F">
            <w:pPr>
              <w:rPr>
                <w:sz w:val="20"/>
                <w:szCs w:val="20"/>
              </w:rPr>
            </w:pPr>
            <w:r w:rsidRPr="00981791">
              <w:rPr>
                <w:b/>
                <w:sz w:val="20"/>
                <w:szCs w:val="20"/>
              </w:rPr>
              <w:t>Time from admission to recovery (days)</w:t>
            </w:r>
          </w:p>
        </w:tc>
        <w:tc>
          <w:tcPr>
            <w:tcW w:w="1985" w:type="dxa"/>
            <w:shd w:val="clear" w:color="auto" w:fill="auto"/>
          </w:tcPr>
          <w:p w14:paraId="36C0FCDD" w14:textId="77777777" w:rsidR="00897F84" w:rsidRPr="00981791" w:rsidRDefault="00897F84" w:rsidP="00D4470F">
            <w:pPr>
              <w:jc w:val="center"/>
              <w:rPr>
                <w:sz w:val="20"/>
                <w:szCs w:val="20"/>
              </w:rPr>
            </w:pPr>
          </w:p>
        </w:tc>
      </w:tr>
      <w:tr w:rsidR="00897F84" w:rsidRPr="00CA0CED" w14:paraId="5C8F937D" w14:textId="77777777" w:rsidTr="00D4470F">
        <w:tc>
          <w:tcPr>
            <w:tcW w:w="7508" w:type="dxa"/>
            <w:shd w:val="clear" w:color="auto" w:fill="auto"/>
          </w:tcPr>
          <w:p w14:paraId="4A37A503" w14:textId="77777777" w:rsidR="00897F84" w:rsidRPr="00981791" w:rsidRDefault="00897F84" w:rsidP="00D4470F">
            <w:pPr>
              <w:rPr>
                <w:sz w:val="20"/>
                <w:szCs w:val="20"/>
              </w:rPr>
            </w:pPr>
            <w:r w:rsidRPr="00981791">
              <w:rPr>
                <w:sz w:val="20"/>
                <w:szCs w:val="20"/>
              </w:rPr>
              <w:t xml:space="preserve">     Median (IQR)</w:t>
            </w:r>
          </w:p>
        </w:tc>
        <w:tc>
          <w:tcPr>
            <w:tcW w:w="1985" w:type="dxa"/>
            <w:shd w:val="clear" w:color="auto" w:fill="auto"/>
          </w:tcPr>
          <w:p w14:paraId="53C2359C" w14:textId="77777777" w:rsidR="00897F84" w:rsidRPr="00981791" w:rsidRDefault="00897F84" w:rsidP="00D4470F">
            <w:pPr>
              <w:jc w:val="center"/>
              <w:rPr>
                <w:sz w:val="20"/>
                <w:szCs w:val="20"/>
              </w:rPr>
            </w:pPr>
            <w:r w:rsidRPr="00981791">
              <w:rPr>
                <w:sz w:val="20"/>
                <w:szCs w:val="20"/>
              </w:rPr>
              <w:t>10(6-18)</w:t>
            </w:r>
          </w:p>
        </w:tc>
      </w:tr>
      <w:tr w:rsidR="00897F84" w:rsidRPr="00CA0CED" w14:paraId="4DD63E0B" w14:textId="77777777" w:rsidTr="00D4470F">
        <w:tc>
          <w:tcPr>
            <w:tcW w:w="7508" w:type="dxa"/>
            <w:shd w:val="clear" w:color="auto" w:fill="auto"/>
          </w:tcPr>
          <w:p w14:paraId="0B19F8E2" w14:textId="77777777" w:rsidR="00897F84" w:rsidRPr="00981791" w:rsidRDefault="00897F84" w:rsidP="00D4470F">
            <w:pPr>
              <w:rPr>
                <w:sz w:val="20"/>
                <w:szCs w:val="20"/>
              </w:rPr>
            </w:pPr>
            <w:r w:rsidRPr="00981791">
              <w:rPr>
                <w:b/>
                <w:sz w:val="20"/>
                <w:szCs w:val="20"/>
              </w:rPr>
              <w:t>Time from admission to death (days)</w:t>
            </w:r>
          </w:p>
        </w:tc>
        <w:tc>
          <w:tcPr>
            <w:tcW w:w="1985" w:type="dxa"/>
            <w:shd w:val="clear" w:color="auto" w:fill="auto"/>
          </w:tcPr>
          <w:p w14:paraId="7E6D9ABD" w14:textId="77777777" w:rsidR="00897F84" w:rsidRPr="00981791" w:rsidRDefault="00897F84" w:rsidP="00D4470F">
            <w:pPr>
              <w:jc w:val="center"/>
              <w:rPr>
                <w:sz w:val="20"/>
                <w:szCs w:val="20"/>
              </w:rPr>
            </w:pPr>
          </w:p>
        </w:tc>
      </w:tr>
      <w:tr w:rsidR="00897F84" w:rsidRPr="00CA0CED" w14:paraId="332FB977" w14:textId="77777777" w:rsidTr="00D4470F">
        <w:tc>
          <w:tcPr>
            <w:tcW w:w="7508" w:type="dxa"/>
            <w:shd w:val="clear" w:color="auto" w:fill="auto"/>
          </w:tcPr>
          <w:p w14:paraId="2F170FBA" w14:textId="77777777" w:rsidR="00897F84" w:rsidRPr="00981791" w:rsidRDefault="00897F84" w:rsidP="00D4470F">
            <w:pPr>
              <w:rPr>
                <w:sz w:val="20"/>
                <w:szCs w:val="20"/>
              </w:rPr>
            </w:pPr>
            <w:r w:rsidRPr="00981791">
              <w:rPr>
                <w:sz w:val="20"/>
                <w:szCs w:val="20"/>
              </w:rPr>
              <w:t xml:space="preserve">     Median (IQR)</w:t>
            </w:r>
          </w:p>
        </w:tc>
        <w:tc>
          <w:tcPr>
            <w:tcW w:w="1985" w:type="dxa"/>
            <w:shd w:val="clear" w:color="auto" w:fill="auto"/>
          </w:tcPr>
          <w:p w14:paraId="22C32358" w14:textId="77777777" w:rsidR="00897F84" w:rsidRPr="00981791" w:rsidRDefault="00897F84" w:rsidP="00D4470F">
            <w:pPr>
              <w:jc w:val="center"/>
              <w:rPr>
                <w:sz w:val="20"/>
                <w:szCs w:val="20"/>
              </w:rPr>
            </w:pPr>
            <w:r w:rsidRPr="00981791">
              <w:rPr>
                <w:sz w:val="20"/>
                <w:szCs w:val="20"/>
              </w:rPr>
              <w:t>5.5(3-9)</w:t>
            </w:r>
          </w:p>
        </w:tc>
      </w:tr>
      <w:tr w:rsidR="00897F84" w:rsidRPr="00CA0CED" w14:paraId="002403C7" w14:textId="77777777" w:rsidTr="00D4470F">
        <w:tc>
          <w:tcPr>
            <w:tcW w:w="7508" w:type="dxa"/>
            <w:shd w:val="clear" w:color="auto" w:fill="auto"/>
          </w:tcPr>
          <w:p w14:paraId="48EAE38B" w14:textId="77777777" w:rsidR="00897F84" w:rsidRPr="00981791" w:rsidRDefault="00897F84" w:rsidP="00D4470F">
            <w:pPr>
              <w:rPr>
                <w:b/>
                <w:sz w:val="20"/>
                <w:szCs w:val="20"/>
              </w:rPr>
            </w:pPr>
            <w:r w:rsidRPr="00981791">
              <w:rPr>
                <w:b/>
                <w:sz w:val="20"/>
                <w:szCs w:val="20"/>
              </w:rPr>
              <w:t>Pregnancy (female)</w:t>
            </w:r>
          </w:p>
        </w:tc>
        <w:tc>
          <w:tcPr>
            <w:tcW w:w="1985" w:type="dxa"/>
            <w:shd w:val="clear" w:color="auto" w:fill="auto"/>
          </w:tcPr>
          <w:p w14:paraId="7628391D" w14:textId="77777777" w:rsidR="00897F84" w:rsidRPr="00981791" w:rsidRDefault="00897F84" w:rsidP="00D4470F">
            <w:pPr>
              <w:jc w:val="center"/>
              <w:rPr>
                <w:sz w:val="20"/>
                <w:szCs w:val="20"/>
              </w:rPr>
            </w:pPr>
          </w:p>
        </w:tc>
      </w:tr>
      <w:tr w:rsidR="00897F84" w:rsidRPr="00CA0CED" w14:paraId="564B5F7A" w14:textId="77777777" w:rsidTr="00D4470F">
        <w:tc>
          <w:tcPr>
            <w:tcW w:w="7508" w:type="dxa"/>
          </w:tcPr>
          <w:p w14:paraId="00B18EB0" w14:textId="77777777" w:rsidR="00897F84" w:rsidRPr="00CA0CED" w:rsidRDefault="00897F84" w:rsidP="00D4470F">
            <w:pPr>
              <w:rPr>
                <w:sz w:val="20"/>
                <w:szCs w:val="20"/>
              </w:rPr>
            </w:pPr>
            <w:r w:rsidRPr="00CA0CED">
              <w:rPr>
                <w:sz w:val="20"/>
                <w:szCs w:val="20"/>
              </w:rPr>
              <w:t xml:space="preserve">     Yes</w:t>
            </w:r>
          </w:p>
        </w:tc>
        <w:tc>
          <w:tcPr>
            <w:tcW w:w="1985" w:type="dxa"/>
          </w:tcPr>
          <w:p w14:paraId="36BB9B8E" w14:textId="77777777" w:rsidR="00897F84" w:rsidRPr="00CA0CED" w:rsidRDefault="00897F84" w:rsidP="00D4470F">
            <w:pPr>
              <w:jc w:val="center"/>
              <w:rPr>
                <w:sz w:val="20"/>
                <w:szCs w:val="20"/>
              </w:rPr>
            </w:pPr>
            <w:r w:rsidRPr="00CA0CED">
              <w:rPr>
                <w:sz w:val="20"/>
                <w:szCs w:val="20"/>
              </w:rPr>
              <w:t>4(8.2)</w:t>
            </w:r>
          </w:p>
        </w:tc>
      </w:tr>
      <w:tr w:rsidR="00897F84" w:rsidRPr="00CA0CED" w14:paraId="31A99077" w14:textId="77777777" w:rsidTr="00D4470F">
        <w:tc>
          <w:tcPr>
            <w:tcW w:w="7508" w:type="dxa"/>
          </w:tcPr>
          <w:p w14:paraId="249AB605" w14:textId="77777777" w:rsidR="00897F84" w:rsidRPr="00CA0CED" w:rsidRDefault="00897F84" w:rsidP="00D4470F">
            <w:pPr>
              <w:rPr>
                <w:sz w:val="20"/>
                <w:szCs w:val="20"/>
              </w:rPr>
            </w:pPr>
            <w:r w:rsidRPr="00CA0CED">
              <w:rPr>
                <w:sz w:val="20"/>
                <w:szCs w:val="20"/>
              </w:rPr>
              <w:t xml:space="preserve">     No</w:t>
            </w:r>
          </w:p>
        </w:tc>
        <w:tc>
          <w:tcPr>
            <w:tcW w:w="1985" w:type="dxa"/>
          </w:tcPr>
          <w:p w14:paraId="5E45AA77" w14:textId="77777777" w:rsidR="00897F84" w:rsidRPr="00CA0CED" w:rsidRDefault="00897F84" w:rsidP="00D4470F">
            <w:pPr>
              <w:jc w:val="center"/>
              <w:rPr>
                <w:sz w:val="20"/>
                <w:szCs w:val="20"/>
              </w:rPr>
            </w:pPr>
            <w:r w:rsidRPr="00CA0CED">
              <w:rPr>
                <w:sz w:val="20"/>
                <w:szCs w:val="20"/>
              </w:rPr>
              <w:t>43(91.8)</w:t>
            </w:r>
          </w:p>
        </w:tc>
      </w:tr>
      <w:tr w:rsidR="00897F84" w:rsidRPr="00CA0CED" w14:paraId="1E8FC5EA" w14:textId="77777777" w:rsidTr="00D4470F">
        <w:tc>
          <w:tcPr>
            <w:tcW w:w="7508" w:type="dxa"/>
          </w:tcPr>
          <w:p w14:paraId="5117FB06" w14:textId="77777777" w:rsidR="00897F84" w:rsidRPr="00CA0CED" w:rsidRDefault="00897F84" w:rsidP="00D4470F">
            <w:pPr>
              <w:rPr>
                <w:b/>
                <w:sz w:val="20"/>
                <w:szCs w:val="20"/>
              </w:rPr>
            </w:pPr>
            <w:r w:rsidRPr="00CA0CED">
              <w:rPr>
                <w:b/>
                <w:sz w:val="20"/>
                <w:szCs w:val="20"/>
              </w:rPr>
              <w:t>Occupation</w:t>
            </w:r>
          </w:p>
        </w:tc>
        <w:tc>
          <w:tcPr>
            <w:tcW w:w="1985" w:type="dxa"/>
          </w:tcPr>
          <w:p w14:paraId="2005EE32" w14:textId="77777777" w:rsidR="00897F84" w:rsidRPr="00CA0CED" w:rsidRDefault="00897F84" w:rsidP="00D4470F">
            <w:pPr>
              <w:jc w:val="center"/>
              <w:rPr>
                <w:sz w:val="20"/>
                <w:szCs w:val="20"/>
              </w:rPr>
            </w:pPr>
          </w:p>
        </w:tc>
      </w:tr>
      <w:tr w:rsidR="00897F84" w:rsidRPr="00CA0CED" w14:paraId="3A8E33B9" w14:textId="77777777" w:rsidTr="00D4470F">
        <w:tc>
          <w:tcPr>
            <w:tcW w:w="7508" w:type="dxa"/>
          </w:tcPr>
          <w:p w14:paraId="0CA85C01" w14:textId="77777777" w:rsidR="00897F84" w:rsidRPr="00CA0CED" w:rsidRDefault="00897F84" w:rsidP="00D4470F">
            <w:pPr>
              <w:rPr>
                <w:sz w:val="20"/>
                <w:szCs w:val="20"/>
              </w:rPr>
            </w:pPr>
            <w:r w:rsidRPr="00CA0CED">
              <w:rPr>
                <w:sz w:val="20"/>
                <w:szCs w:val="20"/>
              </w:rPr>
              <w:t xml:space="preserve">     Employed</w:t>
            </w:r>
          </w:p>
        </w:tc>
        <w:tc>
          <w:tcPr>
            <w:tcW w:w="1985" w:type="dxa"/>
          </w:tcPr>
          <w:p w14:paraId="31DE5C78" w14:textId="77777777" w:rsidR="00897F84" w:rsidRPr="00CA0CED" w:rsidRDefault="00897F84" w:rsidP="00D4470F">
            <w:pPr>
              <w:jc w:val="center"/>
              <w:rPr>
                <w:sz w:val="20"/>
                <w:szCs w:val="20"/>
              </w:rPr>
            </w:pPr>
            <w:r w:rsidRPr="00CA0CED">
              <w:rPr>
                <w:sz w:val="20"/>
                <w:szCs w:val="20"/>
              </w:rPr>
              <w:t>36(29.8)</w:t>
            </w:r>
          </w:p>
        </w:tc>
      </w:tr>
      <w:tr w:rsidR="00897F84" w:rsidRPr="00CA0CED" w14:paraId="6502E5CF" w14:textId="77777777" w:rsidTr="00D4470F">
        <w:tc>
          <w:tcPr>
            <w:tcW w:w="7508" w:type="dxa"/>
          </w:tcPr>
          <w:p w14:paraId="7C6308A9" w14:textId="77777777" w:rsidR="00897F84" w:rsidRPr="00CA0CED" w:rsidRDefault="00897F84" w:rsidP="00D4470F">
            <w:pPr>
              <w:rPr>
                <w:sz w:val="20"/>
                <w:szCs w:val="20"/>
              </w:rPr>
            </w:pPr>
            <w:r w:rsidRPr="00CA0CED">
              <w:rPr>
                <w:sz w:val="20"/>
                <w:szCs w:val="20"/>
              </w:rPr>
              <w:t xml:space="preserve">     Self-employed</w:t>
            </w:r>
          </w:p>
        </w:tc>
        <w:tc>
          <w:tcPr>
            <w:tcW w:w="1985" w:type="dxa"/>
          </w:tcPr>
          <w:p w14:paraId="7E502E08" w14:textId="77777777" w:rsidR="00897F84" w:rsidRPr="00CA0CED" w:rsidRDefault="00897F84" w:rsidP="00D4470F">
            <w:pPr>
              <w:jc w:val="center"/>
              <w:rPr>
                <w:sz w:val="20"/>
                <w:szCs w:val="20"/>
              </w:rPr>
            </w:pPr>
            <w:r w:rsidRPr="00CA0CED">
              <w:rPr>
                <w:sz w:val="20"/>
                <w:szCs w:val="20"/>
              </w:rPr>
              <w:t>62(51.2)</w:t>
            </w:r>
          </w:p>
        </w:tc>
      </w:tr>
      <w:tr w:rsidR="00897F84" w:rsidRPr="00CA0CED" w14:paraId="64964A1D" w14:textId="77777777" w:rsidTr="00D4470F">
        <w:tc>
          <w:tcPr>
            <w:tcW w:w="7508" w:type="dxa"/>
          </w:tcPr>
          <w:p w14:paraId="3B372E9C" w14:textId="77777777" w:rsidR="00897F84" w:rsidRPr="00CA0CED" w:rsidRDefault="00897F84" w:rsidP="00D4470F">
            <w:pPr>
              <w:rPr>
                <w:sz w:val="20"/>
                <w:szCs w:val="20"/>
              </w:rPr>
            </w:pPr>
            <w:r w:rsidRPr="00CA0CED">
              <w:rPr>
                <w:sz w:val="20"/>
                <w:szCs w:val="20"/>
              </w:rPr>
              <w:t xml:space="preserve">     Unemployed</w:t>
            </w:r>
          </w:p>
        </w:tc>
        <w:tc>
          <w:tcPr>
            <w:tcW w:w="1985" w:type="dxa"/>
          </w:tcPr>
          <w:p w14:paraId="4F03EC8A" w14:textId="77777777" w:rsidR="00897F84" w:rsidRPr="00CA0CED" w:rsidRDefault="00897F84" w:rsidP="00D4470F">
            <w:pPr>
              <w:jc w:val="center"/>
              <w:rPr>
                <w:sz w:val="20"/>
                <w:szCs w:val="20"/>
              </w:rPr>
            </w:pPr>
            <w:r w:rsidRPr="00CA0CED">
              <w:rPr>
                <w:sz w:val="20"/>
                <w:szCs w:val="20"/>
              </w:rPr>
              <w:t>18(14.9)</w:t>
            </w:r>
          </w:p>
        </w:tc>
      </w:tr>
      <w:tr w:rsidR="00897F84" w:rsidRPr="00CA0CED" w14:paraId="72E3C82A" w14:textId="77777777" w:rsidTr="00D4470F">
        <w:tc>
          <w:tcPr>
            <w:tcW w:w="7508" w:type="dxa"/>
          </w:tcPr>
          <w:p w14:paraId="74A62E85" w14:textId="77777777" w:rsidR="00897F84" w:rsidRPr="00CA0CED" w:rsidRDefault="00897F84" w:rsidP="00D4470F">
            <w:pPr>
              <w:rPr>
                <w:sz w:val="20"/>
                <w:szCs w:val="20"/>
              </w:rPr>
            </w:pPr>
            <w:r w:rsidRPr="00CA0CED">
              <w:rPr>
                <w:sz w:val="20"/>
                <w:szCs w:val="20"/>
              </w:rPr>
              <w:t xml:space="preserve">     Farmer/peasant/fishermen</w:t>
            </w:r>
          </w:p>
        </w:tc>
        <w:tc>
          <w:tcPr>
            <w:tcW w:w="1985" w:type="dxa"/>
          </w:tcPr>
          <w:p w14:paraId="2653AB6A" w14:textId="77777777" w:rsidR="00897F84" w:rsidRPr="00CA0CED" w:rsidRDefault="00897F84" w:rsidP="00D4470F">
            <w:pPr>
              <w:jc w:val="center"/>
              <w:rPr>
                <w:sz w:val="20"/>
                <w:szCs w:val="20"/>
              </w:rPr>
            </w:pPr>
            <w:r w:rsidRPr="00CA0CED">
              <w:rPr>
                <w:sz w:val="20"/>
                <w:szCs w:val="20"/>
              </w:rPr>
              <w:t>5(4.1)</w:t>
            </w:r>
          </w:p>
        </w:tc>
      </w:tr>
      <w:tr w:rsidR="00897F84" w:rsidRPr="00CA0CED" w14:paraId="420E982C" w14:textId="77777777" w:rsidTr="00D4470F">
        <w:tc>
          <w:tcPr>
            <w:tcW w:w="7508" w:type="dxa"/>
          </w:tcPr>
          <w:p w14:paraId="2782D81D" w14:textId="77777777" w:rsidR="00897F84" w:rsidRPr="00CA0CED" w:rsidRDefault="00897F84" w:rsidP="00D4470F">
            <w:pPr>
              <w:rPr>
                <w:b/>
                <w:sz w:val="20"/>
                <w:szCs w:val="20"/>
              </w:rPr>
            </w:pPr>
            <w:r w:rsidRPr="00CA0CED">
              <w:rPr>
                <w:b/>
                <w:sz w:val="20"/>
                <w:szCs w:val="20"/>
              </w:rPr>
              <w:t>Patients’ exposure (14 days before the onset of symptoms)</w:t>
            </w:r>
          </w:p>
        </w:tc>
        <w:tc>
          <w:tcPr>
            <w:tcW w:w="1985" w:type="dxa"/>
          </w:tcPr>
          <w:p w14:paraId="61A996E4" w14:textId="77777777" w:rsidR="00897F84" w:rsidRPr="00CA0CED" w:rsidRDefault="00897F84" w:rsidP="00D4470F">
            <w:pPr>
              <w:jc w:val="center"/>
              <w:rPr>
                <w:sz w:val="20"/>
                <w:szCs w:val="20"/>
              </w:rPr>
            </w:pPr>
          </w:p>
        </w:tc>
      </w:tr>
      <w:tr w:rsidR="00897F84" w:rsidRPr="00CA0CED" w14:paraId="600A4B22" w14:textId="77777777" w:rsidTr="00D4470F">
        <w:tc>
          <w:tcPr>
            <w:tcW w:w="7508" w:type="dxa"/>
          </w:tcPr>
          <w:p w14:paraId="44F0A6AD" w14:textId="77777777" w:rsidR="00897F84" w:rsidRPr="00CA0CED" w:rsidRDefault="00897F84" w:rsidP="00D4470F">
            <w:pPr>
              <w:rPr>
                <w:sz w:val="20"/>
                <w:szCs w:val="20"/>
              </w:rPr>
            </w:pPr>
            <w:r w:rsidRPr="00CA0CED">
              <w:rPr>
                <w:sz w:val="20"/>
                <w:szCs w:val="20"/>
              </w:rPr>
              <w:t xml:space="preserve">     Travel domestically </w:t>
            </w:r>
          </w:p>
        </w:tc>
        <w:tc>
          <w:tcPr>
            <w:tcW w:w="1985" w:type="dxa"/>
          </w:tcPr>
          <w:p w14:paraId="5F371AC1" w14:textId="77777777" w:rsidR="00897F84" w:rsidRPr="00CA0CED" w:rsidRDefault="00897F84" w:rsidP="00D4470F">
            <w:pPr>
              <w:jc w:val="center"/>
              <w:rPr>
                <w:sz w:val="20"/>
                <w:szCs w:val="20"/>
              </w:rPr>
            </w:pPr>
            <w:r w:rsidRPr="00CA0CED">
              <w:rPr>
                <w:sz w:val="20"/>
                <w:szCs w:val="20"/>
              </w:rPr>
              <w:t>3(2.5)</w:t>
            </w:r>
          </w:p>
        </w:tc>
      </w:tr>
      <w:tr w:rsidR="00897F84" w:rsidRPr="00CA0CED" w14:paraId="0C832747" w14:textId="77777777" w:rsidTr="00D4470F">
        <w:tc>
          <w:tcPr>
            <w:tcW w:w="7508" w:type="dxa"/>
          </w:tcPr>
          <w:p w14:paraId="05F13C35" w14:textId="77777777" w:rsidR="00897F84" w:rsidRPr="00CA0CED" w:rsidRDefault="00897F84" w:rsidP="00D4470F">
            <w:pPr>
              <w:rPr>
                <w:sz w:val="20"/>
                <w:szCs w:val="20"/>
              </w:rPr>
            </w:pPr>
            <w:r w:rsidRPr="00CA0CED">
              <w:rPr>
                <w:sz w:val="20"/>
                <w:szCs w:val="20"/>
              </w:rPr>
              <w:t xml:space="preserve">     Contact with case</w:t>
            </w:r>
          </w:p>
        </w:tc>
        <w:tc>
          <w:tcPr>
            <w:tcW w:w="1985" w:type="dxa"/>
          </w:tcPr>
          <w:p w14:paraId="129F8377" w14:textId="77777777" w:rsidR="00897F84" w:rsidRPr="00CA0CED" w:rsidRDefault="00897F84" w:rsidP="00D4470F">
            <w:pPr>
              <w:jc w:val="center"/>
              <w:rPr>
                <w:sz w:val="20"/>
                <w:szCs w:val="20"/>
              </w:rPr>
            </w:pPr>
            <w:r w:rsidRPr="00CA0CED">
              <w:rPr>
                <w:sz w:val="20"/>
                <w:szCs w:val="20"/>
              </w:rPr>
              <w:t>5(4.1)</w:t>
            </w:r>
          </w:p>
        </w:tc>
      </w:tr>
      <w:tr w:rsidR="00897F84" w:rsidRPr="00CA0CED" w14:paraId="70CCE69D" w14:textId="77777777" w:rsidTr="00D4470F">
        <w:tc>
          <w:tcPr>
            <w:tcW w:w="7508" w:type="dxa"/>
          </w:tcPr>
          <w:p w14:paraId="1E86875E" w14:textId="77777777" w:rsidR="00897F84" w:rsidRPr="00CA0CED" w:rsidRDefault="00897F84" w:rsidP="00D4470F">
            <w:pPr>
              <w:rPr>
                <w:sz w:val="20"/>
                <w:szCs w:val="20"/>
              </w:rPr>
            </w:pPr>
            <w:r w:rsidRPr="00CA0CED">
              <w:rPr>
                <w:sz w:val="20"/>
                <w:szCs w:val="20"/>
              </w:rPr>
              <w:t xml:space="preserve">     Attended mass gathering*</w:t>
            </w:r>
          </w:p>
        </w:tc>
        <w:tc>
          <w:tcPr>
            <w:tcW w:w="1985" w:type="dxa"/>
          </w:tcPr>
          <w:p w14:paraId="2A03D9F2" w14:textId="77777777" w:rsidR="00897F84" w:rsidRPr="00CA0CED" w:rsidRDefault="00897F84" w:rsidP="00D4470F">
            <w:pPr>
              <w:jc w:val="center"/>
              <w:rPr>
                <w:sz w:val="20"/>
                <w:szCs w:val="20"/>
              </w:rPr>
            </w:pPr>
            <w:r w:rsidRPr="00CA0CED">
              <w:rPr>
                <w:sz w:val="20"/>
                <w:szCs w:val="20"/>
              </w:rPr>
              <w:t>20(16.5)</w:t>
            </w:r>
          </w:p>
        </w:tc>
      </w:tr>
      <w:tr w:rsidR="00897F84" w:rsidRPr="00CA0CED" w14:paraId="329D0099" w14:textId="77777777" w:rsidTr="00D4470F">
        <w:tc>
          <w:tcPr>
            <w:tcW w:w="7508" w:type="dxa"/>
          </w:tcPr>
          <w:p w14:paraId="7FB7FCBB" w14:textId="77777777" w:rsidR="00897F84" w:rsidRPr="00CA0CED" w:rsidRDefault="00897F84" w:rsidP="00D4470F">
            <w:pPr>
              <w:rPr>
                <w:sz w:val="20"/>
                <w:szCs w:val="20"/>
              </w:rPr>
            </w:pPr>
            <w:r w:rsidRPr="00CA0CED">
              <w:rPr>
                <w:sz w:val="20"/>
                <w:szCs w:val="20"/>
              </w:rPr>
              <w:t xml:space="preserve">     Contact with person with similar illness</w:t>
            </w:r>
          </w:p>
        </w:tc>
        <w:tc>
          <w:tcPr>
            <w:tcW w:w="1985" w:type="dxa"/>
          </w:tcPr>
          <w:p w14:paraId="5067A11F" w14:textId="77777777" w:rsidR="00897F84" w:rsidRPr="00CA0CED" w:rsidRDefault="00897F84" w:rsidP="00D4470F">
            <w:pPr>
              <w:jc w:val="center"/>
              <w:rPr>
                <w:sz w:val="20"/>
                <w:szCs w:val="20"/>
              </w:rPr>
            </w:pPr>
            <w:r w:rsidRPr="00CA0CED">
              <w:rPr>
                <w:sz w:val="20"/>
                <w:szCs w:val="20"/>
              </w:rPr>
              <w:t>10(8.3)</w:t>
            </w:r>
          </w:p>
        </w:tc>
      </w:tr>
      <w:tr w:rsidR="00897F84" w:rsidRPr="00CA0CED" w14:paraId="3F834446" w14:textId="77777777" w:rsidTr="00D4470F">
        <w:tc>
          <w:tcPr>
            <w:tcW w:w="7508" w:type="dxa"/>
          </w:tcPr>
          <w:p w14:paraId="4C2CBB5B" w14:textId="77777777" w:rsidR="00897F84" w:rsidRPr="00CA0CED" w:rsidRDefault="00897F84" w:rsidP="00D4470F">
            <w:pPr>
              <w:rPr>
                <w:sz w:val="20"/>
                <w:szCs w:val="20"/>
              </w:rPr>
            </w:pPr>
            <w:r w:rsidRPr="00CA0CED">
              <w:rPr>
                <w:sz w:val="20"/>
                <w:szCs w:val="20"/>
              </w:rPr>
              <w:t xml:space="preserve">     Attended inpatient care</w:t>
            </w:r>
          </w:p>
        </w:tc>
        <w:tc>
          <w:tcPr>
            <w:tcW w:w="1985" w:type="dxa"/>
          </w:tcPr>
          <w:p w14:paraId="6B1C80BA" w14:textId="77777777" w:rsidR="00897F84" w:rsidRPr="00CA0CED" w:rsidRDefault="00897F84" w:rsidP="00D4470F">
            <w:pPr>
              <w:jc w:val="center"/>
              <w:rPr>
                <w:sz w:val="20"/>
                <w:szCs w:val="20"/>
              </w:rPr>
            </w:pPr>
            <w:r w:rsidRPr="00CA0CED">
              <w:rPr>
                <w:sz w:val="20"/>
                <w:szCs w:val="20"/>
              </w:rPr>
              <w:t>32(26.5)</w:t>
            </w:r>
          </w:p>
        </w:tc>
      </w:tr>
      <w:tr w:rsidR="00897F84" w:rsidRPr="00CA0CED" w14:paraId="345BD00E" w14:textId="77777777" w:rsidTr="00D4470F">
        <w:tc>
          <w:tcPr>
            <w:tcW w:w="7508" w:type="dxa"/>
          </w:tcPr>
          <w:p w14:paraId="29DF1011" w14:textId="77777777" w:rsidR="00897F84" w:rsidRPr="00CA0CED" w:rsidRDefault="00897F84" w:rsidP="00D4470F">
            <w:pPr>
              <w:rPr>
                <w:sz w:val="20"/>
                <w:szCs w:val="20"/>
              </w:rPr>
            </w:pPr>
            <w:r w:rsidRPr="00CA0CED">
              <w:rPr>
                <w:sz w:val="20"/>
                <w:szCs w:val="20"/>
              </w:rPr>
              <w:t xml:space="preserve">     Attended outpatient care </w:t>
            </w:r>
          </w:p>
        </w:tc>
        <w:tc>
          <w:tcPr>
            <w:tcW w:w="1985" w:type="dxa"/>
          </w:tcPr>
          <w:p w14:paraId="6D781F75" w14:textId="77777777" w:rsidR="00897F84" w:rsidRPr="00CA0CED" w:rsidRDefault="00897F84" w:rsidP="00D4470F">
            <w:pPr>
              <w:jc w:val="center"/>
              <w:rPr>
                <w:sz w:val="20"/>
                <w:szCs w:val="20"/>
              </w:rPr>
            </w:pPr>
            <w:r w:rsidRPr="00CA0CED">
              <w:rPr>
                <w:sz w:val="20"/>
                <w:szCs w:val="20"/>
              </w:rPr>
              <w:t>43(35.5)</w:t>
            </w:r>
          </w:p>
        </w:tc>
      </w:tr>
      <w:tr w:rsidR="00897F84" w:rsidRPr="00CA0CED" w14:paraId="22DD33CA" w14:textId="77777777" w:rsidTr="00D4470F">
        <w:tc>
          <w:tcPr>
            <w:tcW w:w="7508" w:type="dxa"/>
          </w:tcPr>
          <w:p w14:paraId="41496900" w14:textId="77777777" w:rsidR="00897F84" w:rsidRPr="00CA0CED" w:rsidRDefault="00897F84" w:rsidP="00D4470F">
            <w:pPr>
              <w:rPr>
                <w:b/>
                <w:sz w:val="20"/>
                <w:szCs w:val="20"/>
              </w:rPr>
            </w:pPr>
            <w:r w:rsidRPr="00CA0CED">
              <w:rPr>
                <w:b/>
                <w:sz w:val="20"/>
                <w:szCs w:val="20"/>
              </w:rPr>
              <w:t>Comorbidity status</w:t>
            </w:r>
          </w:p>
        </w:tc>
        <w:tc>
          <w:tcPr>
            <w:tcW w:w="1985" w:type="dxa"/>
          </w:tcPr>
          <w:p w14:paraId="384DFC84" w14:textId="77777777" w:rsidR="00897F84" w:rsidRPr="00CA0CED" w:rsidRDefault="00897F84" w:rsidP="00D4470F">
            <w:pPr>
              <w:jc w:val="center"/>
              <w:rPr>
                <w:sz w:val="20"/>
                <w:szCs w:val="20"/>
              </w:rPr>
            </w:pPr>
          </w:p>
        </w:tc>
      </w:tr>
      <w:tr w:rsidR="00897F84" w:rsidRPr="00CA0CED" w14:paraId="1A6FC8CA" w14:textId="77777777" w:rsidTr="00D4470F">
        <w:trPr>
          <w:trHeight w:val="152"/>
        </w:trPr>
        <w:tc>
          <w:tcPr>
            <w:tcW w:w="7508" w:type="dxa"/>
            <w:shd w:val="clear" w:color="auto" w:fill="auto"/>
          </w:tcPr>
          <w:p w14:paraId="1B188C13" w14:textId="77777777" w:rsidR="00897F84" w:rsidRPr="00CA0CED" w:rsidRDefault="00897F84" w:rsidP="00D4470F">
            <w:pPr>
              <w:rPr>
                <w:sz w:val="20"/>
                <w:szCs w:val="20"/>
                <w:lang w:val="en-US"/>
              </w:rPr>
            </w:pPr>
            <w:r w:rsidRPr="00CA0CED">
              <w:rPr>
                <w:sz w:val="20"/>
                <w:szCs w:val="20"/>
              </w:rPr>
              <w:t xml:space="preserve">     COVID-19 only i.e.</w:t>
            </w:r>
            <w:r>
              <w:rPr>
                <w:sz w:val="20"/>
                <w:szCs w:val="20"/>
                <w:lang w:val="en-US"/>
              </w:rPr>
              <w:t>,</w:t>
            </w:r>
            <w:r w:rsidRPr="00CA0CED">
              <w:rPr>
                <w:sz w:val="20"/>
                <w:szCs w:val="20"/>
              </w:rPr>
              <w:t xml:space="preserve"> no comorbidity</w:t>
            </w:r>
          </w:p>
        </w:tc>
        <w:tc>
          <w:tcPr>
            <w:tcW w:w="1985" w:type="dxa"/>
            <w:shd w:val="clear" w:color="auto" w:fill="auto"/>
          </w:tcPr>
          <w:p w14:paraId="17C27784" w14:textId="77777777" w:rsidR="00897F84" w:rsidRPr="00CA0CED" w:rsidRDefault="00897F84" w:rsidP="00D4470F">
            <w:pPr>
              <w:jc w:val="center"/>
              <w:rPr>
                <w:sz w:val="20"/>
                <w:szCs w:val="20"/>
              </w:rPr>
            </w:pPr>
            <w:r w:rsidRPr="00CA0CED">
              <w:rPr>
                <w:sz w:val="20"/>
                <w:szCs w:val="20"/>
              </w:rPr>
              <w:t>77(63.7)</w:t>
            </w:r>
          </w:p>
        </w:tc>
      </w:tr>
      <w:tr w:rsidR="00897F84" w:rsidRPr="00CA0CED" w14:paraId="4D947D6D" w14:textId="77777777" w:rsidTr="00D4470F">
        <w:tc>
          <w:tcPr>
            <w:tcW w:w="7508" w:type="dxa"/>
            <w:shd w:val="clear" w:color="auto" w:fill="auto"/>
          </w:tcPr>
          <w:p w14:paraId="4D76ABF3" w14:textId="77777777" w:rsidR="00897F84" w:rsidRPr="00CA0CED" w:rsidRDefault="00897F84" w:rsidP="00D4470F">
            <w:pPr>
              <w:rPr>
                <w:sz w:val="20"/>
                <w:szCs w:val="20"/>
              </w:rPr>
            </w:pPr>
            <w:r w:rsidRPr="00CA0CED">
              <w:rPr>
                <w:sz w:val="20"/>
                <w:szCs w:val="20"/>
              </w:rPr>
              <w:t xml:space="preserve">     One comorbidity condition (COVID-19 + One NCD condition)</w:t>
            </w:r>
          </w:p>
        </w:tc>
        <w:tc>
          <w:tcPr>
            <w:tcW w:w="1985" w:type="dxa"/>
            <w:shd w:val="clear" w:color="auto" w:fill="auto"/>
          </w:tcPr>
          <w:p w14:paraId="5CAF5674" w14:textId="77777777" w:rsidR="00897F84" w:rsidRPr="00CA0CED" w:rsidRDefault="00897F84" w:rsidP="00D4470F">
            <w:pPr>
              <w:jc w:val="center"/>
              <w:rPr>
                <w:sz w:val="20"/>
                <w:szCs w:val="20"/>
              </w:rPr>
            </w:pPr>
            <w:r w:rsidRPr="00CA0CED">
              <w:rPr>
                <w:sz w:val="20"/>
                <w:szCs w:val="20"/>
              </w:rPr>
              <w:t>24(19.8)</w:t>
            </w:r>
          </w:p>
        </w:tc>
      </w:tr>
      <w:tr w:rsidR="00897F84" w:rsidRPr="00CA0CED" w14:paraId="3EF71ED5" w14:textId="77777777" w:rsidTr="00D4470F">
        <w:tc>
          <w:tcPr>
            <w:tcW w:w="7508" w:type="dxa"/>
            <w:shd w:val="clear" w:color="auto" w:fill="auto"/>
          </w:tcPr>
          <w:p w14:paraId="549C9DE8" w14:textId="77777777" w:rsidR="00897F84" w:rsidRPr="00CA0CED" w:rsidRDefault="00897F84" w:rsidP="00D4470F">
            <w:pPr>
              <w:rPr>
                <w:sz w:val="20"/>
                <w:szCs w:val="20"/>
              </w:rPr>
            </w:pPr>
            <w:r w:rsidRPr="00CA0CED">
              <w:rPr>
                <w:sz w:val="20"/>
                <w:szCs w:val="20"/>
              </w:rPr>
              <w:lastRenderedPageBreak/>
              <w:t xml:space="preserve">     Two comorbidities (COVID-19 + Two NCD condition)</w:t>
            </w:r>
          </w:p>
        </w:tc>
        <w:tc>
          <w:tcPr>
            <w:tcW w:w="1985" w:type="dxa"/>
            <w:shd w:val="clear" w:color="auto" w:fill="auto"/>
          </w:tcPr>
          <w:p w14:paraId="1762A8EC" w14:textId="77777777" w:rsidR="00897F84" w:rsidRPr="00CA0CED" w:rsidRDefault="00897F84" w:rsidP="00D4470F">
            <w:pPr>
              <w:jc w:val="center"/>
              <w:rPr>
                <w:sz w:val="20"/>
                <w:szCs w:val="20"/>
              </w:rPr>
            </w:pPr>
            <w:r w:rsidRPr="00CA0CED">
              <w:rPr>
                <w:sz w:val="20"/>
                <w:szCs w:val="20"/>
              </w:rPr>
              <w:t>13(10.7)</w:t>
            </w:r>
          </w:p>
        </w:tc>
      </w:tr>
      <w:tr w:rsidR="00897F84" w:rsidRPr="00CA0CED" w14:paraId="639068DC" w14:textId="77777777" w:rsidTr="00D4470F">
        <w:tc>
          <w:tcPr>
            <w:tcW w:w="7508" w:type="dxa"/>
            <w:shd w:val="clear" w:color="auto" w:fill="auto"/>
          </w:tcPr>
          <w:p w14:paraId="29669497" w14:textId="77777777" w:rsidR="00897F84" w:rsidRPr="00CA0CED" w:rsidRDefault="00897F84" w:rsidP="00D4470F">
            <w:pPr>
              <w:rPr>
                <w:sz w:val="20"/>
                <w:szCs w:val="20"/>
              </w:rPr>
            </w:pPr>
            <w:r w:rsidRPr="00CA0CED">
              <w:rPr>
                <w:sz w:val="20"/>
                <w:szCs w:val="20"/>
              </w:rPr>
              <w:t xml:space="preserve">     Three and more comorbidities </w:t>
            </w:r>
          </w:p>
        </w:tc>
        <w:tc>
          <w:tcPr>
            <w:tcW w:w="1985" w:type="dxa"/>
            <w:shd w:val="clear" w:color="auto" w:fill="auto"/>
          </w:tcPr>
          <w:p w14:paraId="5F5F3C12" w14:textId="77777777" w:rsidR="00897F84" w:rsidRPr="00CA0CED" w:rsidRDefault="00897F84" w:rsidP="00D4470F">
            <w:pPr>
              <w:jc w:val="center"/>
              <w:rPr>
                <w:sz w:val="20"/>
                <w:szCs w:val="20"/>
              </w:rPr>
            </w:pPr>
            <w:r w:rsidRPr="00CA0CED">
              <w:rPr>
                <w:sz w:val="20"/>
                <w:szCs w:val="20"/>
              </w:rPr>
              <w:t>7(5.8)</w:t>
            </w:r>
          </w:p>
        </w:tc>
      </w:tr>
      <w:tr w:rsidR="00897F84" w:rsidRPr="00CA0CED" w14:paraId="4692AA1A" w14:textId="77777777" w:rsidTr="00D4470F">
        <w:tc>
          <w:tcPr>
            <w:tcW w:w="7508" w:type="dxa"/>
            <w:shd w:val="clear" w:color="auto" w:fill="auto"/>
          </w:tcPr>
          <w:p w14:paraId="3613B676" w14:textId="77777777" w:rsidR="00897F84" w:rsidRPr="00CA0CED" w:rsidRDefault="00897F84" w:rsidP="00D4470F">
            <w:pPr>
              <w:rPr>
                <w:sz w:val="20"/>
                <w:szCs w:val="20"/>
              </w:rPr>
            </w:pPr>
            <w:r w:rsidRPr="00CA0CED">
              <w:rPr>
                <w:b/>
                <w:sz w:val="20"/>
                <w:szCs w:val="20"/>
              </w:rPr>
              <w:t>Magnitude of symptoms</w:t>
            </w:r>
          </w:p>
        </w:tc>
        <w:tc>
          <w:tcPr>
            <w:tcW w:w="1985" w:type="dxa"/>
            <w:shd w:val="clear" w:color="auto" w:fill="auto"/>
          </w:tcPr>
          <w:p w14:paraId="2D4B8DFB" w14:textId="77777777" w:rsidR="00897F84" w:rsidRPr="00CA0CED" w:rsidRDefault="00897F84" w:rsidP="00D4470F">
            <w:pPr>
              <w:jc w:val="center"/>
              <w:rPr>
                <w:sz w:val="20"/>
                <w:szCs w:val="20"/>
              </w:rPr>
            </w:pPr>
          </w:p>
        </w:tc>
      </w:tr>
      <w:tr w:rsidR="00897F84" w:rsidRPr="00CA0CED" w14:paraId="28F49BB3" w14:textId="77777777" w:rsidTr="00D4470F">
        <w:tc>
          <w:tcPr>
            <w:tcW w:w="7508" w:type="dxa"/>
          </w:tcPr>
          <w:p w14:paraId="03949213" w14:textId="77777777" w:rsidR="00897F84" w:rsidRPr="001A703C" w:rsidRDefault="00897F84" w:rsidP="00D4470F">
            <w:pPr>
              <w:rPr>
                <w:sz w:val="20"/>
                <w:szCs w:val="20"/>
              </w:rPr>
            </w:pPr>
            <w:r w:rsidRPr="001A703C">
              <w:rPr>
                <w:sz w:val="20"/>
                <w:szCs w:val="20"/>
              </w:rPr>
              <w:t xml:space="preserve">     Asymptomatic</w:t>
            </w:r>
          </w:p>
        </w:tc>
        <w:tc>
          <w:tcPr>
            <w:tcW w:w="1985" w:type="dxa"/>
          </w:tcPr>
          <w:p w14:paraId="75B48238" w14:textId="77777777" w:rsidR="00897F84" w:rsidRPr="001A703C" w:rsidRDefault="00897F84" w:rsidP="00D4470F">
            <w:pPr>
              <w:jc w:val="center"/>
              <w:rPr>
                <w:sz w:val="20"/>
                <w:szCs w:val="20"/>
              </w:rPr>
            </w:pPr>
            <w:r w:rsidRPr="001A703C">
              <w:rPr>
                <w:sz w:val="20"/>
                <w:szCs w:val="20"/>
              </w:rPr>
              <w:t>7(5.8)</w:t>
            </w:r>
          </w:p>
        </w:tc>
      </w:tr>
      <w:tr w:rsidR="00897F84" w:rsidRPr="00CA0CED" w14:paraId="6D283685" w14:textId="77777777" w:rsidTr="00D4470F">
        <w:tc>
          <w:tcPr>
            <w:tcW w:w="7508" w:type="dxa"/>
          </w:tcPr>
          <w:p w14:paraId="4B05F785" w14:textId="77777777" w:rsidR="00897F84" w:rsidRPr="001A703C" w:rsidRDefault="00897F84" w:rsidP="00D4470F">
            <w:pPr>
              <w:rPr>
                <w:sz w:val="20"/>
                <w:szCs w:val="20"/>
              </w:rPr>
            </w:pPr>
            <w:r w:rsidRPr="001A703C">
              <w:rPr>
                <w:sz w:val="20"/>
                <w:szCs w:val="20"/>
              </w:rPr>
              <w:t xml:space="preserve">     1 symptom </w:t>
            </w:r>
          </w:p>
        </w:tc>
        <w:tc>
          <w:tcPr>
            <w:tcW w:w="1985" w:type="dxa"/>
          </w:tcPr>
          <w:p w14:paraId="3EF58CD2" w14:textId="77777777" w:rsidR="00897F84" w:rsidRPr="001A703C" w:rsidRDefault="00897F84" w:rsidP="00D4470F">
            <w:pPr>
              <w:jc w:val="center"/>
              <w:rPr>
                <w:sz w:val="20"/>
                <w:szCs w:val="20"/>
              </w:rPr>
            </w:pPr>
            <w:r w:rsidRPr="001A703C">
              <w:rPr>
                <w:sz w:val="20"/>
                <w:szCs w:val="20"/>
              </w:rPr>
              <w:t>6(5.0)</w:t>
            </w:r>
          </w:p>
        </w:tc>
      </w:tr>
      <w:tr w:rsidR="00897F84" w:rsidRPr="00CA0CED" w14:paraId="5E9BC0B2" w14:textId="77777777" w:rsidTr="00D4470F">
        <w:tc>
          <w:tcPr>
            <w:tcW w:w="7508" w:type="dxa"/>
          </w:tcPr>
          <w:p w14:paraId="3AC06B2D" w14:textId="77777777" w:rsidR="00897F84" w:rsidRPr="001A703C" w:rsidRDefault="00897F84" w:rsidP="00D4470F">
            <w:pPr>
              <w:rPr>
                <w:sz w:val="20"/>
                <w:szCs w:val="20"/>
              </w:rPr>
            </w:pPr>
            <w:r w:rsidRPr="001A703C">
              <w:rPr>
                <w:sz w:val="20"/>
                <w:szCs w:val="20"/>
              </w:rPr>
              <w:t xml:space="preserve">     2 symptoms </w:t>
            </w:r>
          </w:p>
        </w:tc>
        <w:tc>
          <w:tcPr>
            <w:tcW w:w="1985" w:type="dxa"/>
          </w:tcPr>
          <w:p w14:paraId="02DC75B1" w14:textId="77777777" w:rsidR="00897F84" w:rsidRPr="001A703C" w:rsidRDefault="00897F84" w:rsidP="00D4470F">
            <w:pPr>
              <w:jc w:val="center"/>
              <w:rPr>
                <w:sz w:val="20"/>
                <w:szCs w:val="20"/>
              </w:rPr>
            </w:pPr>
            <w:r w:rsidRPr="001A703C">
              <w:rPr>
                <w:sz w:val="20"/>
                <w:szCs w:val="20"/>
              </w:rPr>
              <w:t>4</w:t>
            </w:r>
            <w:r w:rsidRPr="001A703C">
              <w:t xml:space="preserve"> (</w:t>
            </w:r>
            <w:r w:rsidRPr="001A703C">
              <w:rPr>
                <w:sz w:val="20"/>
                <w:szCs w:val="20"/>
              </w:rPr>
              <w:t>3.3)</w:t>
            </w:r>
          </w:p>
        </w:tc>
      </w:tr>
      <w:tr w:rsidR="00897F84" w:rsidRPr="00CA0CED" w14:paraId="272791CE" w14:textId="77777777" w:rsidTr="00D4470F">
        <w:tc>
          <w:tcPr>
            <w:tcW w:w="7508" w:type="dxa"/>
          </w:tcPr>
          <w:p w14:paraId="183C4BC1" w14:textId="77777777" w:rsidR="00897F84" w:rsidRPr="001A703C" w:rsidRDefault="00897F84" w:rsidP="00D4470F">
            <w:pPr>
              <w:rPr>
                <w:sz w:val="20"/>
                <w:szCs w:val="20"/>
              </w:rPr>
            </w:pPr>
            <w:r w:rsidRPr="001A703C">
              <w:rPr>
                <w:sz w:val="20"/>
                <w:szCs w:val="20"/>
              </w:rPr>
              <w:t xml:space="preserve">     3 symptoms</w:t>
            </w:r>
          </w:p>
        </w:tc>
        <w:tc>
          <w:tcPr>
            <w:tcW w:w="1985" w:type="dxa"/>
          </w:tcPr>
          <w:p w14:paraId="5C32E27C" w14:textId="77777777" w:rsidR="00897F84" w:rsidRPr="001A703C" w:rsidRDefault="00897F84" w:rsidP="00D4470F">
            <w:pPr>
              <w:jc w:val="center"/>
              <w:rPr>
                <w:sz w:val="20"/>
                <w:szCs w:val="20"/>
              </w:rPr>
            </w:pPr>
            <w:r w:rsidRPr="001A703C">
              <w:rPr>
                <w:sz w:val="20"/>
                <w:szCs w:val="20"/>
              </w:rPr>
              <w:t>17 (14.1)</w:t>
            </w:r>
          </w:p>
        </w:tc>
      </w:tr>
      <w:tr w:rsidR="00897F84" w:rsidRPr="00CA0CED" w14:paraId="7C768829" w14:textId="77777777" w:rsidTr="00D4470F">
        <w:tc>
          <w:tcPr>
            <w:tcW w:w="7508" w:type="dxa"/>
          </w:tcPr>
          <w:p w14:paraId="34114EBF" w14:textId="77777777" w:rsidR="00897F84" w:rsidRPr="001A703C" w:rsidRDefault="00897F84" w:rsidP="00D4470F">
            <w:pPr>
              <w:rPr>
                <w:sz w:val="20"/>
                <w:szCs w:val="20"/>
              </w:rPr>
            </w:pPr>
            <w:r w:rsidRPr="001A703C">
              <w:rPr>
                <w:sz w:val="20"/>
                <w:szCs w:val="20"/>
              </w:rPr>
              <w:t xml:space="preserve">     4 symptoms</w:t>
            </w:r>
          </w:p>
        </w:tc>
        <w:tc>
          <w:tcPr>
            <w:tcW w:w="1985" w:type="dxa"/>
          </w:tcPr>
          <w:p w14:paraId="1706D719" w14:textId="77777777" w:rsidR="00897F84" w:rsidRPr="001A703C" w:rsidRDefault="00897F84" w:rsidP="00D4470F">
            <w:pPr>
              <w:jc w:val="center"/>
              <w:rPr>
                <w:sz w:val="20"/>
                <w:szCs w:val="20"/>
              </w:rPr>
            </w:pPr>
            <w:r w:rsidRPr="001A703C">
              <w:rPr>
                <w:sz w:val="20"/>
                <w:szCs w:val="20"/>
              </w:rPr>
              <w:t>13(10.7)</w:t>
            </w:r>
          </w:p>
        </w:tc>
      </w:tr>
      <w:tr w:rsidR="00897F84" w:rsidRPr="00CA0CED" w14:paraId="5681E889" w14:textId="77777777" w:rsidTr="00D4470F">
        <w:tc>
          <w:tcPr>
            <w:tcW w:w="7508" w:type="dxa"/>
          </w:tcPr>
          <w:p w14:paraId="6A5281EE" w14:textId="77777777" w:rsidR="00897F84" w:rsidRPr="001A703C" w:rsidRDefault="00897F84" w:rsidP="00D4470F">
            <w:pPr>
              <w:rPr>
                <w:sz w:val="20"/>
                <w:szCs w:val="20"/>
              </w:rPr>
            </w:pPr>
            <w:r w:rsidRPr="001A703C">
              <w:t xml:space="preserve">     ≥ 5 symptoms</w:t>
            </w:r>
          </w:p>
        </w:tc>
        <w:tc>
          <w:tcPr>
            <w:tcW w:w="1985" w:type="dxa"/>
          </w:tcPr>
          <w:p w14:paraId="7A4F7D2C" w14:textId="77777777" w:rsidR="00897F84" w:rsidRPr="001A703C" w:rsidRDefault="00897F84" w:rsidP="00D4470F">
            <w:pPr>
              <w:jc w:val="center"/>
              <w:rPr>
                <w:sz w:val="20"/>
                <w:szCs w:val="20"/>
              </w:rPr>
            </w:pPr>
            <w:r w:rsidRPr="001A703C">
              <w:rPr>
                <w:sz w:val="20"/>
                <w:szCs w:val="20"/>
              </w:rPr>
              <w:t>74(61.1)</w:t>
            </w:r>
          </w:p>
        </w:tc>
      </w:tr>
      <w:tr w:rsidR="00897F84" w:rsidRPr="00CA0CED" w14:paraId="71AE829B" w14:textId="77777777" w:rsidTr="00D4470F">
        <w:tc>
          <w:tcPr>
            <w:tcW w:w="7508" w:type="dxa"/>
          </w:tcPr>
          <w:p w14:paraId="50C2AACF" w14:textId="77777777" w:rsidR="00897F84" w:rsidRPr="00CA0CED" w:rsidRDefault="00897F84" w:rsidP="00D4470F">
            <w:pPr>
              <w:rPr>
                <w:b/>
                <w:sz w:val="20"/>
                <w:szCs w:val="20"/>
              </w:rPr>
            </w:pPr>
            <w:r w:rsidRPr="00CA0CED">
              <w:rPr>
                <w:b/>
                <w:sz w:val="20"/>
                <w:szCs w:val="20"/>
              </w:rPr>
              <w:t>Complications</w:t>
            </w:r>
          </w:p>
        </w:tc>
        <w:tc>
          <w:tcPr>
            <w:tcW w:w="1985" w:type="dxa"/>
          </w:tcPr>
          <w:p w14:paraId="571F9546" w14:textId="77777777" w:rsidR="00897F84" w:rsidRPr="00CA0CED" w:rsidRDefault="00897F84" w:rsidP="00D4470F">
            <w:pPr>
              <w:jc w:val="center"/>
              <w:rPr>
                <w:sz w:val="20"/>
                <w:szCs w:val="20"/>
              </w:rPr>
            </w:pPr>
          </w:p>
        </w:tc>
      </w:tr>
      <w:tr w:rsidR="00897F84" w:rsidRPr="00CA0CED" w14:paraId="008DB8EF" w14:textId="77777777" w:rsidTr="00D4470F">
        <w:tc>
          <w:tcPr>
            <w:tcW w:w="7508" w:type="dxa"/>
          </w:tcPr>
          <w:p w14:paraId="4ED56EE4" w14:textId="77777777" w:rsidR="00897F84" w:rsidRPr="00CA0CED" w:rsidRDefault="00897F84" w:rsidP="00D4470F">
            <w:pPr>
              <w:rPr>
                <w:sz w:val="20"/>
                <w:szCs w:val="20"/>
              </w:rPr>
            </w:pPr>
            <w:r w:rsidRPr="00CA0CED">
              <w:rPr>
                <w:sz w:val="20"/>
                <w:szCs w:val="20"/>
              </w:rPr>
              <w:t xml:space="preserve">     No complication</w:t>
            </w:r>
          </w:p>
        </w:tc>
        <w:tc>
          <w:tcPr>
            <w:tcW w:w="1985" w:type="dxa"/>
          </w:tcPr>
          <w:p w14:paraId="6D0C00F5" w14:textId="77777777" w:rsidR="00897F84" w:rsidRPr="00CA0CED" w:rsidRDefault="00897F84" w:rsidP="00D4470F">
            <w:pPr>
              <w:jc w:val="center"/>
              <w:rPr>
                <w:sz w:val="20"/>
                <w:szCs w:val="20"/>
              </w:rPr>
            </w:pPr>
            <w:r w:rsidRPr="00CA0CED">
              <w:rPr>
                <w:sz w:val="20"/>
                <w:szCs w:val="20"/>
              </w:rPr>
              <w:t>83(68.6)</w:t>
            </w:r>
          </w:p>
        </w:tc>
      </w:tr>
      <w:tr w:rsidR="00897F84" w:rsidRPr="00CA0CED" w14:paraId="352A4B8C" w14:textId="77777777" w:rsidTr="00D4470F">
        <w:tc>
          <w:tcPr>
            <w:tcW w:w="7508" w:type="dxa"/>
            <w:tcBorders>
              <w:bottom w:val="nil"/>
            </w:tcBorders>
          </w:tcPr>
          <w:p w14:paraId="57FC5B1A" w14:textId="77777777" w:rsidR="00897F84" w:rsidRPr="00CA0CED" w:rsidRDefault="00897F84" w:rsidP="00D4470F">
            <w:pPr>
              <w:rPr>
                <w:sz w:val="20"/>
                <w:szCs w:val="20"/>
              </w:rPr>
            </w:pPr>
            <w:r w:rsidRPr="00CA0CED">
              <w:rPr>
                <w:sz w:val="20"/>
                <w:szCs w:val="20"/>
              </w:rPr>
              <w:t xml:space="preserve">     One complication</w:t>
            </w:r>
          </w:p>
        </w:tc>
        <w:tc>
          <w:tcPr>
            <w:tcW w:w="1985" w:type="dxa"/>
            <w:tcBorders>
              <w:bottom w:val="nil"/>
            </w:tcBorders>
          </w:tcPr>
          <w:p w14:paraId="073FC9B8" w14:textId="77777777" w:rsidR="00897F84" w:rsidRPr="00CA0CED" w:rsidRDefault="00897F84" w:rsidP="00D4470F">
            <w:pPr>
              <w:jc w:val="center"/>
              <w:rPr>
                <w:sz w:val="20"/>
                <w:szCs w:val="20"/>
              </w:rPr>
            </w:pPr>
            <w:r w:rsidRPr="00CA0CED">
              <w:rPr>
                <w:sz w:val="20"/>
                <w:szCs w:val="20"/>
              </w:rPr>
              <w:t>23(19.0)</w:t>
            </w:r>
          </w:p>
        </w:tc>
      </w:tr>
      <w:tr w:rsidR="00897F84" w:rsidRPr="00CA0CED" w14:paraId="6153B4CF" w14:textId="77777777" w:rsidTr="00D4470F">
        <w:tc>
          <w:tcPr>
            <w:tcW w:w="7508" w:type="dxa"/>
            <w:tcBorders>
              <w:top w:val="nil"/>
              <w:bottom w:val="nil"/>
            </w:tcBorders>
          </w:tcPr>
          <w:p w14:paraId="32A0FA13" w14:textId="77777777" w:rsidR="00897F84" w:rsidRPr="00CA0CED" w:rsidRDefault="00897F84" w:rsidP="00D4470F">
            <w:pPr>
              <w:rPr>
                <w:sz w:val="20"/>
                <w:szCs w:val="20"/>
              </w:rPr>
            </w:pPr>
            <w:r w:rsidRPr="00CA0CED">
              <w:rPr>
                <w:sz w:val="20"/>
                <w:szCs w:val="20"/>
              </w:rPr>
              <w:t xml:space="preserve">     Two complications</w:t>
            </w:r>
          </w:p>
        </w:tc>
        <w:tc>
          <w:tcPr>
            <w:tcW w:w="1985" w:type="dxa"/>
            <w:tcBorders>
              <w:top w:val="nil"/>
              <w:bottom w:val="nil"/>
            </w:tcBorders>
          </w:tcPr>
          <w:p w14:paraId="64A677ED" w14:textId="77777777" w:rsidR="00897F84" w:rsidRPr="00CA0CED" w:rsidRDefault="00897F84" w:rsidP="00D4470F">
            <w:pPr>
              <w:jc w:val="center"/>
              <w:rPr>
                <w:sz w:val="20"/>
                <w:szCs w:val="20"/>
              </w:rPr>
            </w:pPr>
            <w:r w:rsidRPr="00CA0CED">
              <w:rPr>
                <w:sz w:val="20"/>
                <w:szCs w:val="20"/>
              </w:rPr>
              <w:t>7(5.8)</w:t>
            </w:r>
          </w:p>
        </w:tc>
      </w:tr>
      <w:tr w:rsidR="00897F84" w:rsidRPr="00CA0CED" w14:paraId="24FF43B8" w14:textId="77777777" w:rsidTr="00D4470F">
        <w:tc>
          <w:tcPr>
            <w:tcW w:w="7508" w:type="dxa"/>
            <w:tcBorders>
              <w:top w:val="nil"/>
              <w:bottom w:val="nil"/>
            </w:tcBorders>
          </w:tcPr>
          <w:p w14:paraId="634C50C0" w14:textId="77777777" w:rsidR="00897F84" w:rsidRPr="00CA0CED" w:rsidRDefault="00897F84" w:rsidP="00D4470F">
            <w:pPr>
              <w:rPr>
                <w:sz w:val="20"/>
                <w:szCs w:val="20"/>
              </w:rPr>
            </w:pPr>
            <w:r w:rsidRPr="00CA0CED">
              <w:rPr>
                <w:sz w:val="20"/>
                <w:szCs w:val="20"/>
              </w:rPr>
              <w:t xml:space="preserve">     Three and more</w:t>
            </w:r>
          </w:p>
        </w:tc>
        <w:tc>
          <w:tcPr>
            <w:tcW w:w="1985" w:type="dxa"/>
            <w:tcBorders>
              <w:top w:val="nil"/>
              <w:bottom w:val="nil"/>
            </w:tcBorders>
          </w:tcPr>
          <w:p w14:paraId="01C2B0A4" w14:textId="77777777" w:rsidR="00897F84" w:rsidRPr="00CA0CED" w:rsidRDefault="00897F84" w:rsidP="00D4470F">
            <w:pPr>
              <w:jc w:val="center"/>
              <w:rPr>
                <w:sz w:val="20"/>
                <w:szCs w:val="20"/>
              </w:rPr>
            </w:pPr>
            <w:r w:rsidRPr="00CA0CED">
              <w:rPr>
                <w:sz w:val="20"/>
                <w:szCs w:val="20"/>
              </w:rPr>
              <w:t>8(6.6)</w:t>
            </w:r>
          </w:p>
        </w:tc>
      </w:tr>
      <w:tr w:rsidR="00897F84" w:rsidRPr="004E60E9" w14:paraId="2B89A984" w14:textId="77777777" w:rsidTr="00D4470F">
        <w:tc>
          <w:tcPr>
            <w:tcW w:w="7508" w:type="dxa"/>
            <w:tcBorders>
              <w:top w:val="nil"/>
              <w:bottom w:val="nil"/>
            </w:tcBorders>
            <w:vAlign w:val="bottom"/>
          </w:tcPr>
          <w:p w14:paraId="6FD5AFE7" w14:textId="77777777" w:rsidR="00897F84" w:rsidRPr="004E60E9" w:rsidRDefault="00897F84" w:rsidP="00D4470F">
            <w:pPr>
              <w:rPr>
                <w:b/>
                <w:sz w:val="20"/>
                <w:szCs w:val="20"/>
              </w:rPr>
            </w:pPr>
            <w:r w:rsidRPr="004E60E9">
              <w:rPr>
                <w:b/>
                <w:color w:val="000000"/>
                <w:sz w:val="20"/>
                <w:szCs w:val="20"/>
              </w:rPr>
              <w:t>Types of complications</w:t>
            </w:r>
          </w:p>
        </w:tc>
        <w:tc>
          <w:tcPr>
            <w:tcW w:w="1985" w:type="dxa"/>
            <w:tcBorders>
              <w:top w:val="nil"/>
              <w:bottom w:val="nil"/>
            </w:tcBorders>
            <w:vAlign w:val="bottom"/>
          </w:tcPr>
          <w:p w14:paraId="73CA1B63" w14:textId="77777777" w:rsidR="00897F84" w:rsidRPr="004E60E9" w:rsidRDefault="00897F84" w:rsidP="00D4470F">
            <w:pPr>
              <w:jc w:val="center"/>
              <w:rPr>
                <w:sz w:val="20"/>
                <w:szCs w:val="20"/>
              </w:rPr>
            </w:pPr>
          </w:p>
        </w:tc>
      </w:tr>
      <w:tr w:rsidR="00897F84" w:rsidRPr="004E60E9" w14:paraId="0CE8A318" w14:textId="77777777" w:rsidTr="00D4470F">
        <w:tc>
          <w:tcPr>
            <w:tcW w:w="7508" w:type="dxa"/>
            <w:tcBorders>
              <w:top w:val="nil"/>
              <w:bottom w:val="nil"/>
            </w:tcBorders>
            <w:vAlign w:val="bottom"/>
          </w:tcPr>
          <w:p w14:paraId="5B38ECDE" w14:textId="77777777" w:rsidR="00897F84" w:rsidRPr="004E60E9" w:rsidRDefault="00897F84" w:rsidP="00D4470F">
            <w:pPr>
              <w:rPr>
                <w:sz w:val="20"/>
                <w:szCs w:val="20"/>
              </w:rPr>
            </w:pPr>
            <w:r w:rsidRPr="004E60E9">
              <w:rPr>
                <w:color w:val="000000"/>
                <w:sz w:val="20"/>
                <w:szCs w:val="20"/>
              </w:rPr>
              <w:t xml:space="preserve">     Mechanical ventilation</w:t>
            </w:r>
          </w:p>
        </w:tc>
        <w:tc>
          <w:tcPr>
            <w:tcW w:w="1985" w:type="dxa"/>
            <w:tcBorders>
              <w:top w:val="nil"/>
              <w:bottom w:val="nil"/>
            </w:tcBorders>
            <w:vAlign w:val="bottom"/>
          </w:tcPr>
          <w:p w14:paraId="31E3D82A" w14:textId="77777777" w:rsidR="00897F84" w:rsidRPr="004E60E9" w:rsidRDefault="00897F84" w:rsidP="00D4470F">
            <w:pPr>
              <w:jc w:val="center"/>
              <w:rPr>
                <w:sz w:val="20"/>
                <w:szCs w:val="20"/>
              </w:rPr>
            </w:pPr>
            <w:r w:rsidRPr="004E60E9">
              <w:rPr>
                <w:color w:val="000000"/>
                <w:sz w:val="20"/>
                <w:szCs w:val="20"/>
              </w:rPr>
              <w:t>7(5.8)</w:t>
            </w:r>
          </w:p>
        </w:tc>
      </w:tr>
      <w:tr w:rsidR="00897F84" w:rsidRPr="004E60E9" w14:paraId="00E7E550" w14:textId="77777777" w:rsidTr="00D4470F">
        <w:tc>
          <w:tcPr>
            <w:tcW w:w="7508" w:type="dxa"/>
            <w:tcBorders>
              <w:top w:val="nil"/>
              <w:bottom w:val="nil"/>
            </w:tcBorders>
            <w:vAlign w:val="bottom"/>
          </w:tcPr>
          <w:p w14:paraId="53C58F68" w14:textId="77777777" w:rsidR="00897F84" w:rsidRPr="004E60E9" w:rsidRDefault="00897F84" w:rsidP="00D4470F">
            <w:pPr>
              <w:rPr>
                <w:sz w:val="20"/>
                <w:szCs w:val="20"/>
              </w:rPr>
            </w:pPr>
            <w:r w:rsidRPr="004E60E9">
              <w:rPr>
                <w:color w:val="000000"/>
                <w:sz w:val="20"/>
                <w:szCs w:val="20"/>
              </w:rPr>
              <w:t xml:space="preserve">     ARDS</w:t>
            </w:r>
          </w:p>
        </w:tc>
        <w:tc>
          <w:tcPr>
            <w:tcW w:w="1985" w:type="dxa"/>
            <w:tcBorders>
              <w:top w:val="nil"/>
              <w:bottom w:val="nil"/>
            </w:tcBorders>
            <w:vAlign w:val="bottom"/>
          </w:tcPr>
          <w:p w14:paraId="5D1B71C1" w14:textId="77777777" w:rsidR="00897F84" w:rsidRPr="004E60E9" w:rsidRDefault="00897F84" w:rsidP="00D4470F">
            <w:pPr>
              <w:jc w:val="center"/>
              <w:rPr>
                <w:sz w:val="20"/>
                <w:szCs w:val="20"/>
              </w:rPr>
            </w:pPr>
            <w:r w:rsidRPr="004E60E9">
              <w:rPr>
                <w:color w:val="000000"/>
                <w:sz w:val="20"/>
                <w:szCs w:val="20"/>
              </w:rPr>
              <w:t>21(17.4)</w:t>
            </w:r>
          </w:p>
        </w:tc>
      </w:tr>
      <w:tr w:rsidR="00897F84" w:rsidRPr="004E60E9" w14:paraId="6EA7C781" w14:textId="77777777" w:rsidTr="00D4470F">
        <w:tc>
          <w:tcPr>
            <w:tcW w:w="7508" w:type="dxa"/>
            <w:tcBorders>
              <w:top w:val="nil"/>
              <w:bottom w:val="nil"/>
            </w:tcBorders>
            <w:vAlign w:val="bottom"/>
          </w:tcPr>
          <w:p w14:paraId="5B54ECA0" w14:textId="77777777" w:rsidR="00897F84" w:rsidRPr="004E60E9" w:rsidRDefault="00897F84" w:rsidP="00D4470F">
            <w:pPr>
              <w:rPr>
                <w:sz w:val="20"/>
                <w:szCs w:val="20"/>
              </w:rPr>
            </w:pPr>
            <w:r w:rsidRPr="004E60E9">
              <w:rPr>
                <w:color w:val="000000"/>
                <w:sz w:val="20"/>
                <w:szCs w:val="20"/>
              </w:rPr>
              <w:t xml:space="preserve">     Acute Renal Failure</w:t>
            </w:r>
          </w:p>
        </w:tc>
        <w:tc>
          <w:tcPr>
            <w:tcW w:w="1985" w:type="dxa"/>
            <w:tcBorders>
              <w:top w:val="nil"/>
              <w:bottom w:val="nil"/>
            </w:tcBorders>
            <w:vAlign w:val="bottom"/>
          </w:tcPr>
          <w:p w14:paraId="6406A9AA" w14:textId="77777777" w:rsidR="00897F84" w:rsidRPr="004E60E9" w:rsidRDefault="00897F84" w:rsidP="00D4470F">
            <w:pPr>
              <w:jc w:val="center"/>
              <w:rPr>
                <w:sz w:val="20"/>
                <w:szCs w:val="20"/>
              </w:rPr>
            </w:pPr>
            <w:r w:rsidRPr="004E60E9">
              <w:rPr>
                <w:color w:val="000000"/>
                <w:sz w:val="20"/>
                <w:szCs w:val="20"/>
              </w:rPr>
              <w:t>2(1.7)</w:t>
            </w:r>
          </w:p>
        </w:tc>
      </w:tr>
      <w:tr w:rsidR="00897F84" w:rsidRPr="004E60E9" w14:paraId="6A1B96CF" w14:textId="77777777" w:rsidTr="00D4470F">
        <w:tc>
          <w:tcPr>
            <w:tcW w:w="7508" w:type="dxa"/>
            <w:tcBorders>
              <w:top w:val="nil"/>
              <w:bottom w:val="nil"/>
            </w:tcBorders>
            <w:vAlign w:val="bottom"/>
          </w:tcPr>
          <w:p w14:paraId="359D9D85" w14:textId="77777777" w:rsidR="00897F84" w:rsidRPr="004E60E9" w:rsidRDefault="00897F84" w:rsidP="00D4470F">
            <w:pPr>
              <w:rPr>
                <w:sz w:val="20"/>
                <w:szCs w:val="20"/>
              </w:rPr>
            </w:pPr>
            <w:r w:rsidRPr="004E60E9">
              <w:rPr>
                <w:color w:val="000000"/>
                <w:sz w:val="20"/>
                <w:szCs w:val="20"/>
              </w:rPr>
              <w:t xml:space="preserve">     Cardiac Failure</w:t>
            </w:r>
          </w:p>
        </w:tc>
        <w:tc>
          <w:tcPr>
            <w:tcW w:w="1985" w:type="dxa"/>
            <w:tcBorders>
              <w:top w:val="nil"/>
              <w:bottom w:val="nil"/>
            </w:tcBorders>
            <w:vAlign w:val="bottom"/>
          </w:tcPr>
          <w:p w14:paraId="7AB0C251" w14:textId="77777777" w:rsidR="00897F84" w:rsidRPr="004E60E9" w:rsidRDefault="00897F84" w:rsidP="00D4470F">
            <w:pPr>
              <w:jc w:val="center"/>
              <w:rPr>
                <w:sz w:val="20"/>
                <w:szCs w:val="20"/>
              </w:rPr>
            </w:pPr>
            <w:r w:rsidRPr="004E60E9">
              <w:rPr>
                <w:color w:val="000000"/>
                <w:sz w:val="20"/>
                <w:szCs w:val="20"/>
              </w:rPr>
              <w:t>2(1.7)</w:t>
            </w:r>
          </w:p>
        </w:tc>
      </w:tr>
      <w:tr w:rsidR="00897F84" w:rsidRPr="004E60E9" w14:paraId="476F954B" w14:textId="77777777" w:rsidTr="00D4470F">
        <w:tc>
          <w:tcPr>
            <w:tcW w:w="7508" w:type="dxa"/>
            <w:tcBorders>
              <w:top w:val="nil"/>
              <w:bottom w:val="single" w:sz="4" w:space="0" w:color="auto"/>
            </w:tcBorders>
            <w:vAlign w:val="bottom"/>
          </w:tcPr>
          <w:p w14:paraId="3F7566EE" w14:textId="77777777" w:rsidR="00897F84" w:rsidRPr="004E60E9" w:rsidRDefault="00897F84" w:rsidP="00D4470F">
            <w:pPr>
              <w:rPr>
                <w:sz w:val="20"/>
                <w:szCs w:val="20"/>
              </w:rPr>
            </w:pPr>
            <w:r w:rsidRPr="004E60E9">
              <w:rPr>
                <w:color w:val="000000"/>
                <w:sz w:val="20"/>
                <w:szCs w:val="20"/>
              </w:rPr>
              <w:t xml:space="preserve">     Consumptive coagulopathy</w:t>
            </w:r>
          </w:p>
        </w:tc>
        <w:tc>
          <w:tcPr>
            <w:tcW w:w="1985" w:type="dxa"/>
            <w:tcBorders>
              <w:top w:val="nil"/>
              <w:bottom w:val="single" w:sz="4" w:space="0" w:color="auto"/>
            </w:tcBorders>
            <w:vAlign w:val="bottom"/>
          </w:tcPr>
          <w:p w14:paraId="15FA893D" w14:textId="77777777" w:rsidR="00897F84" w:rsidRPr="004E60E9" w:rsidRDefault="00897F84" w:rsidP="00D4470F">
            <w:pPr>
              <w:jc w:val="center"/>
              <w:rPr>
                <w:sz w:val="20"/>
                <w:szCs w:val="20"/>
              </w:rPr>
            </w:pPr>
            <w:r w:rsidRPr="004E60E9">
              <w:rPr>
                <w:color w:val="000000"/>
                <w:sz w:val="20"/>
                <w:szCs w:val="20"/>
              </w:rPr>
              <w:t>1(0.8)</w:t>
            </w:r>
          </w:p>
        </w:tc>
      </w:tr>
      <w:tr w:rsidR="00897F84" w:rsidRPr="004E60E9" w14:paraId="28C35692" w14:textId="77777777" w:rsidTr="00D4470F">
        <w:tc>
          <w:tcPr>
            <w:tcW w:w="9493" w:type="dxa"/>
            <w:gridSpan w:val="2"/>
            <w:tcBorders>
              <w:top w:val="single" w:sz="4" w:space="0" w:color="auto"/>
              <w:bottom w:val="nil"/>
            </w:tcBorders>
          </w:tcPr>
          <w:p w14:paraId="1EBF3790" w14:textId="77777777" w:rsidR="00897F84" w:rsidRPr="004E60E9" w:rsidRDefault="00897F84" w:rsidP="00D4470F">
            <w:pPr>
              <w:rPr>
                <w:sz w:val="20"/>
                <w:szCs w:val="20"/>
              </w:rPr>
            </w:pPr>
            <w:r w:rsidRPr="004E60E9">
              <w:rPr>
                <w:sz w:val="20"/>
                <w:szCs w:val="20"/>
              </w:rPr>
              <w:t>*Funerals, wedding, concerts, and worship gathering</w:t>
            </w:r>
          </w:p>
        </w:tc>
      </w:tr>
    </w:tbl>
    <w:p w14:paraId="0394936E" w14:textId="798F6A81" w:rsidR="00897F84" w:rsidRDefault="00897F84" w:rsidP="009B79B5">
      <w:pPr>
        <w:tabs>
          <w:tab w:val="left" w:pos="1040"/>
        </w:tabs>
        <w:spacing w:line="360" w:lineRule="auto"/>
        <w:rPr>
          <w:b/>
          <w:bCs/>
          <w:lang w:val="en-US"/>
        </w:rPr>
      </w:pPr>
    </w:p>
    <w:p w14:paraId="72D30BF5" w14:textId="77777777" w:rsidR="00897F84" w:rsidRDefault="00897F84" w:rsidP="00897F84">
      <w:pPr>
        <w:spacing w:line="360" w:lineRule="auto"/>
        <w:jc w:val="both"/>
      </w:pPr>
      <w:r w:rsidRPr="0091367F">
        <w:rPr>
          <w:sz w:val="22"/>
          <w:szCs w:val="22"/>
        </w:rPr>
        <w:t>Table 2: Proportion of mortality among cases with and without symptoms, pre-existing conditions and complications (n=121)</w:t>
      </w:r>
      <w:r>
        <w:rPr>
          <w:sz w:val="22"/>
          <w:szCs w:val="22"/>
        </w:rPr>
        <w:t>: adjusted for comorbidity</w:t>
      </w:r>
    </w:p>
    <w:tbl>
      <w:tblPr>
        <w:tblW w:w="9777" w:type="dxa"/>
        <w:tblInd w:w="-5" w:type="dxa"/>
        <w:tblBorders>
          <w:top w:val="single" w:sz="4" w:space="0" w:color="auto"/>
          <w:bottom w:val="single" w:sz="4" w:space="0" w:color="auto"/>
        </w:tblBorders>
        <w:tblLook w:val="04A0" w:firstRow="1" w:lastRow="0" w:firstColumn="1" w:lastColumn="0" w:noHBand="0" w:noVBand="1"/>
      </w:tblPr>
      <w:tblGrid>
        <w:gridCol w:w="2882"/>
        <w:gridCol w:w="1903"/>
        <w:gridCol w:w="1678"/>
        <w:gridCol w:w="1761"/>
        <w:gridCol w:w="1553"/>
      </w:tblGrid>
      <w:tr w:rsidR="00897F84" w:rsidRPr="002645C3" w14:paraId="0E247CAE" w14:textId="77777777" w:rsidTr="00D4470F">
        <w:trPr>
          <w:trHeight w:val="330"/>
        </w:trPr>
        <w:tc>
          <w:tcPr>
            <w:tcW w:w="2882" w:type="dxa"/>
            <w:tcBorders>
              <w:top w:val="single" w:sz="4" w:space="0" w:color="auto"/>
              <w:bottom w:val="single" w:sz="4" w:space="0" w:color="auto"/>
            </w:tcBorders>
            <w:shd w:val="clear" w:color="auto" w:fill="auto"/>
            <w:vAlign w:val="center"/>
            <w:hideMark/>
          </w:tcPr>
          <w:p w14:paraId="257E99E3" w14:textId="77777777" w:rsidR="00897F84" w:rsidRPr="002645C3" w:rsidRDefault="00897F84" w:rsidP="00D4470F">
            <w:pPr>
              <w:rPr>
                <w:b/>
                <w:color w:val="000000"/>
                <w:sz w:val="20"/>
                <w:szCs w:val="20"/>
              </w:rPr>
            </w:pPr>
            <w:r w:rsidRPr="002645C3">
              <w:rPr>
                <w:b/>
                <w:color w:val="000000"/>
                <w:sz w:val="20"/>
                <w:szCs w:val="20"/>
              </w:rPr>
              <w:t>Symptom</w:t>
            </w:r>
          </w:p>
        </w:tc>
        <w:tc>
          <w:tcPr>
            <w:tcW w:w="1903" w:type="dxa"/>
            <w:tcBorders>
              <w:top w:val="single" w:sz="4" w:space="0" w:color="auto"/>
              <w:bottom w:val="single" w:sz="4" w:space="0" w:color="auto"/>
            </w:tcBorders>
            <w:shd w:val="clear" w:color="auto" w:fill="auto"/>
            <w:vAlign w:val="center"/>
            <w:hideMark/>
          </w:tcPr>
          <w:p w14:paraId="04E251E4" w14:textId="77777777" w:rsidR="00897F84" w:rsidRPr="002645C3" w:rsidRDefault="00897F84" w:rsidP="00D4470F">
            <w:pPr>
              <w:rPr>
                <w:b/>
                <w:color w:val="000000"/>
                <w:sz w:val="20"/>
                <w:szCs w:val="20"/>
              </w:rPr>
            </w:pPr>
            <w:r w:rsidRPr="002645C3">
              <w:rPr>
                <w:b/>
                <w:color w:val="000000"/>
                <w:sz w:val="20"/>
                <w:szCs w:val="20"/>
              </w:rPr>
              <w:t>Responses</w:t>
            </w:r>
          </w:p>
        </w:tc>
        <w:tc>
          <w:tcPr>
            <w:tcW w:w="1678" w:type="dxa"/>
            <w:tcBorders>
              <w:top w:val="single" w:sz="4" w:space="0" w:color="auto"/>
              <w:bottom w:val="single" w:sz="4" w:space="0" w:color="auto"/>
            </w:tcBorders>
            <w:shd w:val="clear" w:color="auto" w:fill="auto"/>
            <w:vAlign w:val="center"/>
            <w:hideMark/>
          </w:tcPr>
          <w:p w14:paraId="796C42AF" w14:textId="77777777" w:rsidR="00897F84" w:rsidRPr="002645C3" w:rsidRDefault="00897F84" w:rsidP="00D4470F">
            <w:pPr>
              <w:jc w:val="center"/>
              <w:rPr>
                <w:b/>
                <w:color w:val="000000"/>
                <w:sz w:val="20"/>
                <w:szCs w:val="20"/>
              </w:rPr>
            </w:pPr>
            <w:r w:rsidRPr="002645C3">
              <w:rPr>
                <w:b/>
                <w:color w:val="000000"/>
                <w:sz w:val="20"/>
                <w:szCs w:val="20"/>
              </w:rPr>
              <w:t>N(%)</w:t>
            </w:r>
          </w:p>
        </w:tc>
        <w:tc>
          <w:tcPr>
            <w:tcW w:w="1761" w:type="dxa"/>
            <w:tcBorders>
              <w:top w:val="single" w:sz="4" w:space="0" w:color="auto"/>
              <w:bottom w:val="single" w:sz="4" w:space="0" w:color="auto"/>
            </w:tcBorders>
            <w:shd w:val="clear" w:color="auto" w:fill="auto"/>
            <w:vAlign w:val="center"/>
            <w:hideMark/>
          </w:tcPr>
          <w:p w14:paraId="49472FE1" w14:textId="77777777" w:rsidR="00897F84" w:rsidRPr="002645C3" w:rsidRDefault="00897F84" w:rsidP="00D4470F">
            <w:pPr>
              <w:jc w:val="center"/>
              <w:rPr>
                <w:b/>
                <w:color w:val="000000"/>
                <w:sz w:val="20"/>
                <w:szCs w:val="20"/>
              </w:rPr>
            </w:pPr>
            <w:r w:rsidRPr="002645C3">
              <w:rPr>
                <w:b/>
                <w:color w:val="000000"/>
                <w:sz w:val="20"/>
                <w:szCs w:val="20"/>
              </w:rPr>
              <w:t>Mortality n(%)</w:t>
            </w:r>
          </w:p>
        </w:tc>
        <w:tc>
          <w:tcPr>
            <w:tcW w:w="1553" w:type="dxa"/>
            <w:tcBorders>
              <w:top w:val="single" w:sz="4" w:space="0" w:color="auto"/>
              <w:bottom w:val="single" w:sz="4" w:space="0" w:color="auto"/>
            </w:tcBorders>
            <w:shd w:val="clear" w:color="auto" w:fill="auto"/>
            <w:vAlign w:val="center"/>
            <w:hideMark/>
          </w:tcPr>
          <w:p w14:paraId="4B04B1C4" w14:textId="77777777" w:rsidR="00897F84" w:rsidRPr="002645C3" w:rsidRDefault="00897F84" w:rsidP="00D4470F">
            <w:pPr>
              <w:jc w:val="center"/>
              <w:rPr>
                <w:b/>
                <w:color w:val="000000"/>
                <w:sz w:val="20"/>
                <w:szCs w:val="20"/>
              </w:rPr>
            </w:pPr>
            <w:r w:rsidRPr="002645C3">
              <w:rPr>
                <w:b/>
                <w:color w:val="000000"/>
                <w:sz w:val="20"/>
                <w:szCs w:val="20"/>
              </w:rPr>
              <w:t>P-values</w:t>
            </w:r>
          </w:p>
        </w:tc>
      </w:tr>
      <w:tr w:rsidR="00897F84" w:rsidRPr="002645C3" w14:paraId="08E23C17" w14:textId="77777777" w:rsidTr="00D4470F">
        <w:trPr>
          <w:trHeight w:val="283"/>
        </w:trPr>
        <w:tc>
          <w:tcPr>
            <w:tcW w:w="2882" w:type="dxa"/>
            <w:tcBorders>
              <w:top w:val="single" w:sz="4" w:space="0" w:color="auto"/>
            </w:tcBorders>
            <w:shd w:val="clear" w:color="auto" w:fill="auto"/>
            <w:noWrap/>
            <w:vAlign w:val="bottom"/>
            <w:hideMark/>
          </w:tcPr>
          <w:p w14:paraId="28CFD5D6" w14:textId="77777777" w:rsidR="00897F84" w:rsidRPr="002645C3" w:rsidRDefault="00897F84" w:rsidP="00D4470F">
            <w:pPr>
              <w:rPr>
                <w:color w:val="000000"/>
                <w:sz w:val="20"/>
                <w:szCs w:val="20"/>
              </w:rPr>
            </w:pPr>
            <w:r w:rsidRPr="002645C3">
              <w:rPr>
                <w:color w:val="000000"/>
                <w:sz w:val="20"/>
                <w:szCs w:val="20"/>
              </w:rPr>
              <w:t xml:space="preserve">Fever </w:t>
            </w:r>
          </w:p>
        </w:tc>
        <w:tc>
          <w:tcPr>
            <w:tcW w:w="1903" w:type="dxa"/>
            <w:tcBorders>
              <w:top w:val="single" w:sz="4" w:space="0" w:color="auto"/>
            </w:tcBorders>
            <w:shd w:val="clear" w:color="auto" w:fill="auto"/>
            <w:noWrap/>
            <w:vAlign w:val="bottom"/>
            <w:hideMark/>
          </w:tcPr>
          <w:p w14:paraId="484B362D" w14:textId="77777777" w:rsidR="00897F84" w:rsidRPr="002645C3" w:rsidRDefault="00897F84" w:rsidP="00D4470F">
            <w:pPr>
              <w:rPr>
                <w:color w:val="000000"/>
                <w:sz w:val="20"/>
                <w:szCs w:val="20"/>
              </w:rPr>
            </w:pPr>
            <w:r w:rsidRPr="002645C3">
              <w:rPr>
                <w:color w:val="000000"/>
                <w:sz w:val="20"/>
                <w:szCs w:val="20"/>
              </w:rPr>
              <w:t>No</w:t>
            </w:r>
          </w:p>
        </w:tc>
        <w:tc>
          <w:tcPr>
            <w:tcW w:w="1678" w:type="dxa"/>
            <w:tcBorders>
              <w:top w:val="single" w:sz="4" w:space="0" w:color="auto"/>
            </w:tcBorders>
            <w:shd w:val="clear" w:color="auto" w:fill="auto"/>
            <w:noWrap/>
            <w:vAlign w:val="bottom"/>
          </w:tcPr>
          <w:p w14:paraId="086A4879" w14:textId="77777777" w:rsidR="00897F84" w:rsidRPr="002645C3" w:rsidRDefault="00897F84" w:rsidP="00D4470F">
            <w:pPr>
              <w:jc w:val="center"/>
              <w:rPr>
                <w:color w:val="000000"/>
                <w:sz w:val="20"/>
                <w:szCs w:val="20"/>
              </w:rPr>
            </w:pPr>
            <w:r w:rsidRPr="002645C3">
              <w:rPr>
                <w:color w:val="000000"/>
                <w:sz w:val="20"/>
                <w:szCs w:val="20"/>
              </w:rPr>
              <w:t>54(44.6)</w:t>
            </w:r>
          </w:p>
        </w:tc>
        <w:tc>
          <w:tcPr>
            <w:tcW w:w="1761" w:type="dxa"/>
            <w:tcBorders>
              <w:top w:val="single" w:sz="4" w:space="0" w:color="auto"/>
            </w:tcBorders>
            <w:shd w:val="clear" w:color="auto" w:fill="auto"/>
            <w:noWrap/>
            <w:vAlign w:val="bottom"/>
          </w:tcPr>
          <w:p w14:paraId="706B018D" w14:textId="77777777" w:rsidR="00897F84" w:rsidRPr="002645C3" w:rsidRDefault="00897F84" w:rsidP="00D4470F">
            <w:pPr>
              <w:jc w:val="center"/>
              <w:rPr>
                <w:color w:val="000000"/>
                <w:sz w:val="20"/>
                <w:szCs w:val="20"/>
              </w:rPr>
            </w:pPr>
            <w:r w:rsidRPr="002645C3">
              <w:rPr>
                <w:color w:val="000000"/>
                <w:sz w:val="20"/>
                <w:szCs w:val="20"/>
              </w:rPr>
              <w:t>8(14.8)</w:t>
            </w:r>
          </w:p>
        </w:tc>
        <w:tc>
          <w:tcPr>
            <w:tcW w:w="1553" w:type="dxa"/>
            <w:tcBorders>
              <w:top w:val="single" w:sz="4" w:space="0" w:color="auto"/>
            </w:tcBorders>
            <w:shd w:val="clear" w:color="auto" w:fill="auto"/>
            <w:noWrap/>
            <w:vAlign w:val="bottom"/>
          </w:tcPr>
          <w:p w14:paraId="542775E2" w14:textId="77777777" w:rsidR="00897F84" w:rsidRPr="002645C3" w:rsidRDefault="00897F84" w:rsidP="00D4470F">
            <w:pPr>
              <w:jc w:val="center"/>
              <w:rPr>
                <w:color w:val="000000"/>
                <w:sz w:val="20"/>
                <w:szCs w:val="20"/>
              </w:rPr>
            </w:pPr>
            <w:r w:rsidRPr="002645C3">
              <w:rPr>
                <w:color w:val="000000"/>
                <w:sz w:val="20"/>
                <w:szCs w:val="20"/>
              </w:rPr>
              <w:t>0.986</w:t>
            </w:r>
          </w:p>
        </w:tc>
      </w:tr>
      <w:tr w:rsidR="00897F84" w:rsidRPr="002645C3" w14:paraId="2ACAEE45" w14:textId="77777777" w:rsidTr="00D4470F">
        <w:trPr>
          <w:trHeight w:val="283"/>
        </w:trPr>
        <w:tc>
          <w:tcPr>
            <w:tcW w:w="2882" w:type="dxa"/>
            <w:shd w:val="clear" w:color="auto" w:fill="auto"/>
            <w:noWrap/>
            <w:vAlign w:val="bottom"/>
            <w:hideMark/>
          </w:tcPr>
          <w:p w14:paraId="6A2801CA"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1BD98E82"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043CC8D4" w14:textId="77777777" w:rsidR="00897F84" w:rsidRPr="002645C3" w:rsidRDefault="00897F84" w:rsidP="00D4470F">
            <w:pPr>
              <w:jc w:val="center"/>
              <w:rPr>
                <w:color w:val="000000"/>
                <w:sz w:val="20"/>
                <w:szCs w:val="20"/>
              </w:rPr>
            </w:pPr>
            <w:r w:rsidRPr="002645C3">
              <w:rPr>
                <w:color w:val="000000"/>
                <w:sz w:val="20"/>
                <w:szCs w:val="20"/>
              </w:rPr>
              <w:t>67(55.4)</w:t>
            </w:r>
          </w:p>
        </w:tc>
        <w:tc>
          <w:tcPr>
            <w:tcW w:w="1761" w:type="dxa"/>
            <w:shd w:val="clear" w:color="auto" w:fill="auto"/>
            <w:noWrap/>
            <w:vAlign w:val="bottom"/>
          </w:tcPr>
          <w:p w14:paraId="2AF117F3" w14:textId="77777777" w:rsidR="00897F84" w:rsidRPr="002645C3" w:rsidRDefault="00897F84" w:rsidP="00D4470F">
            <w:pPr>
              <w:jc w:val="center"/>
              <w:rPr>
                <w:color w:val="000000"/>
                <w:sz w:val="20"/>
                <w:szCs w:val="20"/>
              </w:rPr>
            </w:pPr>
            <w:r w:rsidRPr="002645C3">
              <w:rPr>
                <w:color w:val="000000"/>
                <w:sz w:val="20"/>
                <w:szCs w:val="20"/>
              </w:rPr>
              <w:t>10(14.9)</w:t>
            </w:r>
          </w:p>
        </w:tc>
        <w:tc>
          <w:tcPr>
            <w:tcW w:w="1553" w:type="dxa"/>
            <w:shd w:val="clear" w:color="auto" w:fill="auto"/>
            <w:noWrap/>
            <w:vAlign w:val="bottom"/>
          </w:tcPr>
          <w:p w14:paraId="7E30A22F" w14:textId="77777777" w:rsidR="00897F84" w:rsidRPr="002645C3" w:rsidRDefault="00897F84" w:rsidP="00D4470F">
            <w:pPr>
              <w:jc w:val="center"/>
              <w:rPr>
                <w:color w:val="000000"/>
                <w:sz w:val="20"/>
                <w:szCs w:val="20"/>
              </w:rPr>
            </w:pPr>
          </w:p>
        </w:tc>
      </w:tr>
      <w:tr w:rsidR="00897F84" w:rsidRPr="002645C3" w14:paraId="5FF0719E" w14:textId="77777777" w:rsidTr="00D4470F">
        <w:trPr>
          <w:trHeight w:val="283"/>
        </w:trPr>
        <w:tc>
          <w:tcPr>
            <w:tcW w:w="2882" w:type="dxa"/>
            <w:shd w:val="clear" w:color="auto" w:fill="auto"/>
            <w:noWrap/>
            <w:vAlign w:val="bottom"/>
            <w:hideMark/>
          </w:tcPr>
          <w:p w14:paraId="46239705" w14:textId="77777777" w:rsidR="00897F84" w:rsidRPr="002645C3" w:rsidRDefault="00897F84" w:rsidP="00D4470F">
            <w:pPr>
              <w:rPr>
                <w:color w:val="000000"/>
                <w:sz w:val="20"/>
                <w:szCs w:val="20"/>
              </w:rPr>
            </w:pPr>
            <w:r w:rsidRPr="002645C3">
              <w:rPr>
                <w:color w:val="000000"/>
                <w:sz w:val="20"/>
                <w:szCs w:val="20"/>
              </w:rPr>
              <w:t xml:space="preserve">Sore throat </w:t>
            </w:r>
          </w:p>
        </w:tc>
        <w:tc>
          <w:tcPr>
            <w:tcW w:w="1903" w:type="dxa"/>
            <w:shd w:val="clear" w:color="auto" w:fill="auto"/>
            <w:noWrap/>
            <w:vAlign w:val="bottom"/>
            <w:hideMark/>
          </w:tcPr>
          <w:p w14:paraId="5E657F5E"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76D43035" w14:textId="77777777" w:rsidR="00897F84" w:rsidRPr="002645C3" w:rsidRDefault="00897F84" w:rsidP="00D4470F">
            <w:pPr>
              <w:jc w:val="center"/>
              <w:rPr>
                <w:color w:val="000000"/>
                <w:sz w:val="20"/>
                <w:szCs w:val="20"/>
              </w:rPr>
            </w:pPr>
            <w:r w:rsidRPr="002645C3">
              <w:rPr>
                <w:color w:val="000000"/>
                <w:sz w:val="20"/>
                <w:szCs w:val="20"/>
              </w:rPr>
              <w:t>89(73.6)</w:t>
            </w:r>
          </w:p>
        </w:tc>
        <w:tc>
          <w:tcPr>
            <w:tcW w:w="1761" w:type="dxa"/>
            <w:shd w:val="clear" w:color="auto" w:fill="auto"/>
            <w:noWrap/>
            <w:vAlign w:val="bottom"/>
          </w:tcPr>
          <w:p w14:paraId="454A5325" w14:textId="77777777" w:rsidR="00897F84" w:rsidRPr="002645C3" w:rsidRDefault="00897F84" w:rsidP="00D4470F">
            <w:pPr>
              <w:jc w:val="center"/>
              <w:rPr>
                <w:color w:val="000000"/>
                <w:sz w:val="20"/>
                <w:szCs w:val="20"/>
              </w:rPr>
            </w:pPr>
            <w:r w:rsidRPr="002645C3">
              <w:rPr>
                <w:color w:val="000000"/>
                <w:sz w:val="20"/>
                <w:szCs w:val="20"/>
              </w:rPr>
              <w:t>10(11.2)</w:t>
            </w:r>
          </w:p>
        </w:tc>
        <w:tc>
          <w:tcPr>
            <w:tcW w:w="1553" w:type="dxa"/>
            <w:shd w:val="clear" w:color="auto" w:fill="auto"/>
            <w:noWrap/>
            <w:vAlign w:val="bottom"/>
          </w:tcPr>
          <w:p w14:paraId="4F648FE0" w14:textId="77777777" w:rsidR="00897F84" w:rsidRPr="002645C3" w:rsidRDefault="00897F84" w:rsidP="00D4470F">
            <w:pPr>
              <w:jc w:val="center"/>
              <w:rPr>
                <w:color w:val="000000"/>
                <w:sz w:val="20"/>
                <w:szCs w:val="20"/>
              </w:rPr>
            </w:pPr>
            <w:r w:rsidRPr="002645C3">
              <w:rPr>
                <w:color w:val="000000"/>
                <w:sz w:val="20"/>
                <w:szCs w:val="20"/>
              </w:rPr>
              <w:t>0.061</w:t>
            </w:r>
          </w:p>
        </w:tc>
      </w:tr>
      <w:tr w:rsidR="00897F84" w:rsidRPr="002645C3" w14:paraId="236A53A0" w14:textId="77777777" w:rsidTr="00D4470F">
        <w:trPr>
          <w:trHeight w:val="283"/>
        </w:trPr>
        <w:tc>
          <w:tcPr>
            <w:tcW w:w="2882" w:type="dxa"/>
            <w:shd w:val="clear" w:color="auto" w:fill="auto"/>
            <w:noWrap/>
            <w:vAlign w:val="bottom"/>
            <w:hideMark/>
          </w:tcPr>
          <w:p w14:paraId="2643B429"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0E6342BE"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11042F32" w14:textId="77777777" w:rsidR="00897F84" w:rsidRPr="002645C3" w:rsidRDefault="00897F84" w:rsidP="00D4470F">
            <w:pPr>
              <w:jc w:val="center"/>
              <w:rPr>
                <w:color w:val="000000"/>
                <w:sz w:val="20"/>
                <w:szCs w:val="20"/>
              </w:rPr>
            </w:pPr>
            <w:r w:rsidRPr="002645C3">
              <w:rPr>
                <w:color w:val="000000"/>
                <w:sz w:val="20"/>
                <w:szCs w:val="20"/>
              </w:rPr>
              <w:t>32(26.4)</w:t>
            </w:r>
          </w:p>
        </w:tc>
        <w:tc>
          <w:tcPr>
            <w:tcW w:w="1761" w:type="dxa"/>
            <w:shd w:val="clear" w:color="auto" w:fill="auto"/>
            <w:noWrap/>
            <w:vAlign w:val="bottom"/>
          </w:tcPr>
          <w:p w14:paraId="68933F2B" w14:textId="77777777" w:rsidR="00897F84" w:rsidRPr="002645C3" w:rsidRDefault="00897F84" w:rsidP="00D4470F">
            <w:pPr>
              <w:jc w:val="center"/>
              <w:rPr>
                <w:color w:val="000000"/>
                <w:sz w:val="20"/>
                <w:szCs w:val="20"/>
              </w:rPr>
            </w:pPr>
            <w:r w:rsidRPr="002645C3">
              <w:rPr>
                <w:color w:val="000000"/>
                <w:sz w:val="20"/>
                <w:szCs w:val="20"/>
              </w:rPr>
              <w:t>8(25.0)</w:t>
            </w:r>
          </w:p>
        </w:tc>
        <w:tc>
          <w:tcPr>
            <w:tcW w:w="1553" w:type="dxa"/>
            <w:shd w:val="clear" w:color="auto" w:fill="auto"/>
            <w:noWrap/>
            <w:vAlign w:val="bottom"/>
          </w:tcPr>
          <w:p w14:paraId="73EB42B0" w14:textId="77777777" w:rsidR="00897F84" w:rsidRPr="002645C3" w:rsidRDefault="00897F84" w:rsidP="00D4470F">
            <w:pPr>
              <w:jc w:val="center"/>
              <w:rPr>
                <w:color w:val="000000"/>
                <w:sz w:val="20"/>
                <w:szCs w:val="20"/>
              </w:rPr>
            </w:pPr>
          </w:p>
        </w:tc>
      </w:tr>
      <w:tr w:rsidR="00897F84" w:rsidRPr="002645C3" w14:paraId="3B19C853" w14:textId="77777777" w:rsidTr="00D4470F">
        <w:trPr>
          <w:trHeight w:val="283"/>
        </w:trPr>
        <w:tc>
          <w:tcPr>
            <w:tcW w:w="2882" w:type="dxa"/>
            <w:shd w:val="clear" w:color="auto" w:fill="auto"/>
            <w:noWrap/>
            <w:vAlign w:val="bottom"/>
            <w:hideMark/>
          </w:tcPr>
          <w:p w14:paraId="4116D400" w14:textId="77777777" w:rsidR="00897F84" w:rsidRPr="002645C3" w:rsidRDefault="00897F84" w:rsidP="00D4470F">
            <w:pPr>
              <w:rPr>
                <w:color w:val="000000"/>
                <w:sz w:val="20"/>
                <w:szCs w:val="20"/>
              </w:rPr>
            </w:pPr>
            <w:r w:rsidRPr="002645C3">
              <w:rPr>
                <w:color w:val="000000"/>
                <w:sz w:val="20"/>
                <w:szCs w:val="20"/>
              </w:rPr>
              <w:t xml:space="preserve">Runny nose </w:t>
            </w:r>
          </w:p>
        </w:tc>
        <w:tc>
          <w:tcPr>
            <w:tcW w:w="1903" w:type="dxa"/>
            <w:shd w:val="clear" w:color="auto" w:fill="auto"/>
            <w:noWrap/>
            <w:vAlign w:val="bottom"/>
            <w:hideMark/>
          </w:tcPr>
          <w:p w14:paraId="23CFEAA7"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7A69DCA9" w14:textId="77777777" w:rsidR="00897F84" w:rsidRPr="002645C3" w:rsidRDefault="00897F84" w:rsidP="00D4470F">
            <w:pPr>
              <w:jc w:val="center"/>
              <w:rPr>
                <w:color w:val="000000"/>
                <w:sz w:val="20"/>
                <w:szCs w:val="20"/>
              </w:rPr>
            </w:pPr>
            <w:r w:rsidRPr="002645C3">
              <w:rPr>
                <w:color w:val="000000"/>
                <w:sz w:val="20"/>
                <w:szCs w:val="20"/>
              </w:rPr>
              <w:t>93(76.9)</w:t>
            </w:r>
          </w:p>
        </w:tc>
        <w:tc>
          <w:tcPr>
            <w:tcW w:w="1761" w:type="dxa"/>
            <w:shd w:val="clear" w:color="auto" w:fill="auto"/>
            <w:noWrap/>
            <w:vAlign w:val="bottom"/>
          </w:tcPr>
          <w:p w14:paraId="4A4330FC" w14:textId="77777777" w:rsidR="00897F84" w:rsidRPr="002645C3" w:rsidRDefault="00897F84" w:rsidP="00D4470F">
            <w:pPr>
              <w:jc w:val="center"/>
              <w:rPr>
                <w:color w:val="000000"/>
                <w:sz w:val="20"/>
                <w:szCs w:val="20"/>
              </w:rPr>
            </w:pPr>
            <w:r w:rsidRPr="002645C3">
              <w:rPr>
                <w:color w:val="000000"/>
                <w:sz w:val="20"/>
                <w:szCs w:val="20"/>
              </w:rPr>
              <w:t>14(15.1)</w:t>
            </w:r>
          </w:p>
        </w:tc>
        <w:tc>
          <w:tcPr>
            <w:tcW w:w="1553" w:type="dxa"/>
            <w:shd w:val="clear" w:color="auto" w:fill="auto"/>
            <w:noWrap/>
            <w:vAlign w:val="bottom"/>
          </w:tcPr>
          <w:p w14:paraId="0EBB1B7A" w14:textId="77777777" w:rsidR="00897F84" w:rsidRPr="002645C3" w:rsidRDefault="00897F84" w:rsidP="00D4470F">
            <w:pPr>
              <w:jc w:val="center"/>
              <w:rPr>
                <w:color w:val="000000"/>
                <w:sz w:val="20"/>
                <w:szCs w:val="20"/>
              </w:rPr>
            </w:pPr>
            <w:r w:rsidRPr="002645C3">
              <w:rPr>
                <w:color w:val="000000"/>
                <w:sz w:val="20"/>
                <w:szCs w:val="20"/>
              </w:rPr>
              <w:t>0.920</w:t>
            </w:r>
          </w:p>
        </w:tc>
      </w:tr>
      <w:tr w:rsidR="00897F84" w:rsidRPr="002645C3" w14:paraId="747290CF" w14:textId="77777777" w:rsidTr="00D4470F">
        <w:trPr>
          <w:trHeight w:val="283"/>
        </w:trPr>
        <w:tc>
          <w:tcPr>
            <w:tcW w:w="2882" w:type="dxa"/>
            <w:shd w:val="clear" w:color="auto" w:fill="auto"/>
            <w:noWrap/>
            <w:vAlign w:val="bottom"/>
            <w:hideMark/>
          </w:tcPr>
          <w:p w14:paraId="6726EA0C"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5AEDBCA7"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6D6B3AE4" w14:textId="77777777" w:rsidR="00897F84" w:rsidRPr="002645C3" w:rsidRDefault="00897F84" w:rsidP="00D4470F">
            <w:pPr>
              <w:jc w:val="center"/>
              <w:rPr>
                <w:color w:val="000000"/>
                <w:sz w:val="20"/>
                <w:szCs w:val="20"/>
              </w:rPr>
            </w:pPr>
            <w:r w:rsidRPr="002645C3">
              <w:rPr>
                <w:color w:val="000000"/>
                <w:sz w:val="20"/>
                <w:szCs w:val="20"/>
              </w:rPr>
              <w:t>28(23.1)</w:t>
            </w:r>
          </w:p>
        </w:tc>
        <w:tc>
          <w:tcPr>
            <w:tcW w:w="1761" w:type="dxa"/>
            <w:shd w:val="clear" w:color="auto" w:fill="auto"/>
            <w:noWrap/>
            <w:vAlign w:val="bottom"/>
          </w:tcPr>
          <w:p w14:paraId="45BF3011" w14:textId="77777777" w:rsidR="00897F84" w:rsidRPr="002645C3" w:rsidRDefault="00897F84" w:rsidP="00D4470F">
            <w:pPr>
              <w:jc w:val="center"/>
              <w:rPr>
                <w:color w:val="000000"/>
                <w:sz w:val="20"/>
                <w:szCs w:val="20"/>
              </w:rPr>
            </w:pPr>
            <w:r w:rsidRPr="002645C3">
              <w:rPr>
                <w:color w:val="000000"/>
                <w:sz w:val="20"/>
                <w:szCs w:val="20"/>
              </w:rPr>
              <w:t>4(14.3)</w:t>
            </w:r>
          </w:p>
        </w:tc>
        <w:tc>
          <w:tcPr>
            <w:tcW w:w="1553" w:type="dxa"/>
            <w:shd w:val="clear" w:color="auto" w:fill="auto"/>
            <w:noWrap/>
            <w:vAlign w:val="bottom"/>
          </w:tcPr>
          <w:p w14:paraId="52A3E41A" w14:textId="77777777" w:rsidR="00897F84" w:rsidRPr="002645C3" w:rsidRDefault="00897F84" w:rsidP="00D4470F">
            <w:pPr>
              <w:jc w:val="center"/>
              <w:rPr>
                <w:color w:val="000000"/>
                <w:sz w:val="20"/>
                <w:szCs w:val="20"/>
              </w:rPr>
            </w:pPr>
          </w:p>
        </w:tc>
      </w:tr>
      <w:tr w:rsidR="00897F84" w:rsidRPr="002645C3" w14:paraId="7C8FCCA5" w14:textId="77777777" w:rsidTr="00D4470F">
        <w:trPr>
          <w:trHeight w:val="283"/>
        </w:trPr>
        <w:tc>
          <w:tcPr>
            <w:tcW w:w="2882" w:type="dxa"/>
            <w:shd w:val="clear" w:color="auto" w:fill="auto"/>
            <w:noWrap/>
            <w:vAlign w:val="bottom"/>
            <w:hideMark/>
          </w:tcPr>
          <w:p w14:paraId="6A2A4D75" w14:textId="77777777" w:rsidR="00897F84" w:rsidRPr="002645C3" w:rsidRDefault="00897F84" w:rsidP="00D4470F">
            <w:pPr>
              <w:rPr>
                <w:color w:val="000000"/>
                <w:sz w:val="20"/>
                <w:szCs w:val="20"/>
              </w:rPr>
            </w:pPr>
            <w:r w:rsidRPr="002645C3">
              <w:rPr>
                <w:color w:val="000000"/>
                <w:sz w:val="20"/>
                <w:szCs w:val="20"/>
              </w:rPr>
              <w:t xml:space="preserve">Cough </w:t>
            </w:r>
          </w:p>
        </w:tc>
        <w:tc>
          <w:tcPr>
            <w:tcW w:w="1903" w:type="dxa"/>
            <w:shd w:val="clear" w:color="auto" w:fill="auto"/>
            <w:noWrap/>
            <w:vAlign w:val="bottom"/>
            <w:hideMark/>
          </w:tcPr>
          <w:p w14:paraId="73EA6FDF"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03D2AD36" w14:textId="77777777" w:rsidR="00897F84" w:rsidRPr="002645C3" w:rsidRDefault="00897F84" w:rsidP="00D4470F">
            <w:pPr>
              <w:jc w:val="center"/>
              <w:rPr>
                <w:color w:val="000000"/>
                <w:sz w:val="20"/>
                <w:szCs w:val="20"/>
              </w:rPr>
            </w:pPr>
            <w:r w:rsidRPr="002645C3">
              <w:rPr>
                <w:color w:val="000000"/>
                <w:sz w:val="20"/>
                <w:szCs w:val="20"/>
              </w:rPr>
              <w:t>56(46.3)</w:t>
            </w:r>
          </w:p>
        </w:tc>
        <w:tc>
          <w:tcPr>
            <w:tcW w:w="1761" w:type="dxa"/>
            <w:shd w:val="clear" w:color="auto" w:fill="auto"/>
            <w:noWrap/>
            <w:vAlign w:val="bottom"/>
          </w:tcPr>
          <w:p w14:paraId="444B9302" w14:textId="77777777" w:rsidR="00897F84" w:rsidRPr="002645C3" w:rsidRDefault="00897F84" w:rsidP="00D4470F">
            <w:pPr>
              <w:jc w:val="center"/>
              <w:rPr>
                <w:color w:val="000000"/>
                <w:sz w:val="20"/>
                <w:szCs w:val="20"/>
              </w:rPr>
            </w:pPr>
            <w:r w:rsidRPr="002645C3">
              <w:rPr>
                <w:color w:val="000000"/>
                <w:sz w:val="20"/>
                <w:szCs w:val="20"/>
              </w:rPr>
              <w:t>6(10.7)</w:t>
            </w:r>
          </w:p>
        </w:tc>
        <w:tc>
          <w:tcPr>
            <w:tcW w:w="1553" w:type="dxa"/>
            <w:shd w:val="clear" w:color="auto" w:fill="auto"/>
            <w:noWrap/>
            <w:vAlign w:val="bottom"/>
          </w:tcPr>
          <w:p w14:paraId="22539BE1" w14:textId="77777777" w:rsidR="00897F84" w:rsidRPr="002645C3" w:rsidRDefault="00897F84" w:rsidP="00D4470F">
            <w:pPr>
              <w:jc w:val="center"/>
              <w:rPr>
                <w:color w:val="000000"/>
                <w:sz w:val="20"/>
                <w:szCs w:val="20"/>
              </w:rPr>
            </w:pPr>
            <w:r w:rsidRPr="002645C3">
              <w:rPr>
                <w:color w:val="000000"/>
                <w:sz w:val="20"/>
                <w:szCs w:val="20"/>
              </w:rPr>
              <w:t>0.232</w:t>
            </w:r>
          </w:p>
        </w:tc>
      </w:tr>
      <w:tr w:rsidR="00897F84" w:rsidRPr="002645C3" w14:paraId="75AC8D9C" w14:textId="77777777" w:rsidTr="00D4470F">
        <w:trPr>
          <w:trHeight w:val="283"/>
        </w:trPr>
        <w:tc>
          <w:tcPr>
            <w:tcW w:w="2882" w:type="dxa"/>
            <w:shd w:val="clear" w:color="auto" w:fill="auto"/>
            <w:noWrap/>
            <w:vAlign w:val="bottom"/>
            <w:hideMark/>
          </w:tcPr>
          <w:p w14:paraId="33AAC1D7"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38DB1E29"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4920E88E" w14:textId="77777777" w:rsidR="00897F84" w:rsidRPr="002645C3" w:rsidRDefault="00897F84" w:rsidP="00D4470F">
            <w:pPr>
              <w:jc w:val="center"/>
              <w:rPr>
                <w:color w:val="000000"/>
                <w:sz w:val="20"/>
                <w:szCs w:val="20"/>
              </w:rPr>
            </w:pPr>
            <w:r w:rsidRPr="002645C3">
              <w:rPr>
                <w:color w:val="000000"/>
                <w:sz w:val="20"/>
                <w:szCs w:val="20"/>
              </w:rPr>
              <w:t>65(53.7)</w:t>
            </w:r>
          </w:p>
        </w:tc>
        <w:tc>
          <w:tcPr>
            <w:tcW w:w="1761" w:type="dxa"/>
            <w:shd w:val="clear" w:color="auto" w:fill="auto"/>
            <w:noWrap/>
            <w:vAlign w:val="bottom"/>
          </w:tcPr>
          <w:p w14:paraId="0E866B60" w14:textId="77777777" w:rsidR="00897F84" w:rsidRPr="002645C3" w:rsidRDefault="00897F84" w:rsidP="00D4470F">
            <w:pPr>
              <w:jc w:val="center"/>
              <w:rPr>
                <w:color w:val="000000"/>
                <w:sz w:val="20"/>
                <w:szCs w:val="20"/>
              </w:rPr>
            </w:pPr>
            <w:r w:rsidRPr="002645C3">
              <w:rPr>
                <w:color w:val="000000"/>
                <w:sz w:val="20"/>
                <w:szCs w:val="20"/>
              </w:rPr>
              <w:t>12(18.5)</w:t>
            </w:r>
          </w:p>
        </w:tc>
        <w:tc>
          <w:tcPr>
            <w:tcW w:w="1553" w:type="dxa"/>
            <w:shd w:val="clear" w:color="auto" w:fill="auto"/>
            <w:noWrap/>
            <w:vAlign w:val="bottom"/>
          </w:tcPr>
          <w:p w14:paraId="55D208E8" w14:textId="77777777" w:rsidR="00897F84" w:rsidRPr="002645C3" w:rsidRDefault="00897F84" w:rsidP="00D4470F">
            <w:pPr>
              <w:jc w:val="center"/>
              <w:rPr>
                <w:color w:val="000000"/>
                <w:sz w:val="20"/>
                <w:szCs w:val="20"/>
              </w:rPr>
            </w:pPr>
          </w:p>
        </w:tc>
      </w:tr>
      <w:tr w:rsidR="00897F84" w:rsidRPr="002645C3" w14:paraId="5D695FA8" w14:textId="77777777" w:rsidTr="00D4470F">
        <w:trPr>
          <w:trHeight w:val="283"/>
        </w:trPr>
        <w:tc>
          <w:tcPr>
            <w:tcW w:w="2882" w:type="dxa"/>
            <w:shd w:val="clear" w:color="auto" w:fill="auto"/>
            <w:noWrap/>
            <w:vAlign w:val="bottom"/>
            <w:hideMark/>
          </w:tcPr>
          <w:p w14:paraId="77C197FF" w14:textId="77777777" w:rsidR="00897F84" w:rsidRPr="002645C3" w:rsidRDefault="00897F84" w:rsidP="00D4470F">
            <w:pPr>
              <w:rPr>
                <w:color w:val="000000"/>
                <w:sz w:val="20"/>
                <w:szCs w:val="20"/>
              </w:rPr>
            </w:pPr>
            <w:r w:rsidRPr="002645C3">
              <w:rPr>
                <w:color w:val="000000"/>
                <w:sz w:val="20"/>
                <w:szCs w:val="20"/>
              </w:rPr>
              <w:t xml:space="preserve">Shortness of breath </w:t>
            </w:r>
          </w:p>
        </w:tc>
        <w:tc>
          <w:tcPr>
            <w:tcW w:w="1903" w:type="dxa"/>
            <w:shd w:val="clear" w:color="auto" w:fill="auto"/>
            <w:noWrap/>
            <w:vAlign w:val="bottom"/>
            <w:hideMark/>
          </w:tcPr>
          <w:p w14:paraId="58F11B6E"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34B6264D" w14:textId="77777777" w:rsidR="00897F84" w:rsidRPr="002645C3" w:rsidRDefault="00897F84" w:rsidP="00D4470F">
            <w:pPr>
              <w:jc w:val="center"/>
              <w:rPr>
                <w:color w:val="000000"/>
                <w:sz w:val="20"/>
                <w:szCs w:val="20"/>
              </w:rPr>
            </w:pPr>
            <w:r w:rsidRPr="002645C3">
              <w:rPr>
                <w:color w:val="000000"/>
                <w:sz w:val="20"/>
                <w:szCs w:val="20"/>
              </w:rPr>
              <w:t>56(46.3)</w:t>
            </w:r>
          </w:p>
        </w:tc>
        <w:tc>
          <w:tcPr>
            <w:tcW w:w="1761" w:type="dxa"/>
            <w:shd w:val="clear" w:color="auto" w:fill="auto"/>
            <w:noWrap/>
            <w:vAlign w:val="bottom"/>
          </w:tcPr>
          <w:p w14:paraId="4AE81B8F" w14:textId="77777777" w:rsidR="00897F84" w:rsidRPr="002645C3" w:rsidRDefault="00897F84" w:rsidP="00D4470F">
            <w:pPr>
              <w:jc w:val="center"/>
              <w:rPr>
                <w:color w:val="000000"/>
                <w:sz w:val="20"/>
                <w:szCs w:val="20"/>
              </w:rPr>
            </w:pPr>
            <w:r w:rsidRPr="002645C3">
              <w:rPr>
                <w:color w:val="000000"/>
                <w:sz w:val="20"/>
                <w:szCs w:val="20"/>
              </w:rPr>
              <w:t>1(1.8)</w:t>
            </w:r>
          </w:p>
        </w:tc>
        <w:tc>
          <w:tcPr>
            <w:tcW w:w="1553" w:type="dxa"/>
            <w:shd w:val="clear" w:color="auto" w:fill="auto"/>
            <w:noWrap/>
            <w:vAlign w:val="bottom"/>
          </w:tcPr>
          <w:p w14:paraId="457610A5" w14:textId="77777777" w:rsidR="00897F84" w:rsidRPr="002645C3" w:rsidRDefault="00897F84" w:rsidP="00D4470F">
            <w:pPr>
              <w:jc w:val="center"/>
              <w:rPr>
                <w:color w:val="000000"/>
                <w:sz w:val="20"/>
                <w:szCs w:val="20"/>
              </w:rPr>
            </w:pPr>
            <w:r w:rsidRPr="002645C3">
              <w:rPr>
                <w:color w:val="000000"/>
                <w:sz w:val="20"/>
                <w:szCs w:val="20"/>
              </w:rPr>
              <w:t>&lt;0.001</w:t>
            </w:r>
          </w:p>
        </w:tc>
      </w:tr>
      <w:tr w:rsidR="00897F84" w:rsidRPr="002645C3" w14:paraId="31A2FE5C" w14:textId="77777777" w:rsidTr="00D4470F">
        <w:trPr>
          <w:trHeight w:val="283"/>
        </w:trPr>
        <w:tc>
          <w:tcPr>
            <w:tcW w:w="2882" w:type="dxa"/>
            <w:shd w:val="clear" w:color="auto" w:fill="auto"/>
            <w:noWrap/>
            <w:vAlign w:val="bottom"/>
            <w:hideMark/>
          </w:tcPr>
          <w:p w14:paraId="2E87A871"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2555CCEC"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67A3335A" w14:textId="77777777" w:rsidR="00897F84" w:rsidRPr="002645C3" w:rsidRDefault="00897F84" w:rsidP="00D4470F">
            <w:pPr>
              <w:jc w:val="center"/>
              <w:rPr>
                <w:color w:val="000000"/>
                <w:sz w:val="20"/>
                <w:szCs w:val="20"/>
              </w:rPr>
            </w:pPr>
            <w:r w:rsidRPr="002645C3">
              <w:rPr>
                <w:color w:val="000000"/>
                <w:sz w:val="20"/>
                <w:szCs w:val="20"/>
              </w:rPr>
              <w:t>65(53.7)</w:t>
            </w:r>
          </w:p>
        </w:tc>
        <w:tc>
          <w:tcPr>
            <w:tcW w:w="1761" w:type="dxa"/>
            <w:shd w:val="clear" w:color="auto" w:fill="auto"/>
            <w:noWrap/>
            <w:vAlign w:val="bottom"/>
          </w:tcPr>
          <w:p w14:paraId="7AF5F7AE" w14:textId="77777777" w:rsidR="00897F84" w:rsidRPr="002645C3" w:rsidRDefault="00897F84" w:rsidP="00D4470F">
            <w:pPr>
              <w:jc w:val="center"/>
              <w:rPr>
                <w:color w:val="000000"/>
                <w:sz w:val="20"/>
                <w:szCs w:val="20"/>
              </w:rPr>
            </w:pPr>
            <w:r w:rsidRPr="002645C3">
              <w:rPr>
                <w:color w:val="000000"/>
                <w:sz w:val="20"/>
                <w:szCs w:val="20"/>
              </w:rPr>
              <w:t>17(26.2)</w:t>
            </w:r>
          </w:p>
        </w:tc>
        <w:tc>
          <w:tcPr>
            <w:tcW w:w="1553" w:type="dxa"/>
            <w:shd w:val="clear" w:color="auto" w:fill="auto"/>
            <w:noWrap/>
            <w:vAlign w:val="bottom"/>
          </w:tcPr>
          <w:p w14:paraId="492BD54E" w14:textId="77777777" w:rsidR="00897F84" w:rsidRPr="002645C3" w:rsidRDefault="00897F84" w:rsidP="00D4470F">
            <w:pPr>
              <w:jc w:val="center"/>
              <w:rPr>
                <w:color w:val="000000"/>
                <w:sz w:val="20"/>
                <w:szCs w:val="20"/>
              </w:rPr>
            </w:pPr>
          </w:p>
        </w:tc>
      </w:tr>
      <w:tr w:rsidR="00897F84" w:rsidRPr="002645C3" w14:paraId="02F1B72F" w14:textId="77777777" w:rsidTr="00D4470F">
        <w:trPr>
          <w:trHeight w:val="283"/>
        </w:trPr>
        <w:tc>
          <w:tcPr>
            <w:tcW w:w="2882" w:type="dxa"/>
            <w:shd w:val="clear" w:color="auto" w:fill="auto"/>
            <w:noWrap/>
            <w:vAlign w:val="bottom"/>
            <w:hideMark/>
          </w:tcPr>
          <w:p w14:paraId="5504CDE9" w14:textId="77777777" w:rsidR="00897F84" w:rsidRPr="002645C3" w:rsidRDefault="00897F84" w:rsidP="00D4470F">
            <w:pPr>
              <w:rPr>
                <w:color w:val="000000"/>
                <w:sz w:val="20"/>
                <w:szCs w:val="20"/>
              </w:rPr>
            </w:pPr>
            <w:r w:rsidRPr="002645C3">
              <w:rPr>
                <w:color w:val="000000"/>
                <w:sz w:val="20"/>
                <w:szCs w:val="20"/>
              </w:rPr>
              <w:t xml:space="preserve">Chills </w:t>
            </w:r>
          </w:p>
        </w:tc>
        <w:tc>
          <w:tcPr>
            <w:tcW w:w="1903" w:type="dxa"/>
            <w:shd w:val="clear" w:color="auto" w:fill="auto"/>
            <w:noWrap/>
            <w:vAlign w:val="bottom"/>
            <w:hideMark/>
          </w:tcPr>
          <w:p w14:paraId="345C5037"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547E2F63" w14:textId="77777777" w:rsidR="00897F84" w:rsidRPr="002645C3" w:rsidRDefault="00897F84" w:rsidP="00D4470F">
            <w:pPr>
              <w:jc w:val="center"/>
              <w:rPr>
                <w:color w:val="000000"/>
                <w:sz w:val="20"/>
                <w:szCs w:val="20"/>
              </w:rPr>
            </w:pPr>
            <w:r w:rsidRPr="002645C3">
              <w:rPr>
                <w:color w:val="000000"/>
                <w:sz w:val="20"/>
                <w:szCs w:val="20"/>
              </w:rPr>
              <w:t>96(79.3)</w:t>
            </w:r>
          </w:p>
        </w:tc>
        <w:tc>
          <w:tcPr>
            <w:tcW w:w="1761" w:type="dxa"/>
            <w:shd w:val="clear" w:color="auto" w:fill="auto"/>
            <w:noWrap/>
            <w:vAlign w:val="bottom"/>
          </w:tcPr>
          <w:p w14:paraId="07ECC7E7" w14:textId="77777777" w:rsidR="00897F84" w:rsidRPr="002645C3" w:rsidRDefault="00897F84" w:rsidP="00D4470F">
            <w:pPr>
              <w:jc w:val="center"/>
              <w:rPr>
                <w:color w:val="000000"/>
                <w:sz w:val="20"/>
                <w:szCs w:val="20"/>
              </w:rPr>
            </w:pPr>
            <w:r w:rsidRPr="002645C3">
              <w:rPr>
                <w:color w:val="000000"/>
                <w:sz w:val="20"/>
                <w:szCs w:val="20"/>
              </w:rPr>
              <w:t>13(13.5)</w:t>
            </w:r>
          </w:p>
        </w:tc>
        <w:tc>
          <w:tcPr>
            <w:tcW w:w="1553" w:type="dxa"/>
            <w:shd w:val="clear" w:color="auto" w:fill="auto"/>
            <w:noWrap/>
            <w:vAlign w:val="bottom"/>
          </w:tcPr>
          <w:p w14:paraId="21BDA1B7" w14:textId="77777777" w:rsidR="00897F84" w:rsidRPr="002645C3" w:rsidRDefault="00897F84" w:rsidP="00D4470F">
            <w:pPr>
              <w:jc w:val="center"/>
              <w:rPr>
                <w:color w:val="000000"/>
                <w:sz w:val="20"/>
                <w:szCs w:val="20"/>
              </w:rPr>
            </w:pPr>
            <w:r w:rsidRPr="002645C3">
              <w:rPr>
                <w:color w:val="000000"/>
                <w:sz w:val="20"/>
                <w:szCs w:val="20"/>
              </w:rPr>
              <w:t>0.419</w:t>
            </w:r>
          </w:p>
        </w:tc>
      </w:tr>
      <w:tr w:rsidR="00897F84" w:rsidRPr="002645C3" w14:paraId="471E507B" w14:textId="77777777" w:rsidTr="00D4470F">
        <w:trPr>
          <w:trHeight w:val="283"/>
        </w:trPr>
        <w:tc>
          <w:tcPr>
            <w:tcW w:w="2882" w:type="dxa"/>
            <w:shd w:val="clear" w:color="auto" w:fill="auto"/>
            <w:noWrap/>
            <w:vAlign w:val="bottom"/>
            <w:hideMark/>
          </w:tcPr>
          <w:p w14:paraId="0E0D476A"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2E796FF9"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03C9725C" w14:textId="77777777" w:rsidR="00897F84" w:rsidRPr="002645C3" w:rsidRDefault="00897F84" w:rsidP="00D4470F">
            <w:pPr>
              <w:jc w:val="center"/>
              <w:rPr>
                <w:color w:val="000000"/>
                <w:sz w:val="20"/>
                <w:szCs w:val="20"/>
              </w:rPr>
            </w:pPr>
            <w:r w:rsidRPr="002645C3">
              <w:rPr>
                <w:color w:val="000000"/>
                <w:sz w:val="20"/>
                <w:szCs w:val="20"/>
              </w:rPr>
              <w:t>25(20.7)</w:t>
            </w:r>
          </w:p>
        </w:tc>
        <w:tc>
          <w:tcPr>
            <w:tcW w:w="1761" w:type="dxa"/>
            <w:shd w:val="clear" w:color="auto" w:fill="auto"/>
            <w:noWrap/>
            <w:vAlign w:val="bottom"/>
          </w:tcPr>
          <w:p w14:paraId="6234F129" w14:textId="77777777" w:rsidR="00897F84" w:rsidRPr="002645C3" w:rsidRDefault="00897F84" w:rsidP="00D4470F">
            <w:pPr>
              <w:jc w:val="center"/>
              <w:rPr>
                <w:color w:val="000000"/>
                <w:sz w:val="20"/>
                <w:szCs w:val="20"/>
              </w:rPr>
            </w:pPr>
            <w:r w:rsidRPr="002645C3">
              <w:rPr>
                <w:color w:val="000000"/>
                <w:sz w:val="20"/>
                <w:szCs w:val="20"/>
              </w:rPr>
              <w:t>5(20.0)</w:t>
            </w:r>
          </w:p>
        </w:tc>
        <w:tc>
          <w:tcPr>
            <w:tcW w:w="1553" w:type="dxa"/>
            <w:shd w:val="clear" w:color="auto" w:fill="auto"/>
            <w:noWrap/>
            <w:vAlign w:val="bottom"/>
          </w:tcPr>
          <w:p w14:paraId="2414A583" w14:textId="77777777" w:rsidR="00897F84" w:rsidRPr="002645C3" w:rsidRDefault="00897F84" w:rsidP="00D4470F">
            <w:pPr>
              <w:jc w:val="center"/>
              <w:rPr>
                <w:color w:val="000000"/>
                <w:sz w:val="20"/>
                <w:szCs w:val="20"/>
              </w:rPr>
            </w:pPr>
          </w:p>
        </w:tc>
      </w:tr>
      <w:tr w:rsidR="00897F84" w:rsidRPr="002645C3" w14:paraId="01417DAD" w14:textId="77777777" w:rsidTr="00D4470F">
        <w:trPr>
          <w:trHeight w:val="283"/>
        </w:trPr>
        <w:tc>
          <w:tcPr>
            <w:tcW w:w="2882" w:type="dxa"/>
            <w:shd w:val="clear" w:color="auto" w:fill="auto"/>
            <w:noWrap/>
            <w:vAlign w:val="bottom"/>
            <w:hideMark/>
          </w:tcPr>
          <w:p w14:paraId="710259DE" w14:textId="77777777" w:rsidR="00897F84" w:rsidRPr="002645C3" w:rsidRDefault="00897F84" w:rsidP="00D4470F">
            <w:pPr>
              <w:rPr>
                <w:color w:val="000000"/>
                <w:sz w:val="20"/>
                <w:szCs w:val="20"/>
              </w:rPr>
            </w:pPr>
            <w:r w:rsidRPr="002645C3">
              <w:rPr>
                <w:color w:val="000000"/>
                <w:sz w:val="20"/>
                <w:szCs w:val="20"/>
              </w:rPr>
              <w:t xml:space="preserve">Vomiting </w:t>
            </w:r>
          </w:p>
        </w:tc>
        <w:tc>
          <w:tcPr>
            <w:tcW w:w="1903" w:type="dxa"/>
            <w:shd w:val="clear" w:color="auto" w:fill="auto"/>
            <w:noWrap/>
            <w:vAlign w:val="bottom"/>
            <w:hideMark/>
          </w:tcPr>
          <w:p w14:paraId="023E9C07"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36F46E1E" w14:textId="77777777" w:rsidR="00897F84" w:rsidRPr="002645C3" w:rsidRDefault="00897F84" w:rsidP="00D4470F">
            <w:pPr>
              <w:jc w:val="center"/>
              <w:rPr>
                <w:color w:val="000000"/>
                <w:sz w:val="20"/>
                <w:szCs w:val="20"/>
              </w:rPr>
            </w:pPr>
            <w:r w:rsidRPr="002645C3">
              <w:rPr>
                <w:color w:val="000000"/>
                <w:sz w:val="20"/>
                <w:szCs w:val="20"/>
              </w:rPr>
              <w:t>111(91.7)</w:t>
            </w:r>
          </w:p>
        </w:tc>
        <w:tc>
          <w:tcPr>
            <w:tcW w:w="1761" w:type="dxa"/>
            <w:shd w:val="clear" w:color="auto" w:fill="auto"/>
            <w:noWrap/>
            <w:vAlign w:val="bottom"/>
          </w:tcPr>
          <w:p w14:paraId="5A3149DE" w14:textId="77777777" w:rsidR="00897F84" w:rsidRPr="002645C3" w:rsidRDefault="00897F84" w:rsidP="00D4470F">
            <w:pPr>
              <w:jc w:val="center"/>
              <w:rPr>
                <w:color w:val="000000"/>
                <w:sz w:val="20"/>
                <w:szCs w:val="20"/>
              </w:rPr>
            </w:pPr>
            <w:r w:rsidRPr="002645C3">
              <w:rPr>
                <w:color w:val="000000"/>
                <w:sz w:val="20"/>
                <w:szCs w:val="20"/>
              </w:rPr>
              <w:t>17(15.3)</w:t>
            </w:r>
          </w:p>
        </w:tc>
        <w:tc>
          <w:tcPr>
            <w:tcW w:w="1553" w:type="dxa"/>
            <w:shd w:val="clear" w:color="auto" w:fill="auto"/>
            <w:noWrap/>
            <w:vAlign w:val="bottom"/>
          </w:tcPr>
          <w:p w14:paraId="2FEBB9BE" w14:textId="77777777" w:rsidR="00897F84" w:rsidRPr="002645C3" w:rsidRDefault="00897F84" w:rsidP="00D4470F">
            <w:pPr>
              <w:jc w:val="center"/>
              <w:rPr>
                <w:color w:val="000000"/>
                <w:sz w:val="20"/>
                <w:szCs w:val="20"/>
              </w:rPr>
            </w:pPr>
            <w:r w:rsidRPr="002645C3">
              <w:rPr>
                <w:color w:val="000000"/>
                <w:sz w:val="20"/>
                <w:szCs w:val="20"/>
              </w:rPr>
              <w:t>0.651</w:t>
            </w:r>
          </w:p>
        </w:tc>
      </w:tr>
      <w:tr w:rsidR="00897F84" w:rsidRPr="002645C3" w14:paraId="5103B6D8" w14:textId="77777777" w:rsidTr="00D4470F">
        <w:trPr>
          <w:trHeight w:val="283"/>
        </w:trPr>
        <w:tc>
          <w:tcPr>
            <w:tcW w:w="2882" w:type="dxa"/>
            <w:shd w:val="clear" w:color="auto" w:fill="auto"/>
            <w:noWrap/>
            <w:vAlign w:val="bottom"/>
            <w:hideMark/>
          </w:tcPr>
          <w:p w14:paraId="487F0C8C"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4D112144"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2535FACE" w14:textId="77777777" w:rsidR="00897F84" w:rsidRPr="002645C3" w:rsidRDefault="00897F84" w:rsidP="00D4470F">
            <w:pPr>
              <w:jc w:val="center"/>
              <w:rPr>
                <w:color w:val="000000"/>
                <w:sz w:val="20"/>
                <w:szCs w:val="20"/>
              </w:rPr>
            </w:pPr>
            <w:r w:rsidRPr="002645C3">
              <w:rPr>
                <w:color w:val="000000"/>
                <w:sz w:val="20"/>
                <w:szCs w:val="20"/>
              </w:rPr>
              <w:t>10(8.3)</w:t>
            </w:r>
          </w:p>
        </w:tc>
        <w:tc>
          <w:tcPr>
            <w:tcW w:w="1761" w:type="dxa"/>
            <w:shd w:val="clear" w:color="auto" w:fill="auto"/>
            <w:noWrap/>
            <w:vAlign w:val="bottom"/>
          </w:tcPr>
          <w:p w14:paraId="22E38728" w14:textId="77777777" w:rsidR="00897F84" w:rsidRPr="002645C3" w:rsidRDefault="00897F84" w:rsidP="00D4470F">
            <w:pPr>
              <w:jc w:val="center"/>
              <w:rPr>
                <w:color w:val="000000"/>
                <w:sz w:val="20"/>
                <w:szCs w:val="20"/>
              </w:rPr>
            </w:pPr>
            <w:r w:rsidRPr="002645C3">
              <w:rPr>
                <w:color w:val="000000"/>
                <w:sz w:val="20"/>
                <w:szCs w:val="20"/>
              </w:rPr>
              <w:t>1(10.0)</w:t>
            </w:r>
          </w:p>
        </w:tc>
        <w:tc>
          <w:tcPr>
            <w:tcW w:w="1553" w:type="dxa"/>
            <w:shd w:val="clear" w:color="auto" w:fill="auto"/>
            <w:noWrap/>
            <w:vAlign w:val="bottom"/>
          </w:tcPr>
          <w:p w14:paraId="0DC4C69A" w14:textId="77777777" w:rsidR="00897F84" w:rsidRPr="002645C3" w:rsidRDefault="00897F84" w:rsidP="00D4470F">
            <w:pPr>
              <w:jc w:val="center"/>
              <w:rPr>
                <w:color w:val="000000"/>
                <w:sz w:val="20"/>
                <w:szCs w:val="20"/>
              </w:rPr>
            </w:pPr>
          </w:p>
        </w:tc>
      </w:tr>
      <w:tr w:rsidR="00897F84" w:rsidRPr="002645C3" w14:paraId="0C3DC2BB" w14:textId="77777777" w:rsidTr="00D4470F">
        <w:trPr>
          <w:trHeight w:val="283"/>
        </w:trPr>
        <w:tc>
          <w:tcPr>
            <w:tcW w:w="2882" w:type="dxa"/>
            <w:shd w:val="clear" w:color="auto" w:fill="auto"/>
            <w:noWrap/>
            <w:vAlign w:val="bottom"/>
            <w:hideMark/>
          </w:tcPr>
          <w:p w14:paraId="168A5F74" w14:textId="77777777" w:rsidR="00897F84" w:rsidRPr="002645C3" w:rsidRDefault="00897F84" w:rsidP="00D4470F">
            <w:pPr>
              <w:rPr>
                <w:color w:val="000000"/>
                <w:sz w:val="20"/>
                <w:szCs w:val="20"/>
              </w:rPr>
            </w:pPr>
            <w:r w:rsidRPr="002645C3">
              <w:rPr>
                <w:color w:val="000000"/>
                <w:sz w:val="20"/>
                <w:szCs w:val="20"/>
              </w:rPr>
              <w:t xml:space="preserve">Nausea </w:t>
            </w:r>
          </w:p>
        </w:tc>
        <w:tc>
          <w:tcPr>
            <w:tcW w:w="1903" w:type="dxa"/>
            <w:shd w:val="clear" w:color="auto" w:fill="auto"/>
            <w:noWrap/>
            <w:vAlign w:val="bottom"/>
            <w:hideMark/>
          </w:tcPr>
          <w:p w14:paraId="557C9698"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27AA1A90" w14:textId="77777777" w:rsidR="00897F84" w:rsidRPr="002645C3" w:rsidRDefault="00897F84" w:rsidP="00D4470F">
            <w:pPr>
              <w:jc w:val="center"/>
              <w:rPr>
                <w:color w:val="000000"/>
                <w:sz w:val="20"/>
                <w:szCs w:val="20"/>
              </w:rPr>
            </w:pPr>
            <w:r w:rsidRPr="002645C3">
              <w:rPr>
                <w:color w:val="000000"/>
                <w:sz w:val="20"/>
                <w:szCs w:val="20"/>
              </w:rPr>
              <w:t>111(91.7)</w:t>
            </w:r>
          </w:p>
        </w:tc>
        <w:tc>
          <w:tcPr>
            <w:tcW w:w="1761" w:type="dxa"/>
            <w:shd w:val="clear" w:color="auto" w:fill="auto"/>
            <w:noWrap/>
            <w:vAlign w:val="bottom"/>
          </w:tcPr>
          <w:p w14:paraId="43C9DBE1" w14:textId="77777777" w:rsidR="00897F84" w:rsidRPr="002645C3" w:rsidRDefault="00897F84" w:rsidP="00D4470F">
            <w:pPr>
              <w:jc w:val="center"/>
              <w:rPr>
                <w:color w:val="000000"/>
                <w:sz w:val="20"/>
                <w:szCs w:val="20"/>
              </w:rPr>
            </w:pPr>
            <w:r w:rsidRPr="002645C3">
              <w:rPr>
                <w:color w:val="000000"/>
                <w:sz w:val="20"/>
                <w:szCs w:val="20"/>
              </w:rPr>
              <w:t>17(15.3)</w:t>
            </w:r>
          </w:p>
        </w:tc>
        <w:tc>
          <w:tcPr>
            <w:tcW w:w="1553" w:type="dxa"/>
            <w:shd w:val="clear" w:color="auto" w:fill="auto"/>
            <w:noWrap/>
            <w:vAlign w:val="bottom"/>
          </w:tcPr>
          <w:p w14:paraId="32053136" w14:textId="77777777" w:rsidR="00897F84" w:rsidRPr="002645C3" w:rsidRDefault="00897F84" w:rsidP="00D4470F">
            <w:pPr>
              <w:jc w:val="center"/>
              <w:rPr>
                <w:color w:val="000000"/>
                <w:sz w:val="20"/>
                <w:szCs w:val="20"/>
              </w:rPr>
            </w:pPr>
            <w:r w:rsidRPr="002645C3">
              <w:rPr>
                <w:color w:val="000000"/>
                <w:sz w:val="20"/>
                <w:szCs w:val="20"/>
              </w:rPr>
              <w:t>0.651</w:t>
            </w:r>
          </w:p>
        </w:tc>
      </w:tr>
      <w:tr w:rsidR="00897F84" w:rsidRPr="002645C3" w14:paraId="0D47FB73" w14:textId="77777777" w:rsidTr="00D4470F">
        <w:trPr>
          <w:trHeight w:val="283"/>
        </w:trPr>
        <w:tc>
          <w:tcPr>
            <w:tcW w:w="2882" w:type="dxa"/>
            <w:shd w:val="clear" w:color="auto" w:fill="auto"/>
            <w:noWrap/>
            <w:vAlign w:val="bottom"/>
            <w:hideMark/>
          </w:tcPr>
          <w:p w14:paraId="386438CE"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77E40B80"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029A3772" w14:textId="77777777" w:rsidR="00897F84" w:rsidRPr="002645C3" w:rsidRDefault="00897F84" w:rsidP="00D4470F">
            <w:pPr>
              <w:jc w:val="center"/>
              <w:rPr>
                <w:color w:val="000000"/>
                <w:sz w:val="20"/>
                <w:szCs w:val="20"/>
              </w:rPr>
            </w:pPr>
            <w:r w:rsidRPr="002645C3">
              <w:rPr>
                <w:color w:val="000000"/>
                <w:sz w:val="20"/>
                <w:szCs w:val="20"/>
              </w:rPr>
              <w:t>10(8.3)</w:t>
            </w:r>
          </w:p>
        </w:tc>
        <w:tc>
          <w:tcPr>
            <w:tcW w:w="1761" w:type="dxa"/>
            <w:shd w:val="clear" w:color="auto" w:fill="auto"/>
            <w:noWrap/>
            <w:vAlign w:val="bottom"/>
          </w:tcPr>
          <w:p w14:paraId="714DD353" w14:textId="77777777" w:rsidR="00897F84" w:rsidRPr="002645C3" w:rsidRDefault="00897F84" w:rsidP="00D4470F">
            <w:pPr>
              <w:jc w:val="center"/>
              <w:rPr>
                <w:color w:val="000000"/>
                <w:sz w:val="20"/>
                <w:szCs w:val="20"/>
              </w:rPr>
            </w:pPr>
            <w:r w:rsidRPr="002645C3">
              <w:rPr>
                <w:color w:val="000000"/>
                <w:sz w:val="20"/>
                <w:szCs w:val="20"/>
              </w:rPr>
              <w:t>1(10.0)</w:t>
            </w:r>
          </w:p>
        </w:tc>
        <w:tc>
          <w:tcPr>
            <w:tcW w:w="1553" w:type="dxa"/>
            <w:shd w:val="clear" w:color="auto" w:fill="auto"/>
            <w:noWrap/>
            <w:vAlign w:val="bottom"/>
          </w:tcPr>
          <w:p w14:paraId="51B0F8DC" w14:textId="77777777" w:rsidR="00897F84" w:rsidRPr="002645C3" w:rsidRDefault="00897F84" w:rsidP="00D4470F">
            <w:pPr>
              <w:jc w:val="center"/>
              <w:rPr>
                <w:color w:val="000000"/>
                <w:sz w:val="20"/>
                <w:szCs w:val="20"/>
              </w:rPr>
            </w:pPr>
          </w:p>
        </w:tc>
      </w:tr>
      <w:tr w:rsidR="00897F84" w:rsidRPr="002645C3" w14:paraId="333770BE" w14:textId="77777777" w:rsidTr="00D4470F">
        <w:trPr>
          <w:trHeight w:val="283"/>
        </w:trPr>
        <w:tc>
          <w:tcPr>
            <w:tcW w:w="2882" w:type="dxa"/>
            <w:shd w:val="clear" w:color="auto" w:fill="auto"/>
            <w:noWrap/>
            <w:vAlign w:val="bottom"/>
            <w:hideMark/>
          </w:tcPr>
          <w:p w14:paraId="1D8610FE" w14:textId="77777777" w:rsidR="00897F84" w:rsidRPr="002645C3" w:rsidRDefault="00897F84" w:rsidP="00D4470F">
            <w:pPr>
              <w:rPr>
                <w:color w:val="000000"/>
                <w:sz w:val="20"/>
                <w:szCs w:val="20"/>
              </w:rPr>
            </w:pPr>
            <w:r w:rsidRPr="002645C3">
              <w:rPr>
                <w:color w:val="000000"/>
                <w:sz w:val="20"/>
                <w:szCs w:val="20"/>
              </w:rPr>
              <w:t xml:space="preserve">Diarrhoea </w:t>
            </w:r>
          </w:p>
        </w:tc>
        <w:tc>
          <w:tcPr>
            <w:tcW w:w="1903" w:type="dxa"/>
            <w:shd w:val="clear" w:color="auto" w:fill="auto"/>
            <w:noWrap/>
            <w:vAlign w:val="bottom"/>
            <w:hideMark/>
          </w:tcPr>
          <w:p w14:paraId="3B46AC2D"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21481444" w14:textId="77777777" w:rsidR="00897F84" w:rsidRPr="002645C3" w:rsidRDefault="00897F84" w:rsidP="00D4470F">
            <w:pPr>
              <w:jc w:val="center"/>
              <w:rPr>
                <w:color w:val="000000"/>
                <w:sz w:val="20"/>
                <w:szCs w:val="20"/>
              </w:rPr>
            </w:pPr>
            <w:r w:rsidRPr="002645C3">
              <w:rPr>
                <w:color w:val="000000"/>
                <w:sz w:val="20"/>
                <w:szCs w:val="20"/>
              </w:rPr>
              <w:t>113(93.4)</w:t>
            </w:r>
          </w:p>
        </w:tc>
        <w:tc>
          <w:tcPr>
            <w:tcW w:w="1761" w:type="dxa"/>
            <w:shd w:val="clear" w:color="auto" w:fill="auto"/>
            <w:noWrap/>
            <w:vAlign w:val="bottom"/>
          </w:tcPr>
          <w:p w14:paraId="653E26FA" w14:textId="77777777" w:rsidR="00897F84" w:rsidRPr="002645C3" w:rsidRDefault="00897F84" w:rsidP="00D4470F">
            <w:pPr>
              <w:jc w:val="center"/>
              <w:rPr>
                <w:color w:val="000000"/>
                <w:sz w:val="20"/>
                <w:szCs w:val="20"/>
              </w:rPr>
            </w:pPr>
            <w:r w:rsidRPr="002645C3">
              <w:rPr>
                <w:color w:val="000000"/>
                <w:sz w:val="20"/>
                <w:szCs w:val="20"/>
              </w:rPr>
              <w:t>17(15.0)</w:t>
            </w:r>
          </w:p>
        </w:tc>
        <w:tc>
          <w:tcPr>
            <w:tcW w:w="1553" w:type="dxa"/>
            <w:shd w:val="clear" w:color="auto" w:fill="auto"/>
            <w:noWrap/>
            <w:vAlign w:val="bottom"/>
          </w:tcPr>
          <w:p w14:paraId="1C6A4074" w14:textId="77777777" w:rsidR="00897F84" w:rsidRPr="002645C3" w:rsidRDefault="00897F84" w:rsidP="00D4470F">
            <w:pPr>
              <w:jc w:val="center"/>
              <w:rPr>
                <w:color w:val="000000"/>
                <w:sz w:val="20"/>
                <w:szCs w:val="20"/>
              </w:rPr>
            </w:pPr>
            <w:r w:rsidRPr="002645C3">
              <w:rPr>
                <w:color w:val="000000"/>
                <w:sz w:val="20"/>
                <w:szCs w:val="20"/>
              </w:rPr>
              <w:t>0.845</w:t>
            </w:r>
          </w:p>
        </w:tc>
      </w:tr>
      <w:tr w:rsidR="00897F84" w:rsidRPr="002645C3" w14:paraId="1384CCCB" w14:textId="77777777" w:rsidTr="00D4470F">
        <w:trPr>
          <w:trHeight w:val="283"/>
        </w:trPr>
        <w:tc>
          <w:tcPr>
            <w:tcW w:w="2882" w:type="dxa"/>
            <w:shd w:val="clear" w:color="auto" w:fill="auto"/>
            <w:noWrap/>
            <w:vAlign w:val="bottom"/>
            <w:hideMark/>
          </w:tcPr>
          <w:p w14:paraId="70ECF140"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4CF02859"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3448C12A" w14:textId="77777777" w:rsidR="00897F84" w:rsidRPr="002645C3" w:rsidRDefault="00897F84" w:rsidP="00D4470F">
            <w:pPr>
              <w:jc w:val="center"/>
              <w:rPr>
                <w:color w:val="000000"/>
                <w:sz w:val="20"/>
                <w:szCs w:val="20"/>
              </w:rPr>
            </w:pPr>
            <w:r w:rsidRPr="002645C3">
              <w:rPr>
                <w:color w:val="000000"/>
                <w:sz w:val="20"/>
                <w:szCs w:val="20"/>
              </w:rPr>
              <w:t>8(6.6)</w:t>
            </w:r>
          </w:p>
        </w:tc>
        <w:tc>
          <w:tcPr>
            <w:tcW w:w="1761" w:type="dxa"/>
            <w:shd w:val="clear" w:color="auto" w:fill="auto"/>
            <w:noWrap/>
            <w:vAlign w:val="bottom"/>
          </w:tcPr>
          <w:p w14:paraId="66273223" w14:textId="77777777" w:rsidR="00897F84" w:rsidRPr="002645C3" w:rsidRDefault="00897F84" w:rsidP="00D4470F">
            <w:pPr>
              <w:jc w:val="center"/>
              <w:rPr>
                <w:color w:val="000000"/>
                <w:sz w:val="20"/>
                <w:szCs w:val="20"/>
              </w:rPr>
            </w:pPr>
            <w:r w:rsidRPr="002645C3">
              <w:rPr>
                <w:color w:val="000000"/>
                <w:sz w:val="20"/>
                <w:szCs w:val="20"/>
              </w:rPr>
              <w:t>1(12.5)</w:t>
            </w:r>
          </w:p>
        </w:tc>
        <w:tc>
          <w:tcPr>
            <w:tcW w:w="1553" w:type="dxa"/>
            <w:shd w:val="clear" w:color="auto" w:fill="auto"/>
            <w:noWrap/>
            <w:vAlign w:val="bottom"/>
          </w:tcPr>
          <w:p w14:paraId="08BB464E" w14:textId="77777777" w:rsidR="00897F84" w:rsidRPr="002645C3" w:rsidRDefault="00897F84" w:rsidP="00D4470F">
            <w:pPr>
              <w:jc w:val="center"/>
              <w:rPr>
                <w:color w:val="000000"/>
                <w:sz w:val="20"/>
                <w:szCs w:val="20"/>
              </w:rPr>
            </w:pPr>
          </w:p>
        </w:tc>
      </w:tr>
      <w:tr w:rsidR="00897F84" w:rsidRPr="002645C3" w14:paraId="772CA519" w14:textId="77777777" w:rsidTr="00D4470F">
        <w:trPr>
          <w:trHeight w:val="283"/>
        </w:trPr>
        <w:tc>
          <w:tcPr>
            <w:tcW w:w="2882" w:type="dxa"/>
            <w:shd w:val="clear" w:color="auto" w:fill="auto"/>
            <w:noWrap/>
            <w:vAlign w:val="bottom"/>
            <w:hideMark/>
          </w:tcPr>
          <w:p w14:paraId="68B152E6" w14:textId="77777777" w:rsidR="00897F84" w:rsidRPr="002645C3" w:rsidRDefault="00897F84" w:rsidP="00D4470F">
            <w:pPr>
              <w:rPr>
                <w:color w:val="000000"/>
                <w:sz w:val="20"/>
                <w:szCs w:val="20"/>
              </w:rPr>
            </w:pPr>
            <w:r w:rsidRPr="002645C3">
              <w:rPr>
                <w:color w:val="000000"/>
                <w:sz w:val="20"/>
                <w:szCs w:val="20"/>
              </w:rPr>
              <w:t xml:space="preserve">Headache </w:t>
            </w:r>
          </w:p>
        </w:tc>
        <w:tc>
          <w:tcPr>
            <w:tcW w:w="1903" w:type="dxa"/>
            <w:shd w:val="clear" w:color="auto" w:fill="auto"/>
            <w:noWrap/>
            <w:vAlign w:val="bottom"/>
            <w:hideMark/>
          </w:tcPr>
          <w:p w14:paraId="75C62282"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4D26D714" w14:textId="77777777" w:rsidR="00897F84" w:rsidRPr="002645C3" w:rsidRDefault="00897F84" w:rsidP="00D4470F">
            <w:pPr>
              <w:jc w:val="center"/>
              <w:rPr>
                <w:color w:val="000000"/>
                <w:sz w:val="20"/>
                <w:szCs w:val="20"/>
              </w:rPr>
            </w:pPr>
            <w:r w:rsidRPr="002645C3">
              <w:rPr>
                <w:color w:val="000000"/>
                <w:sz w:val="20"/>
                <w:szCs w:val="20"/>
              </w:rPr>
              <w:t>48(39.7)</w:t>
            </w:r>
          </w:p>
        </w:tc>
        <w:tc>
          <w:tcPr>
            <w:tcW w:w="1761" w:type="dxa"/>
            <w:shd w:val="clear" w:color="auto" w:fill="auto"/>
            <w:noWrap/>
            <w:vAlign w:val="bottom"/>
          </w:tcPr>
          <w:p w14:paraId="6615EBDC" w14:textId="77777777" w:rsidR="00897F84" w:rsidRPr="002645C3" w:rsidRDefault="00897F84" w:rsidP="00D4470F">
            <w:pPr>
              <w:jc w:val="center"/>
              <w:rPr>
                <w:color w:val="000000"/>
                <w:sz w:val="20"/>
                <w:szCs w:val="20"/>
              </w:rPr>
            </w:pPr>
            <w:r w:rsidRPr="002645C3">
              <w:rPr>
                <w:color w:val="000000"/>
                <w:sz w:val="20"/>
                <w:szCs w:val="20"/>
              </w:rPr>
              <w:t>7(14.5)</w:t>
            </w:r>
          </w:p>
        </w:tc>
        <w:tc>
          <w:tcPr>
            <w:tcW w:w="1553" w:type="dxa"/>
            <w:shd w:val="clear" w:color="auto" w:fill="auto"/>
            <w:noWrap/>
            <w:vAlign w:val="bottom"/>
          </w:tcPr>
          <w:p w14:paraId="72064FB4" w14:textId="77777777" w:rsidR="00897F84" w:rsidRPr="002645C3" w:rsidRDefault="00897F84" w:rsidP="00D4470F">
            <w:pPr>
              <w:jc w:val="center"/>
              <w:rPr>
                <w:color w:val="000000"/>
                <w:sz w:val="20"/>
                <w:szCs w:val="20"/>
              </w:rPr>
            </w:pPr>
            <w:r w:rsidRPr="002645C3">
              <w:rPr>
                <w:color w:val="000000"/>
                <w:sz w:val="20"/>
                <w:szCs w:val="20"/>
              </w:rPr>
              <w:t>0.942</w:t>
            </w:r>
          </w:p>
        </w:tc>
      </w:tr>
      <w:tr w:rsidR="00897F84" w:rsidRPr="002645C3" w14:paraId="214F6DEC" w14:textId="77777777" w:rsidTr="00D4470F">
        <w:trPr>
          <w:trHeight w:val="283"/>
        </w:trPr>
        <w:tc>
          <w:tcPr>
            <w:tcW w:w="2882" w:type="dxa"/>
            <w:shd w:val="clear" w:color="auto" w:fill="auto"/>
            <w:noWrap/>
            <w:vAlign w:val="bottom"/>
            <w:hideMark/>
          </w:tcPr>
          <w:p w14:paraId="06C6A1E7"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0D3DCB1A"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16A5500E" w14:textId="77777777" w:rsidR="00897F84" w:rsidRPr="002645C3" w:rsidRDefault="00897F84" w:rsidP="00D4470F">
            <w:pPr>
              <w:jc w:val="center"/>
              <w:rPr>
                <w:color w:val="000000"/>
                <w:sz w:val="20"/>
                <w:szCs w:val="20"/>
              </w:rPr>
            </w:pPr>
            <w:r w:rsidRPr="002645C3">
              <w:rPr>
                <w:color w:val="000000"/>
                <w:sz w:val="20"/>
                <w:szCs w:val="20"/>
              </w:rPr>
              <w:t>73(60.3)</w:t>
            </w:r>
          </w:p>
        </w:tc>
        <w:tc>
          <w:tcPr>
            <w:tcW w:w="1761" w:type="dxa"/>
            <w:shd w:val="clear" w:color="auto" w:fill="auto"/>
            <w:noWrap/>
            <w:vAlign w:val="bottom"/>
          </w:tcPr>
          <w:p w14:paraId="5EFCF7FC" w14:textId="77777777" w:rsidR="00897F84" w:rsidRPr="002645C3" w:rsidRDefault="00897F84" w:rsidP="00D4470F">
            <w:pPr>
              <w:jc w:val="center"/>
              <w:rPr>
                <w:color w:val="000000"/>
                <w:sz w:val="20"/>
                <w:szCs w:val="20"/>
              </w:rPr>
            </w:pPr>
            <w:r w:rsidRPr="002645C3">
              <w:rPr>
                <w:color w:val="000000"/>
                <w:sz w:val="20"/>
                <w:szCs w:val="20"/>
              </w:rPr>
              <w:t>11(15.1)</w:t>
            </w:r>
          </w:p>
        </w:tc>
        <w:tc>
          <w:tcPr>
            <w:tcW w:w="1553" w:type="dxa"/>
            <w:shd w:val="clear" w:color="auto" w:fill="auto"/>
            <w:noWrap/>
            <w:vAlign w:val="bottom"/>
          </w:tcPr>
          <w:p w14:paraId="29C262A7" w14:textId="77777777" w:rsidR="00897F84" w:rsidRPr="002645C3" w:rsidRDefault="00897F84" w:rsidP="00D4470F">
            <w:pPr>
              <w:jc w:val="center"/>
              <w:rPr>
                <w:color w:val="000000"/>
                <w:sz w:val="20"/>
                <w:szCs w:val="20"/>
              </w:rPr>
            </w:pPr>
          </w:p>
        </w:tc>
      </w:tr>
      <w:tr w:rsidR="00897F84" w:rsidRPr="002645C3" w14:paraId="7B57D531" w14:textId="77777777" w:rsidTr="00D4470F">
        <w:trPr>
          <w:trHeight w:val="283"/>
        </w:trPr>
        <w:tc>
          <w:tcPr>
            <w:tcW w:w="2882" w:type="dxa"/>
            <w:shd w:val="clear" w:color="auto" w:fill="auto"/>
            <w:noWrap/>
            <w:vAlign w:val="bottom"/>
            <w:hideMark/>
          </w:tcPr>
          <w:p w14:paraId="7F38B49F" w14:textId="77777777" w:rsidR="00897F84" w:rsidRPr="002645C3" w:rsidRDefault="00897F84" w:rsidP="00D4470F">
            <w:pPr>
              <w:rPr>
                <w:color w:val="000000"/>
                <w:sz w:val="20"/>
                <w:szCs w:val="20"/>
              </w:rPr>
            </w:pPr>
            <w:r w:rsidRPr="002645C3">
              <w:rPr>
                <w:color w:val="000000"/>
                <w:sz w:val="20"/>
                <w:szCs w:val="20"/>
              </w:rPr>
              <w:t xml:space="preserve">Rash </w:t>
            </w:r>
          </w:p>
        </w:tc>
        <w:tc>
          <w:tcPr>
            <w:tcW w:w="1903" w:type="dxa"/>
            <w:shd w:val="clear" w:color="auto" w:fill="auto"/>
            <w:noWrap/>
            <w:vAlign w:val="bottom"/>
            <w:hideMark/>
          </w:tcPr>
          <w:p w14:paraId="3D763950"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7B818E25" w14:textId="77777777" w:rsidR="00897F84" w:rsidRPr="002645C3" w:rsidRDefault="00897F84" w:rsidP="00D4470F">
            <w:pPr>
              <w:jc w:val="center"/>
              <w:rPr>
                <w:color w:val="000000"/>
                <w:sz w:val="20"/>
                <w:szCs w:val="20"/>
              </w:rPr>
            </w:pPr>
            <w:r w:rsidRPr="002645C3">
              <w:rPr>
                <w:color w:val="000000"/>
                <w:sz w:val="20"/>
                <w:szCs w:val="20"/>
              </w:rPr>
              <w:t>119(98.4)</w:t>
            </w:r>
          </w:p>
        </w:tc>
        <w:tc>
          <w:tcPr>
            <w:tcW w:w="1761" w:type="dxa"/>
            <w:shd w:val="clear" w:color="auto" w:fill="auto"/>
            <w:noWrap/>
            <w:vAlign w:val="bottom"/>
          </w:tcPr>
          <w:p w14:paraId="34372AB6" w14:textId="77777777" w:rsidR="00897F84" w:rsidRPr="002645C3" w:rsidRDefault="00897F84" w:rsidP="00D4470F">
            <w:pPr>
              <w:jc w:val="center"/>
              <w:rPr>
                <w:color w:val="000000"/>
                <w:sz w:val="20"/>
                <w:szCs w:val="20"/>
              </w:rPr>
            </w:pPr>
            <w:r w:rsidRPr="002645C3">
              <w:rPr>
                <w:color w:val="000000"/>
                <w:sz w:val="20"/>
                <w:szCs w:val="20"/>
              </w:rPr>
              <w:t>18(15.1)</w:t>
            </w:r>
          </w:p>
        </w:tc>
        <w:tc>
          <w:tcPr>
            <w:tcW w:w="1553" w:type="dxa"/>
            <w:shd w:val="clear" w:color="auto" w:fill="auto"/>
            <w:noWrap/>
            <w:vAlign w:val="bottom"/>
          </w:tcPr>
          <w:p w14:paraId="436E58F7" w14:textId="77777777" w:rsidR="00897F84" w:rsidRPr="002645C3" w:rsidRDefault="00897F84" w:rsidP="00D4470F">
            <w:pPr>
              <w:jc w:val="center"/>
              <w:rPr>
                <w:color w:val="000000"/>
                <w:sz w:val="20"/>
                <w:szCs w:val="20"/>
              </w:rPr>
            </w:pPr>
            <w:r w:rsidRPr="002645C3">
              <w:rPr>
                <w:color w:val="000000"/>
                <w:sz w:val="20"/>
                <w:szCs w:val="20"/>
              </w:rPr>
              <w:t>0.551</w:t>
            </w:r>
          </w:p>
        </w:tc>
      </w:tr>
      <w:tr w:rsidR="00897F84" w:rsidRPr="002645C3" w14:paraId="044CEA4F" w14:textId="77777777" w:rsidTr="00D4470F">
        <w:trPr>
          <w:trHeight w:val="283"/>
        </w:trPr>
        <w:tc>
          <w:tcPr>
            <w:tcW w:w="2882" w:type="dxa"/>
            <w:shd w:val="clear" w:color="auto" w:fill="auto"/>
            <w:noWrap/>
            <w:vAlign w:val="bottom"/>
            <w:hideMark/>
          </w:tcPr>
          <w:p w14:paraId="739AB45B"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1105F522"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2C99C663" w14:textId="77777777" w:rsidR="00897F84" w:rsidRPr="002645C3" w:rsidRDefault="00897F84" w:rsidP="00D4470F">
            <w:pPr>
              <w:jc w:val="center"/>
              <w:rPr>
                <w:color w:val="000000"/>
                <w:sz w:val="20"/>
                <w:szCs w:val="20"/>
              </w:rPr>
            </w:pPr>
            <w:r w:rsidRPr="002645C3">
              <w:rPr>
                <w:color w:val="000000"/>
                <w:sz w:val="20"/>
                <w:szCs w:val="20"/>
              </w:rPr>
              <w:t>2(1.6)</w:t>
            </w:r>
          </w:p>
        </w:tc>
        <w:tc>
          <w:tcPr>
            <w:tcW w:w="1761" w:type="dxa"/>
            <w:shd w:val="clear" w:color="auto" w:fill="auto"/>
            <w:noWrap/>
            <w:vAlign w:val="bottom"/>
          </w:tcPr>
          <w:p w14:paraId="225C7DD0" w14:textId="77777777" w:rsidR="00897F84" w:rsidRPr="002645C3" w:rsidRDefault="00897F84" w:rsidP="00D4470F">
            <w:pPr>
              <w:jc w:val="center"/>
              <w:rPr>
                <w:color w:val="000000"/>
                <w:sz w:val="20"/>
                <w:szCs w:val="20"/>
              </w:rPr>
            </w:pPr>
            <w:r w:rsidRPr="002645C3">
              <w:rPr>
                <w:color w:val="000000"/>
                <w:sz w:val="20"/>
                <w:szCs w:val="20"/>
              </w:rPr>
              <w:t>0(0.0)</w:t>
            </w:r>
          </w:p>
        </w:tc>
        <w:tc>
          <w:tcPr>
            <w:tcW w:w="1553" w:type="dxa"/>
            <w:shd w:val="clear" w:color="auto" w:fill="auto"/>
            <w:noWrap/>
            <w:vAlign w:val="bottom"/>
          </w:tcPr>
          <w:p w14:paraId="515350BB" w14:textId="77777777" w:rsidR="00897F84" w:rsidRPr="002645C3" w:rsidRDefault="00897F84" w:rsidP="00D4470F">
            <w:pPr>
              <w:jc w:val="center"/>
              <w:rPr>
                <w:color w:val="000000"/>
                <w:sz w:val="20"/>
                <w:szCs w:val="20"/>
              </w:rPr>
            </w:pPr>
          </w:p>
        </w:tc>
      </w:tr>
      <w:tr w:rsidR="00897F84" w:rsidRPr="002645C3" w14:paraId="5B20470C" w14:textId="77777777" w:rsidTr="00D4470F">
        <w:trPr>
          <w:trHeight w:val="283"/>
        </w:trPr>
        <w:tc>
          <w:tcPr>
            <w:tcW w:w="2882" w:type="dxa"/>
            <w:shd w:val="clear" w:color="auto" w:fill="auto"/>
            <w:noWrap/>
            <w:vAlign w:val="bottom"/>
            <w:hideMark/>
          </w:tcPr>
          <w:p w14:paraId="15C57A0C" w14:textId="77777777" w:rsidR="00897F84" w:rsidRPr="002645C3" w:rsidRDefault="00897F84" w:rsidP="00D4470F">
            <w:pPr>
              <w:rPr>
                <w:color w:val="000000"/>
                <w:sz w:val="20"/>
                <w:szCs w:val="20"/>
              </w:rPr>
            </w:pPr>
            <w:r w:rsidRPr="002645C3">
              <w:rPr>
                <w:color w:val="000000"/>
                <w:sz w:val="20"/>
                <w:szCs w:val="20"/>
              </w:rPr>
              <w:t xml:space="preserve">Conjunctivitis </w:t>
            </w:r>
          </w:p>
        </w:tc>
        <w:tc>
          <w:tcPr>
            <w:tcW w:w="1903" w:type="dxa"/>
            <w:shd w:val="clear" w:color="auto" w:fill="auto"/>
            <w:noWrap/>
            <w:vAlign w:val="bottom"/>
            <w:hideMark/>
          </w:tcPr>
          <w:p w14:paraId="53E7CB51"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7E6FBBA9" w14:textId="77777777" w:rsidR="00897F84" w:rsidRPr="002645C3" w:rsidRDefault="00897F84" w:rsidP="00D4470F">
            <w:pPr>
              <w:jc w:val="center"/>
              <w:rPr>
                <w:color w:val="000000"/>
                <w:sz w:val="20"/>
                <w:szCs w:val="20"/>
              </w:rPr>
            </w:pPr>
            <w:r w:rsidRPr="002645C3">
              <w:rPr>
                <w:color w:val="000000"/>
                <w:sz w:val="20"/>
                <w:szCs w:val="20"/>
              </w:rPr>
              <w:t>120(99.2)</w:t>
            </w:r>
          </w:p>
        </w:tc>
        <w:tc>
          <w:tcPr>
            <w:tcW w:w="1761" w:type="dxa"/>
            <w:shd w:val="clear" w:color="auto" w:fill="auto"/>
            <w:noWrap/>
            <w:vAlign w:val="bottom"/>
          </w:tcPr>
          <w:p w14:paraId="1F7F4F69" w14:textId="77777777" w:rsidR="00897F84" w:rsidRPr="002645C3" w:rsidRDefault="00897F84" w:rsidP="00D4470F">
            <w:pPr>
              <w:jc w:val="center"/>
              <w:rPr>
                <w:color w:val="000000"/>
                <w:sz w:val="20"/>
                <w:szCs w:val="20"/>
              </w:rPr>
            </w:pPr>
            <w:r w:rsidRPr="002645C3">
              <w:rPr>
                <w:color w:val="000000"/>
                <w:sz w:val="20"/>
                <w:szCs w:val="20"/>
              </w:rPr>
              <w:t>18(15.0)</w:t>
            </w:r>
          </w:p>
        </w:tc>
        <w:tc>
          <w:tcPr>
            <w:tcW w:w="1553" w:type="dxa"/>
            <w:shd w:val="clear" w:color="auto" w:fill="auto"/>
            <w:noWrap/>
            <w:vAlign w:val="bottom"/>
          </w:tcPr>
          <w:p w14:paraId="72164349" w14:textId="77777777" w:rsidR="00897F84" w:rsidRPr="002645C3" w:rsidRDefault="00897F84" w:rsidP="00D4470F">
            <w:pPr>
              <w:jc w:val="center"/>
              <w:rPr>
                <w:color w:val="000000"/>
                <w:sz w:val="20"/>
                <w:szCs w:val="20"/>
              </w:rPr>
            </w:pPr>
            <w:r w:rsidRPr="002645C3">
              <w:rPr>
                <w:color w:val="000000"/>
                <w:sz w:val="20"/>
                <w:szCs w:val="20"/>
              </w:rPr>
              <w:t>0.675</w:t>
            </w:r>
          </w:p>
        </w:tc>
      </w:tr>
      <w:tr w:rsidR="00897F84" w:rsidRPr="002645C3" w14:paraId="5B84F2A2" w14:textId="77777777" w:rsidTr="00D4470F">
        <w:trPr>
          <w:trHeight w:val="283"/>
        </w:trPr>
        <w:tc>
          <w:tcPr>
            <w:tcW w:w="2882" w:type="dxa"/>
            <w:shd w:val="clear" w:color="auto" w:fill="auto"/>
            <w:noWrap/>
            <w:vAlign w:val="bottom"/>
            <w:hideMark/>
          </w:tcPr>
          <w:p w14:paraId="00527732" w14:textId="77777777" w:rsidR="00897F84" w:rsidRPr="002645C3" w:rsidRDefault="00897F84" w:rsidP="00D4470F">
            <w:pPr>
              <w:rPr>
                <w:color w:val="000000"/>
                <w:sz w:val="20"/>
                <w:szCs w:val="20"/>
              </w:rPr>
            </w:pPr>
            <w:r w:rsidRPr="002645C3">
              <w:rPr>
                <w:color w:val="000000"/>
                <w:sz w:val="20"/>
                <w:szCs w:val="20"/>
              </w:rPr>
              <w:lastRenderedPageBreak/>
              <w:t> </w:t>
            </w:r>
          </w:p>
        </w:tc>
        <w:tc>
          <w:tcPr>
            <w:tcW w:w="1903" w:type="dxa"/>
            <w:shd w:val="clear" w:color="auto" w:fill="auto"/>
            <w:noWrap/>
            <w:vAlign w:val="bottom"/>
            <w:hideMark/>
          </w:tcPr>
          <w:p w14:paraId="76B378DA"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5E302C2B" w14:textId="77777777" w:rsidR="00897F84" w:rsidRPr="002645C3" w:rsidRDefault="00897F84" w:rsidP="00D4470F">
            <w:pPr>
              <w:jc w:val="center"/>
              <w:rPr>
                <w:color w:val="000000"/>
                <w:sz w:val="20"/>
                <w:szCs w:val="20"/>
              </w:rPr>
            </w:pPr>
            <w:r w:rsidRPr="002645C3">
              <w:rPr>
                <w:color w:val="000000"/>
                <w:sz w:val="20"/>
                <w:szCs w:val="20"/>
              </w:rPr>
              <w:t>1(0.8)</w:t>
            </w:r>
          </w:p>
        </w:tc>
        <w:tc>
          <w:tcPr>
            <w:tcW w:w="1761" w:type="dxa"/>
            <w:shd w:val="clear" w:color="auto" w:fill="auto"/>
            <w:noWrap/>
            <w:vAlign w:val="bottom"/>
          </w:tcPr>
          <w:p w14:paraId="791B6847" w14:textId="77777777" w:rsidR="00897F84" w:rsidRPr="002645C3" w:rsidRDefault="00897F84" w:rsidP="00D4470F">
            <w:pPr>
              <w:jc w:val="center"/>
              <w:rPr>
                <w:color w:val="000000"/>
                <w:sz w:val="20"/>
                <w:szCs w:val="20"/>
              </w:rPr>
            </w:pPr>
            <w:r w:rsidRPr="002645C3">
              <w:rPr>
                <w:color w:val="000000"/>
                <w:sz w:val="20"/>
                <w:szCs w:val="20"/>
              </w:rPr>
              <w:t>0(0.0)</w:t>
            </w:r>
          </w:p>
        </w:tc>
        <w:tc>
          <w:tcPr>
            <w:tcW w:w="1553" w:type="dxa"/>
            <w:shd w:val="clear" w:color="auto" w:fill="auto"/>
            <w:noWrap/>
            <w:vAlign w:val="bottom"/>
          </w:tcPr>
          <w:p w14:paraId="2B7C52E5" w14:textId="77777777" w:rsidR="00897F84" w:rsidRPr="002645C3" w:rsidRDefault="00897F84" w:rsidP="00D4470F">
            <w:pPr>
              <w:jc w:val="center"/>
              <w:rPr>
                <w:color w:val="000000"/>
                <w:sz w:val="20"/>
                <w:szCs w:val="20"/>
              </w:rPr>
            </w:pPr>
          </w:p>
        </w:tc>
      </w:tr>
      <w:tr w:rsidR="00897F84" w:rsidRPr="002645C3" w14:paraId="6D7850F4" w14:textId="77777777" w:rsidTr="00D4470F">
        <w:trPr>
          <w:trHeight w:val="283"/>
        </w:trPr>
        <w:tc>
          <w:tcPr>
            <w:tcW w:w="2882" w:type="dxa"/>
            <w:shd w:val="clear" w:color="auto" w:fill="auto"/>
            <w:noWrap/>
            <w:vAlign w:val="bottom"/>
            <w:hideMark/>
          </w:tcPr>
          <w:p w14:paraId="165D09B8" w14:textId="77777777" w:rsidR="00897F84" w:rsidRPr="002645C3" w:rsidRDefault="00897F84" w:rsidP="00D4470F">
            <w:pPr>
              <w:rPr>
                <w:color w:val="000000"/>
                <w:sz w:val="20"/>
                <w:szCs w:val="20"/>
              </w:rPr>
            </w:pPr>
            <w:r w:rsidRPr="002645C3">
              <w:rPr>
                <w:color w:val="000000"/>
                <w:sz w:val="20"/>
                <w:szCs w:val="20"/>
              </w:rPr>
              <w:t xml:space="preserve">Muscle aches </w:t>
            </w:r>
          </w:p>
        </w:tc>
        <w:tc>
          <w:tcPr>
            <w:tcW w:w="1903" w:type="dxa"/>
            <w:shd w:val="clear" w:color="auto" w:fill="auto"/>
            <w:noWrap/>
            <w:vAlign w:val="bottom"/>
            <w:hideMark/>
          </w:tcPr>
          <w:p w14:paraId="0A4A9BA8"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6B423E44" w14:textId="77777777" w:rsidR="00897F84" w:rsidRPr="002645C3" w:rsidRDefault="00897F84" w:rsidP="00D4470F">
            <w:pPr>
              <w:jc w:val="center"/>
              <w:rPr>
                <w:color w:val="000000"/>
                <w:sz w:val="20"/>
                <w:szCs w:val="20"/>
              </w:rPr>
            </w:pPr>
            <w:r w:rsidRPr="002645C3">
              <w:rPr>
                <w:color w:val="000000"/>
                <w:sz w:val="20"/>
                <w:szCs w:val="20"/>
              </w:rPr>
              <w:t>69(57.0)</w:t>
            </w:r>
          </w:p>
        </w:tc>
        <w:tc>
          <w:tcPr>
            <w:tcW w:w="1761" w:type="dxa"/>
            <w:shd w:val="clear" w:color="auto" w:fill="auto"/>
            <w:noWrap/>
            <w:vAlign w:val="bottom"/>
          </w:tcPr>
          <w:p w14:paraId="675BA66B" w14:textId="77777777" w:rsidR="00897F84" w:rsidRPr="002645C3" w:rsidRDefault="00897F84" w:rsidP="00D4470F">
            <w:pPr>
              <w:jc w:val="center"/>
              <w:rPr>
                <w:color w:val="000000"/>
                <w:sz w:val="20"/>
                <w:szCs w:val="20"/>
              </w:rPr>
            </w:pPr>
            <w:r w:rsidRPr="002645C3">
              <w:rPr>
                <w:color w:val="000000"/>
                <w:sz w:val="20"/>
                <w:szCs w:val="20"/>
              </w:rPr>
              <w:t>4(5.8)</w:t>
            </w:r>
          </w:p>
        </w:tc>
        <w:tc>
          <w:tcPr>
            <w:tcW w:w="1553" w:type="dxa"/>
            <w:shd w:val="clear" w:color="auto" w:fill="auto"/>
            <w:noWrap/>
            <w:vAlign w:val="bottom"/>
          </w:tcPr>
          <w:p w14:paraId="420C507B" w14:textId="77777777" w:rsidR="00897F84" w:rsidRPr="002645C3" w:rsidRDefault="00897F84" w:rsidP="00D4470F">
            <w:pPr>
              <w:jc w:val="center"/>
              <w:rPr>
                <w:color w:val="000000"/>
                <w:sz w:val="20"/>
                <w:szCs w:val="20"/>
              </w:rPr>
            </w:pPr>
            <w:r w:rsidRPr="002645C3">
              <w:rPr>
                <w:color w:val="000000"/>
                <w:sz w:val="20"/>
                <w:szCs w:val="20"/>
              </w:rPr>
              <w:t>0.001</w:t>
            </w:r>
          </w:p>
        </w:tc>
      </w:tr>
      <w:tr w:rsidR="00897F84" w:rsidRPr="002645C3" w14:paraId="619274F8" w14:textId="77777777" w:rsidTr="00D4470F">
        <w:trPr>
          <w:trHeight w:val="283"/>
        </w:trPr>
        <w:tc>
          <w:tcPr>
            <w:tcW w:w="2882" w:type="dxa"/>
            <w:shd w:val="clear" w:color="auto" w:fill="auto"/>
            <w:noWrap/>
            <w:vAlign w:val="bottom"/>
            <w:hideMark/>
          </w:tcPr>
          <w:p w14:paraId="3BC68B6A"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4ADF3534"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7008E19B" w14:textId="77777777" w:rsidR="00897F84" w:rsidRPr="002645C3" w:rsidRDefault="00897F84" w:rsidP="00D4470F">
            <w:pPr>
              <w:jc w:val="center"/>
              <w:rPr>
                <w:color w:val="000000"/>
                <w:sz w:val="20"/>
                <w:szCs w:val="20"/>
              </w:rPr>
            </w:pPr>
            <w:r w:rsidRPr="002645C3">
              <w:rPr>
                <w:color w:val="000000"/>
                <w:sz w:val="20"/>
                <w:szCs w:val="20"/>
              </w:rPr>
              <w:t>52(43.0)</w:t>
            </w:r>
          </w:p>
        </w:tc>
        <w:tc>
          <w:tcPr>
            <w:tcW w:w="1761" w:type="dxa"/>
            <w:shd w:val="clear" w:color="auto" w:fill="auto"/>
            <w:noWrap/>
            <w:vAlign w:val="bottom"/>
          </w:tcPr>
          <w:p w14:paraId="1FC3EFB8" w14:textId="77777777" w:rsidR="00897F84" w:rsidRPr="002645C3" w:rsidRDefault="00897F84" w:rsidP="00D4470F">
            <w:pPr>
              <w:jc w:val="center"/>
              <w:rPr>
                <w:color w:val="000000"/>
                <w:sz w:val="20"/>
                <w:szCs w:val="20"/>
              </w:rPr>
            </w:pPr>
            <w:r w:rsidRPr="002645C3">
              <w:rPr>
                <w:color w:val="000000"/>
                <w:sz w:val="20"/>
                <w:szCs w:val="20"/>
              </w:rPr>
              <w:t>14(26.9)</w:t>
            </w:r>
          </w:p>
        </w:tc>
        <w:tc>
          <w:tcPr>
            <w:tcW w:w="1553" w:type="dxa"/>
            <w:shd w:val="clear" w:color="auto" w:fill="auto"/>
            <w:noWrap/>
            <w:vAlign w:val="bottom"/>
          </w:tcPr>
          <w:p w14:paraId="3AD03BCA" w14:textId="77777777" w:rsidR="00897F84" w:rsidRPr="002645C3" w:rsidRDefault="00897F84" w:rsidP="00D4470F">
            <w:pPr>
              <w:jc w:val="center"/>
              <w:rPr>
                <w:color w:val="000000"/>
                <w:sz w:val="20"/>
                <w:szCs w:val="20"/>
              </w:rPr>
            </w:pPr>
          </w:p>
        </w:tc>
      </w:tr>
      <w:tr w:rsidR="00897F84" w:rsidRPr="002645C3" w14:paraId="0FFD47C3" w14:textId="77777777" w:rsidTr="00D4470F">
        <w:trPr>
          <w:trHeight w:val="283"/>
        </w:trPr>
        <w:tc>
          <w:tcPr>
            <w:tcW w:w="2882" w:type="dxa"/>
            <w:shd w:val="clear" w:color="auto" w:fill="auto"/>
            <w:noWrap/>
            <w:vAlign w:val="bottom"/>
            <w:hideMark/>
          </w:tcPr>
          <w:p w14:paraId="4A9E3DF6" w14:textId="77777777" w:rsidR="00897F84" w:rsidRPr="002645C3" w:rsidRDefault="00897F84" w:rsidP="00D4470F">
            <w:pPr>
              <w:rPr>
                <w:color w:val="000000"/>
                <w:sz w:val="20"/>
                <w:szCs w:val="20"/>
              </w:rPr>
            </w:pPr>
            <w:r w:rsidRPr="002645C3">
              <w:rPr>
                <w:color w:val="000000"/>
                <w:sz w:val="20"/>
                <w:szCs w:val="20"/>
              </w:rPr>
              <w:t xml:space="preserve">Joint aches </w:t>
            </w:r>
          </w:p>
        </w:tc>
        <w:tc>
          <w:tcPr>
            <w:tcW w:w="1903" w:type="dxa"/>
            <w:shd w:val="clear" w:color="auto" w:fill="auto"/>
            <w:noWrap/>
            <w:vAlign w:val="bottom"/>
            <w:hideMark/>
          </w:tcPr>
          <w:p w14:paraId="33BBE77A"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4AABF661" w14:textId="77777777" w:rsidR="00897F84" w:rsidRPr="002645C3" w:rsidRDefault="00897F84" w:rsidP="00D4470F">
            <w:pPr>
              <w:jc w:val="center"/>
              <w:rPr>
                <w:color w:val="000000"/>
                <w:sz w:val="20"/>
                <w:szCs w:val="20"/>
              </w:rPr>
            </w:pPr>
            <w:r w:rsidRPr="002645C3">
              <w:rPr>
                <w:color w:val="000000"/>
                <w:sz w:val="20"/>
                <w:szCs w:val="20"/>
              </w:rPr>
              <w:t>76(62.8)</w:t>
            </w:r>
          </w:p>
        </w:tc>
        <w:tc>
          <w:tcPr>
            <w:tcW w:w="1761" w:type="dxa"/>
            <w:shd w:val="clear" w:color="auto" w:fill="auto"/>
            <w:noWrap/>
            <w:vAlign w:val="bottom"/>
          </w:tcPr>
          <w:p w14:paraId="4217D6E2" w14:textId="77777777" w:rsidR="00897F84" w:rsidRPr="002645C3" w:rsidRDefault="00897F84" w:rsidP="00D4470F">
            <w:pPr>
              <w:jc w:val="center"/>
              <w:rPr>
                <w:color w:val="000000"/>
                <w:sz w:val="20"/>
                <w:szCs w:val="20"/>
              </w:rPr>
            </w:pPr>
            <w:r w:rsidRPr="002645C3">
              <w:rPr>
                <w:color w:val="000000"/>
                <w:sz w:val="20"/>
                <w:szCs w:val="20"/>
              </w:rPr>
              <w:t>10(13.2)</w:t>
            </w:r>
          </w:p>
        </w:tc>
        <w:tc>
          <w:tcPr>
            <w:tcW w:w="1553" w:type="dxa"/>
            <w:shd w:val="clear" w:color="auto" w:fill="auto"/>
            <w:noWrap/>
            <w:vAlign w:val="bottom"/>
          </w:tcPr>
          <w:p w14:paraId="279B684E" w14:textId="77777777" w:rsidR="00897F84" w:rsidRPr="002645C3" w:rsidRDefault="00897F84" w:rsidP="00D4470F">
            <w:pPr>
              <w:jc w:val="center"/>
              <w:rPr>
                <w:color w:val="000000"/>
                <w:sz w:val="20"/>
                <w:szCs w:val="20"/>
              </w:rPr>
            </w:pPr>
            <w:r w:rsidRPr="002645C3">
              <w:rPr>
                <w:color w:val="000000"/>
                <w:sz w:val="20"/>
                <w:szCs w:val="20"/>
              </w:rPr>
              <w:t>0.490</w:t>
            </w:r>
          </w:p>
        </w:tc>
      </w:tr>
      <w:tr w:rsidR="00897F84" w:rsidRPr="002645C3" w14:paraId="05E2459C" w14:textId="77777777" w:rsidTr="00D4470F">
        <w:trPr>
          <w:trHeight w:val="283"/>
        </w:trPr>
        <w:tc>
          <w:tcPr>
            <w:tcW w:w="2882" w:type="dxa"/>
            <w:shd w:val="clear" w:color="auto" w:fill="auto"/>
            <w:noWrap/>
            <w:vAlign w:val="bottom"/>
            <w:hideMark/>
          </w:tcPr>
          <w:p w14:paraId="02B6CC00"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39BCCC68"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1AFA724D" w14:textId="77777777" w:rsidR="00897F84" w:rsidRPr="002645C3" w:rsidRDefault="00897F84" w:rsidP="00D4470F">
            <w:pPr>
              <w:jc w:val="center"/>
              <w:rPr>
                <w:color w:val="000000"/>
                <w:sz w:val="20"/>
                <w:szCs w:val="20"/>
              </w:rPr>
            </w:pPr>
            <w:r w:rsidRPr="002645C3">
              <w:rPr>
                <w:color w:val="000000"/>
                <w:sz w:val="20"/>
                <w:szCs w:val="20"/>
              </w:rPr>
              <w:t>45(37.2)</w:t>
            </w:r>
          </w:p>
        </w:tc>
        <w:tc>
          <w:tcPr>
            <w:tcW w:w="1761" w:type="dxa"/>
            <w:shd w:val="clear" w:color="auto" w:fill="auto"/>
            <w:noWrap/>
            <w:vAlign w:val="bottom"/>
          </w:tcPr>
          <w:p w14:paraId="14FFA727" w14:textId="77777777" w:rsidR="00897F84" w:rsidRPr="002645C3" w:rsidRDefault="00897F84" w:rsidP="00D4470F">
            <w:pPr>
              <w:jc w:val="center"/>
              <w:rPr>
                <w:color w:val="000000"/>
                <w:sz w:val="20"/>
                <w:szCs w:val="20"/>
              </w:rPr>
            </w:pPr>
            <w:r w:rsidRPr="002645C3">
              <w:rPr>
                <w:color w:val="000000"/>
                <w:sz w:val="20"/>
                <w:szCs w:val="20"/>
              </w:rPr>
              <w:t>8(17.8)</w:t>
            </w:r>
          </w:p>
        </w:tc>
        <w:tc>
          <w:tcPr>
            <w:tcW w:w="1553" w:type="dxa"/>
            <w:shd w:val="clear" w:color="auto" w:fill="auto"/>
            <w:noWrap/>
            <w:vAlign w:val="bottom"/>
          </w:tcPr>
          <w:p w14:paraId="2EBC38F8" w14:textId="77777777" w:rsidR="00897F84" w:rsidRPr="002645C3" w:rsidRDefault="00897F84" w:rsidP="00D4470F">
            <w:pPr>
              <w:jc w:val="center"/>
              <w:rPr>
                <w:color w:val="000000"/>
                <w:sz w:val="20"/>
                <w:szCs w:val="20"/>
              </w:rPr>
            </w:pPr>
          </w:p>
        </w:tc>
      </w:tr>
      <w:tr w:rsidR="00897F84" w:rsidRPr="002645C3" w14:paraId="77333835" w14:textId="77777777" w:rsidTr="00D4470F">
        <w:trPr>
          <w:trHeight w:val="283"/>
        </w:trPr>
        <w:tc>
          <w:tcPr>
            <w:tcW w:w="2882" w:type="dxa"/>
            <w:shd w:val="clear" w:color="auto" w:fill="auto"/>
            <w:noWrap/>
            <w:vAlign w:val="bottom"/>
            <w:hideMark/>
          </w:tcPr>
          <w:p w14:paraId="54951809" w14:textId="77777777" w:rsidR="00897F84" w:rsidRPr="002645C3" w:rsidRDefault="00897F84" w:rsidP="00D4470F">
            <w:pPr>
              <w:rPr>
                <w:color w:val="000000"/>
                <w:sz w:val="20"/>
                <w:szCs w:val="20"/>
              </w:rPr>
            </w:pPr>
            <w:r w:rsidRPr="002645C3">
              <w:rPr>
                <w:color w:val="000000"/>
                <w:sz w:val="20"/>
                <w:szCs w:val="20"/>
              </w:rPr>
              <w:t>Loss of appetite</w:t>
            </w:r>
          </w:p>
        </w:tc>
        <w:tc>
          <w:tcPr>
            <w:tcW w:w="1903" w:type="dxa"/>
            <w:shd w:val="clear" w:color="auto" w:fill="auto"/>
            <w:noWrap/>
            <w:vAlign w:val="bottom"/>
            <w:hideMark/>
          </w:tcPr>
          <w:p w14:paraId="76C7EB1B"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6E9362D7" w14:textId="77777777" w:rsidR="00897F84" w:rsidRPr="002645C3" w:rsidRDefault="00897F84" w:rsidP="00D4470F">
            <w:pPr>
              <w:jc w:val="center"/>
              <w:rPr>
                <w:color w:val="000000"/>
                <w:sz w:val="20"/>
                <w:szCs w:val="20"/>
              </w:rPr>
            </w:pPr>
            <w:r w:rsidRPr="002645C3">
              <w:rPr>
                <w:color w:val="000000"/>
                <w:sz w:val="20"/>
                <w:szCs w:val="20"/>
              </w:rPr>
              <w:t>75(62.0)</w:t>
            </w:r>
          </w:p>
        </w:tc>
        <w:tc>
          <w:tcPr>
            <w:tcW w:w="1761" w:type="dxa"/>
            <w:shd w:val="clear" w:color="auto" w:fill="auto"/>
            <w:noWrap/>
            <w:vAlign w:val="bottom"/>
          </w:tcPr>
          <w:p w14:paraId="2743D203" w14:textId="77777777" w:rsidR="00897F84" w:rsidRPr="002645C3" w:rsidRDefault="00897F84" w:rsidP="00D4470F">
            <w:pPr>
              <w:jc w:val="center"/>
              <w:rPr>
                <w:color w:val="000000"/>
                <w:sz w:val="20"/>
                <w:szCs w:val="20"/>
              </w:rPr>
            </w:pPr>
            <w:r w:rsidRPr="002645C3">
              <w:rPr>
                <w:color w:val="000000"/>
                <w:sz w:val="20"/>
                <w:szCs w:val="20"/>
              </w:rPr>
              <w:t>8(10.7)</w:t>
            </w:r>
          </w:p>
        </w:tc>
        <w:tc>
          <w:tcPr>
            <w:tcW w:w="1553" w:type="dxa"/>
            <w:shd w:val="clear" w:color="auto" w:fill="auto"/>
            <w:noWrap/>
            <w:vAlign w:val="bottom"/>
          </w:tcPr>
          <w:p w14:paraId="6FDC72F6" w14:textId="77777777" w:rsidR="00897F84" w:rsidRPr="002645C3" w:rsidRDefault="00897F84" w:rsidP="00D4470F">
            <w:pPr>
              <w:jc w:val="center"/>
              <w:rPr>
                <w:color w:val="000000"/>
                <w:sz w:val="20"/>
                <w:szCs w:val="20"/>
              </w:rPr>
            </w:pPr>
            <w:r w:rsidRPr="002645C3">
              <w:rPr>
                <w:color w:val="000000"/>
                <w:sz w:val="20"/>
                <w:szCs w:val="20"/>
              </w:rPr>
              <w:t>0.097</w:t>
            </w:r>
          </w:p>
        </w:tc>
      </w:tr>
      <w:tr w:rsidR="00897F84" w:rsidRPr="002645C3" w14:paraId="47161F74" w14:textId="77777777" w:rsidTr="00D4470F">
        <w:trPr>
          <w:trHeight w:val="283"/>
        </w:trPr>
        <w:tc>
          <w:tcPr>
            <w:tcW w:w="2882" w:type="dxa"/>
            <w:shd w:val="clear" w:color="auto" w:fill="auto"/>
            <w:noWrap/>
            <w:vAlign w:val="bottom"/>
            <w:hideMark/>
          </w:tcPr>
          <w:p w14:paraId="03003860"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3A7F7CBD"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47E12B8A" w14:textId="77777777" w:rsidR="00897F84" w:rsidRPr="002645C3" w:rsidRDefault="00897F84" w:rsidP="00D4470F">
            <w:pPr>
              <w:jc w:val="center"/>
              <w:rPr>
                <w:color w:val="000000"/>
                <w:sz w:val="20"/>
                <w:szCs w:val="20"/>
              </w:rPr>
            </w:pPr>
            <w:r w:rsidRPr="002645C3">
              <w:rPr>
                <w:color w:val="000000"/>
                <w:sz w:val="20"/>
                <w:szCs w:val="20"/>
              </w:rPr>
              <w:t>46(38.0)</w:t>
            </w:r>
          </w:p>
        </w:tc>
        <w:tc>
          <w:tcPr>
            <w:tcW w:w="1761" w:type="dxa"/>
            <w:shd w:val="clear" w:color="auto" w:fill="auto"/>
            <w:noWrap/>
            <w:vAlign w:val="bottom"/>
          </w:tcPr>
          <w:p w14:paraId="2450258D" w14:textId="77777777" w:rsidR="00897F84" w:rsidRPr="002645C3" w:rsidRDefault="00897F84" w:rsidP="00D4470F">
            <w:pPr>
              <w:jc w:val="center"/>
              <w:rPr>
                <w:color w:val="000000"/>
                <w:sz w:val="20"/>
                <w:szCs w:val="20"/>
              </w:rPr>
            </w:pPr>
            <w:r w:rsidRPr="002645C3">
              <w:rPr>
                <w:color w:val="000000"/>
                <w:sz w:val="20"/>
                <w:szCs w:val="20"/>
              </w:rPr>
              <w:t>10(21.7)</w:t>
            </w:r>
          </w:p>
        </w:tc>
        <w:tc>
          <w:tcPr>
            <w:tcW w:w="1553" w:type="dxa"/>
            <w:shd w:val="clear" w:color="auto" w:fill="auto"/>
            <w:noWrap/>
            <w:vAlign w:val="bottom"/>
          </w:tcPr>
          <w:p w14:paraId="31BD5296" w14:textId="77777777" w:rsidR="00897F84" w:rsidRPr="002645C3" w:rsidRDefault="00897F84" w:rsidP="00D4470F">
            <w:pPr>
              <w:jc w:val="center"/>
              <w:rPr>
                <w:color w:val="000000"/>
                <w:sz w:val="20"/>
                <w:szCs w:val="20"/>
              </w:rPr>
            </w:pPr>
          </w:p>
        </w:tc>
      </w:tr>
      <w:tr w:rsidR="00897F84" w:rsidRPr="002645C3" w14:paraId="4A0150DD" w14:textId="77777777" w:rsidTr="00D4470F">
        <w:trPr>
          <w:trHeight w:val="283"/>
        </w:trPr>
        <w:tc>
          <w:tcPr>
            <w:tcW w:w="2882" w:type="dxa"/>
            <w:shd w:val="clear" w:color="auto" w:fill="auto"/>
            <w:noWrap/>
            <w:vAlign w:val="bottom"/>
            <w:hideMark/>
          </w:tcPr>
          <w:p w14:paraId="36C1929D" w14:textId="77777777" w:rsidR="00897F84" w:rsidRPr="002645C3" w:rsidRDefault="00897F84" w:rsidP="00D4470F">
            <w:pPr>
              <w:rPr>
                <w:color w:val="000000"/>
                <w:sz w:val="20"/>
                <w:szCs w:val="20"/>
              </w:rPr>
            </w:pPr>
            <w:r w:rsidRPr="002645C3">
              <w:rPr>
                <w:color w:val="000000"/>
                <w:sz w:val="20"/>
                <w:szCs w:val="20"/>
              </w:rPr>
              <w:t xml:space="preserve">Nosebleed </w:t>
            </w:r>
          </w:p>
        </w:tc>
        <w:tc>
          <w:tcPr>
            <w:tcW w:w="1903" w:type="dxa"/>
            <w:shd w:val="clear" w:color="auto" w:fill="auto"/>
            <w:noWrap/>
            <w:vAlign w:val="bottom"/>
            <w:hideMark/>
          </w:tcPr>
          <w:p w14:paraId="3B2252F9"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2ED5EE4E" w14:textId="77777777" w:rsidR="00897F84" w:rsidRPr="002645C3" w:rsidRDefault="00897F84" w:rsidP="00D4470F">
            <w:pPr>
              <w:jc w:val="center"/>
              <w:rPr>
                <w:color w:val="000000"/>
                <w:sz w:val="20"/>
                <w:szCs w:val="20"/>
              </w:rPr>
            </w:pPr>
            <w:r w:rsidRPr="002645C3">
              <w:rPr>
                <w:color w:val="000000"/>
                <w:sz w:val="20"/>
                <w:szCs w:val="20"/>
              </w:rPr>
              <w:t>119(98.4)</w:t>
            </w:r>
          </w:p>
        </w:tc>
        <w:tc>
          <w:tcPr>
            <w:tcW w:w="1761" w:type="dxa"/>
            <w:shd w:val="clear" w:color="auto" w:fill="auto"/>
            <w:noWrap/>
            <w:vAlign w:val="bottom"/>
          </w:tcPr>
          <w:p w14:paraId="6023E3A0" w14:textId="77777777" w:rsidR="00897F84" w:rsidRPr="002645C3" w:rsidRDefault="00897F84" w:rsidP="00D4470F">
            <w:pPr>
              <w:jc w:val="center"/>
              <w:rPr>
                <w:color w:val="000000"/>
                <w:sz w:val="20"/>
                <w:szCs w:val="20"/>
              </w:rPr>
            </w:pPr>
            <w:r w:rsidRPr="002645C3">
              <w:rPr>
                <w:color w:val="000000"/>
                <w:sz w:val="20"/>
                <w:szCs w:val="20"/>
              </w:rPr>
              <w:t>17(14.3)</w:t>
            </w:r>
          </w:p>
        </w:tc>
        <w:tc>
          <w:tcPr>
            <w:tcW w:w="1553" w:type="dxa"/>
            <w:shd w:val="clear" w:color="auto" w:fill="auto"/>
            <w:noWrap/>
            <w:vAlign w:val="bottom"/>
          </w:tcPr>
          <w:p w14:paraId="5BE0614B" w14:textId="77777777" w:rsidR="00897F84" w:rsidRPr="002645C3" w:rsidRDefault="00897F84" w:rsidP="00D4470F">
            <w:pPr>
              <w:jc w:val="center"/>
              <w:rPr>
                <w:color w:val="000000"/>
                <w:sz w:val="20"/>
                <w:szCs w:val="20"/>
              </w:rPr>
            </w:pPr>
            <w:r w:rsidRPr="002645C3">
              <w:rPr>
                <w:color w:val="000000"/>
                <w:sz w:val="20"/>
                <w:szCs w:val="20"/>
              </w:rPr>
              <w:t>0.159</w:t>
            </w:r>
          </w:p>
        </w:tc>
      </w:tr>
      <w:tr w:rsidR="00897F84" w:rsidRPr="002645C3" w14:paraId="0537D7C2" w14:textId="77777777" w:rsidTr="00D4470F">
        <w:trPr>
          <w:trHeight w:val="283"/>
        </w:trPr>
        <w:tc>
          <w:tcPr>
            <w:tcW w:w="2882" w:type="dxa"/>
            <w:shd w:val="clear" w:color="auto" w:fill="auto"/>
            <w:noWrap/>
            <w:vAlign w:val="bottom"/>
            <w:hideMark/>
          </w:tcPr>
          <w:p w14:paraId="2F88073A"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108A06DA"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1A359750" w14:textId="77777777" w:rsidR="00897F84" w:rsidRPr="002645C3" w:rsidRDefault="00897F84" w:rsidP="00D4470F">
            <w:pPr>
              <w:jc w:val="center"/>
              <w:rPr>
                <w:color w:val="000000"/>
                <w:sz w:val="20"/>
                <w:szCs w:val="20"/>
              </w:rPr>
            </w:pPr>
            <w:r w:rsidRPr="002645C3">
              <w:rPr>
                <w:color w:val="000000"/>
                <w:sz w:val="20"/>
                <w:szCs w:val="20"/>
              </w:rPr>
              <w:t>2(1.6)</w:t>
            </w:r>
          </w:p>
        </w:tc>
        <w:tc>
          <w:tcPr>
            <w:tcW w:w="1761" w:type="dxa"/>
            <w:shd w:val="clear" w:color="auto" w:fill="auto"/>
            <w:noWrap/>
            <w:vAlign w:val="bottom"/>
          </w:tcPr>
          <w:p w14:paraId="14FAA1CB" w14:textId="77777777" w:rsidR="00897F84" w:rsidRPr="002645C3" w:rsidRDefault="00897F84" w:rsidP="00D4470F">
            <w:pPr>
              <w:jc w:val="center"/>
              <w:rPr>
                <w:color w:val="000000"/>
                <w:sz w:val="20"/>
                <w:szCs w:val="20"/>
              </w:rPr>
            </w:pPr>
            <w:r w:rsidRPr="002645C3">
              <w:rPr>
                <w:color w:val="000000"/>
                <w:sz w:val="20"/>
                <w:szCs w:val="20"/>
              </w:rPr>
              <w:t>1(50.0)</w:t>
            </w:r>
          </w:p>
        </w:tc>
        <w:tc>
          <w:tcPr>
            <w:tcW w:w="1553" w:type="dxa"/>
            <w:shd w:val="clear" w:color="auto" w:fill="auto"/>
            <w:noWrap/>
            <w:vAlign w:val="bottom"/>
          </w:tcPr>
          <w:p w14:paraId="6E1DB864" w14:textId="77777777" w:rsidR="00897F84" w:rsidRPr="002645C3" w:rsidRDefault="00897F84" w:rsidP="00D4470F">
            <w:pPr>
              <w:jc w:val="center"/>
              <w:rPr>
                <w:color w:val="000000"/>
                <w:sz w:val="20"/>
                <w:szCs w:val="20"/>
              </w:rPr>
            </w:pPr>
          </w:p>
        </w:tc>
      </w:tr>
      <w:tr w:rsidR="00897F84" w:rsidRPr="002645C3" w14:paraId="12E615FC" w14:textId="77777777" w:rsidTr="00D4470F">
        <w:trPr>
          <w:trHeight w:val="283"/>
        </w:trPr>
        <w:tc>
          <w:tcPr>
            <w:tcW w:w="2882" w:type="dxa"/>
            <w:shd w:val="clear" w:color="auto" w:fill="auto"/>
            <w:noWrap/>
            <w:vAlign w:val="bottom"/>
            <w:hideMark/>
          </w:tcPr>
          <w:p w14:paraId="4A5CD1AB" w14:textId="77777777" w:rsidR="00897F84" w:rsidRPr="002645C3" w:rsidRDefault="00897F84" w:rsidP="00D4470F">
            <w:pPr>
              <w:rPr>
                <w:color w:val="000000"/>
                <w:sz w:val="20"/>
                <w:szCs w:val="20"/>
              </w:rPr>
            </w:pPr>
            <w:r w:rsidRPr="002645C3">
              <w:rPr>
                <w:color w:val="000000"/>
                <w:sz w:val="20"/>
                <w:szCs w:val="20"/>
              </w:rPr>
              <w:t xml:space="preserve">Fatigue </w:t>
            </w:r>
          </w:p>
        </w:tc>
        <w:tc>
          <w:tcPr>
            <w:tcW w:w="1903" w:type="dxa"/>
            <w:shd w:val="clear" w:color="auto" w:fill="auto"/>
            <w:noWrap/>
            <w:vAlign w:val="bottom"/>
            <w:hideMark/>
          </w:tcPr>
          <w:p w14:paraId="65E45CB1"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04C4EEC3" w14:textId="77777777" w:rsidR="00897F84" w:rsidRPr="002645C3" w:rsidRDefault="00897F84" w:rsidP="00D4470F">
            <w:pPr>
              <w:jc w:val="center"/>
              <w:rPr>
                <w:color w:val="000000"/>
                <w:sz w:val="20"/>
                <w:szCs w:val="20"/>
              </w:rPr>
            </w:pPr>
            <w:r w:rsidRPr="002645C3">
              <w:rPr>
                <w:color w:val="000000"/>
                <w:sz w:val="20"/>
                <w:szCs w:val="20"/>
              </w:rPr>
              <w:t>64(52.9)</w:t>
            </w:r>
          </w:p>
        </w:tc>
        <w:tc>
          <w:tcPr>
            <w:tcW w:w="1761" w:type="dxa"/>
            <w:shd w:val="clear" w:color="auto" w:fill="auto"/>
            <w:noWrap/>
            <w:vAlign w:val="bottom"/>
          </w:tcPr>
          <w:p w14:paraId="12085701" w14:textId="77777777" w:rsidR="00897F84" w:rsidRPr="002645C3" w:rsidRDefault="00897F84" w:rsidP="00D4470F">
            <w:pPr>
              <w:jc w:val="center"/>
              <w:rPr>
                <w:color w:val="000000"/>
                <w:sz w:val="20"/>
                <w:szCs w:val="20"/>
              </w:rPr>
            </w:pPr>
            <w:r w:rsidRPr="002645C3">
              <w:rPr>
                <w:color w:val="000000"/>
                <w:sz w:val="20"/>
                <w:szCs w:val="20"/>
              </w:rPr>
              <w:t>4(6.3)</w:t>
            </w:r>
          </w:p>
        </w:tc>
        <w:tc>
          <w:tcPr>
            <w:tcW w:w="1553" w:type="dxa"/>
            <w:shd w:val="clear" w:color="auto" w:fill="auto"/>
            <w:noWrap/>
            <w:vAlign w:val="bottom"/>
          </w:tcPr>
          <w:p w14:paraId="64FE82A0" w14:textId="77777777" w:rsidR="00897F84" w:rsidRPr="002645C3" w:rsidRDefault="00897F84" w:rsidP="00D4470F">
            <w:pPr>
              <w:jc w:val="center"/>
              <w:rPr>
                <w:color w:val="000000"/>
                <w:sz w:val="20"/>
                <w:szCs w:val="20"/>
              </w:rPr>
            </w:pPr>
            <w:r w:rsidRPr="002645C3">
              <w:rPr>
                <w:color w:val="000000"/>
                <w:sz w:val="20"/>
                <w:szCs w:val="20"/>
              </w:rPr>
              <w:t>0.005</w:t>
            </w:r>
          </w:p>
        </w:tc>
      </w:tr>
      <w:tr w:rsidR="00897F84" w:rsidRPr="002645C3" w14:paraId="76A265E4" w14:textId="77777777" w:rsidTr="00D4470F">
        <w:trPr>
          <w:trHeight w:val="283"/>
        </w:trPr>
        <w:tc>
          <w:tcPr>
            <w:tcW w:w="2882" w:type="dxa"/>
            <w:shd w:val="clear" w:color="auto" w:fill="auto"/>
            <w:noWrap/>
            <w:vAlign w:val="bottom"/>
            <w:hideMark/>
          </w:tcPr>
          <w:p w14:paraId="1FE62091"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5A7C211B"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670EFF1E" w14:textId="77777777" w:rsidR="00897F84" w:rsidRPr="002645C3" w:rsidRDefault="00897F84" w:rsidP="00D4470F">
            <w:pPr>
              <w:jc w:val="center"/>
              <w:rPr>
                <w:color w:val="000000"/>
                <w:sz w:val="20"/>
                <w:szCs w:val="20"/>
              </w:rPr>
            </w:pPr>
            <w:r w:rsidRPr="002645C3">
              <w:rPr>
                <w:color w:val="000000"/>
                <w:sz w:val="20"/>
                <w:szCs w:val="20"/>
              </w:rPr>
              <w:t>57(47.1)</w:t>
            </w:r>
          </w:p>
        </w:tc>
        <w:tc>
          <w:tcPr>
            <w:tcW w:w="1761" w:type="dxa"/>
            <w:shd w:val="clear" w:color="auto" w:fill="auto"/>
            <w:noWrap/>
            <w:vAlign w:val="bottom"/>
          </w:tcPr>
          <w:p w14:paraId="455E1AD5" w14:textId="77777777" w:rsidR="00897F84" w:rsidRPr="002645C3" w:rsidRDefault="00897F84" w:rsidP="00D4470F">
            <w:pPr>
              <w:jc w:val="center"/>
              <w:rPr>
                <w:color w:val="000000"/>
                <w:sz w:val="20"/>
                <w:szCs w:val="20"/>
              </w:rPr>
            </w:pPr>
            <w:r w:rsidRPr="002645C3">
              <w:rPr>
                <w:color w:val="000000"/>
                <w:sz w:val="20"/>
                <w:szCs w:val="20"/>
              </w:rPr>
              <w:t>14(24.5)</w:t>
            </w:r>
          </w:p>
        </w:tc>
        <w:tc>
          <w:tcPr>
            <w:tcW w:w="1553" w:type="dxa"/>
            <w:shd w:val="clear" w:color="auto" w:fill="auto"/>
            <w:noWrap/>
            <w:vAlign w:val="bottom"/>
          </w:tcPr>
          <w:p w14:paraId="46383DA9" w14:textId="77777777" w:rsidR="00897F84" w:rsidRPr="002645C3" w:rsidRDefault="00897F84" w:rsidP="00D4470F">
            <w:pPr>
              <w:jc w:val="center"/>
              <w:rPr>
                <w:color w:val="000000"/>
                <w:sz w:val="20"/>
                <w:szCs w:val="20"/>
              </w:rPr>
            </w:pPr>
          </w:p>
        </w:tc>
      </w:tr>
      <w:tr w:rsidR="00897F84" w:rsidRPr="002645C3" w14:paraId="477BEBC1" w14:textId="77777777" w:rsidTr="00D4470F">
        <w:trPr>
          <w:trHeight w:val="283"/>
        </w:trPr>
        <w:tc>
          <w:tcPr>
            <w:tcW w:w="2882" w:type="dxa"/>
            <w:shd w:val="clear" w:color="auto" w:fill="auto"/>
            <w:noWrap/>
            <w:vAlign w:val="bottom"/>
            <w:hideMark/>
          </w:tcPr>
          <w:p w14:paraId="4F2BD270" w14:textId="77777777" w:rsidR="00897F84" w:rsidRPr="002645C3" w:rsidRDefault="00897F84" w:rsidP="00D4470F">
            <w:pPr>
              <w:rPr>
                <w:color w:val="000000"/>
                <w:sz w:val="20"/>
                <w:szCs w:val="20"/>
              </w:rPr>
            </w:pPr>
            <w:r w:rsidRPr="002645C3">
              <w:rPr>
                <w:color w:val="000000"/>
                <w:sz w:val="20"/>
                <w:szCs w:val="20"/>
              </w:rPr>
              <w:t xml:space="preserve">Seizures </w:t>
            </w:r>
          </w:p>
        </w:tc>
        <w:tc>
          <w:tcPr>
            <w:tcW w:w="1903" w:type="dxa"/>
            <w:shd w:val="clear" w:color="auto" w:fill="auto"/>
            <w:noWrap/>
            <w:vAlign w:val="bottom"/>
            <w:hideMark/>
          </w:tcPr>
          <w:p w14:paraId="5F350135"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0F7C2506" w14:textId="77777777" w:rsidR="00897F84" w:rsidRPr="002645C3" w:rsidRDefault="00897F84" w:rsidP="00D4470F">
            <w:pPr>
              <w:jc w:val="center"/>
              <w:rPr>
                <w:color w:val="000000"/>
                <w:sz w:val="20"/>
                <w:szCs w:val="20"/>
              </w:rPr>
            </w:pPr>
            <w:r w:rsidRPr="002645C3">
              <w:rPr>
                <w:color w:val="000000"/>
                <w:sz w:val="20"/>
                <w:szCs w:val="20"/>
              </w:rPr>
              <w:t>117(96.7)</w:t>
            </w:r>
          </w:p>
        </w:tc>
        <w:tc>
          <w:tcPr>
            <w:tcW w:w="1761" w:type="dxa"/>
            <w:shd w:val="clear" w:color="auto" w:fill="auto"/>
            <w:noWrap/>
            <w:vAlign w:val="bottom"/>
          </w:tcPr>
          <w:p w14:paraId="28A517B2" w14:textId="77777777" w:rsidR="00897F84" w:rsidRPr="002645C3" w:rsidRDefault="00897F84" w:rsidP="00D4470F">
            <w:pPr>
              <w:jc w:val="center"/>
              <w:rPr>
                <w:color w:val="000000"/>
                <w:sz w:val="20"/>
                <w:szCs w:val="20"/>
              </w:rPr>
            </w:pPr>
            <w:r w:rsidRPr="002645C3">
              <w:rPr>
                <w:color w:val="000000"/>
                <w:sz w:val="20"/>
                <w:szCs w:val="20"/>
              </w:rPr>
              <w:t>18(15.4)</w:t>
            </w:r>
          </w:p>
        </w:tc>
        <w:tc>
          <w:tcPr>
            <w:tcW w:w="1553" w:type="dxa"/>
            <w:shd w:val="clear" w:color="auto" w:fill="auto"/>
            <w:noWrap/>
            <w:vAlign w:val="bottom"/>
          </w:tcPr>
          <w:p w14:paraId="608ACA33" w14:textId="77777777" w:rsidR="00897F84" w:rsidRPr="002645C3" w:rsidRDefault="00897F84" w:rsidP="00D4470F">
            <w:pPr>
              <w:jc w:val="center"/>
              <w:rPr>
                <w:color w:val="000000"/>
                <w:sz w:val="20"/>
                <w:szCs w:val="20"/>
              </w:rPr>
            </w:pPr>
            <w:r w:rsidRPr="002645C3">
              <w:rPr>
                <w:color w:val="000000"/>
                <w:sz w:val="20"/>
                <w:szCs w:val="20"/>
              </w:rPr>
              <w:t>0.395</w:t>
            </w:r>
          </w:p>
        </w:tc>
      </w:tr>
      <w:tr w:rsidR="00897F84" w:rsidRPr="002645C3" w14:paraId="5DACB91B" w14:textId="77777777" w:rsidTr="00D4470F">
        <w:trPr>
          <w:trHeight w:val="283"/>
        </w:trPr>
        <w:tc>
          <w:tcPr>
            <w:tcW w:w="2882" w:type="dxa"/>
            <w:shd w:val="clear" w:color="auto" w:fill="auto"/>
            <w:noWrap/>
            <w:vAlign w:val="bottom"/>
            <w:hideMark/>
          </w:tcPr>
          <w:p w14:paraId="78103429"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20ADFC10"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4DABAC55" w14:textId="77777777" w:rsidR="00897F84" w:rsidRPr="002645C3" w:rsidRDefault="00897F84" w:rsidP="00D4470F">
            <w:pPr>
              <w:jc w:val="center"/>
              <w:rPr>
                <w:color w:val="000000"/>
                <w:sz w:val="20"/>
                <w:szCs w:val="20"/>
              </w:rPr>
            </w:pPr>
            <w:r w:rsidRPr="002645C3">
              <w:rPr>
                <w:color w:val="000000"/>
                <w:sz w:val="20"/>
                <w:szCs w:val="20"/>
              </w:rPr>
              <w:t>4(3.3)</w:t>
            </w:r>
          </w:p>
        </w:tc>
        <w:tc>
          <w:tcPr>
            <w:tcW w:w="1761" w:type="dxa"/>
            <w:shd w:val="clear" w:color="auto" w:fill="auto"/>
            <w:noWrap/>
            <w:vAlign w:val="bottom"/>
          </w:tcPr>
          <w:p w14:paraId="4DFF0D66" w14:textId="77777777" w:rsidR="00897F84" w:rsidRPr="002645C3" w:rsidRDefault="00897F84" w:rsidP="00D4470F">
            <w:pPr>
              <w:jc w:val="center"/>
              <w:rPr>
                <w:color w:val="000000"/>
                <w:sz w:val="20"/>
                <w:szCs w:val="20"/>
              </w:rPr>
            </w:pPr>
            <w:r w:rsidRPr="002645C3">
              <w:rPr>
                <w:color w:val="000000"/>
                <w:sz w:val="20"/>
                <w:szCs w:val="20"/>
              </w:rPr>
              <w:t>0(0.0)</w:t>
            </w:r>
          </w:p>
        </w:tc>
        <w:tc>
          <w:tcPr>
            <w:tcW w:w="1553" w:type="dxa"/>
            <w:shd w:val="clear" w:color="auto" w:fill="auto"/>
            <w:noWrap/>
            <w:vAlign w:val="bottom"/>
          </w:tcPr>
          <w:p w14:paraId="4CB1D7B3" w14:textId="77777777" w:rsidR="00897F84" w:rsidRPr="002645C3" w:rsidRDefault="00897F84" w:rsidP="00D4470F">
            <w:pPr>
              <w:jc w:val="center"/>
              <w:rPr>
                <w:color w:val="000000"/>
                <w:sz w:val="20"/>
                <w:szCs w:val="20"/>
              </w:rPr>
            </w:pPr>
          </w:p>
        </w:tc>
      </w:tr>
      <w:tr w:rsidR="00897F84" w:rsidRPr="002645C3" w14:paraId="3B750E7F" w14:textId="77777777" w:rsidTr="00D4470F">
        <w:trPr>
          <w:trHeight w:val="283"/>
        </w:trPr>
        <w:tc>
          <w:tcPr>
            <w:tcW w:w="2882" w:type="dxa"/>
            <w:shd w:val="clear" w:color="auto" w:fill="auto"/>
            <w:noWrap/>
            <w:vAlign w:val="bottom"/>
            <w:hideMark/>
          </w:tcPr>
          <w:p w14:paraId="46461ACC" w14:textId="77777777" w:rsidR="00897F84" w:rsidRPr="002645C3" w:rsidRDefault="00897F84" w:rsidP="00D4470F">
            <w:pPr>
              <w:rPr>
                <w:color w:val="000000"/>
                <w:sz w:val="20"/>
                <w:szCs w:val="20"/>
              </w:rPr>
            </w:pPr>
            <w:r w:rsidRPr="002645C3">
              <w:rPr>
                <w:color w:val="000000"/>
                <w:sz w:val="20"/>
                <w:szCs w:val="20"/>
              </w:rPr>
              <w:t xml:space="preserve">Altered consciousness </w:t>
            </w:r>
          </w:p>
        </w:tc>
        <w:tc>
          <w:tcPr>
            <w:tcW w:w="1903" w:type="dxa"/>
            <w:shd w:val="clear" w:color="auto" w:fill="auto"/>
            <w:noWrap/>
            <w:vAlign w:val="bottom"/>
            <w:hideMark/>
          </w:tcPr>
          <w:p w14:paraId="0A7EE3B9"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40F2DAFE" w14:textId="77777777" w:rsidR="00897F84" w:rsidRPr="002645C3" w:rsidRDefault="00897F84" w:rsidP="00D4470F">
            <w:pPr>
              <w:jc w:val="center"/>
              <w:rPr>
                <w:color w:val="000000"/>
                <w:sz w:val="20"/>
                <w:szCs w:val="20"/>
              </w:rPr>
            </w:pPr>
            <w:r w:rsidRPr="002645C3">
              <w:rPr>
                <w:color w:val="000000"/>
                <w:sz w:val="20"/>
                <w:szCs w:val="20"/>
              </w:rPr>
              <w:t>113(93.4)</w:t>
            </w:r>
          </w:p>
        </w:tc>
        <w:tc>
          <w:tcPr>
            <w:tcW w:w="1761" w:type="dxa"/>
            <w:shd w:val="clear" w:color="auto" w:fill="auto"/>
            <w:noWrap/>
            <w:vAlign w:val="bottom"/>
          </w:tcPr>
          <w:p w14:paraId="3FC81140" w14:textId="77777777" w:rsidR="00897F84" w:rsidRPr="002645C3" w:rsidRDefault="00897F84" w:rsidP="00D4470F">
            <w:pPr>
              <w:jc w:val="center"/>
              <w:rPr>
                <w:color w:val="000000"/>
                <w:sz w:val="20"/>
                <w:szCs w:val="20"/>
              </w:rPr>
            </w:pPr>
            <w:r w:rsidRPr="002645C3">
              <w:rPr>
                <w:color w:val="000000"/>
                <w:sz w:val="20"/>
                <w:szCs w:val="20"/>
              </w:rPr>
              <w:t>13(11.5)</w:t>
            </w:r>
          </w:p>
        </w:tc>
        <w:tc>
          <w:tcPr>
            <w:tcW w:w="1553" w:type="dxa"/>
            <w:shd w:val="clear" w:color="auto" w:fill="auto"/>
            <w:noWrap/>
            <w:vAlign w:val="bottom"/>
          </w:tcPr>
          <w:p w14:paraId="794A88F5" w14:textId="77777777" w:rsidR="00897F84" w:rsidRPr="002645C3" w:rsidRDefault="00897F84" w:rsidP="00D4470F">
            <w:pPr>
              <w:jc w:val="center"/>
              <w:rPr>
                <w:color w:val="000000"/>
                <w:sz w:val="20"/>
                <w:szCs w:val="20"/>
              </w:rPr>
            </w:pPr>
            <w:r w:rsidRPr="002645C3">
              <w:rPr>
                <w:color w:val="000000"/>
                <w:sz w:val="20"/>
                <w:szCs w:val="20"/>
              </w:rPr>
              <w:t>&lt;0.001</w:t>
            </w:r>
          </w:p>
        </w:tc>
      </w:tr>
      <w:tr w:rsidR="00897F84" w:rsidRPr="002645C3" w14:paraId="5F13C20D" w14:textId="77777777" w:rsidTr="00D4470F">
        <w:trPr>
          <w:trHeight w:val="283"/>
        </w:trPr>
        <w:tc>
          <w:tcPr>
            <w:tcW w:w="2882" w:type="dxa"/>
            <w:shd w:val="clear" w:color="auto" w:fill="auto"/>
            <w:noWrap/>
            <w:vAlign w:val="bottom"/>
            <w:hideMark/>
          </w:tcPr>
          <w:p w14:paraId="14BA02C5"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3F08F0DF"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550D626B" w14:textId="77777777" w:rsidR="00897F84" w:rsidRPr="002645C3" w:rsidRDefault="00897F84" w:rsidP="00D4470F">
            <w:pPr>
              <w:jc w:val="center"/>
              <w:rPr>
                <w:color w:val="000000"/>
                <w:sz w:val="20"/>
                <w:szCs w:val="20"/>
              </w:rPr>
            </w:pPr>
            <w:r w:rsidRPr="002645C3">
              <w:rPr>
                <w:color w:val="000000"/>
                <w:sz w:val="20"/>
                <w:szCs w:val="20"/>
              </w:rPr>
              <w:t>8(6.6)</w:t>
            </w:r>
          </w:p>
        </w:tc>
        <w:tc>
          <w:tcPr>
            <w:tcW w:w="1761" w:type="dxa"/>
            <w:shd w:val="clear" w:color="auto" w:fill="auto"/>
            <w:noWrap/>
            <w:vAlign w:val="bottom"/>
          </w:tcPr>
          <w:p w14:paraId="7D8580AE" w14:textId="77777777" w:rsidR="00897F84" w:rsidRPr="002645C3" w:rsidRDefault="00897F84" w:rsidP="00D4470F">
            <w:pPr>
              <w:jc w:val="center"/>
              <w:rPr>
                <w:color w:val="000000"/>
                <w:sz w:val="20"/>
                <w:szCs w:val="20"/>
              </w:rPr>
            </w:pPr>
            <w:r w:rsidRPr="002645C3">
              <w:rPr>
                <w:color w:val="000000"/>
                <w:sz w:val="20"/>
                <w:szCs w:val="20"/>
              </w:rPr>
              <w:t>5(62.5)</w:t>
            </w:r>
          </w:p>
        </w:tc>
        <w:tc>
          <w:tcPr>
            <w:tcW w:w="1553" w:type="dxa"/>
            <w:shd w:val="clear" w:color="auto" w:fill="auto"/>
            <w:noWrap/>
            <w:vAlign w:val="bottom"/>
          </w:tcPr>
          <w:p w14:paraId="05A67CF0" w14:textId="77777777" w:rsidR="00897F84" w:rsidRPr="002645C3" w:rsidRDefault="00897F84" w:rsidP="00D4470F">
            <w:pPr>
              <w:jc w:val="center"/>
              <w:rPr>
                <w:color w:val="000000"/>
                <w:sz w:val="20"/>
                <w:szCs w:val="20"/>
              </w:rPr>
            </w:pPr>
          </w:p>
        </w:tc>
      </w:tr>
      <w:tr w:rsidR="00897F84" w:rsidRPr="002645C3" w14:paraId="6BCE1652" w14:textId="77777777" w:rsidTr="00D4470F">
        <w:trPr>
          <w:trHeight w:val="283"/>
        </w:trPr>
        <w:tc>
          <w:tcPr>
            <w:tcW w:w="2882" w:type="dxa"/>
            <w:shd w:val="clear" w:color="auto" w:fill="auto"/>
            <w:noWrap/>
            <w:vAlign w:val="bottom"/>
            <w:hideMark/>
          </w:tcPr>
          <w:p w14:paraId="140855C6" w14:textId="77777777" w:rsidR="00897F84" w:rsidRPr="002645C3" w:rsidRDefault="00897F84" w:rsidP="00D4470F">
            <w:pPr>
              <w:rPr>
                <w:color w:val="000000"/>
                <w:sz w:val="20"/>
                <w:szCs w:val="20"/>
              </w:rPr>
            </w:pPr>
            <w:r w:rsidRPr="002645C3">
              <w:rPr>
                <w:color w:val="000000"/>
                <w:sz w:val="20"/>
                <w:szCs w:val="20"/>
              </w:rPr>
              <w:t xml:space="preserve">Neurological signs </w:t>
            </w:r>
          </w:p>
        </w:tc>
        <w:tc>
          <w:tcPr>
            <w:tcW w:w="1903" w:type="dxa"/>
            <w:shd w:val="clear" w:color="auto" w:fill="auto"/>
            <w:noWrap/>
            <w:vAlign w:val="bottom"/>
            <w:hideMark/>
          </w:tcPr>
          <w:p w14:paraId="1ECF59BC"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13B23BBE" w14:textId="77777777" w:rsidR="00897F84" w:rsidRPr="002645C3" w:rsidRDefault="00897F84" w:rsidP="00D4470F">
            <w:pPr>
              <w:jc w:val="center"/>
              <w:rPr>
                <w:color w:val="000000"/>
                <w:sz w:val="20"/>
                <w:szCs w:val="20"/>
              </w:rPr>
            </w:pPr>
            <w:r w:rsidRPr="002645C3">
              <w:rPr>
                <w:color w:val="000000"/>
                <w:sz w:val="20"/>
                <w:szCs w:val="20"/>
              </w:rPr>
              <w:t>118(97.5)</w:t>
            </w:r>
          </w:p>
        </w:tc>
        <w:tc>
          <w:tcPr>
            <w:tcW w:w="1761" w:type="dxa"/>
            <w:shd w:val="clear" w:color="auto" w:fill="auto"/>
            <w:noWrap/>
            <w:vAlign w:val="bottom"/>
          </w:tcPr>
          <w:p w14:paraId="37AAB593" w14:textId="77777777" w:rsidR="00897F84" w:rsidRPr="002645C3" w:rsidRDefault="00897F84" w:rsidP="00D4470F">
            <w:pPr>
              <w:jc w:val="center"/>
              <w:rPr>
                <w:color w:val="000000"/>
                <w:sz w:val="20"/>
                <w:szCs w:val="20"/>
              </w:rPr>
            </w:pPr>
            <w:r w:rsidRPr="002645C3">
              <w:rPr>
                <w:color w:val="000000"/>
                <w:sz w:val="20"/>
                <w:szCs w:val="20"/>
              </w:rPr>
              <w:t>16(13.6)</w:t>
            </w:r>
          </w:p>
        </w:tc>
        <w:tc>
          <w:tcPr>
            <w:tcW w:w="1553" w:type="dxa"/>
            <w:shd w:val="clear" w:color="auto" w:fill="auto"/>
            <w:noWrap/>
            <w:vAlign w:val="bottom"/>
          </w:tcPr>
          <w:p w14:paraId="2B04A22B" w14:textId="77777777" w:rsidR="00897F84" w:rsidRPr="002645C3" w:rsidRDefault="00897F84" w:rsidP="00D4470F">
            <w:pPr>
              <w:jc w:val="center"/>
              <w:rPr>
                <w:color w:val="000000"/>
                <w:sz w:val="20"/>
                <w:szCs w:val="20"/>
              </w:rPr>
            </w:pPr>
            <w:r w:rsidRPr="002645C3">
              <w:rPr>
                <w:color w:val="000000"/>
                <w:sz w:val="20"/>
                <w:szCs w:val="20"/>
              </w:rPr>
              <w:t>0.011</w:t>
            </w:r>
          </w:p>
        </w:tc>
      </w:tr>
      <w:tr w:rsidR="00897F84" w:rsidRPr="002645C3" w14:paraId="1152F192" w14:textId="77777777" w:rsidTr="00D4470F">
        <w:trPr>
          <w:trHeight w:val="283"/>
        </w:trPr>
        <w:tc>
          <w:tcPr>
            <w:tcW w:w="2882" w:type="dxa"/>
            <w:shd w:val="clear" w:color="auto" w:fill="auto"/>
            <w:noWrap/>
            <w:vAlign w:val="bottom"/>
            <w:hideMark/>
          </w:tcPr>
          <w:p w14:paraId="5C3B4BA9" w14:textId="77777777" w:rsidR="00897F84" w:rsidRPr="002645C3" w:rsidRDefault="00897F84" w:rsidP="00D4470F">
            <w:pPr>
              <w:rPr>
                <w:color w:val="000000"/>
                <w:sz w:val="20"/>
                <w:szCs w:val="20"/>
              </w:rPr>
            </w:pPr>
            <w:r w:rsidRPr="002645C3">
              <w:rPr>
                <w:color w:val="000000"/>
                <w:sz w:val="20"/>
                <w:szCs w:val="20"/>
              </w:rPr>
              <w:t> </w:t>
            </w:r>
          </w:p>
        </w:tc>
        <w:tc>
          <w:tcPr>
            <w:tcW w:w="1903" w:type="dxa"/>
            <w:shd w:val="clear" w:color="auto" w:fill="auto"/>
            <w:noWrap/>
            <w:vAlign w:val="bottom"/>
            <w:hideMark/>
          </w:tcPr>
          <w:p w14:paraId="69D2869B"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4C82DDF2" w14:textId="77777777" w:rsidR="00897F84" w:rsidRPr="002645C3" w:rsidRDefault="00897F84" w:rsidP="00D4470F">
            <w:pPr>
              <w:jc w:val="center"/>
              <w:rPr>
                <w:color w:val="000000"/>
                <w:sz w:val="20"/>
                <w:szCs w:val="20"/>
              </w:rPr>
            </w:pPr>
            <w:r w:rsidRPr="002645C3">
              <w:rPr>
                <w:color w:val="000000"/>
                <w:sz w:val="20"/>
                <w:szCs w:val="20"/>
              </w:rPr>
              <w:t>3(2.5)</w:t>
            </w:r>
          </w:p>
        </w:tc>
        <w:tc>
          <w:tcPr>
            <w:tcW w:w="1761" w:type="dxa"/>
            <w:shd w:val="clear" w:color="auto" w:fill="auto"/>
            <w:noWrap/>
            <w:vAlign w:val="bottom"/>
          </w:tcPr>
          <w:p w14:paraId="53896D7F" w14:textId="77777777" w:rsidR="00897F84" w:rsidRPr="002645C3" w:rsidRDefault="00897F84" w:rsidP="00D4470F">
            <w:pPr>
              <w:jc w:val="center"/>
              <w:rPr>
                <w:color w:val="000000"/>
                <w:sz w:val="20"/>
                <w:szCs w:val="20"/>
              </w:rPr>
            </w:pPr>
            <w:r w:rsidRPr="002645C3">
              <w:rPr>
                <w:color w:val="000000"/>
                <w:sz w:val="20"/>
                <w:szCs w:val="20"/>
              </w:rPr>
              <w:t>2(66.7)</w:t>
            </w:r>
          </w:p>
        </w:tc>
        <w:tc>
          <w:tcPr>
            <w:tcW w:w="1553" w:type="dxa"/>
            <w:shd w:val="clear" w:color="auto" w:fill="auto"/>
            <w:noWrap/>
            <w:vAlign w:val="bottom"/>
          </w:tcPr>
          <w:p w14:paraId="5A3A8025" w14:textId="77777777" w:rsidR="00897F84" w:rsidRPr="002645C3" w:rsidRDefault="00897F84" w:rsidP="00D4470F">
            <w:pPr>
              <w:jc w:val="center"/>
              <w:rPr>
                <w:color w:val="000000"/>
                <w:sz w:val="20"/>
                <w:szCs w:val="20"/>
              </w:rPr>
            </w:pPr>
          </w:p>
        </w:tc>
      </w:tr>
      <w:tr w:rsidR="00897F84" w:rsidRPr="002645C3" w14:paraId="0EE905C3" w14:textId="77777777" w:rsidTr="00D4470F">
        <w:trPr>
          <w:trHeight w:val="283"/>
        </w:trPr>
        <w:tc>
          <w:tcPr>
            <w:tcW w:w="2882" w:type="dxa"/>
            <w:shd w:val="clear" w:color="auto" w:fill="auto"/>
            <w:noWrap/>
            <w:vAlign w:val="bottom"/>
          </w:tcPr>
          <w:p w14:paraId="360A379F" w14:textId="77777777" w:rsidR="00897F84" w:rsidRPr="002645C3" w:rsidRDefault="00897F84" w:rsidP="00D4470F">
            <w:pPr>
              <w:rPr>
                <w:color w:val="000000"/>
                <w:sz w:val="20"/>
                <w:szCs w:val="20"/>
              </w:rPr>
            </w:pPr>
            <w:r w:rsidRPr="002645C3">
              <w:rPr>
                <w:color w:val="000000"/>
                <w:sz w:val="20"/>
                <w:szCs w:val="20"/>
              </w:rPr>
              <w:t>Chest pain</w:t>
            </w:r>
          </w:p>
        </w:tc>
        <w:tc>
          <w:tcPr>
            <w:tcW w:w="1903" w:type="dxa"/>
            <w:shd w:val="clear" w:color="auto" w:fill="auto"/>
            <w:noWrap/>
            <w:vAlign w:val="bottom"/>
          </w:tcPr>
          <w:p w14:paraId="41049079"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67275742" w14:textId="77777777" w:rsidR="00897F84" w:rsidRPr="002645C3" w:rsidRDefault="00897F84" w:rsidP="00D4470F">
            <w:pPr>
              <w:jc w:val="center"/>
              <w:rPr>
                <w:color w:val="000000"/>
                <w:sz w:val="20"/>
                <w:szCs w:val="20"/>
              </w:rPr>
            </w:pPr>
            <w:r w:rsidRPr="002645C3">
              <w:rPr>
                <w:color w:val="000000"/>
                <w:sz w:val="20"/>
                <w:szCs w:val="20"/>
              </w:rPr>
              <w:t>65(53.7)</w:t>
            </w:r>
          </w:p>
        </w:tc>
        <w:tc>
          <w:tcPr>
            <w:tcW w:w="1761" w:type="dxa"/>
            <w:shd w:val="clear" w:color="auto" w:fill="auto"/>
            <w:noWrap/>
            <w:vAlign w:val="bottom"/>
          </w:tcPr>
          <w:p w14:paraId="6B4B6EFE" w14:textId="77777777" w:rsidR="00897F84" w:rsidRPr="002645C3" w:rsidRDefault="00897F84" w:rsidP="00D4470F">
            <w:pPr>
              <w:jc w:val="center"/>
              <w:rPr>
                <w:color w:val="000000"/>
                <w:sz w:val="20"/>
                <w:szCs w:val="20"/>
              </w:rPr>
            </w:pPr>
            <w:r w:rsidRPr="002645C3">
              <w:rPr>
                <w:color w:val="000000"/>
                <w:sz w:val="20"/>
                <w:szCs w:val="20"/>
              </w:rPr>
              <w:t>9(13.9)</w:t>
            </w:r>
          </w:p>
        </w:tc>
        <w:tc>
          <w:tcPr>
            <w:tcW w:w="1553" w:type="dxa"/>
            <w:shd w:val="clear" w:color="auto" w:fill="auto"/>
            <w:noWrap/>
            <w:vAlign w:val="bottom"/>
          </w:tcPr>
          <w:p w14:paraId="47EDF551" w14:textId="77777777" w:rsidR="00897F84" w:rsidRPr="002645C3" w:rsidRDefault="00897F84" w:rsidP="00D4470F">
            <w:pPr>
              <w:jc w:val="center"/>
              <w:rPr>
                <w:color w:val="000000"/>
                <w:sz w:val="20"/>
                <w:szCs w:val="20"/>
              </w:rPr>
            </w:pPr>
            <w:r w:rsidRPr="002645C3">
              <w:rPr>
                <w:color w:val="000000"/>
                <w:sz w:val="20"/>
                <w:szCs w:val="20"/>
              </w:rPr>
              <w:t>0.732</w:t>
            </w:r>
          </w:p>
        </w:tc>
      </w:tr>
      <w:tr w:rsidR="00897F84" w:rsidRPr="002645C3" w14:paraId="4C9A2C7B" w14:textId="77777777" w:rsidTr="00D4470F">
        <w:trPr>
          <w:trHeight w:val="283"/>
        </w:trPr>
        <w:tc>
          <w:tcPr>
            <w:tcW w:w="2882" w:type="dxa"/>
            <w:shd w:val="clear" w:color="auto" w:fill="auto"/>
            <w:noWrap/>
            <w:vAlign w:val="bottom"/>
          </w:tcPr>
          <w:p w14:paraId="1C8EBB72" w14:textId="77777777" w:rsidR="00897F84" w:rsidRPr="002645C3" w:rsidRDefault="00897F84" w:rsidP="00D4470F">
            <w:pPr>
              <w:rPr>
                <w:color w:val="000000"/>
                <w:sz w:val="20"/>
                <w:szCs w:val="20"/>
              </w:rPr>
            </w:pPr>
          </w:p>
        </w:tc>
        <w:tc>
          <w:tcPr>
            <w:tcW w:w="1903" w:type="dxa"/>
            <w:shd w:val="clear" w:color="auto" w:fill="auto"/>
            <w:noWrap/>
            <w:vAlign w:val="bottom"/>
          </w:tcPr>
          <w:p w14:paraId="2AB9C155"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333AA735" w14:textId="77777777" w:rsidR="00897F84" w:rsidRPr="002645C3" w:rsidRDefault="00897F84" w:rsidP="00D4470F">
            <w:pPr>
              <w:jc w:val="center"/>
              <w:rPr>
                <w:color w:val="000000"/>
                <w:sz w:val="20"/>
                <w:szCs w:val="20"/>
              </w:rPr>
            </w:pPr>
            <w:r w:rsidRPr="002645C3">
              <w:rPr>
                <w:color w:val="000000"/>
                <w:sz w:val="20"/>
                <w:szCs w:val="20"/>
              </w:rPr>
              <w:t>56(46.3)</w:t>
            </w:r>
          </w:p>
        </w:tc>
        <w:tc>
          <w:tcPr>
            <w:tcW w:w="1761" w:type="dxa"/>
            <w:shd w:val="clear" w:color="auto" w:fill="auto"/>
            <w:noWrap/>
            <w:vAlign w:val="bottom"/>
          </w:tcPr>
          <w:p w14:paraId="6C2D611C" w14:textId="77777777" w:rsidR="00897F84" w:rsidRPr="002645C3" w:rsidRDefault="00897F84" w:rsidP="00D4470F">
            <w:pPr>
              <w:jc w:val="center"/>
              <w:rPr>
                <w:color w:val="000000"/>
                <w:sz w:val="20"/>
                <w:szCs w:val="20"/>
              </w:rPr>
            </w:pPr>
            <w:r w:rsidRPr="002645C3">
              <w:rPr>
                <w:color w:val="000000"/>
                <w:sz w:val="20"/>
                <w:szCs w:val="20"/>
              </w:rPr>
              <w:t>9(16.1)</w:t>
            </w:r>
          </w:p>
        </w:tc>
        <w:tc>
          <w:tcPr>
            <w:tcW w:w="1553" w:type="dxa"/>
            <w:shd w:val="clear" w:color="auto" w:fill="auto"/>
            <w:noWrap/>
            <w:vAlign w:val="bottom"/>
          </w:tcPr>
          <w:p w14:paraId="23F36C9B" w14:textId="77777777" w:rsidR="00897F84" w:rsidRPr="002645C3" w:rsidRDefault="00897F84" w:rsidP="00D4470F">
            <w:pPr>
              <w:jc w:val="center"/>
              <w:rPr>
                <w:color w:val="000000"/>
                <w:sz w:val="20"/>
                <w:szCs w:val="20"/>
              </w:rPr>
            </w:pPr>
          </w:p>
        </w:tc>
      </w:tr>
      <w:tr w:rsidR="00897F84" w:rsidRPr="002645C3" w14:paraId="192C7270" w14:textId="77777777" w:rsidTr="00D4470F">
        <w:trPr>
          <w:trHeight w:val="283"/>
        </w:trPr>
        <w:tc>
          <w:tcPr>
            <w:tcW w:w="2882" w:type="dxa"/>
            <w:shd w:val="clear" w:color="auto" w:fill="auto"/>
            <w:noWrap/>
            <w:vAlign w:val="bottom"/>
          </w:tcPr>
          <w:p w14:paraId="51A95109" w14:textId="77777777" w:rsidR="00897F84" w:rsidRPr="002645C3" w:rsidRDefault="00897F84" w:rsidP="00D4470F">
            <w:pPr>
              <w:rPr>
                <w:color w:val="000000"/>
                <w:sz w:val="20"/>
                <w:szCs w:val="20"/>
              </w:rPr>
            </w:pPr>
            <w:r w:rsidRPr="002645C3">
              <w:rPr>
                <w:color w:val="000000"/>
                <w:sz w:val="20"/>
                <w:szCs w:val="20"/>
              </w:rPr>
              <w:t>Loss of taste</w:t>
            </w:r>
          </w:p>
        </w:tc>
        <w:tc>
          <w:tcPr>
            <w:tcW w:w="1903" w:type="dxa"/>
            <w:shd w:val="clear" w:color="auto" w:fill="auto"/>
            <w:noWrap/>
            <w:vAlign w:val="bottom"/>
          </w:tcPr>
          <w:p w14:paraId="6796A4C1"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193B5BD4" w14:textId="77777777" w:rsidR="00897F84" w:rsidRPr="002645C3" w:rsidRDefault="00897F84" w:rsidP="00D4470F">
            <w:pPr>
              <w:jc w:val="center"/>
              <w:rPr>
                <w:color w:val="000000"/>
                <w:sz w:val="20"/>
                <w:szCs w:val="20"/>
              </w:rPr>
            </w:pPr>
            <w:r w:rsidRPr="002645C3">
              <w:rPr>
                <w:color w:val="000000"/>
                <w:sz w:val="20"/>
                <w:szCs w:val="20"/>
              </w:rPr>
              <w:t>96(79.3)</w:t>
            </w:r>
          </w:p>
        </w:tc>
        <w:tc>
          <w:tcPr>
            <w:tcW w:w="1761" w:type="dxa"/>
            <w:shd w:val="clear" w:color="auto" w:fill="auto"/>
            <w:noWrap/>
            <w:vAlign w:val="bottom"/>
          </w:tcPr>
          <w:p w14:paraId="153E9415" w14:textId="77777777" w:rsidR="00897F84" w:rsidRPr="002645C3" w:rsidRDefault="00897F84" w:rsidP="00D4470F">
            <w:pPr>
              <w:jc w:val="center"/>
              <w:rPr>
                <w:color w:val="000000"/>
                <w:sz w:val="20"/>
                <w:szCs w:val="20"/>
              </w:rPr>
            </w:pPr>
            <w:r w:rsidRPr="002645C3">
              <w:rPr>
                <w:color w:val="000000"/>
                <w:sz w:val="20"/>
                <w:szCs w:val="20"/>
              </w:rPr>
              <w:t>14(14.6)</w:t>
            </w:r>
          </w:p>
        </w:tc>
        <w:tc>
          <w:tcPr>
            <w:tcW w:w="1553" w:type="dxa"/>
            <w:shd w:val="clear" w:color="auto" w:fill="auto"/>
            <w:noWrap/>
            <w:vAlign w:val="bottom"/>
          </w:tcPr>
          <w:p w14:paraId="1CC3A8B9" w14:textId="77777777" w:rsidR="00897F84" w:rsidRPr="002645C3" w:rsidRDefault="00897F84" w:rsidP="00D4470F">
            <w:pPr>
              <w:jc w:val="center"/>
              <w:rPr>
                <w:color w:val="000000"/>
                <w:sz w:val="20"/>
                <w:szCs w:val="20"/>
              </w:rPr>
            </w:pPr>
            <w:r w:rsidRPr="002645C3">
              <w:rPr>
                <w:color w:val="000000"/>
                <w:sz w:val="20"/>
                <w:szCs w:val="20"/>
              </w:rPr>
              <w:t>0.859</w:t>
            </w:r>
          </w:p>
        </w:tc>
      </w:tr>
      <w:tr w:rsidR="00897F84" w:rsidRPr="002645C3" w14:paraId="4301EC7C" w14:textId="77777777" w:rsidTr="00D4470F">
        <w:trPr>
          <w:trHeight w:val="283"/>
        </w:trPr>
        <w:tc>
          <w:tcPr>
            <w:tcW w:w="2882" w:type="dxa"/>
            <w:shd w:val="clear" w:color="auto" w:fill="auto"/>
            <w:noWrap/>
            <w:vAlign w:val="bottom"/>
          </w:tcPr>
          <w:p w14:paraId="592EF320" w14:textId="77777777" w:rsidR="00897F84" w:rsidRPr="002645C3" w:rsidRDefault="00897F84" w:rsidP="00D4470F">
            <w:pPr>
              <w:rPr>
                <w:color w:val="000000"/>
                <w:sz w:val="20"/>
                <w:szCs w:val="20"/>
              </w:rPr>
            </w:pPr>
          </w:p>
        </w:tc>
        <w:tc>
          <w:tcPr>
            <w:tcW w:w="1903" w:type="dxa"/>
            <w:shd w:val="clear" w:color="auto" w:fill="auto"/>
            <w:noWrap/>
            <w:vAlign w:val="bottom"/>
          </w:tcPr>
          <w:p w14:paraId="7931F48E"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0C7FD4F0" w14:textId="77777777" w:rsidR="00897F84" w:rsidRPr="002645C3" w:rsidRDefault="00897F84" w:rsidP="00D4470F">
            <w:pPr>
              <w:jc w:val="center"/>
              <w:rPr>
                <w:color w:val="000000"/>
                <w:sz w:val="20"/>
                <w:szCs w:val="20"/>
              </w:rPr>
            </w:pPr>
            <w:r w:rsidRPr="002645C3">
              <w:rPr>
                <w:color w:val="000000"/>
                <w:sz w:val="20"/>
                <w:szCs w:val="20"/>
              </w:rPr>
              <w:t>25(20.7)</w:t>
            </w:r>
          </w:p>
        </w:tc>
        <w:tc>
          <w:tcPr>
            <w:tcW w:w="1761" w:type="dxa"/>
            <w:shd w:val="clear" w:color="auto" w:fill="auto"/>
            <w:noWrap/>
            <w:vAlign w:val="bottom"/>
          </w:tcPr>
          <w:p w14:paraId="1F18BDA7" w14:textId="77777777" w:rsidR="00897F84" w:rsidRPr="002645C3" w:rsidRDefault="00897F84" w:rsidP="00D4470F">
            <w:pPr>
              <w:jc w:val="center"/>
              <w:rPr>
                <w:color w:val="000000"/>
                <w:sz w:val="20"/>
                <w:szCs w:val="20"/>
              </w:rPr>
            </w:pPr>
            <w:r w:rsidRPr="002645C3">
              <w:rPr>
                <w:color w:val="000000"/>
                <w:sz w:val="20"/>
                <w:szCs w:val="20"/>
              </w:rPr>
              <w:t>4(16.0)</w:t>
            </w:r>
          </w:p>
        </w:tc>
        <w:tc>
          <w:tcPr>
            <w:tcW w:w="1553" w:type="dxa"/>
            <w:shd w:val="clear" w:color="auto" w:fill="auto"/>
            <w:noWrap/>
            <w:vAlign w:val="bottom"/>
          </w:tcPr>
          <w:p w14:paraId="13306791" w14:textId="77777777" w:rsidR="00897F84" w:rsidRPr="002645C3" w:rsidRDefault="00897F84" w:rsidP="00D4470F">
            <w:pPr>
              <w:jc w:val="center"/>
              <w:rPr>
                <w:color w:val="000000"/>
                <w:sz w:val="20"/>
                <w:szCs w:val="20"/>
              </w:rPr>
            </w:pPr>
          </w:p>
        </w:tc>
      </w:tr>
      <w:tr w:rsidR="00897F84" w:rsidRPr="002645C3" w14:paraId="279D94E8" w14:textId="77777777" w:rsidTr="00D4470F">
        <w:trPr>
          <w:trHeight w:val="283"/>
        </w:trPr>
        <w:tc>
          <w:tcPr>
            <w:tcW w:w="2882" w:type="dxa"/>
            <w:shd w:val="clear" w:color="auto" w:fill="auto"/>
            <w:noWrap/>
            <w:vAlign w:val="bottom"/>
          </w:tcPr>
          <w:p w14:paraId="3BDA1D79" w14:textId="77777777" w:rsidR="00897F84" w:rsidRPr="002645C3" w:rsidRDefault="00897F84" w:rsidP="00D4470F">
            <w:pPr>
              <w:rPr>
                <w:color w:val="000000"/>
                <w:sz w:val="20"/>
                <w:szCs w:val="20"/>
              </w:rPr>
            </w:pPr>
            <w:r w:rsidRPr="002645C3">
              <w:rPr>
                <w:color w:val="000000"/>
                <w:sz w:val="20"/>
                <w:szCs w:val="20"/>
              </w:rPr>
              <w:t>Sense of smell</w:t>
            </w:r>
          </w:p>
        </w:tc>
        <w:tc>
          <w:tcPr>
            <w:tcW w:w="1903" w:type="dxa"/>
            <w:shd w:val="clear" w:color="auto" w:fill="auto"/>
            <w:noWrap/>
            <w:vAlign w:val="bottom"/>
          </w:tcPr>
          <w:p w14:paraId="39A98F49"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38EAC5AD" w14:textId="77777777" w:rsidR="00897F84" w:rsidRPr="002645C3" w:rsidRDefault="00897F84" w:rsidP="00D4470F">
            <w:pPr>
              <w:jc w:val="center"/>
              <w:rPr>
                <w:color w:val="000000"/>
                <w:sz w:val="20"/>
                <w:szCs w:val="20"/>
              </w:rPr>
            </w:pPr>
            <w:r w:rsidRPr="002645C3">
              <w:rPr>
                <w:color w:val="000000"/>
                <w:sz w:val="20"/>
                <w:szCs w:val="20"/>
              </w:rPr>
              <w:t>97(80.2)</w:t>
            </w:r>
          </w:p>
        </w:tc>
        <w:tc>
          <w:tcPr>
            <w:tcW w:w="1761" w:type="dxa"/>
            <w:shd w:val="clear" w:color="auto" w:fill="auto"/>
            <w:noWrap/>
            <w:vAlign w:val="bottom"/>
          </w:tcPr>
          <w:p w14:paraId="21AE55BE" w14:textId="77777777" w:rsidR="00897F84" w:rsidRPr="002645C3" w:rsidRDefault="00897F84" w:rsidP="00D4470F">
            <w:pPr>
              <w:jc w:val="center"/>
              <w:rPr>
                <w:color w:val="000000"/>
                <w:sz w:val="20"/>
                <w:szCs w:val="20"/>
              </w:rPr>
            </w:pPr>
            <w:r w:rsidRPr="002645C3">
              <w:rPr>
                <w:color w:val="000000"/>
                <w:sz w:val="20"/>
                <w:szCs w:val="20"/>
              </w:rPr>
              <w:t>15(15.5)</w:t>
            </w:r>
          </w:p>
        </w:tc>
        <w:tc>
          <w:tcPr>
            <w:tcW w:w="1553" w:type="dxa"/>
            <w:shd w:val="clear" w:color="auto" w:fill="auto"/>
            <w:noWrap/>
            <w:vAlign w:val="bottom"/>
          </w:tcPr>
          <w:p w14:paraId="381C0FF9" w14:textId="77777777" w:rsidR="00897F84" w:rsidRPr="002645C3" w:rsidRDefault="00897F84" w:rsidP="00D4470F">
            <w:pPr>
              <w:jc w:val="center"/>
              <w:rPr>
                <w:color w:val="000000"/>
                <w:sz w:val="20"/>
                <w:szCs w:val="20"/>
              </w:rPr>
            </w:pPr>
            <w:r w:rsidRPr="002645C3">
              <w:rPr>
                <w:color w:val="000000"/>
                <w:sz w:val="20"/>
                <w:szCs w:val="20"/>
              </w:rPr>
              <w:t>0.715</w:t>
            </w:r>
          </w:p>
        </w:tc>
      </w:tr>
      <w:tr w:rsidR="00897F84" w:rsidRPr="002645C3" w14:paraId="096D1386" w14:textId="77777777" w:rsidTr="00D4470F">
        <w:trPr>
          <w:trHeight w:val="283"/>
        </w:trPr>
        <w:tc>
          <w:tcPr>
            <w:tcW w:w="2882" w:type="dxa"/>
            <w:shd w:val="clear" w:color="auto" w:fill="auto"/>
            <w:noWrap/>
            <w:vAlign w:val="bottom"/>
          </w:tcPr>
          <w:p w14:paraId="63664CC4" w14:textId="77777777" w:rsidR="00897F84" w:rsidRPr="002645C3" w:rsidRDefault="00897F84" w:rsidP="00D4470F">
            <w:pPr>
              <w:rPr>
                <w:color w:val="000000"/>
                <w:sz w:val="20"/>
                <w:szCs w:val="20"/>
              </w:rPr>
            </w:pPr>
          </w:p>
        </w:tc>
        <w:tc>
          <w:tcPr>
            <w:tcW w:w="1903" w:type="dxa"/>
            <w:shd w:val="clear" w:color="auto" w:fill="auto"/>
            <w:noWrap/>
            <w:vAlign w:val="bottom"/>
          </w:tcPr>
          <w:p w14:paraId="669BD5CA"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03659761" w14:textId="77777777" w:rsidR="00897F84" w:rsidRPr="002645C3" w:rsidRDefault="00897F84" w:rsidP="00D4470F">
            <w:pPr>
              <w:jc w:val="center"/>
              <w:rPr>
                <w:color w:val="000000"/>
                <w:sz w:val="20"/>
                <w:szCs w:val="20"/>
              </w:rPr>
            </w:pPr>
            <w:r w:rsidRPr="002645C3">
              <w:rPr>
                <w:color w:val="000000"/>
                <w:sz w:val="20"/>
                <w:szCs w:val="20"/>
              </w:rPr>
              <w:t>24(19.8)</w:t>
            </w:r>
          </w:p>
        </w:tc>
        <w:tc>
          <w:tcPr>
            <w:tcW w:w="1761" w:type="dxa"/>
            <w:shd w:val="clear" w:color="auto" w:fill="auto"/>
            <w:noWrap/>
            <w:vAlign w:val="bottom"/>
          </w:tcPr>
          <w:p w14:paraId="6B6D146A" w14:textId="77777777" w:rsidR="00897F84" w:rsidRPr="002645C3" w:rsidRDefault="00897F84" w:rsidP="00D4470F">
            <w:pPr>
              <w:jc w:val="center"/>
              <w:rPr>
                <w:color w:val="000000"/>
                <w:sz w:val="20"/>
                <w:szCs w:val="20"/>
              </w:rPr>
            </w:pPr>
            <w:r w:rsidRPr="002645C3">
              <w:rPr>
                <w:color w:val="000000"/>
                <w:sz w:val="20"/>
                <w:szCs w:val="20"/>
              </w:rPr>
              <w:t>3(12.5)</w:t>
            </w:r>
          </w:p>
        </w:tc>
        <w:tc>
          <w:tcPr>
            <w:tcW w:w="1553" w:type="dxa"/>
            <w:shd w:val="clear" w:color="auto" w:fill="auto"/>
            <w:noWrap/>
            <w:vAlign w:val="bottom"/>
          </w:tcPr>
          <w:p w14:paraId="52B51ED8" w14:textId="77777777" w:rsidR="00897F84" w:rsidRPr="002645C3" w:rsidRDefault="00897F84" w:rsidP="00D4470F">
            <w:pPr>
              <w:jc w:val="center"/>
              <w:rPr>
                <w:color w:val="000000"/>
                <w:sz w:val="20"/>
                <w:szCs w:val="20"/>
              </w:rPr>
            </w:pPr>
          </w:p>
        </w:tc>
      </w:tr>
      <w:tr w:rsidR="00897F84" w:rsidRPr="002645C3" w14:paraId="377A17B8" w14:textId="77777777" w:rsidTr="00D4470F">
        <w:trPr>
          <w:trHeight w:val="283"/>
        </w:trPr>
        <w:tc>
          <w:tcPr>
            <w:tcW w:w="2882" w:type="dxa"/>
            <w:shd w:val="clear" w:color="auto" w:fill="auto"/>
            <w:noWrap/>
            <w:vAlign w:val="bottom"/>
          </w:tcPr>
          <w:p w14:paraId="3892A0FF" w14:textId="77777777" w:rsidR="00897F84" w:rsidRPr="002645C3" w:rsidRDefault="00897F84" w:rsidP="00D4470F">
            <w:pPr>
              <w:rPr>
                <w:color w:val="000000"/>
                <w:sz w:val="20"/>
                <w:szCs w:val="20"/>
              </w:rPr>
            </w:pPr>
            <w:r w:rsidRPr="002645C3">
              <w:rPr>
                <w:color w:val="000000"/>
                <w:sz w:val="20"/>
                <w:szCs w:val="20"/>
              </w:rPr>
              <w:t>Palpitations</w:t>
            </w:r>
          </w:p>
        </w:tc>
        <w:tc>
          <w:tcPr>
            <w:tcW w:w="1903" w:type="dxa"/>
            <w:shd w:val="clear" w:color="auto" w:fill="auto"/>
            <w:noWrap/>
            <w:vAlign w:val="bottom"/>
          </w:tcPr>
          <w:p w14:paraId="6C371BA5" w14:textId="77777777" w:rsidR="00897F84" w:rsidRPr="002645C3" w:rsidRDefault="00897F84" w:rsidP="00D4470F">
            <w:pPr>
              <w:rPr>
                <w:color w:val="000000"/>
                <w:sz w:val="20"/>
                <w:szCs w:val="20"/>
              </w:rPr>
            </w:pPr>
            <w:r w:rsidRPr="002645C3">
              <w:rPr>
                <w:color w:val="000000"/>
                <w:sz w:val="20"/>
                <w:szCs w:val="20"/>
              </w:rPr>
              <w:t>No</w:t>
            </w:r>
          </w:p>
        </w:tc>
        <w:tc>
          <w:tcPr>
            <w:tcW w:w="1678" w:type="dxa"/>
            <w:shd w:val="clear" w:color="auto" w:fill="auto"/>
            <w:noWrap/>
            <w:vAlign w:val="bottom"/>
          </w:tcPr>
          <w:p w14:paraId="192C6DF3" w14:textId="77777777" w:rsidR="00897F84" w:rsidRPr="002645C3" w:rsidRDefault="00897F84" w:rsidP="00D4470F">
            <w:pPr>
              <w:jc w:val="center"/>
              <w:rPr>
                <w:color w:val="000000"/>
                <w:sz w:val="20"/>
                <w:szCs w:val="20"/>
              </w:rPr>
            </w:pPr>
            <w:r w:rsidRPr="002645C3">
              <w:rPr>
                <w:color w:val="000000"/>
                <w:sz w:val="20"/>
                <w:szCs w:val="20"/>
              </w:rPr>
              <w:t>96(79.3)</w:t>
            </w:r>
          </w:p>
        </w:tc>
        <w:tc>
          <w:tcPr>
            <w:tcW w:w="1761" w:type="dxa"/>
            <w:shd w:val="clear" w:color="auto" w:fill="auto"/>
            <w:noWrap/>
            <w:vAlign w:val="bottom"/>
          </w:tcPr>
          <w:p w14:paraId="5882B10F" w14:textId="77777777" w:rsidR="00897F84" w:rsidRPr="002645C3" w:rsidRDefault="00897F84" w:rsidP="00D4470F">
            <w:pPr>
              <w:jc w:val="center"/>
              <w:rPr>
                <w:color w:val="000000"/>
                <w:sz w:val="20"/>
                <w:szCs w:val="20"/>
              </w:rPr>
            </w:pPr>
            <w:r w:rsidRPr="002645C3">
              <w:rPr>
                <w:color w:val="000000"/>
                <w:sz w:val="20"/>
                <w:szCs w:val="20"/>
              </w:rPr>
              <w:t>13(13.5)</w:t>
            </w:r>
          </w:p>
        </w:tc>
        <w:tc>
          <w:tcPr>
            <w:tcW w:w="1553" w:type="dxa"/>
            <w:shd w:val="clear" w:color="auto" w:fill="auto"/>
            <w:noWrap/>
            <w:vAlign w:val="bottom"/>
          </w:tcPr>
          <w:p w14:paraId="28CF659E" w14:textId="77777777" w:rsidR="00897F84" w:rsidRPr="002645C3" w:rsidRDefault="00897F84" w:rsidP="00D4470F">
            <w:pPr>
              <w:jc w:val="center"/>
              <w:rPr>
                <w:color w:val="000000"/>
                <w:sz w:val="20"/>
                <w:szCs w:val="20"/>
              </w:rPr>
            </w:pPr>
            <w:r w:rsidRPr="002645C3">
              <w:rPr>
                <w:color w:val="000000"/>
                <w:sz w:val="20"/>
                <w:szCs w:val="20"/>
              </w:rPr>
              <w:t>0.419</w:t>
            </w:r>
          </w:p>
        </w:tc>
      </w:tr>
      <w:tr w:rsidR="00897F84" w:rsidRPr="002645C3" w14:paraId="0EF7532C" w14:textId="77777777" w:rsidTr="00D4470F">
        <w:trPr>
          <w:trHeight w:val="283"/>
        </w:trPr>
        <w:tc>
          <w:tcPr>
            <w:tcW w:w="2882" w:type="dxa"/>
            <w:shd w:val="clear" w:color="auto" w:fill="auto"/>
            <w:noWrap/>
            <w:vAlign w:val="bottom"/>
          </w:tcPr>
          <w:p w14:paraId="61ECC5F5" w14:textId="77777777" w:rsidR="00897F84" w:rsidRPr="002645C3" w:rsidRDefault="00897F84" w:rsidP="00D4470F">
            <w:pPr>
              <w:rPr>
                <w:color w:val="000000"/>
                <w:sz w:val="20"/>
                <w:szCs w:val="20"/>
              </w:rPr>
            </w:pPr>
          </w:p>
        </w:tc>
        <w:tc>
          <w:tcPr>
            <w:tcW w:w="1903" w:type="dxa"/>
            <w:shd w:val="clear" w:color="auto" w:fill="auto"/>
            <w:noWrap/>
            <w:vAlign w:val="bottom"/>
          </w:tcPr>
          <w:p w14:paraId="53733938" w14:textId="77777777" w:rsidR="00897F84" w:rsidRPr="002645C3" w:rsidRDefault="00897F84" w:rsidP="00D4470F">
            <w:pPr>
              <w:rPr>
                <w:color w:val="000000"/>
                <w:sz w:val="20"/>
                <w:szCs w:val="20"/>
              </w:rPr>
            </w:pPr>
            <w:r w:rsidRPr="002645C3">
              <w:rPr>
                <w:color w:val="000000"/>
                <w:sz w:val="20"/>
                <w:szCs w:val="20"/>
              </w:rPr>
              <w:t>Yes</w:t>
            </w:r>
          </w:p>
        </w:tc>
        <w:tc>
          <w:tcPr>
            <w:tcW w:w="1678" w:type="dxa"/>
            <w:shd w:val="clear" w:color="auto" w:fill="auto"/>
            <w:noWrap/>
            <w:vAlign w:val="bottom"/>
          </w:tcPr>
          <w:p w14:paraId="066704CB" w14:textId="77777777" w:rsidR="00897F84" w:rsidRPr="002645C3" w:rsidRDefault="00897F84" w:rsidP="00D4470F">
            <w:pPr>
              <w:jc w:val="center"/>
              <w:rPr>
                <w:color w:val="000000"/>
                <w:sz w:val="20"/>
                <w:szCs w:val="20"/>
              </w:rPr>
            </w:pPr>
            <w:r w:rsidRPr="002645C3">
              <w:rPr>
                <w:color w:val="000000"/>
                <w:sz w:val="20"/>
                <w:szCs w:val="20"/>
              </w:rPr>
              <w:t>25(20.7)</w:t>
            </w:r>
          </w:p>
        </w:tc>
        <w:tc>
          <w:tcPr>
            <w:tcW w:w="1761" w:type="dxa"/>
            <w:shd w:val="clear" w:color="auto" w:fill="auto"/>
            <w:noWrap/>
            <w:vAlign w:val="bottom"/>
          </w:tcPr>
          <w:p w14:paraId="392FA55B" w14:textId="77777777" w:rsidR="00897F84" w:rsidRPr="002645C3" w:rsidRDefault="00897F84" w:rsidP="00D4470F">
            <w:pPr>
              <w:jc w:val="center"/>
              <w:rPr>
                <w:color w:val="000000"/>
                <w:sz w:val="20"/>
                <w:szCs w:val="20"/>
              </w:rPr>
            </w:pPr>
            <w:r w:rsidRPr="002645C3">
              <w:rPr>
                <w:color w:val="000000"/>
                <w:sz w:val="20"/>
                <w:szCs w:val="20"/>
              </w:rPr>
              <w:t>5(20.0)</w:t>
            </w:r>
          </w:p>
        </w:tc>
        <w:tc>
          <w:tcPr>
            <w:tcW w:w="1553" w:type="dxa"/>
            <w:shd w:val="clear" w:color="auto" w:fill="auto"/>
            <w:noWrap/>
            <w:vAlign w:val="bottom"/>
          </w:tcPr>
          <w:p w14:paraId="73E76414" w14:textId="77777777" w:rsidR="00897F84" w:rsidRPr="002645C3" w:rsidRDefault="00897F84" w:rsidP="00D4470F">
            <w:pPr>
              <w:jc w:val="center"/>
              <w:rPr>
                <w:color w:val="000000"/>
                <w:sz w:val="20"/>
                <w:szCs w:val="20"/>
              </w:rPr>
            </w:pPr>
          </w:p>
        </w:tc>
      </w:tr>
    </w:tbl>
    <w:p w14:paraId="413E74DC" w14:textId="77777777" w:rsidR="00897F84" w:rsidRDefault="00897F84" w:rsidP="00897F84">
      <w:pPr>
        <w:contextualSpacing/>
        <w:rPr>
          <w:b/>
          <w:bCs/>
        </w:rPr>
      </w:pPr>
    </w:p>
    <w:p w14:paraId="2A226DD8" w14:textId="77777777" w:rsidR="00897F84" w:rsidRDefault="00897F84" w:rsidP="00897F84">
      <w:pPr>
        <w:contextualSpacing/>
        <w:rPr>
          <w:sz w:val="20"/>
          <w:szCs w:val="20"/>
        </w:rPr>
      </w:pPr>
      <w:r w:rsidRPr="00B43BA4">
        <w:rPr>
          <w:b/>
          <w:bCs/>
          <w:sz w:val="20"/>
          <w:szCs w:val="20"/>
        </w:rPr>
        <w:t>Table 3</w:t>
      </w:r>
      <w:r w:rsidRPr="00484A42">
        <w:rPr>
          <w:sz w:val="20"/>
          <w:szCs w:val="20"/>
        </w:rPr>
        <w:t xml:space="preserve">: </w:t>
      </w:r>
      <w:r w:rsidRPr="0041242F">
        <w:rPr>
          <w:sz w:val="22"/>
          <w:szCs w:val="22"/>
        </w:rPr>
        <w:t xml:space="preserve">Pre-existing conditions </w:t>
      </w:r>
      <w:r>
        <w:rPr>
          <w:sz w:val="22"/>
          <w:szCs w:val="22"/>
        </w:rPr>
        <w:t>and its effect on mortality</w:t>
      </w:r>
      <w:r w:rsidRPr="00484A42" w:rsidDel="00C84CD9">
        <w:rPr>
          <w:sz w:val="20"/>
          <w:szCs w:val="20"/>
        </w:rPr>
        <w:t xml:space="preserve"> </w:t>
      </w:r>
    </w:p>
    <w:p w14:paraId="05DCB2E4" w14:textId="77777777" w:rsidR="00897F84" w:rsidRDefault="00897F84" w:rsidP="00897F84">
      <w:pPr>
        <w:contextualSpacing/>
        <w:rPr>
          <w:sz w:val="20"/>
          <w:szCs w:val="20"/>
        </w:rPr>
      </w:pPr>
    </w:p>
    <w:tbl>
      <w:tblPr>
        <w:tblW w:w="9361" w:type="dxa"/>
        <w:tblInd w:w="-5" w:type="dxa"/>
        <w:tblBorders>
          <w:top w:val="single" w:sz="4" w:space="0" w:color="auto"/>
          <w:bottom w:val="single" w:sz="4" w:space="0" w:color="auto"/>
        </w:tblBorders>
        <w:tblLook w:val="04A0" w:firstRow="1" w:lastRow="0" w:firstColumn="1" w:lastColumn="0" w:noHBand="0" w:noVBand="1"/>
      </w:tblPr>
      <w:tblGrid>
        <w:gridCol w:w="2557"/>
        <w:gridCol w:w="1276"/>
        <w:gridCol w:w="708"/>
        <w:gridCol w:w="1701"/>
        <w:gridCol w:w="1134"/>
        <w:gridCol w:w="1985"/>
      </w:tblGrid>
      <w:tr w:rsidR="00897F84" w:rsidRPr="002C1B7D" w14:paraId="20790621" w14:textId="77777777" w:rsidTr="00D4470F">
        <w:trPr>
          <w:trHeight w:val="258"/>
        </w:trPr>
        <w:tc>
          <w:tcPr>
            <w:tcW w:w="2557" w:type="dxa"/>
            <w:tcBorders>
              <w:top w:val="single" w:sz="4" w:space="0" w:color="auto"/>
              <w:bottom w:val="single" w:sz="4" w:space="0" w:color="auto"/>
            </w:tcBorders>
            <w:shd w:val="clear" w:color="auto" w:fill="auto"/>
            <w:vAlign w:val="center"/>
            <w:hideMark/>
          </w:tcPr>
          <w:p w14:paraId="7EC789E0" w14:textId="77777777" w:rsidR="00897F84" w:rsidRPr="00C84CD9" w:rsidRDefault="00897F84" w:rsidP="00D4470F">
            <w:pPr>
              <w:rPr>
                <w:b/>
                <w:bCs/>
                <w:color w:val="000000"/>
                <w:sz w:val="20"/>
                <w:szCs w:val="20"/>
              </w:rPr>
            </w:pPr>
            <w:r w:rsidRPr="00C84CD9">
              <w:rPr>
                <w:b/>
                <w:bCs/>
                <w:color w:val="000000"/>
                <w:sz w:val="20"/>
                <w:szCs w:val="20"/>
              </w:rPr>
              <w:t>Variable</w:t>
            </w:r>
          </w:p>
        </w:tc>
        <w:tc>
          <w:tcPr>
            <w:tcW w:w="1276" w:type="dxa"/>
            <w:tcBorders>
              <w:top w:val="single" w:sz="4" w:space="0" w:color="auto"/>
              <w:bottom w:val="single" w:sz="4" w:space="0" w:color="auto"/>
            </w:tcBorders>
            <w:shd w:val="clear" w:color="auto" w:fill="auto"/>
            <w:vAlign w:val="center"/>
            <w:hideMark/>
          </w:tcPr>
          <w:p w14:paraId="4801474B" w14:textId="77777777" w:rsidR="00897F84" w:rsidRPr="00C84CD9" w:rsidRDefault="00897F84" w:rsidP="00D4470F">
            <w:pPr>
              <w:rPr>
                <w:b/>
                <w:bCs/>
                <w:color w:val="000000"/>
                <w:sz w:val="20"/>
                <w:szCs w:val="20"/>
              </w:rPr>
            </w:pPr>
            <w:r w:rsidRPr="00C84CD9">
              <w:rPr>
                <w:b/>
                <w:bCs/>
                <w:color w:val="000000"/>
                <w:sz w:val="20"/>
                <w:szCs w:val="20"/>
              </w:rPr>
              <w:t>Response</w:t>
            </w:r>
          </w:p>
        </w:tc>
        <w:tc>
          <w:tcPr>
            <w:tcW w:w="708" w:type="dxa"/>
            <w:tcBorders>
              <w:top w:val="single" w:sz="4" w:space="0" w:color="auto"/>
              <w:bottom w:val="single" w:sz="4" w:space="0" w:color="auto"/>
            </w:tcBorders>
            <w:shd w:val="clear" w:color="auto" w:fill="auto"/>
            <w:vAlign w:val="center"/>
            <w:hideMark/>
          </w:tcPr>
          <w:p w14:paraId="7418D7E4" w14:textId="77777777" w:rsidR="00897F84" w:rsidRPr="00C84CD9" w:rsidRDefault="00897F84" w:rsidP="00D4470F">
            <w:pPr>
              <w:jc w:val="center"/>
              <w:rPr>
                <w:b/>
                <w:bCs/>
                <w:color w:val="000000"/>
                <w:sz w:val="20"/>
                <w:szCs w:val="20"/>
              </w:rPr>
            </w:pPr>
            <w:r w:rsidRPr="00C84CD9">
              <w:rPr>
                <w:b/>
                <w:bCs/>
                <w:color w:val="000000"/>
                <w:sz w:val="20"/>
                <w:szCs w:val="20"/>
              </w:rPr>
              <w:t>N</w:t>
            </w:r>
          </w:p>
        </w:tc>
        <w:tc>
          <w:tcPr>
            <w:tcW w:w="1701" w:type="dxa"/>
            <w:tcBorders>
              <w:top w:val="single" w:sz="4" w:space="0" w:color="auto"/>
              <w:bottom w:val="single" w:sz="4" w:space="0" w:color="auto"/>
            </w:tcBorders>
            <w:shd w:val="clear" w:color="auto" w:fill="auto"/>
            <w:vAlign w:val="center"/>
            <w:hideMark/>
          </w:tcPr>
          <w:p w14:paraId="781F4940" w14:textId="77777777" w:rsidR="00897F84" w:rsidRPr="00C84CD9" w:rsidRDefault="00897F84" w:rsidP="00D4470F">
            <w:pPr>
              <w:jc w:val="center"/>
              <w:rPr>
                <w:b/>
                <w:bCs/>
                <w:color w:val="000000"/>
                <w:sz w:val="20"/>
                <w:szCs w:val="20"/>
              </w:rPr>
            </w:pPr>
            <w:r w:rsidRPr="00C84CD9">
              <w:rPr>
                <w:b/>
                <w:bCs/>
                <w:color w:val="000000"/>
                <w:sz w:val="20"/>
                <w:szCs w:val="20"/>
              </w:rPr>
              <w:t>Mortality (%)</w:t>
            </w:r>
          </w:p>
        </w:tc>
        <w:tc>
          <w:tcPr>
            <w:tcW w:w="1134" w:type="dxa"/>
            <w:tcBorders>
              <w:top w:val="single" w:sz="4" w:space="0" w:color="auto"/>
              <w:bottom w:val="single" w:sz="4" w:space="0" w:color="auto"/>
            </w:tcBorders>
            <w:shd w:val="clear" w:color="auto" w:fill="auto"/>
            <w:vAlign w:val="center"/>
            <w:hideMark/>
          </w:tcPr>
          <w:p w14:paraId="634A0D2A" w14:textId="77777777" w:rsidR="00897F84" w:rsidRPr="00C84CD9" w:rsidRDefault="00897F84" w:rsidP="00D4470F">
            <w:pPr>
              <w:jc w:val="center"/>
              <w:rPr>
                <w:b/>
                <w:bCs/>
                <w:color w:val="000000"/>
                <w:sz w:val="20"/>
                <w:szCs w:val="20"/>
              </w:rPr>
            </w:pPr>
            <w:r w:rsidRPr="00C84CD9">
              <w:rPr>
                <w:b/>
                <w:bCs/>
                <w:color w:val="000000"/>
                <w:sz w:val="20"/>
                <w:szCs w:val="20"/>
              </w:rPr>
              <w:t>P-values</w:t>
            </w:r>
          </w:p>
        </w:tc>
        <w:tc>
          <w:tcPr>
            <w:tcW w:w="1985" w:type="dxa"/>
            <w:tcBorders>
              <w:top w:val="single" w:sz="4" w:space="0" w:color="auto"/>
              <w:bottom w:val="single" w:sz="4" w:space="0" w:color="auto"/>
            </w:tcBorders>
            <w:shd w:val="clear" w:color="auto" w:fill="auto"/>
            <w:vAlign w:val="center"/>
            <w:hideMark/>
          </w:tcPr>
          <w:p w14:paraId="2AE7FA45" w14:textId="77777777" w:rsidR="00897F84" w:rsidRPr="00C84CD9" w:rsidRDefault="00897F84" w:rsidP="00D4470F">
            <w:pPr>
              <w:jc w:val="center"/>
              <w:rPr>
                <w:b/>
                <w:bCs/>
                <w:color w:val="000000"/>
                <w:sz w:val="20"/>
                <w:szCs w:val="20"/>
              </w:rPr>
            </w:pPr>
            <w:r w:rsidRPr="00C84CD9">
              <w:rPr>
                <w:b/>
                <w:bCs/>
                <w:color w:val="000000"/>
                <w:sz w:val="20"/>
                <w:szCs w:val="20"/>
              </w:rPr>
              <w:t xml:space="preserve">Unadjusted Risk Ratio (95% CI) </w:t>
            </w:r>
          </w:p>
        </w:tc>
      </w:tr>
      <w:tr w:rsidR="00897F84" w:rsidRPr="002C1B7D" w14:paraId="13651999" w14:textId="77777777" w:rsidTr="00D4470F">
        <w:trPr>
          <w:trHeight w:val="288"/>
        </w:trPr>
        <w:tc>
          <w:tcPr>
            <w:tcW w:w="2557" w:type="dxa"/>
            <w:tcBorders>
              <w:top w:val="single" w:sz="4" w:space="0" w:color="auto"/>
            </w:tcBorders>
            <w:shd w:val="clear" w:color="auto" w:fill="auto"/>
            <w:noWrap/>
            <w:vAlign w:val="bottom"/>
            <w:hideMark/>
          </w:tcPr>
          <w:p w14:paraId="5DECEA64" w14:textId="77777777" w:rsidR="00897F84" w:rsidRPr="0091367F" w:rsidRDefault="00897F84" w:rsidP="00D4470F">
            <w:pPr>
              <w:rPr>
                <w:color w:val="000000"/>
                <w:sz w:val="22"/>
                <w:szCs w:val="22"/>
              </w:rPr>
            </w:pPr>
            <w:r w:rsidRPr="0091367F">
              <w:rPr>
                <w:color w:val="000000"/>
                <w:sz w:val="22"/>
                <w:szCs w:val="22"/>
              </w:rPr>
              <w:t xml:space="preserve">Obesity </w:t>
            </w:r>
          </w:p>
        </w:tc>
        <w:tc>
          <w:tcPr>
            <w:tcW w:w="1276" w:type="dxa"/>
            <w:tcBorders>
              <w:top w:val="single" w:sz="4" w:space="0" w:color="auto"/>
            </w:tcBorders>
            <w:shd w:val="clear" w:color="auto" w:fill="auto"/>
            <w:noWrap/>
            <w:vAlign w:val="bottom"/>
            <w:hideMark/>
          </w:tcPr>
          <w:p w14:paraId="64E8E654" w14:textId="77777777" w:rsidR="00897F84" w:rsidRPr="0091367F" w:rsidRDefault="00897F84" w:rsidP="00D4470F">
            <w:pPr>
              <w:rPr>
                <w:color w:val="000000"/>
                <w:sz w:val="22"/>
                <w:szCs w:val="22"/>
              </w:rPr>
            </w:pPr>
            <w:r w:rsidRPr="0091367F">
              <w:rPr>
                <w:color w:val="000000"/>
                <w:sz w:val="22"/>
                <w:szCs w:val="22"/>
              </w:rPr>
              <w:t>Yes</w:t>
            </w:r>
          </w:p>
        </w:tc>
        <w:tc>
          <w:tcPr>
            <w:tcW w:w="708" w:type="dxa"/>
            <w:tcBorders>
              <w:top w:val="single" w:sz="4" w:space="0" w:color="auto"/>
            </w:tcBorders>
            <w:shd w:val="clear" w:color="auto" w:fill="auto"/>
            <w:noWrap/>
            <w:vAlign w:val="bottom"/>
            <w:hideMark/>
          </w:tcPr>
          <w:p w14:paraId="55D902D9" w14:textId="77777777" w:rsidR="00897F84" w:rsidRPr="0091367F" w:rsidRDefault="00897F84" w:rsidP="00D4470F">
            <w:pPr>
              <w:jc w:val="center"/>
              <w:rPr>
                <w:color w:val="000000"/>
                <w:sz w:val="22"/>
                <w:szCs w:val="22"/>
              </w:rPr>
            </w:pPr>
            <w:r w:rsidRPr="0091367F">
              <w:rPr>
                <w:color w:val="000000"/>
                <w:sz w:val="22"/>
                <w:szCs w:val="22"/>
              </w:rPr>
              <w:t>10</w:t>
            </w:r>
          </w:p>
        </w:tc>
        <w:tc>
          <w:tcPr>
            <w:tcW w:w="1701" w:type="dxa"/>
            <w:tcBorders>
              <w:top w:val="single" w:sz="4" w:space="0" w:color="auto"/>
            </w:tcBorders>
            <w:shd w:val="clear" w:color="auto" w:fill="auto"/>
            <w:noWrap/>
            <w:vAlign w:val="bottom"/>
            <w:hideMark/>
          </w:tcPr>
          <w:p w14:paraId="014F32FA" w14:textId="77777777" w:rsidR="00897F84" w:rsidRPr="0091367F" w:rsidRDefault="00897F84" w:rsidP="00D4470F">
            <w:pPr>
              <w:jc w:val="center"/>
              <w:rPr>
                <w:color w:val="000000"/>
                <w:sz w:val="22"/>
                <w:szCs w:val="22"/>
              </w:rPr>
            </w:pPr>
            <w:r w:rsidRPr="0091367F">
              <w:rPr>
                <w:color w:val="000000"/>
                <w:sz w:val="22"/>
                <w:szCs w:val="22"/>
              </w:rPr>
              <w:t>30</w:t>
            </w:r>
          </w:p>
        </w:tc>
        <w:tc>
          <w:tcPr>
            <w:tcW w:w="1134" w:type="dxa"/>
            <w:tcBorders>
              <w:top w:val="single" w:sz="4" w:space="0" w:color="auto"/>
            </w:tcBorders>
            <w:shd w:val="clear" w:color="auto" w:fill="auto"/>
            <w:noWrap/>
            <w:vAlign w:val="bottom"/>
            <w:hideMark/>
          </w:tcPr>
          <w:p w14:paraId="566342C3" w14:textId="77777777" w:rsidR="00897F84" w:rsidRPr="0091367F" w:rsidRDefault="00897F84" w:rsidP="00D4470F">
            <w:pPr>
              <w:jc w:val="center"/>
              <w:rPr>
                <w:color w:val="000000"/>
                <w:sz w:val="22"/>
                <w:szCs w:val="22"/>
              </w:rPr>
            </w:pPr>
            <w:r w:rsidRPr="0091367F">
              <w:rPr>
                <w:color w:val="000000"/>
                <w:sz w:val="22"/>
                <w:szCs w:val="22"/>
              </w:rPr>
              <w:t>0.161</w:t>
            </w:r>
          </w:p>
        </w:tc>
        <w:tc>
          <w:tcPr>
            <w:tcW w:w="1985" w:type="dxa"/>
            <w:tcBorders>
              <w:top w:val="single" w:sz="4" w:space="0" w:color="auto"/>
            </w:tcBorders>
            <w:shd w:val="clear" w:color="auto" w:fill="auto"/>
            <w:noWrap/>
            <w:vAlign w:val="bottom"/>
          </w:tcPr>
          <w:p w14:paraId="3905178C" w14:textId="77777777" w:rsidR="00897F84" w:rsidRPr="0091367F" w:rsidRDefault="00897F84" w:rsidP="00D4470F">
            <w:pPr>
              <w:jc w:val="center"/>
              <w:rPr>
                <w:color w:val="000000"/>
                <w:sz w:val="22"/>
                <w:szCs w:val="22"/>
              </w:rPr>
            </w:pPr>
            <w:r w:rsidRPr="0091367F">
              <w:rPr>
                <w:color w:val="000000"/>
                <w:sz w:val="22"/>
                <w:szCs w:val="22"/>
              </w:rPr>
              <w:t>2.1(0.6-7.2)</w:t>
            </w:r>
          </w:p>
        </w:tc>
      </w:tr>
      <w:tr w:rsidR="00897F84" w:rsidRPr="002C1B7D" w14:paraId="30650FC6" w14:textId="77777777" w:rsidTr="00D4470F">
        <w:trPr>
          <w:trHeight w:val="288"/>
        </w:trPr>
        <w:tc>
          <w:tcPr>
            <w:tcW w:w="2557" w:type="dxa"/>
            <w:shd w:val="clear" w:color="auto" w:fill="auto"/>
            <w:noWrap/>
            <w:vAlign w:val="bottom"/>
            <w:hideMark/>
          </w:tcPr>
          <w:p w14:paraId="2893BDDA" w14:textId="77777777" w:rsidR="00897F84" w:rsidRPr="0091367F" w:rsidRDefault="00897F84" w:rsidP="00D4470F">
            <w:pPr>
              <w:rPr>
                <w:color w:val="000000"/>
                <w:sz w:val="22"/>
                <w:szCs w:val="22"/>
              </w:rPr>
            </w:pPr>
            <w:r w:rsidRPr="0091367F">
              <w:rPr>
                <w:color w:val="000000"/>
                <w:sz w:val="22"/>
                <w:szCs w:val="22"/>
              </w:rPr>
              <w:t> </w:t>
            </w:r>
          </w:p>
        </w:tc>
        <w:tc>
          <w:tcPr>
            <w:tcW w:w="1276" w:type="dxa"/>
            <w:shd w:val="clear" w:color="auto" w:fill="auto"/>
            <w:noWrap/>
            <w:vAlign w:val="bottom"/>
            <w:hideMark/>
          </w:tcPr>
          <w:p w14:paraId="46E721AC" w14:textId="77777777" w:rsidR="00897F84" w:rsidRPr="0091367F" w:rsidRDefault="00897F84" w:rsidP="00D4470F">
            <w:pPr>
              <w:rPr>
                <w:color w:val="000000"/>
                <w:sz w:val="22"/>
                <w:szCs w:val="22"/>
              </w:rPr>
            </w:pPr>
            <w:r w:rsidRPr="0091367F">
              <w:rPr>
                <w:color w:val="000000"/>
                <w:sz w:val="22"/>
                <w:szCs w:val="22"/>
              </w:rPr>
              <w:t>No</w:t>
            </w:r>
          </w:p>
        </w:tc>
        <w:tc>
          <w:tcPr>
            <w:tcW w:w="708" w:type="dxa"/>
            <w:shd w:val="clear" w:color="auto" w:fill="auto"/>
            <w:noWrap/>
            <w:vAlign w:val="bottom"/>
            <w:hideMark/>
          </w:tcPr>
          <w:p w14:paraId="2C039648" w14:textId="77777777" w:rsidR="00897F84" w:rsidRPr="0091367F" w:rsidRDefault="00897F84" w:rsidP="00D4470F">
            <w:pPr>
              <w:jc w:val="center"/>
              <w:rPr>
                <w:color w:val="000000"/>
                <w:sz w:val="22"/>
                <w:szCs w:val="22"/>
              </w:rPr>
            </w:pPr>
            <w:r w:rsidRPr="0091367F">
              <w:rPr>
                <w:color w:val="000000"/>
                <w:sz w:val="22"/>
                <w:szCs w:val="22"/>
              </w:rPr>
              <w:t>111</w:t>
            </w:r>
          </w:p>
        </w:tc>
        <w:tc>
          <w:tcPr>
            <w:tcW w:w="1701" w:type="dxa"/>
            <w:shd w:val="clear" w:color="auto" w:fill="auto"/>
            <w:noWrap/>
            <w:vAlign w:val="bottom"/>
            <w:hideMark/>
          </w:tcPr>
          <w:p w14:paraId="20A916FC" w14:textId="77777777" w:rsidR="00897F84" w:rsidRPr="0091367F" w:rsidRDefault="00897F84" w:rsidP="00D4470F">
            <w:pPr>
              <w:jc w:val="center"/>
              <w:rPr>
                <w:color w:val="000000"/>
                <w:sz w:val="22"/>
                <w:szCs w:val="22"/>
              </w:rPr>
            </w:pPr>
            <w:r w:rsidRPr="0091367F">
              <w:rPr>
                <w:color w:val="000000"/>
                <w:sz w:val="22"/>
                <w:szCs w:val="22"/>
              </w:rPr>
              <w:t>13.5</w:t>
            </w:r>
          </w:p>
        </w:tc>
        <w:tc>
          <w:tcPr>
            <w:tcW w:w="1134" w:type="dxa"/>
            <w:shd w:val="clear" w:color="auto" w:fill="auto"/>
            <w:noWrap/>
            <w:vAlign w:val="bottom"/>
            <w:hideMark/>
          </w:tcPr>
          <w:p w14:paraId="11E37853" w14:textId="77777777" w:rsidR="00897F84" w:rsidRPr="0091367F" w:rsidRDefault="00897F84" w:rsidP="00D4470F">
            <w:pPr>
              <w:jc w:val="center"/>
              <w:rPr>
                <w:color w:val="000000"/>
                <w:sz w:val="22"/>
                <w:szCs w:val="22"/>
              </w:rPr>
            </w:pPr>
            <w:r w:rsidRPr="0091367F">
              <w:rPr>
                <w:color w:val="000000"/>
                <w:sz w:val="22"/>
                <w:szCs w:val="22"/>
              </w:rPr>
              <w:t> </w:t>
            </w:r>
          </w:p>
        </w:tc>
        <w:tc>
          <w:tcPr>
            <w:tcW w:w="1985" w:type="dxa"/>
            <w:shd w:val="clear" w:color="auto" w:fill="auto"/>
            <w:noWrap/>
            <w:vAlign w:val="bottom"/>
          </w:tcPr>
          <w:p w14:paraId="5E8BB329" w14:textId="77777777" w:rsidR="00897F84" w:rsidRPr="0091367F" w:rsidRDefault="00897F84" w:rsidP="00D4470F">
            <w:pPr>
              <w:jc w:val="center"/>
              <w:rPr>
                <w:color w:val="000000"/>
                <w:sz w:val="22"/>
                <w:szCs w:val="22"/>
              </w:rPr>
            </w:pPr>
            <w:r w:rsidRPr="0091367F">
              <w:rPr>
                <w:color w:val="000000"/>
                <w:sz w:val="22"/>
                <w:szCs w:val="22"/>
              </w:rPr>
              <w:t>Ref</w:t>
            </w:r>
          </w:p>
        </w:tc>
      </w:tr>
      <w:tr w:rsidR="00897F84" w:rsidRPr="002C1B7D" w14:paraId="317C7749" w14:textId="77777777" w:rsidTr="00D4470F">
        <w:trPr>
          <w:trHeight w:val="288"/>
        </w:trPr>
        <w:tc>
          <w:tcPr>
            <w:tcW w:w="2557" w:type="dxa"/>
            <w:shd w:val="clear" w:color="auto" w:fill="auto"/>
            <w:noWrap/>
            <w:vAlign w:val="bottom"/>
            <w:hideMark/>
          </w:tcPr>
          <w:p w14:paraId="301AFDA4" w14:textId="77777777" w:rsidR="00897F84" w:rsidRPr="0091367F" w:rsidRDefault="00897F84" w:rsidP="00D4470F">
            <w:pPr>
              <w:rPr>
                <w:color w:val="000000"/>
                <w:sz w:val="22"/>
                <w:szCs w:val="22"/>
              </w:rPr>
            </w:pPr>
            <w:r w:rsidRPr="0091367F">
              <w:rPr>
                <w:color w:val="000000"/>
                <w:sz w:val="22"/>
                <w:szCs w:val="22"/>
              </w:rPr>
              <w:t xml:space="preserve">Cancer </w:t>
            </w:r>
          </w:p>
        </w:tc>
        <w:tc>
          <w:tcPr>
            <w:tcW w:w="1276" w:type="dxa"/>
            <w:shd w:val="clear" w:color="auto" w:fill="auto"/>
            <w:noWrap/>
            <w:vAlign w:val="bottom"/>
            <w:hideMark/>
          </w:tcPr>
          <w:p w14:paraId="168146D6" w14:textId="77777777" w:rsidR="00897F84" w:rsidRPr="0091367F" w:rsidRDefault="00897F84" w:rsidP="00D4470F">
            <w:pPr>
              <w:rPr>
                <w:color w:val="000000"/>
                <w:sz w:val="22"/>
                <w:szCs w:val="22"/>
              </w:rPr>
            </w:pPr>
            <w:r w:rsidRPr="0091367F">
              <w:rPr>
                <w:color w:val="000000"/>
                <w:sz w:val="22"/>
                <w:szCs w:val="22"/>
              </w:rPr>
              <w:t>Yes</w:t>
            </w:r>
          </w:p>
        </w:tc>
        <w:tc>
          <w:tcPr>
            <w:tcW w:w="708" w:type="dxa"/>
            <w:shd w:val="clear" w:color="auto" w:fill="auto"/>
            <w:noWrap/>
            <w:vAlign w:val="bottom"/>
            <w:hideMark/>
          </w:tcPr>
          <w:p w14:paraId="78873371" w14:textId="77777777" w:rsidR="00897F84" w:rsidRPr="0091367F" w:rsidRDefault="00897F84" w:rsidP="00D4470F">
            <w:pPr>
              <w:jc w:val="center"/>
              <w:rPr>
                <w:color w:val="000000"/>
                <w:sz w:val="22"/>
                <w:szCs w:val="22"/>
              </w:rPr>
            </w:pPr>
            <w:r w:rsidRPr="0091367F">
              <w:rPr>
                <w:color w:val="000000"/>
                <w:sz w:val="22"/>
                <w:szCs w:val="22"/>
              </w:rPr>
              <w:t>5</w:t>
            </w:r>
          </w:p>
        </w:tc>
        <w:tc>
          <w:tcPr>
            <w:tcW w:w="1701" w:type="dxa"/>
            <w:shd w:val="clear" w:color="auto" w:fill="auto"/>
            <w:noWrap/>
            <w:vAlign w:val="bottom"/>
            <w:hideMark/>
          </w:tcPr>
          <w:p w14:paraId="75CD5CA0" w14:textId="77777777" w:rsidR="00897F84" w:rsidRPr="0091367F" w:rsidRDefault="00897F84" w:rsidP="00D4470F">
            <w:pPr>
              <w:jc w:val="center"/>
              <w:rPr>
                <w:color w:val="000000"/>
                <w:sz w:val="22"/>
                <w:szCs w:val="22"/>
              </w:rPr>
            </w:pPr>
            <w:r w:rsidRPr="0091367F">
              <w:rPr>
                <w:color w:val="000000"/>
                <w:sz w:val="22"/>
                <w:szCs w:val="22"/>
              </w:rPr>
              <w:t>0</w:t>
            </w:r>
          </w:p>
        </w:tc>
        <w:tc>
          <w:tcPr>
            <w:tcW w:w="1134" w:type="dxa"/>
            <w:shd w:val="clear" w:color="auto" w:fill="auto"/>
            <w:noWrap/>
            <w:vAlign w:val="bottom"/>
            <w:hideMark/>
          </w:tcPr>
          <w:p w14:paraId="62675996" w14:textId="77777777" w:rsidR="00897F84" w:rsidRPr="0091367F" w:rsidRDefault="00897F84" w:rsidP="00D4470F">
            <w:pPr>
              <w:jc w:val="center"/>
              <w:rPr>
                <w:color w:val="000000"/>
                <w:sz w:val="22"/>
                <w:szCs w:val="22"/>
              </w:rPr>
            </w:pPr>
            <w:r w:rsidRPr="0091367F">
              <w:rPr>
                <w:color w:val="000000"/>
                <w:sz w:val="22"/>
                <w:szCs w:val="22"/>
              </w:rPr>
              <w:t>0.34</w:t>
            </w:r>
          </w:p>
        </w:tc>
        <w:tc>
          <w:tcPr>
            <w:tcW w:w="1985" w:type="dxa"/>
            <w:shd w:val="clear" w:color="auto" w:fill="auto"/>
            <w:noWrap/>
            <w:vAlign w:val="bottom"/>
          </w:tcPr>
          <w:p w14:paraId="31E4CC40" w14:textId="77777777" w:rsidR="00897F84" w:rsidRPr="0091367F" w:rsidRDefault="00897F84" w:rsidP="00D4470F">
            <w:pPr>
              <w:jc w:val="center"/>
              <w:rPr>
                <w:color w:val="000000"/>
                <w:sz w:val="22"/>
                <w:szCs w:val="22"/>
              </w:rPr>
            </w:pPr>
            <w:r w:rsidRPr="0091367F">
              <w:rPr>
                <w:color w:val="000000"/>
                <w:sz w:val="22"/>
                <w:szCs w:val="22"/>
              </w:rPr>
              <w:t>Empty</w:t>
            </w:r>
          </w:p>
        </w:tc>
      </w:tr>
      <w:tr w:rsidR="00897F84" w:rsidRPr="002C1B7D" w14:paraId="7ED704D7" w14:textId="77777777" w:rsidTr="00D4470F">
        <w:trPr>
          <w:trHeight w:val="288"/>
        </w:trPr>
        <w:tc>
          <w:tcPr>
            <w:tcW w:w="2557" w:type="dxa"/>
            <w:shd w:val="clear" w:color="auto" w:fill="auto"/>
            <w:noWrap/>
            <w:vAlign w:val="bottom"/>
            <w:hideMark/>
          </w:tcPr>
          <w:p w14:paraId="0EF902AA" w14:textId="77777777" w:rsidR="00897F84" w:rsidRPr="0091367F" w:rsidRDefault="00897F84" w:rsidP="00D4470F">
            <w:pPr>
              <w:rPr>
                <w:color w:val="000000"/>
                <w:sz w:val="22"/>
                <w:szCs w:val="22"/>
              </w:rPr>
            </w:pPr>
            <w:r w:rsidRPr="0091367F">
              <w:rPr>
                <w:color w:val="000000"/>
                <w:sz w:val="22"/>
                <w:szCs w:val="22"/>
              </w:rPr>
              <w:t> </w:t>
            </w:r>
          </w:p>
        </w:tc>
        <w:tc>
          <w:tcPr>
            <w:tcW w:w="1276" w:type="dxa"/>
            <w:shd w:val="clear" w:color="auto" w:fill="auto"/>
            <w:noWrap/>
            <w:vAlign w:val="bottom"/>
            <w:hideMark/>
          </w:tcPr>
          <w:p w14:paraId="01E7F0C1" w14:textId="77777777" w:rsidR="00897F84" w:rsidRPr="0091367F" w:rsidRDefault="00897F84" w:rsidP="00D4470F">
            <w:pPr>
              <w:rPr>
                <w:color w:val="000000"/>
                <w:sz w:val="22"/>
                <w:szCs w:val="22"/>
              </w:rPr>
            </w:pPr>
            <w:r w:rsidRPr="0091367F">
              <w:rPr>
                <w:color w:val="000000"/>
                <w:sz w:val="22"/>
                <w:szCs w:val="22"/>
              </w:rPr>
              <w:t>No</w:t>
            </w:r>
          </w:p>
        </w:tc>
        <w:tc>
          <w:tcPr>
            <w:tcW w:w="708" w:type="dxa"/>
            <w:shd w:val="clear" w:color="auto" w:fill="auto"/>
            <w:noWrap/>
            <w:vAlign w:val="bottom"/>
            <w:hideMark/>
          </w:tcPr>
          <w:p w14:paraId="3A0BCA0C" w14:textId="77777777" w:rsidR="00897F84" w:rsidRPr="0091367F" w:rsidRDefault="00897F84" w:rsidP="00D4470F">
            <w:pPr>
              <w:jc w:val="center"/>
              <w:rPr>
                <w:color w:val="000000"/>
                <w:sz w:val="22"/>
                <w:szCs w:val="22"/>
              </w:rPr>
            </w:pPr>
            <w:r w:rsidRPr="0091367F">
              <w:rPr>
                <w:color w:val="000000"/>
                <w:sz w:val="22"/>
                <w:szCs w:val="22"/>
              </w:rPr>
              <w:t>116</w:t>
            </w:r>
          </w:p>
        </w:tc>
        <w:tc>
          <w:tcPr>
            <w:tcW w:w="1701" w:type="dxa"/>
            <w:shd w:val="clear" w:color="auto" w:fill="auto"/>
            <w:noWrap/>
            <w:vAlign w:val="bottom"/>
            <w:hideMark/>
          </w:tcPr>
          <w:p w14:paraId="7152EF19" w14:textId="77777777" w:rsidR="00897F84" w:rsidRPr="0091367F" w:rsidRDefault="00897F84" w:rsidP="00D4470F">
            <w:pPr>
              <w:jc w:val="center"/>
              <w:rPr>
                <w:color w:val="000000"/>
                <w:sz w:val="22"/>
                <w:szCs w:val="22"/>
              </w:rPr>
            </w:pPr>
            <w:r w:rsidRPr="0091367F">
              <w:rPr>
                <w:color w:val="000000"/>
                <w:sz w:val="22"/>
                <w:szCs w:val="22"/>
              </w:rPr>
              <w:t>15.5</w:t>
            </w:r>
          </w:p>
        </w:tc>
        <w:tc>
          <w:tcPr>
            <w:tcW w:w="1134" w:type="dxa"/>
            <w:shd w:val="clear" w:color="auto" w:fill="auto"/>
            <w:noWrap/>
            <w:vAlign w:val="bottom"/>
            <w:hideMark/>
          </w:tcPr>
          <w:p w14:paraId="15AB8087" w14:textId="77777777" w:rsidR="00897F84" w:rsidRPr="0091367F" w:rsidRDefault="00897F84" w:rsidP="00D4470F">
            <w:pPr>
              <w:jc w:val="center"/>
              <w:rPr>
                <w:color w:val="000000"/>
                <w:sz w:val="22"/>
                <w:szCs w:val="22"/>
              </w:rPr>
            </w:pPr>
            <w:r w:rsidRPr="0091367F">
              <w:rPr>
                <w:color w:val="000000"/>
                <w:sz w:val="22"/>
                <w:szCs w:val="22"/>
              </w:rPr>
              <w:t> </w:t>
            </w:r>
          </w:p>
        </w:tc>
        <w:tc>
          <w:tcPr>
            <w:tcW w:w="1985" w:type="dxa"/>
            <w:shd w:val="clear" w:color="auto" w:fill="auto"/>
            <w:noWrap/>
            <w:vAlign w:val="bottom"/>
          </w:tcPr>
          <w:p w14:paraId="6F6E8AFD" w14:textId="77777777" w:rsidR="00897F84" w:rsidRPr="0091367F" w:rsidRDefault="00897F84" w:rsidP="00D4470F">
            <w:pPr>
              <w:jc w:val="center"/>
              <w:rPr>
                <w:color w:val="000000"/>
                <w:sz w:val="22"/>
                <w:szCs w:val="22"/>
              </w:rPr>
            </w:pPr>
            <w:r w:rsidRPr="0091367F">
              <w:rPr>
                <w:color w:val="000000"/>
                <w:sz w:val="22"/>
                <w:szCs w:val="22"/>
              </w:rPr>
              <w:t>Ref</w:t>
            </w:r>
          </w:p>
        </w:tc>
      </w:tr>
      <w:tr w:rsidR="00897F84" w:rsidRPr="002C1B7D" w14:paraId="5DE438D6" w14:textId="77777777" w:rsidTr="00D4470F">
        <w:trPr>
          <w:trHeight w:val="288"/>
        </w:trPr>
        <w:tc>
          <w:tcPr>
            <w:tcW w:w="2557" w:type="dxa"/>
            <w:shd w:val="clear" w:color="auto" w:fill="auto"/>
            <w:noWrap/>
            <w:vAlign w:val="bottom"/>
            <w:hideMark/>
          </w:tcPr>
          <w:p w14:paraId="19E1B2E7" w14:textId="77777777" w:rsidR="00897F84" w:rsidRPr="0091367F" w:rsidRDefault="00897F84" w:rsidP="00D4470F">
            <w:pPr>
              <w:rPr>
                <w:color w:val="000000"/>
                <w:sz w:val="22"/>
                <w:szCs w:val="22"/>
              </w:rPr>
            </w:pPr>
            <w:r w:rsidRPr="0091367F">
              <w:rPr>
                <w:color w:val="000000"/>
                <w:sz w:val="22"/>
                <w:szCs w:val="22"/>
              </w:rPr>
              <w:t xml:space="preserve">Diabetes </w:t>
            </w:r>
          </w:p>
        </w:tc>
        <w:tc>
          <w:tcPr>
            <w:tcW w:w="1276" w:type="dxa"/>
            <w:shd w:val="clear" w:color="auto" w:fill="auto"/>
            <w:noWrap/>
            <w:vAlign w:val="bottom"/>
            <w:hideMark/>
          </w:tcPr>
          <w:p w14:paraId="02991912" w14:textId="77777777" w:rsidR="00897F84" w:rsidRPr="0091367F" w:rsidRDefault="00897F84" w:rsidP="00D4470F">
            <w:pPr>
              <w:rPr>
                <w:color w:val="000000"/>
                <w:sz w:val="22"/>
                <w:szCs w:val="22"/>
              </w:rPr>
            </w:pPr>
            <w:r w:rsidRPr="0091367F">
              <w:rPr>
                <w:color w:val="000000"/>
                <w:sz w:val="22"/>
                <w:szCs w:val="22"/>
              </w:rPr>
              <w:t>Yes</w:t>
            </w:r>
          </w:p>
        </w:tc>
        <w:tc>
          <w:tcPr>
            <w:tcW w:w="708" w:type="dxa"/>
            <w:shd w:val="clear" w:color="auto" w:fill="auto"/>
            <w:noWrap/>
            <w:vAlign w:val="bottom"/>
            <w:hideMark/>
          </w:tcPr>
          <w:p w14:paraId="46637026" w14:textId="77777777" w:rsidR="00897F84" w:rsidRPr="0091367F" w:rsidRDefault="00897F84" w:rsidP="00D4470F">
            <w:pPr>
              <w:jc w:val="center"/>
              <w:rPr>
                <w:color w:val="000000"/>
                <w:sz w:val="22"/>
                <w:szCs w:val="22"/>
              </w:rPr>
            </w:pPr>
            <w:r w:rsidRPr="0091367F">
              <w:rPr>
                <w:color w:val="000000"/>
                <w:sz w:val="22"/>
                <w:szCs w:val="22"/>
              </w:rPr>
              <w:t>10</w:t>
            </w:r>
          </w:p>
        </w:tc>
        <w:tc>
          <w:tcPr>
            <w:tcW w:w="1701" w:type="dxa"/>
            <w:shd w:val="clear" w:color="auto" w:fill="auto"/>
            <w:noWrap/>
            <w:vAlign w:val="bottom"/>
            <w:hideMark/>
          </w:tcPr>
          <w:p w14:paraId="6FD24CE1" w14:textId="77777777" w:rsidR="00897F84" w:rsidRPr="0091367F" w:rsidRDefault="00897F84" w:rsidP="00D4470F">
            <w:pPr>
              <w:jc w:val="center"/>
              <w:rPr>
                <w:color w:val="000000"/>
                <w:sz w:val="22"/>
                <w:szCs w:val="22"/>
              </w:rPr>
            </w:pPr>
            <w:r w:rsidRPr="0091367F">
              <w:rPr>
                <w:color w:val="000000"/>
                <w:sz w:val="22"/>
                <w:szCs w:val="22"/>
              </w:rPr>
              <w:t>30</w:t>
            </w:r>
          </w:p>
        </w:tc>
        <w:tc>
          <w:tcPr>
            <w:tcW w:w="1134" w:type="dxa"/>
            <w:shd w:val="clear" w:color="auto" w:fill="auto"/>
            <w:noWrap/>
            <w:vAlign w:val="bottom"/>
            <w:hideMark/>
          </w:tcPr>
          <w:p w14:paraId="71DC33DE" w14:textId="77777777" w:rsidR="00897F84" w:rsidRPr="0091367F" w:rsidRDefault="00897F84" w:rsidP="00D4470F">
            <w:pPr>
              <w:jc w:val="center"/>
              <w:rPr>
                <w:color w:val="000000"/>
                <w:sz w:val="22"/>
                <w:szCs w:val="22"/>
              </w:rPr>
            </w:pPr>
            <w:r w:rsidRPr="0091367F">
              <w:rPr>
                <w:color w:val="000000"/>
                <w:sz w:val="22"/>
                <w:szCs w:val="22"/>
              </w:rPr>
              <w:t>0.161</w:t>
            </w:r>
          </w:p>
        </w:tc>
        <w:tc>
          <w:tcPr>
            <w:tcW w:w="1985" w:type="dxa"/>
            <w:shd w:val="clear" w:color="auto" w:fill="auto"/>
            <w:noWrap/>
            <w:vAlign w:val="bottom"/>
          </w:tcPr>
          <w:p w14:paraId="27BECDA7" w14:textId="77777777" w:rsidR="00897F84" w:rsidRPr="0091367F" w:rsidRDefault="00897F84" w:rsidP="00D4470F">
            <w:pPr>
              <w:jc w:val="center"/>
              <w:rPr>
                <w:color w:val="000000"/>
                <w:sz w:val="22"/>
                <w:szCs w:val="22"/>
              </w:rPr>
            </w:pPr>
            <w:r w:rsidRPr="0091367F">
              <w:rPr>
                <w:color w:val="000000"/>
                <w:sz w:val="22"/>
                <w:szCs w:val="22"/>
              </w:rPr>
              <w:t>2.1(0.6-7.1)</w:t>
            </w:r>
          </w:p>
        </w:tc>
      </w:tr>
      <w:tr w:rsidR="00897F84" w:rsidRPr="002C1B7D" w14:paraId="419DE057" w14:textId="77777777" w:rsidTr="00D4470F">
        <w:trPr>
          <w:trHeight w:val="288"/>
        </w:trPr>
        <w:tc>
          <w:tcPr>
            <w:tcW w:w="2557" w:type="dxa"/>
            <w:shd w:val="clear" w:color="auto" w:fill="auto"/>
            <w:noWrap/>
            <w:vAlign w:val="bottom"/>
            <w:hideMark/>
          </w:tcPr>
          <w:p w14:paraId="17655A4A" w14:textId="77777777" w:rsidR="00897F84" w:rsidRPr="0091367F" w:rsidRDefault="00897F84" w:rsidP="00D4470F">
            <w:pPr>
              <w:rPr>
                <w:color w:val="000000"/>
                <w:sz w:val="22"/>
                <w:szCs w:val="22"/>
              </w:rPr>
            </w:pPr>
            <w:r w:rsidRPr="0091367F">
              <w:rPr>
                <w:color w:val="000000"/>
                <w:sz w:val="22"/>
                <w:szCs w:val="22"/>
              </w:rPr>
              <w:t> </w:t>
            </w:r>
          </w:p>
        </w:tc>
        <w:tc>
          <w:tcPr>
            <w:tcW w:w="1276" w:type="dxa"/>
            <w:shd w:val="clear" w:color="auto" w:fill="auto"/>
            <w:noWrap/>
            <w:vAlign w:val="bottom"/>
            <w:hideMark/>
          </w:tcPr>
          <w:p w14:paraId="2645759E" w14:textId="77777777" w:rsidR="00897F84" w:rsidRPr="0091367F" w:rsidRDefault="00897F84" w:rsidP="00D4470F">
            <w:pPr>
              <w:rPr>
                <w:color w:val="000000"/>
                <w:sz w:val="22"/>
                <w:szCs w:val="22"/>
              </w:rPr>
            </w:pPr>
            <w:r w:rsidRPr="0091367F">
              <w:rPr>
                <w:color w:val="000000"/>
                <w:sz w:val="22"/>
                <w:szCs w:val="22"/>
              </w:rPr>
              <w:t>No</w:t>
            </w:r>
          </w:p>
        </w:tc>
        <w:tc>
          <w:tcPr>
            <w:tcW w:w="708" w:type="dxa"/>
            <w:shd w:val="clear" w:color="auto" w:fill="auto"/>
            <w:noWrap/>
            <w:vAlign w:val="bottom"/>
            <w:hideMark/>
          </w:tcPr>
          <w:p w14:paraId="51BDF2BB" w14:textId="77777777" w:rsidR="00897F84" w:rsidRPr="0091367F" w:rsidRDefault="00897F84" w:rsidP="00D4470F">
            <w:pPr>
              <w:jc w:val="center"/>
              <w:rPr>
                <w:color w:val="000000"/>
                <w:sz w:val="22"/>
                <w:szCs w:val="22"/>
              </w:rPr>
            </w:pPr>
            <w:r w:rsidRPr="0091367F">
              <w:rPr>
                <w:color w:val="000000"/>
                <w:sz w:val="22"/>
                <w:szCs w:val="22"/>
              </w:rPr>
              <w:t>111</w:t>
            </w:r>
          </w:p>
        </w:tc>
        <w:tc>
          <w:tcPr>
            <w:tcW w:w="1701" w:type="dxa"/>
            <w:shd w:val="clear" w:color="auto" w:fill="auto"/>
            <w:noWrap/>
            <w:vAlign w:val="bottom"/>
            <w:hideMark/>
          </w:tcPr>
          <w:p w14:paraId="7F15E2F2" w14:textId="77777777" w:rsidR="00897F84" w:rsidRPr="0091367F" w:rsidRDefault="00897F84" w:rsidP="00D4470F">
            <w:pPr>
              <w:jc w:val="center"/>
              <w:rPr>
                <w:color w:val="000000"/>
                <w:sz w:val="22"/>
                <w:szCs w:val="22"/>
              </w:rPr>
            </w:pPr>
            <w:r w:rsidRPr="0091367F">
              <w:rPr>
                <w:color w:val="000000"/>
                <w:sz w:val="22"/>
                <w:szCs w:val="22"/>
              </w:rPr>
              <w:t>13.5</w:t>
            </w:r>
          </w:p>
        </w:tc>
        <w:tc>
          <w:tcPr>
            <w:tcW w:w="1134" w:type="dxa"/>
            <w:shd w:val="clear" w:color="auto" w:fill="auto"/>
            <w:noWrap/>
            <w:vAlign w:val="bottom"/>
            <w:hideMark/>
          </w:tcPr>
          <w:p w14:paraId="05B05727" w14:textId="77777777" w:rsidR="00897F84" w:rsidRPr="0091367F" w:rsidRDefault="00897F84" w:rsidP="00D4470F">
            <w:pPr>
              <w:jc w:val="center"/>
              <w:rPr>
                <w:color w:val="000000"/>
                <w:sz w:val="22"/>
                <w:szCs w:val="22"/>
              </w:rPr>
            </w:pPr>
            <w:r w:rsidRPr="0091367F">
              <w:rPr>
                <w:color w:val="000000"/>
                <w:sz w:val="22"/>
                <w:szCs w:val="22"/>
              </w:rPr>
              <w:t> </w:t>
            </w:r>
          </w:p>
        </w:tc>
        <w:tc>
          <w:tcPr>
            <w:tcW w:w="1985" w:type="dxa"/>
            <w:shd w:val="clear" w:color="auto" w:fill="auto"/>
            <w:noWrap/>
            <w:vAlign w:val="bottom"/>
          </w:tcPr>
          <w:p w14:paraId="590C22BF" w14:textId="77777777" w:rsidR="00897F84" w:rsidRPr="0091367F" w:rsidRDefault="00897F84" w:rsidP="00D4470F">
            <w:pPr>
              <w:jc w:val="center"/>
              <w:rPr>
                <w:color w:val="000000"/>
                <w:sz w:val="22"/>
                <w:szCs w:val="22"/>
              </w:rPr>
            </w:pPr>
            <w:r w:rsidRPr="0091367F">
              <w:rPr>
                <w:color w:val="000000"/>
                <w:sz w:val="22"/>
                <w:szCs w:val="22"/>
              </w:rPr>
              <w:t>Ref</w:t>
            </w:r>
          </w:p>
        </w:tc>
      </w:tr>
      <w:tr w:rsidR="00897F84" w:rsidRPr="002C1B7D" w14:paraId="185B56CE" w14:textId="77777777" w:rsidTr="00D4470F">
        <w:trPr>
          <w:trHeight w:val="288"/>
        </w:trPr>
        <w:tc>
          <w:tcPr>
            <w:tcW w:w="2557" w:type="dxa"/>
            <w:shd w:val="clear" w:color="auto" w:fill="auto"/>
            <w:noWrap/>
            <w:vAlign w:val="bottom"/>
            <w:hideMark/>
          </w:tcPr>
          <w:p w14:paraId="60B4331C" w14:textId="77777777" w:rsidR="00897F84" w:rsidRPr="0091367F" w:rsidRDefault="00897F84" w:rsidP="00D4470F">
            <w:pPr>
              <w:rPr>
                <w:color w:val="000000"/>
                <w:sz w:val="22"/>
                <w:szCs w:val="22"/>
              </w:rPr>
            </w:pPr>
            <w:r w:rsidRPr="0091367F">
              <w:rPr>
                <w:color w:val="000000"/>
                <w:sz w:val="22"/>
                <w:szCs w:val="22"/>
              </w:rPr>
              <w:t xml:space="preserve">HIV </w:t>
            </w:r>
          </w:p>
        </w:tc>
        <w:tc>
          <w:tcPr>
            <w:tcW w:w="1276" w:type="dxa"/>
            <w:shd w:val="clear" w:color="auto" w:fill="auto"/>
            <w:noWrap/>
            <w:vAlign w:val="bottom"/>
            <w:hideMark/>
          </w:tcPr>
          <w:p w14:paraId="7C199A47" w14:textId="77777777" w:rsidR="00897F84" w:rsidRPr="0091367F" w:rsidRDefault="00897F84" w:rsidP="00D4470F">
            <w:pPr>
              <w:rPr>
                <w:color w:val="000000"/>
                <w:sz w:val="22"/>
                <w:szCs w:val="22"/>
              </w:rPr>
            </w:pPr>
            <w:r w:rsidRPr="0091367F">
              <w:rPr>
                <w:color w:val="000000"/>
                <w:sz w:val="22"/>
                <w:szCs w:val="22"/>
              </w:rPr>
              <w:t>Yes</w:t>
            </w:r>
          </w:p>
        </w:tc>
        <w:tc>
          <w:tcPr>
            <w:tcW w:w="708" w:type="dxa"/>
            <w:shd w:val="clear" w:color="auto" w:fill="auto"/>
            <w:noWrap/>
            <w:vAlign w:val="bottom"/>
            <w:hideMark/>
          </w:tcPr>
          <w:p w14:paraId="7D407F37" w14:textId="77777777" w:rsidR="00897F84" w:rsidRPr="0091367F" w:rsidRDefault="00897F84" w:rsidP="00D4470F">
            <w:pPr>
              <w:jc w:val="center"/>
              <w:rPr>
                <w:color w:val="000000"/>
                <w:sz w:val="22"/>
                <w:szCs w:val="22"/>
              </w:rPr>
            </w:pPr>
            <w:r w:rsidRPr="0091367F">
              <w:rPr>
                <w:color w:val="000000"/>
                <w:sz w:val="22"/>
                <w:szCs w:val="22"/>
              </w:rPr>
              <w:t>4</w:t>
            </w:r>
          </w:p>
        </w:tc>
        <w:tc>
          <w:tcPr>
            <w:tcW w:w="1701" w:type="dxa"/>
            <w:shd w:val="clear" w:color="auto" w:fill="auto"/>
            <w:noWrap/>
            <w:vAlign w:val="bottom"/>
            <w:hideMark/>
          </w:tcPr>
          <w:p w14:paraId="2E5D50B3" w14:textId="77777777" w:rsidR="00897F84" w:rsidRPr="0091367F" w:rsidRDefault="00897F84" w:rsidP="00D4470F">
            <w:pPr>
              <w:jc w:val="center"/>
              <w:rPr>
                <w:color w:val="000000"/>
                <w:sz w:val="22"/>
                <w:szCs w:val="22"/>
              </w:rPr>
            </w:pPr>
            <w:r w:rsidRPr="0091367F">
              <w:rPr>
                <w:color w:val="000000"/>
                <w:sz w:val="22"/>
                <w:szCs w:val="22"/>
              </w:rPr>
              <w:t>50</w:t>
            </w:r>
          </w:p>
        </w:tc>
        <w:tc>
          <w:tcPr>
            <w:tcW w:w="1134" w:type="dxa"/>
            <w:shd w:val="clear" w:color="auto" w:fill="auto"/>
            <w:noWrap/>
            <w:vAlign w:val="bottom"/>
            <w:hideMark/>
          </w:tcPr>
          <w:p w14:paraId="4CEDB646" w14:textId="77777777" w:rsidR="00897F84" w:rsidRPr="0091367F" w:rsidRDefault="00897F84" w:rsidP="00D4470F">
            <w:pPr>
              <w:jc w:val="center"/>
              <w:rPr>
                <w:color w:val="000000"/>
                <w:sz w:val="22"/>
                <w:szCs w:val="22"/>
              </w:rPr>
            </w:pPr>
            <w:r w:rsidRPr="0091367F">
              <w:rPr>
                <w:color w:val="000000"/>
                <w:sz w:val="22"/>
                <w:szCs w:val="22"/>
              </w:rPr>
              <w:t>0.045</w:t>
            </w:r>
          </w:p>
        </w:tc>
        <w:tc>
          <w:tcPr>
            <w:tcW w:w="1985" w:type="dxa"/>
            <w:shd w:val="clear" w:color="auto" w:fill="auto"/>
            <w:noWrap/>
            <w:vAlign w:val="bottom"/>
          </w:tcPr>
          <w:p w14:paraId="56766DB3" w14:textId="77777777" w:rsidR="00897F84" w:rsidRPr="0091367F" w:rsidRDefault="00897F84" w:rsidP="00D4470F">
            <w:pPr>
              <w:jc w:val="center"/>
              <w:rPr>
                <w:color w:val="000000"/>
                <w:sz w:val="22"/>
                <w:szCs w:val="22"/>
              </w:rPr>
            </w:pPr>
            <w:r w:rsidRPr="0091367F">
              <w:rPr>
                <w:color w:val="000000"/>
                <w:sz w:val="22"/>
                <w:szCs w:val="22"/>
              </w:rPr>
              <w:t>3.0(0.7-13.2)</w:t>
            </w:r>
          </w:p>
        </w:tc>
      </w:tr>
      <w:tr w:rsidR="00897F84" w:rsidRPr="002C1B7D" w14:paraId="3957417D" w14:textId="77777777" w:rsidTr="00D4470F">
        <w:trPr>
          <w:trHeight w:val="288"/>
        </w:trPr>
        <w:tc>
          <w:tcPr>
            <w:tcW w:w="2557" w:type="dxa"/>
            <w:shd w:val="clear" w:color="auto" w:fill="auto"/>
            <w:noWrap/>
            <w:vAlign w:val="bottom"/>
            <w:hideMark/>
          </w:tcPr>
          <w:p w14:paraId="031DCA19" w14:textId="77777777" w:rsidR="00897F84" w:rsidRPr="0091367F" w:rsidRDefault="00897F84" w:rsidP="00D4470F">
            <w:pPr>
              <w:rPr>
                <w:color w:val="000000"/>
                <w:sz w:val="22"/>
                <w:szCs w:val="22"/>
              </w:rPr>
            </w:pPr>
            <w:r w:rsidRPr="0091367F">
              <w:rPr>
                <w:color w:val="000000"/>
                <w:sz w:val="22"/>
                <w:szCs w:val="22"/>
              </w:rPr>
              <w:t> </w:t>
            </w:r>
          </w:p>
        </w:tc>
        <w:tc>
          <w:tcPr>
            <w:tcW w:w="1276" w:type="dxa"/>
            <w:shd w:val="clear" w:color="auto" w:fill="auto"/>
            <w:noWrap/>
            <w:vAlign w:val="bottom"/>
            <w:hideMark/>
          </w:tcPr>
          <w:p w14:paraId="28DEC978" w14:textId="77777777" w:rsidR="00897F84" w:rsidRPr="0091367F" w:rsidRDefault="00897F84" w:rsidP="00D4470F">
            <w:pPr>
              <w:rPr>
                <w:color w:val="000000"/>
                <w:sz w:val="22"/>
                <w:szCs w:val="22"/>
              </w:rPr>
            </w:pPr>
            <w:r w:rsidRPr="0091367F">
              <w:rPr>
                <w:color w:val="000000"/>
                <w:sz w:val="22"/>
                <w:szCs w:val="22"/>
              </w:rPr>
              <w:t>No</w:t>
            </w:r>
          </w:p>
        </w:tc>
        <w:tc>
          <w:tcPr>
            <w:tcW w:w="708" w:type="dxa"/>
            <w:shd w:val="clear" w:color="auto" w:fill="auto"/>
            <w:noWrap/>
            <w:vAlign w:val="bottom"/>
            <w:hideMark/>
          </w:tcPr>
          <w:p w14:paraId="05E3D6C4" w14:textId="77777777" w:rsidR="00897F84" w:rsidRPr="0091367F" w:rsidRDefault="00897F84" w:rsidP="00D4470F">
            <w:pPr>
              <w:jc w:val="center"/>
              <w:rPr>
                <w:color w:val="000000"/>
                <w:sz w:val="22"/>
                <w:szCs w:val="22"/>
              </w:rPr>
            </w:pPr>
            <w:r w:rsidRPr="0091367F">
              <w:rPr>
                <w:color w:val="000000"/>
                <w:sz w:val="22"/>
                <w:szCs w:val="22"/>
              </w:rPr>
              <w:t>117</w:t>
            </w:r>
          </w:p>
        </w:tc>
        <w:tc>
          <w:tcPr>
            <w:tcW w:w="1701" w:type="dxa"/>
            <w:shd w:val="clear" w:color="auto" w:fill="auto"/>
            <w:noWrap/>
            <w:vAlign w:val="bottom"/>
            <w:hideMark/>
          </w:tcPr>
          <w:p w14:paraId="10B2E357" w14:textId="77777777" w:rsidR="00897F84" w:rsidRPr="0091367F" w:rsidRDefault="00897F84" w:rsidP="00D4470F">
            <w:pPr>
              <w:jc w:val="center"/>
              <w:rPr>
                <w:color w:val="000000"/>
                <w:sz w:val="22"/>
                <w:szCs w:val="22"/>
              </w:rPr>
            </w:pPr>
            <w:r w:rsidRPr="0091367F">
              <w:rPr>
                <w:color w:val="000000"/>
                <w:sz w:val="22"/>
                <w:szCs w:val="22"/>
              </w:rPr>
              <w:t>13.7</w:t>
            </w:r>
          </w:p>
        </w:tc>
        <w:tc>
          <w:tcPr>
            <w:tcW w:w="1134" w:type="dxa"/>
            <w:shd w:val="clear" w:color="auto" w:fill="auto"/>
            <w:noWrap/>
            <w:vAlign w:val="bottom"/>
            <w:hideMark/>
          </w:tcPr>
          <w:p w14:paraId="39C834AE" w14:textId="77777777" w:rsidR="00897F84" w:rsidRPr="0091367F" w:rsidRDefault="00897F84" w:rsidP="00D4470F">
            <w:pPr>
              <w:jc w:val="center"/>
              <w:rPr>
                <w:color w:val="000000"/>
                <w:sz w:val="22"/>
                <w:szCs w:val="22"/>
              </w:rPr>
            </w:pPr>
            <w:r w:rsidRPr="0091367F">
              <w:rPr>
                <w:color w:val="000000"/>
                <w:sz w:val="22"/>
                <w:szCs w:val="22"/>
              </w:rPr>
              <w:t> </w:t>
            </w:r>
          </w:p>
        </w:tc>
        <w:tc>
          <w:tcPr>
            <w:tcW w:w="1985" w:type="dxa"/>
            <w:shd w:val="clear" w:color="auto" w:fill="auto"/>
            <w:noWrap/>
            <w:vAlign w:val="bottom"/>
          </w:tcPr>
          <w:p w14:paraId="5099DA44" w14:textId="77777777" w:rsidR="00897F84" w:rsidRPr="0091367F" w:rsidRDefault="00897F84" w:rsidP="00D4470F">
            <w:pPr>
              <w:jc w:val="center"/>
              <w:rPr>
                <w:color w:val="000000"/>
                <w:sz w:val="22"/>
                <w:szCs w:val="22"/>
              </w:rPr>
            </w:pPr>
            <w:r w:rsidRPr="0091367F">
              <w:rPr>
                <w:color w:val="000000"/>
                <w:sz w:val="22"/>
                <w:szCs w:val="22"/>
              </w:rPr>
              <w:t>Ref</w:t>
            </w:r>
          </w:p>
        </w:tc>
      </w:tr>
      <w:tr w:rsidR="00897F84" w:rsidRPr="002C1B7D" w14:paraId="5C519EBB" w14:textId="77777777" w:rsidTr="00D4470F">
        <w:trPr>
          <w:trHeight w:val="288"/>
        </w:trPr>
        <w:tc>
          <w:tcPr>
            <w:tcW w:w="2557" w:type="dxa"/>
            <w:shd w:val="clear" w:color="auto" w:fill="auto"/>
            <w:noWrap/>
            <w:vAlign w:val="bottom"/>
            <w:hideMark/>
          </w:tcPr>
          <w:p w14:paraId="637829A1" w14:textId="77777777" w:rsidR="00897F84" w:rsidRPr="00604F49" w:rsidRDefault="00897F84" w:rsidP="00D4470F">
            <w:pPr>
              <w:rPr>
                <w:sz w:val="22"/>
                <w:szCs w:val="22"/>
              </w:rPr>
            </w:pPr>
            <w:r w:rsidRPr="00604F49">
              <w:rPr>
                <w:sz w:val="22"/>
                <w:szCs w:val="22"/>
              </w:rPr>
              <w:t xml:space="preserve">Heart diseases </w:t>
            </w:r>
          </w:p>
        </w:tc>
        <w:tc>
          <w:tcPr>
            <w:tcW w:w="1276" w:type="dxa"/>
            <w:shd w:val="clear" w:color="auto" w:fill="auto"/>
            <w:noWrap/>
            <w:vAlign w:val="bottom"/>
            <w:hideMark/>
          </w:tcPr>
          <w:p w14:paraId="13E201CC" w14:textId="77777777" w:rsidR="00897F84" w:rsidRPr="00604F49" w:rsidRDefault="00897F84" w:rsidP="00D4470F">
            <w:pPr>
              <w:rPr>
                <w:sz w:val="22"/>
                <w:szCs w:val="22"/>
              </w:rPr>
            </w:pPr>
            <w:r w:rsidRPr="00604F49">
              <w:rPr>
                <w:sz w:val="22"/>
                <w:szCs w:val="22"/>
              </w:rPr>
              <w:t>Yes</w:t>
            </w:r>
          </w:p>
        </w:tc>
        <w:tc>
          <w:tcPr>
            <w:tcW w:w="708" w:type="dxa"/>
            <w:shd w:val="clear" w:color="auto" w:fill="auto"/>
            <w:noWrap/>
            <w:vAlign w:val="bottom"/>
            <w:hideMark/>
          </w:tcPr>
          <w:p w14:paraId="606BAFB2" w14:textId="77777777" w:rsidR="00897F84" w:rsidRPr="00604F49" w:rsidRDefault="00897F84" w:rsidP="00D4470F">
            <w:pPr>
              <w:jc w:val="center"/>
              <w:rPr>
                <w:sz w:val="22"/>
                <w:szCs w:val="22"/>
              </w:rPr>
            </w:pPr>
            <w:r w:rsidRPr="00604F49">
              <w:rPr>
                <w:sz w:val="22"/>
                <w:szCs w:val="22"/>
              </w:rPr>
              <w:t>16</w:t>
            </w:r>
          </w:p>
        </w:tc>
        <w:tc>
          <w:tcPr>
            <w:tcW w:w="1701" w:type="dxa"/>
            <w:shd w:val="clear" w:color="auto" w:fill="auto"/>
            <w:noWrap/>
            <w:vAlign w:val="bottom"/>
            <w:hideMark/>
          </w:tcPr>
          <w:p w14:paraId="1E402F89" w14:textId="77777777" w:rsidR="00897F84" w:rsidRPr="00604F49" w:rsidRDefault="00897F84" w:rsidP="00D4470F">
            <w:pPr>
              <w:jc w:val="center"/>
              <w:rPr>
                <w:sz w:val="22"/>
                <w:szCs w:val="22"/>
              </w:rPr>
            </w:pPr>
            <w:r w:rsidRPr="00604F49">
              <w:rPr>
                <w:sz w:val="22"/>
                <w:szCs w:val="22"/>
              </w:rPr>
              <w:t>37.5</w:t>
            </w:r>
          </w:p>
        </w:tc>
        <w:tc>
          <w:tcPr>
            <w:tcW w:w="1134" w:type="dxa"/>
            <w:shd w:val="clear" w:color="auto" w:fill="auto"/>
            <w:noWrap/>
            <w:vAlign w:val="bottom"/>
            <w:hideMark/>
          </w:tcPr>
          <w:p w14:paraId="1F6C5584" w14:textId="77777777" w:rsidR="00897F84" w:rsidRPr="00604F49" w:rsidRDefault="00897F84" w:rsidP="00D4470F">
            <w:pPr>
              <w:jc w:val="center"/>
              <w:rPr>
                <w:sz w:val="22"/>
                <w:szCs w:val="22"/>
              </w:rPr>
            </w:pPr>
            <w:r w:rsidRPr="00604F49">
              <w:rPr>
                <w:sz w:val="22"/>
                <w:szCs w:val="22"/>
              </w:rPr>
              <w:t>0.006</w:t>
            </w:r>
          </w:p>
        </w:tc>
        <w:tc>
          <w:tcPr>
            <w:tcW w:w="1985" w:type="dxa"/>
            <w:shd w:val="clear" w:color="auto" w:fill="auto"/>
            <w:noWrap/>
            <w:vAlign w:val="bottom"/>
          </w:tcPr>
          <w:p w14:paraId="1A196C04" w14:textId="77777777" w:rsidR="00897F84" w:rsidRPr="00604F49" w:rsidRDefault="00897F84" w:rsidP="00D4470F">
            <w:pPr>
              <w:jc w:val="center"/>
              <w:rPr>
                <w:sz w:val="22"/>
                <w:szCs w:val="22"/>
              </w:rPr>
            </w:pPr>
            <w:r w:rsidRPr="00604F49">
              <w:rPr>
                <w:sz w:val="22"/>
                <w:szCs w:val="22"/>
              </w:rPr>
              <w:t>3.7(1.4-10.0)</w:t>
            </w:r>
          </w:p>
        </w:tc>
      </w:tr>
      <w:tr w:rsidR="00897F84" w:rsidRPr="002C1B7D" w14:paraId="7DB36B8D" w14:textId="77777777" w:rsidTr="00D4470F">
        <w:trPr>
          <w:trHeight w:val="288"/>
        </w:trPr>
        <w:tc>
          <w:tcPr>
            <w:tcW w:w="2557" w:type="dxa"/>
            <w:shd w:val="clear" w:color="auto" w:fill="auto"/>
            <w:noWrap/>
            <w:vAlign w:val="bottom"/>
            <w:hideMark/>
          </w:tcPr>
          <w:p w14:paraId="42435E80" w14:textId="77777777" w:rsidR="00897F84" w:rsidRPr="00604F49" w:rsidRDefault="00897F84" w:rsidP="00D4470F">
            <w:pPr>
              <w:rPr>
                <w:sz w:val="22"/>
                <w:szCs w:val="22"/>
              </w:rPr>
            </w:pPr>
            <w:r w:rsidRPr="00604F49">
              <w:rPr>
                <w:sz w:val="22"/>
                <w:szCs w:val="22"/>
              </w:rPr>
              <w:t> </w:t>
            </w:r>
          </w:p>
        </w:tc>
        <w:tc>
          <w:tcPr>
            <w:tcW w:w="1276" w:type="dxa"/>
            <w:shd w:val="clear" w:color="auto" w:fill="auto"/>
            <w:noWrap/>
            <w:vAlign w:val="bottom"/>
            <w:hideMark/>
          </w:tcPr>
          <w:p w14:paraId="2D8D23ED" w14:textId="77777777" w:rsidR="00897F84" w:rsidRPr="00604F49" w:rsidRDefault="00897F84" w:rsidP="00D4470F">
            <w:pPr>
              <w:rPr>
                <w:sz w:val="22"/>
                <w:szCs w:val="22"/>
              </w:rPr>
            </w:pPr>
            <w:r w:rsidRPr="00604F49">
              <w:rPr>
                <w:sz w:val="22"/>
                <w:szCs w:val="22"/>
              </w:rPr>
              <w:t>No</w:t>
            </w:r>
          </w:p>
        </w:tc>
        <w:tc>
          <w:tcPr>
            <w:tcW w:w="708" w:type="dxa"/>
            <w:shd w:val="clear" w:color="auto" w:fill="auto"/>
            <w:noWrap/>
            <w:vAlign w:val="bottom"/>
            <w:hideMark/>
          </w:tcPr>
          <w:p w14:paraId="1AA80342" w14:textId="77777777" w:rsidR="00897F84" w:rsidRPr="00604F49" w:rsidRDefault="00897F84" w:rsidP="00D4470F">
            <w:pPr>
              <w:jc w:val="center"/>
              <w:rPr>
                <w:sz w:val="22"/>
                <w:szCs w:val="22"/>
              </w:rPr>
            </w:pPr>
            <w:r w:rsidRPr="00604F49">
              <w:rPr>
                <w:sz w:val="22"/>
                <w:szCs w:val="22"/>
              </w:rPr>
              <w:t>105</w:t>
            </w:r>
          </w:p>
        </w:tc>
        <w:tc>
          <w:tcPr>
            <w:tcW w:w="1701" w:type="dxa"/>
            <w:shd w:val="clear" w:color="auto" w:fill="auto"/>
            <w:noWrap/>
            <w:vAlign w:val="bottom"/>
            <w:hideMark/>
          </w:tcPr>
          <w:p w14:paraId="3A91AB62" w14:textId="77777777" w:rsidR="00897F84" w:rsidRPr="00604F49" w:rsidRDefault="00897F84" w:rsidP="00D4470F">
            <w:pPr>
              <w:jc w:val="center"/>
              <w:rPr>
                <w:sz w:val="22"/>
                <w:szCs w:val="22"/>
              </w:rPr>
            </w:pPr>
            <w:r w:rsidRPr="00604F49">
              <w:rPr>
                <w:sz w:val="22"/>
                <w:szCs w:val="22"/>
              </w:rPr>
              <w:t>11.4</w:t>
            </w:r>
          </w:p>
        </w:tc>
        <w:tc>
          <w:tcPr>
            <w:tcW w:w="1134" w:type="dxa"/>
            <w:shd w:val="clear" w:color="auto" w:fill="auto"/>
            <w:noWrap/>
            <w:vAlign w:val="bottom"/>
            <w:hideMark/>
          </w:tcPr>
          <w:p w14:paraId="01688F1E" w14:textId="77777777" w:rsidR="00897F84" w:rsidRPr="00604F49" w:rsidRDefault="00897F84" w:rsidP="00D4470F">
            <w:pPr>
              <w:jc w:val="center"/>
              <w:rPr>
                <w:sz w:val="22"/>
                <w:szCs w:val="22"/>
              </w:rPr>
            </w:pPr>
            <w:r w:rsidRPr="00604F49">
              <w:rPr>
                <w:sz w:val="22"/>
                <w:szCs w:val="22"/>
              </w:rPr>
              <w:t> </w:t>
            </w:r>
          </w:p>
        </w:tc>
        <w:tc>
          <w:tcPr>
            <w:tcW w:w="1985" w:type="dxa"/>
            <w:shd w:val="clear" w:color="auto" w:fill="auto"/>
            <w:noWrap/>
            <w:vAlign w:val="bottom"/>
          </w:tcPr>
          <w:p w14:paraId="23473470" w14:textId="77777777" w:rsidR="00897F84" w:rsidRPr="00604F49" w:rsidRDefault="00897F84" w:rsidP="00D4470F">
            <w:pPr>
              <w:jc w:val="center"/>
              <w:rPr>
                <w:sz w:val="22"/>
                <w:szCs w:val="22"/>
              </w:rPr>
            </w:pPr>
            <w:r w:rsidRPr="00604F49">
              <w:rPr>
                <w:sz w:val="22"/>
                <w:szCs w:val="22"/>
              </w:rPr>
              <w:t>Ref</w:t>
            </w:r>
          </w:p>
        </w:tc>
      </w:tr>
      <w:tr w:rsidR="00897F84" w:rsidRPr="002C1B7D" w14:paraId="143808C3" w14:textId="77777777" w:rsidTr="00D4470F">
        <w:trPr>
          <w:trHeight w:val="288"/>
        </w:trPr>
        <w:tc>
          <w:tcPr>
            <w:tcW w:w="2557" w:type="dxa"/>
            <w:shd w:val="clear" w:color="auto" w:fill="auto"/>
            <w:noWrap/>
            <w:vAlign w:val="bottom"/>
            <w:hideMark/>
          </w:tcPr>
          <w:p w14:paraId="6731F4C6" w14:textId="77777777" w:rsidR="00897F84" w:rsidRPr="0091367F" w:rsidRDefault="00897F84" w:rsidP="00D4470F">
            <w:pPr>
              <w:rPr>
                <w:color w:val="000000"/>
                <w:sz w:val="22"/>
                <w:szCs w:val="22"/>
              </w:rPr>
            </w:pPr>
            <w:r w:rsidRPr="0091367F">
              <w:rPr>
                <w:color w:val="000000"/>
                <w:sz w:val="22"/>
                <w:szCs w:val="22"/>
              </w:rPr>
              <w:t>Chronic Liver diseases</w:t>
            </w:r>
          </w:p>
        </w:tc>
        <w:tc>
          <w:tcPr>
            <w:tcW w:w="1276" w:type="dxa"/>
            <w:shd w:val="clear" w:color="auto" w:fill="auto"/>
            <w:noWrap/>
            <w:vAlign w:val="bottom"/>
            <w:hideMark/>
          </w:tcPr>
          <w:p w14:paraId="02882B6C" w14:textId="77777777" w:rsidR="00897F84" w:rsidRPr="0091367F" w:rsidRDefault="00897F84" w:rsidP="00D4470F">
            <w:pPr>
              <w:rPr>
                <w:color w:val="000000"/>
                <w:sz w:val="22"/>
                <w:szCs w:val="22"/>
              </w:rPr>
            </w:pPr>
            <w:r w:rsidRPr="0091367F">
              <w:rPr>
                <w:color w:val="000000"/>
                <w:sz w:val="22"/>
                <w:szCs w:val="22"/>
              </w:rPr>
              <w:t>Yes</w:t>
            </w:r>
          </w:p>
        </w:tc>
        <w:tc>
          <w:tcPr>
            <w:tcW w:w="708" w:type="dxa"/>
            <w:shd w:val="clear" w:color="auto" w:fill="auto"/>
            <w:noWrap/>
            <w:vAlign w:val="bottom"/>
            <w:hideMark/>
          </w:tcPr>
          <w:p w14:paraId="3CF67965" w14:textId="77777777" w:rsidR="00897F84" w:rsidRPr="0091367F" w:rsidRDefault="00897F84" w:rsidP="00D4470F">
            <w:pPr>
              <w:jc w:val="center"/>
              <w:rPr>
                <w:color w:val="000000"/>
                <w:sz w:val="22"/>
                <w:szCs w:val="22"/>
              </w:rPr>
            </w:pPr>
            <w:r w:rsidRPr="0091367F">
              <w:rPr>
                <w:color w:val="000000"/>
                <w:sz w:val="22"/>
                <w:szCs w:val="22"/>
              </w:rPr>
              <w:t>1</w:t>
            </w:r>
          </w:p>
        </w:tc>
        <w:tc>
          <w:tcPr>
            <w:tcW w:w="1701" w:type="dxa"/>
            <w:shd w:val="clear" w:color="auto" w:fill="auto"/>
            <w:noWrap/>
            <w:vAlign w:val="bottom"/>
            <w:hideMark/>
          </w:tcPr>
          <w:p w14:paraId="569BE325" w14:textId="77777777" w:rsidR="00897F84" w:rsidRPr="0091367F" w:rsidRDefault="00897F84" w:rsidP="00D4470F">
            <w:pPr>
              <w:jc w:val="center"/>
              <w:rPr>
                <w:color w:val="000000"/>
                <w:sz w:val="22"/>
                <w:szCs w:val="22"/>
              </w:rPr>
            </w:pPr>
            <w:r w:rsidRPr="0091367F">
              <w:rPr>
                <w:bCs/>
                <w:color w:val="000000"/>
                <w:sz w:val="22"/>
                <w:szCs w:val="22"/>
              </w:rPr>
              <w:t>100</w:t>
            </w:r>
          </w:p>
        </w:tc>
        <w:tc>
          <w:tcPr>
            <w:tcW w:w="1134" w:type="dxa"/>
            <w:shd w:val="clear" w:color="auto" w:fill="auto"/>
            <w:noWrap/>
            <w:vAlign w:val="bottom"/>
            <w:hideMark/>
          </w:tcPr>
          <w:p w14:paraId="3565EFEA" w14:textId="77777777" w:rsidR="00897F84" w:rsidRPr="0091367F" w:rsidRDefault="00897F84" w:rsidP="00D4470F">
            <w:pPr>
              <w:jc w:val="center"/>
              <w:rPr>
                <w:color w:val="000000"/>
                <w:sz w:val="22"/>
                <w:szCs w:val="22"/>
              </w:rPr>
            </w:pPr>
            <w:r w:rsidRPr="0091367F">
              <w:rPr>
                <w:color w:val="000000"/>
                <w:sz w:val="22"/>
                <w:szCs w:val="22"/>
              </w:rPr>
              <w:t>0.016</w:t>
            </w:r>
          </w:p>
        </w:tc>
        <w:tc>
          <w:tcPr>
            <w:tcW w:w="1985" w:type="dxa"/>
            <w:shd w:val="clear" w:color="auto" w:fill="auto"/>
            <w:noWrap/>
            <w:vAlign w:val="bottom"/>
          </w:tcPr>
          <w:p w14:paraId="22B1A5F2" w14:textId="77777777" w:rsidR="00897F84" w:rsidRPr="0091367F" w:rsidRDefault="00897F84" w:rsidP="00D4470F">
            <w:pPr>
              <w:jc w:val="center"/>
              <w:rPr>
                <w:color w:val="000000"/>
                <w:sz w:val="22"/>
                <w:szCs w:val="22"/>
              </w:rPr>
            </w:pPr>
            <w:r w:rsidRPr="0091367F">
              <w:rPr>
                <w:color w:val="000000"/>
                <w:sz w:val="22"/>
                <w:szCs w:val="22"/>
              </w:rPr>
              <w:t>4.6(0.6-36.1)</w:t>
            </w:r>
          </w:p>
        </w:tc>
      </w:tr>
      <w:tr w:rsidR="00897F84" w:rsidRPr="002C1B7D" w14:paraId="23B6A822" w14:textId="77777777" w:rsidTr="00D4470F">
        <w:trPr>
          <w:trHeight w:val="288"/>
        </w:trPr>
        <w:tc>
          <w:tcPr>
            <w:tcW w:w="2557" w:type="dxa"/>
            <w:shd w:val="clear" w:color="auto" w:fill="auto"/>
            <w:noWrap/>
            <w:vAlign w:val="bottom"/>
            <w:hideMark/>
          </w:tcPr>
          <w:p w14:paraId="44B4DE22" w14:textId="77777777" w:rsidR="00897F84" w:rsidRPr="0091367F" w:rsidRDefault="00897F84" w:rsidP="00D4470F">
            <w:pPr>
              <w:rPr>
                <w:color w:val="000000"/>
                <w:sz w:val="22"/>
                <w:szCs w:val="22"/>
              </w:rPr>
            </w:pPr>
            <w:r w:rsidRPr="0091367F">
              <w:rPr>
                <w:color w:val="000000"/>
                <w:sz w:val="22"/>
                <w:szCs w:val="22"/>
              </w:rPr>
              <w:t> </w:t>
            </w:r>
          </w:p>
        </w:tc>
        <w:tc>
          <w:tcPr>
            <w:tcW w:w="1276" w:type="dxa"/>
            <w:shd w:val="clear" w:color="auto" w:fill="auto"/>
            <w:noWrap/>
            <w:vAlign w:val="bottom"/>
            <w:hideMark/>
          </w:tcPr>
          <w:p w14:paraId="69BA8827" w14:textId="77777777" w:rsidR="00897F84" w:rsidRPr="0091367F" w:rsidRDefault="00897F84" w:rsidP="00D4470F">
            <w:pPr>
              <w:rPr>
                <w:color w:val="000000"/>
                <w:sz w:val="22"/>
                <w:szCs w:val="22"/>
              </w:rPr>
            </w:pPr>
            <w:r w:rsidRPr="0091367F">
              <w:rPr>
                <w:color w:val="000000"/>
                <w:sz w:val="22"/>
                <w:szCs w:val="22"/>
              </w:rPr>
              <w:t>No</w:t>
            </w:r>
          </w:p>
        </w:tc>
        <w:tc>
          <w:tcPr>
            <w:tcW w:w="708" w:type="dxa"/>
            <w:shd w:val="clear" w:color="auto" w:fill="auto"/>
            <w:noWrap/>
            <w:vAlign w:val="bottom"/>
            <w:hideMark/>
          </w:tcPr>
          <w:p w14:paraId="34063D26" w14:textId="77777777" w:rsidR="00897F84" w:rsidRPr="0091367F" w:rsidRDefault="00897F84" w:rsidP="00D4470F">
            <w:pPr>
              <w:jc w:val="center"/>
              <w:rPr>
                <w:color w:val="000000"/>
                <w:sz w:val="22"/>
                <w:szCs w:val="22"/>
              </w:rPr>
            </w:pPr>
            <w:r w:rsidRPr="0091367F">
              <w:rPr>
                <w:color w:val="000000"/>
                <w:sz w:val="22"/>
                <w:szCs w:val="22"/>
              </w:rPr>
              <w:t>120</w:t>
            </w:r>
          </w:p>
        </w:tc>
        <w:tc>
          <w:tcPr>
            <w:tcW w:w="1701" w:type="dxa"/>
            <w:shd w:val="clear" w:color="auto" w:fill="auto"/>
            <w:noWrap/>
            <w:vAlign w:val="bottom"/>
            <w:hideMark/>
          </w:tcPr>
          <w:p w14:paraId="6E64B3BE" w14:textId="77777777" w:rsidR="00897F84" w:rsidRPr="0091367F" w:rsidRDefault="00897F84" w:rsidP="00D4470F">
            <w:pPr>
              <w:jc w:val="center"/>
              <w:rPr>
                <w:color w:val="000000"/>
                <w:sz w:val="22"/>
                <w:szCs w:val="22"/>
              </w:rPr>
            </w:pPr>
            <w:r w:rsidRPr="0091367F">
              <w:rPr>
                <w:color w:val="000000"/>
                <w:sz w:val="22"/>
                <w:szCs w:val="22"/>
              </w:rPr>
              <w:t>14.2</w:t>
            </w:r>
          </w:p>
        </w:tc>
        <w:tc>
          <w:tcPr>
            <w:tcW w:w="1134" w:type="dxa"/>
            <w:shd w:val="clear" w:color="auto" w:fill="auto"/>
            <w:noWrap/>
            <w:vAlign w:val="bottom"/>
            <w:hideMark/>
          </w:tcPr>
          <w:p w14:paraId="2850712B" w14:textId="77777777" w:rsidR="00897F84" w:rsidRPr="0091367F" w:rsidRDefault="00897F84" w:rsidP="00D4470F">
            <w:pPr>
              <w:jc w:val="center"/>
              <w:rPr>
                <w:color w:val="000000"/>
                <w:sz w:val="22"/>
                <w:szCs w:val="22"/>
              </w:rPr>
            </w:pPr>
            <w:r w:rsidRPr="0091367F">
              <w:rPr>
                <w:color w:val="000000"/>
                <w:sz w:val="22"/>
                <w:szCs w:val="22"/>
              </w:rPr>
              <w:t> </w:t>
            </w:r>
          </w:p>
        </w:tc>
        <w:tc>
          <w:tcPr>
            <w:tcW w:w="1985" w:type="dxa"/>
            <w:shd w:val="clear" w:color="auto" w:fill="auto"/>
            <w:noWrap/>
            <w:vAlign w:val="bottom"/>
          </w:tcPr>
          <w:p w14:paraId="31123CE3" w14:textId="77777777" w:rsidR="00897F84" w:rsidRPr="0091367F" w:rsidRDefault="00897F84" w:rsidP="00D4470F">
            <w:pPr>
              <w:jc w:val="center"/>
              <w:rPr>
                <w:color w:val="000000"/>
                <w:sz w:val="22"/>
                <w:szCs w:val="22"/>
              </w:rPr>
            </w:pPr>
            <w:r w:rsidRPr="0091367F">
              <w:rPr>
                <w:color w:val="000000"/>
                <w:sz w:val="22"/>
                <w:szCs w:val="22"/>
              </w:rPr>
              <w:t>Ref</w:t>
            </w:r>
          </w:p>
        </w:tc>
      </w:tr>
      <w:tr w:rsidR="00897F84" w:rsidRPr="002C1B7D" w14:paraId="4AB3A109" w14:textId="77777777" w:rsidTr="00D4470F">
        <w:trPr>
          <w:trHeight w:val="288"/>
        </w:trPr>
        <w:tc>
          <w:tcPr>
            <w:tcW w:w="2557" w:type="dxa"/>
            <w:shd w:val="clear" w:color="auto" w:fill="auto"/>
            <w:noWrap/>
            <w:vAlign w:val="bottom"/>
            <w:hideMark/>
          </w:tcPr>
          <w:p w14:paraId="315CE7C2" w14:textId="77777777" w:rsidR="00897F84" w:rsidRPr="0091367F" w:rsidRDefault="00897F84" w:rsidP="00D4470F">
            <w:pPr>
              <w:rPr>
                <w:color w:val="000000"/>
                <w:sz w:val="22"/>
                <w:szCs w:val="22"/>
              </w:rPr>
            </w:pPr>
            <w:r w:rsidRPr="0091367F">
              <w:rPr>
                <w:color w:val="000000"/>
                <w:sz w:val="22"/>
                <w:szCs w:val="22"/>
              </w:rPr>
              <w:t>Haematology Cal disorder</w:t>
            </w:r>
          </w:p>
        </w:tc>
        <w:tc>
          <w:tcPr>
            <w:tcW w:w="1276" w:type="dxa"/>
            <w:shd w:val="clear" w:color="auto" w:fill="auto"/>
            <w:noWrap/>
            <w:vAlign w:val="bottom"/>
            <w:hideMark/>
          </w:tcPr>
          <w:p w14:paraId="5433DB49" w14:textId="77777777" w:rsidR="00897F84" w:rsidRPr="0091367F" w:rsidRDefault="00897F84" w:rsidP="00D4470F">
            <w:pPr>
              <w:rPr>
                <w:color w:val="000000"/>
                <w:sz w:val="22"/>
                <w:szCs w:val="22"/>
              </w:rPr>
            </w:pPr>
            <w:r w:rsidRPr="0091367F">
              <w:rPr>
                <w:color w:val="000000"/>
                <w:sz w:val="22"/>
                <w:szCs w:val="22"/>
              </w:rPr>
              <w:t>Yes</w:t>
            </w:r>
          </w:p>
        </w:tc>
        <w:tc>
          <w:tcPr>
            <w:tcW w:w="708" w:type="dxa"/>
            <w:shd w:val="clear" w:color="auto" w:fill="auto"/>
            <w:noWrap/>
            <w:vAlign w:val="bottom"/>
            <w:hideMark/>
          </w:tcPr>
          <w:p w14:paraId="6470693E" w14:textId="77777777" w:rsidR="00897F84" w:rsidRPr="0091367F" w:rsidRDefault="00897F84" w:rsidP="00D4470F">
            <w:pPr>
              <w:jc w:val="center"/>
              <w:rPr>
                <w:color w:val="000000"/>
                <w:sz w:val="22"/>
                <w:szCs w:val="22"/>
              </w:rPr>
            </w:pPr>
            <w:r w:rsidRPr="0091367F">
              <w:rPr>
                <w:color w:val="000000"/>
                <w:sz w:val="22"/>
                <w:szCs w:val="22"/>
              </w:rPr>
              <w:t>2</w:t>
            </w:r>
          </w:p>
        </w:tc>
        <w:tc>
          <w:tcPr>
            <w:tcW w:w="1701" w:type="dxa"/>
            <w:shd w:val="clear" w:color="auto" w:fill="auto"/>
            <w:noWrap/>
            <w:vAlign w:val="bottom"/>
            <w:hideMark/>
          </w:tcPr>
          <w:p w14:paraId="478254AD" w14:textId="77777777" w:rsidR="00897F84" w:rsidRPr="0091367F" w:rsidRDefault="00897F84" w:rsidP="00D4470F">
            <w:pPr>
              <w:jc w:val="center"/>
              <w:rPr>
                <w:color w:val="000000"/>
                <w:sz w:val="22"/>
                <w:szCs w:val="22"/>
              </w:rPr>
            </w:pPr>
            <w:r w:rsidRPr="0091367F">
              <w:rPr>
                <w:color w:val="000000"/>
                <w:sz w:val="22"/>
                <w:szCs w:val="22"/>
              </w:rPr>
              <w:t>0</w:t>
            </w:r>
          </w:p>
        </w:tc>
        <w:tc>
          <w:tcPr>
            <w:tcW w:w="1134" w:type="dxa"/>
            <w:shd w:val="clear" w:color="auto" w:fill="auto"/>
            <w:noWrap/>
            <w:vAlign w:val="bottom"/>
            <w:hideMark/>
          </w:tcPr>
          <w:p w14:paraId="6DF752ED" w14:textId="77777777" w:rsidR="00897F84" w:rsidRPr="0091367F" w:rsidRDefault="00897F84" w:rsidP="00D4470F">
            <w:pPr>
              <w:jc w:val="center"/>
              <w:rPr>
                <w:color w:val="000000"/>
                <w:sz w:val="22"/>
                <w:szCs w:val="22"/>
              </w:rPr>
            </w:pPr>
            <w:r w:rsidRPr="0091367F">
              <w:rPr>
                <w:color w:val="000000"/>
                <w:sz w:val="22"/>
                <w:szCs w:val="22"/>
              </w:rPr>
              <w:t>0.551</w:t>
            </w:r>
          </w:p>
        </w:tc>
        <w:tc>
          <w:tcPr>
            <w:tcW w:w="1985" w:type="dxa"/>
            <w:shd w:val="clear" w:color="auto" w:fill="auto"/>
            <w:noWrap/>
            <w:vAlign w:val="bottom"/>
          </w:tcPr>
          <w:p w14:paraId="44354562" w14:textId="77777777" w:rsidR="00897F84" w:rsidRPr="0091367F" w:rsidRDefault="00897F84" w:rsidP="00D4470F">
            <w:pPr>
              <w:jc w:val="center"/>
              <w:rPr>
                <w:color w:val="000000"/>
                <w:sz w:val="22"/>
                <w:szCs w:val="22"/>
              </w:rPr>
            </w:pPr>
            <w:r w:rsidRPr="0091367F">
              <w:rPr>
                <w:color w:val="000000"/>
                <w:sz w:val="22"/>
                <w:szCs w:val="22"/>
              </w:rPr>
              <w:t>Empty</w:t>
            </w:r>
          </w:p>
        </w:tc>
      </w:tr>
      <w:tr w:rsidR="00897F84" w:rsidRPr="002C1B7D" w14:paraId="063828FD" w14:textId="77777777" w:rsidTr="00D4470F">
        <w:trPr>
          <w:trHeight w:val="288"/>
        </w:trPr>
        <w:tc>
          <w:tcPr>
            <w:tcW w:w="2557" w:type="dxa"/>
            <w:shd w:val="clear" w:color="auto" w:fill="auto"/>
            <w:noWrap/>
            <w:vAlign w:val="bottom"/>
            <w:hideMark/>
          </w:tcPr>
          <w:p w14:paraId="6835A757" w14:textId="77777777" w:rsidR="00897F84" w:rsidRPr="0091367F" w:rsidRDefault="00897F84" w:rsidP="00D4470F">
            <w:pPr>
              <w:rPr>
                <w:color w:val="000000"/>
                <w:sz w:val="22"/>
                <w:szCs w:val="22"/>
              </w:rPr>
            </w:pPr>
            <w:r w:rsidRPr="0091367F">
              <w:rPr>
                <w:color w:val="000000"/>
                <w:sz w:val="22"/>
                <w:szCs w:val="22"/>
              </w:rPr>
              <w:t> </w:t>
            </w:r>
          </w:p>
        </w:tc>
        <w:tc>
          <w:tcPr>
            <w:tcW w:w="1276" w:type="dxa"/>
            <w:shd w:val="clear" w:color="auto" w:fill="auto"/>
            <w:noWrap/>
            <w:vAlign w:val="bottom"/>
            <w:hideMark/>
          </w:tcPr>
          <w:p w14:paraId="6D61A2F9" w14:textId="77777777" w:rsidR="00897F84" w:rsidRPr="0091367F" w:rsidRDefault="00897F84" w:rsidP="00D4470F">
            <w:pPr>
              <w:rPr>
                <w:color w:val="000000"/>
                <w:sz w:val="22"/>
                <w:szCs w:val="22"/>
              </w:rPr>
            </w:pPr>
            <w:r w:rsidRPr="0091367F">
              <w:rPr>
                <w:color w:val="000000"/>
                <w:sz w:val="22"/>
                <w:szCs w:val="22"/>
              </w:rPr>
              <w:t>No</w:t>
            </w:r>
          </w:p>
        </w:tc>
        <w:tc>
          <w:tcPr>
            <w:tcW w:w="708" w:type="dxa"/>
            <w:shd w:val="clear" w:color="auto" w:fill="auto"/>
            <w:noWrap/>
            <w:vAlign w:val="bottom"/>
            <w:hideMark/>
          </w:tcPr>
          <w:p w14:paraId="55B619A6" w14:textId="77777777" w:rsidR="00897F84" w:rsidRPr="0091367F" w:rsidRDefault="00897F84" w:rsidP="00D4470F">
            <w:pPr>
              <w:jc w:val="center"/>
              <w:rPr>
                <w:color w:val="000000"/>
                <w:sz w:val="22"/>
                <w:szCs w:val="22"/>
              </w:rPr>
            </w:pPr>
            <w:r w:rsidRPr="0091367F">
              <w:rPr>
                <w:color w:val="000000"/>
                <w:sz w:val="22"/>
                <w:szCs w:val="22"/>
              </w:rPr>
              <w:t>119</w:t>
            </w:r>
          </w:p>
        </w:tc>
        <w:tc>
          <w:tcPr>
            <w:tcW w:w="1701" w:type="dxa"/>
            <w:shd w:val="clear" w:color="auto" w:fill="auto"/>
            <w:noWrap/>
            <w:vAlign w:val="bottom"/>
            <w:hideMark/>
          </w:tcPr>
          <w:p w14:paraId="4602E46C" w14:textId="77777777" w:rsidR="00897F84" w:rsidRPr="0091367F" w:rsidRDefault="00897F84" w:rsidP="00D4470F">
            <w:pPr>
              <w:jc w:val="center"/>
              <w:rPr>
                <w:color w:val="000000"/>
                <w:sz w:val="22"/>
                <w:szCs w:val="22"/>
              </w:rPr>
            </w:pPr>
            <w:r w:rsidRPr="0091367F">
              <w:rPr>
                <w:color w:val="000000"/>
                <w:sz w:val="22"/>
                <w:szCs w:val="22"/>
              </w:rPr>
              <w:t>15.1</w:t>
            </w:r>
          </w:p>
        </w:tc>
        <w:tc>
          <w:tcPr>
            <w:tcW w:w="1134" w:type="dxa"/>
            <w:shd w:val="clear" w:color="auto" w:fill="auto"/>
            <w:noWrap/>
            <w:vAlign w:val="bottom"/>
            <w:hideMark/>
          </w:tcPr>
          <w:p w14:paraId="7801EB62" w14:textId="77777777" w:rsidR="00897F84" w:rsidRPr="0091367F" w:rsidRDefault="00897F84" w:rsidP="00D4470F">
            <w:pPr>
              <w:jc w:val="center"/>
              <w:rPr>
                <w:color w:val="000000"/>
                <w:sz w:val="22"/>
                <w:szCs w:val="22"/>
              </w:rPr>
            </w:pPr>
            <w:r w:rsidRPr="0091367F">
              <w:rPr>
                <w:color w:val="000000"/>
                <w:sz w:val="22"/>
                <w:szCs w:val="22"/>
              </w:rPr>
              <w:t> </w:t>
            </w:r>
          </w:p>
        </w:tc>
        <w:tc>
          <w:tcPr>
            <w:tcW w:w="1985" w:type="dxa"/>
            <w:shd w:val="clear" w:color="auto" w:fill="auto"/>
            <w:noWrap/>
            <w:vAlign w:val="bottom"/>
          </w:tcPr>
          <w:p w14:paraId="7CAFFADF" w14:textId="77777777" w:rsidR="00897F84" w:rsidRPr="0091367F" w:rsidRDefault="00897F84" w:rsidP="00D4470F">
            <w:pPr>
              <w:jc w:val="center"/>
              <w:rPr>
                <w:color w:val="000000"/>
                <w:sz w:val="22"/>
                <w:szCs w:val="22"/>
              </w:rPr>
            </w:pPr>
            <w:r w:rsidRPr="0091367F">
              <w:rPr>
                <w:color w:val="000000"/>
                <w:sz w:val="22"/>
                <w:szCs w:val="22"/>
              </w:rPr>
              <w:t>Ref</w:t>
            </w:r>
          </w:p>
        </w:tc>
      </w:tr>
      <w:tr w:rsidR="00897F84" w:rsidRPr="002C1B7D" w14:paraId="727D8AD5" w14:textId="77777777" w:rsidTr="00D4470F">
        <w:trPr>
          <w:trHeight w:val="288"/>
        </w:trPr>
        <w:tc>
          <w:tcPr>
            <w:tcW w:w="2557" w:type="dxa"/>
            <w:shd w:val="clear" w:color="auto" w:fill="auto"/>
            <w:noWrap/>
            <w:vAlign w:val="bottom"/>
            <w:hideMark/>
          </w:tcPr>
          <w:p w14:paraId="33891BA5" w14:textId="77777777" w:rsidR="00897F84" w:rsidRPr="0091367F" w:rsidRDefault="00897F84" w:rsidP="00D4470F">
            <w:pPr>
              <w:rPr>
                <w:color w:val="000000"/>
                <w:sz w:val="22"/>
                <w:szCs w:val="22"/>
              </w:rPr>
            </w:pPr>
            <w:r w:rsidRPr="0091367F">
              <w:rPr>
                <w:color w:val="000000"/>
                <w:sz w:val="22"/>
                <w:szCs w:val="22"/>
              </w:rPr>
              <w:t>Kidney diseases</w:t>
            </w:r>
          </w:p>
        </w:tc>
        <w:tc>
          <w:tcPr>
            <w:tcW w:w="1276" w:type="dxa"/>
            <w:shd w:val="clear" w:color="auto" w:fill="auto"/>
            <w:noWrap/>
            <w:vAlign w:val="bottom"/>
            <w:hideMark/>
          </w:tcPr>
          <w:p w14:paraId="2DF66973" w14:textId="77777777" w:rsidR="00897F84" w:rsidRPr="0091367F" w:rsidRDefault="00897F84" w:rsidP="00D4470F">
            <w:pPr>
              <w:rPr>
                <w:color w:val="000000"/>
                <w:sz w:val="22"/>
                <w:szCs w:val="22"/>
              </w:rPr>
            </w:pPr>
            <w:r w:rsidRPr="0091367F">
              <w:rPr>
                <w:color w:val="000000"/>
                <w:sz w:val="22"/>
                <w:szCs w:val="22"/>
              </w:rPr>
              <w:t>Yes</w:t>
            </w:r>
          </w:p>
        </w:tc>
        <w:tc>
          <w:tcPr>
            <w:tcW w:w="708" w:type="dxa"/>
            <w:shd w:val="clear" w:color="auto" w:fill="auto"/>
            <w:noWrap/>
            <w:vAlign w:val="bottom"/>
            <w:hideMark/>
          </w:tcPr>
          <w:p w14:paraId="613838D1" w14:textId="77777777" w:rsidR="00897F84" w:rsidRPr="0091367F" w:rsidRDefault="00897F84" w:rsidP="00D4470F">
            <w:pPr>
              <w:jc w:val="center"/>
              <w:rPr>
                <w:color w:val="000000"/>
                <w:sz w:val="22"/>
                <w:szCs w:val="22"/>
              </w:rPr>
            </w:pPr>
            <w:r w:rsidRPr="0091367F">
              <w:rPr>
                <w:color w:val="000000"/>
                <w:sz w:val="22"/>
                <w:szCs w:val="22"/>
              </w:rPr>
              <w:t>4</w:t>
            </w:r>
          </w:p>
        </w:tc>
        <w:tc>
          <w:tcPr>
            <w:tcW w:w="1701" w:type="dxa"/>
            <w:shd w:val="clear" w:color="auto" w:fill="auto"/>
            <w:noWrap/>
            <w:vAlign w:val="bottom"/>
            <w:hideMark/>
          </w:tcPr>
          <w:p w14:paraId="44E8942D" w14:textId="77777777" w:rsidR="00897F84" w:rsidRPr="0091367F" w:rsidRDefault="00897F84" w:rsidP="00D4470F">
            <w:pPr>
              <w:jc w:val="center"/>
              <w:rPr>
                <w:color w:val="000000"/>
                <w:sz w:val="22"/>
                <w:szCs w:val="22"/>
              </w:rPr>
            </w:pPr>
            <w:r w:rsidRPr="0091367F">
              <w:rPr>
                <w:color w:val="000000"/>
                <w:sz w:val="22"/>
                <w:szCs w:val="22"/>
              </w:rPr>
              <w:t>25</w:t>
            </w:r>
          </w:p>
        </w:tc>
        <w:tc>
          <w:tcPr>
            <w:tcW w:w="1134" w:type="dxa"/>
            <w:shd w:val="clear" w:color="auto" w:fill="auto"/>
            <w:noWrap/>
            <w:vAlign w:val="bottom"/>
            <w:hideMark/>
          </w:tcPr>
          <w:p w14:paraId="29894B8E" w14:textId="77777777" w:rsidR="00897F84" w:rsidRPr="0091367F" w:rsidRDefault="00897F84" w:rsidP="00D4470F">
            <w:pPr>
              <w:jc w:val="center"/>
              <w:rPr>
                <w:color w:val="000000"/>
                <w:sz w:val="22"/>
                <w:szCs w:val="22"/>
              </w:rPr>
            </w:pPr>
            <w:r w:rsidRPr="0091367F">
              <w:rPr>
                <w:color w:val="000000"/>
                <w:sz w:val="22"/>
                <w:szCs w:val="22"/>
              </w:rPr>
              <w:t>0.563</w:t>
            </w:r>
          </w:p>
        </w:tc>
        <w:tc>
          <w:tcPr>
            <w:tcW w:w="1985" w:type="dxa"/>
            <w:shd w:val="clear" w:color="auto" w:fill="auto"/>
            <w:noWrap/>
            <w:vAlign w:val="bottom"/>
          </w:tcPr>
          <w:p w14:paraId="13244BD3" w14:textId="77777777" w:rsidR="00897F84" w:rsidRPr="0091367F" w:rsidRDefault="00897F84" w:rsidP="00D4470F">
            <w:pPr>
              <w:jc w:val="center"/>
              <w:rPr>
                <w:color w:val="000000"/>
                <w:sz w:val="22"/>
                <w:szCs w:val="22"/>
              </w:rPr>
            </w:pPr>
            <w:r w:rsidRPr="0091367F">
              <w:rPr>
                <w:color w:val="000000"/>
                <w:sz w:val="22"/>
                <w:szCs w:val="22"/>
              </w:rPr>
              <w:t>1.5(0.2-11.6)</w:t>
            </w:r>
          </w:p>
        </w:tc>
      </w:tr>
      <w:tr w:rsidR="00897F84" w:rsidRPr="002C1B7D" w14:paraId="472E0C63" w14:textId="77777777" w:rsidTr="00D4470F">
        <w:trPr>
          <w:trHeight w:val="288"/>
        </w:trPr>
        <w:tc>
          <w:tcPr>
            <w:tcW w:w="2557" w:type="dxa"/>
            <w:shd w:val="clear" w:color="auto" w:fill="auto"/>
            <w:noWrap/>
            <w:vAlign w:val="bottom"/>
            <w:hideMark/>
          </w:tcPr>
          <w:p w14:paraId="5543FB86" w14:textId="77777777" w:rsidR="00897F84" w:rsidRPr="0091367F" w:rsidRDefault="00897F84" w:rsidP="00D4470F">
            <w:pPr>
              <w:rPr>
                <w:color w:val="000000"/>
                <w:sz w:val="22"/>
                <w:szCs w:val="22"/>
              </w:rPr>
            </w:pPr>
            <w:r w:rsidRPr="0091367F">
              <w:rPr>
                <w:color w:val="000000"/>
                <w:sz w:val="22"/>
                <w:szCs w:val="22"/>
              </w:rPr>
              <w:t> </w:t>
            </w:r>
          </w:p>
        </w:tc>
        <w:tc>
          <w:tcPr>
            <w:tcW w:w="1276" w:type="dxa"/>
            <w:shd w:val="clear" w:color="auto" w:fill="auto"/>
            <w:noWrap/>
            <w:vAlign w:val="bottom"/>
            <w:hideMark/>
          </w:tcPr>
          <w:p w14:paraId="2C151E1F" w14:textId="77777777" w:rsidR="00897F84" w:rsidRPr="0091367F" w:rsidRDefault="00897F84" w:rsidP="00D4470F">
            <w:pPr>
              <w:rPr>
                <w:color w:val="000000"/>
                <w:sz w:val="22"/>
                <w:szCs w:val="22"/>
              </w:rPr>
            </w:pPr>
            <w:r w:rsidRPr="0091367F">
              <w:rPr>
                <w:color w:val="000000"/>
                <w:sz w:val="22"/>
                <w:szCs w:val="22"/>
              </w:rPr>
              <w:t>No</w:t>
            </w:r>
          </w:p>
        </w:tc>
        <w:tc>
          <w:tcPr>
            <w:tcW w:w="708" w:type="dxa"/>
            <w:shd w:val="clear" w:color="auto" w:fill="auto"/>
            <w:noWrap/>
            <w:vAlign w:val="bottom"/>
            <w:hideMark/>
          </w:tcPr>
          <w:p w14:paraId="413147F4" w14:textId="77777777" w:rsidR="00897F84" w:rsidRPr="0091367F" w:rsidRDefault="00897F84" w:rsidP="00D4470F">
            <w:pPr>
              <w:jc w:val="center"/>
              <w:rPr>
                <w:color w:val="000000"/>
                <w:sz w:val="22"/>
                <w:szCs w:val="22"/>
              </w:rPr>
            </w:pPr>
            <w:r w:rsidRPr="0091367F">
              <w:rPr>
                <w:color w:val="000000"/>
                <w:sz w:val="22"/>
                <w:szCs w:val="22"/>
              </w:rPr>
              <w:t>117</w:t>
            </w:r>
          </w:p>
        </w:tc>
        <w:tc>
          <w:tcPr>
            <w:tcW w:w="1701" w:type="dxa"/>
            <w:shd w:val="clear" w:color="auto" w:fill="auto"/>
            <w:noWrap/>
            <w:vAlign w:val="bottom"/>
            <w:hideMark/>
          </w:tcPr>
          <w:p w14:paraId="1AA23A6D" w14:textId="77777777" w:rsidR="00897F84" w:rsidRPr="0091367F" w:rsidRDefault="00897F84" w:rsidP="00D4470F">
            <w:pPr>
              <w:jc w:val="center"/>
              <w:rPr>
                <w:color w:val="000000"/>
                <w:sz w:val="22"/>
                <w:szCs w:val="22"/>
              </w:rPr>
            </w:pPr>
            <w:r w:rsidRPr="0091367F">
              <w:rPr>
                <w:color w:val="000000"/>
                <w:sz w:val="22"/>
                <w:szCs w:val="22"/>
              </w:rPr>
              <w:t>14.5</w:t>
            </w:r>
          </w:p>
        </w:tc>
        <w:tc>
          <w:tcPr>
            <w:tcW w:w="1134" w:type="dxa"/>
            <w:shd w:val="clear" w:color="auto" w:fill="auto"/>
            <w:noWrap/>
            <w:vAlign w:val="bottom"/>
            <w:hideMark/>
          </w:tcPr>
          <w:p w14:paraId="5CA838D2" w14:textId="77777777" w:rsidR="00897F84" w:rsidRPr="0091367F" w:rsidRDefault="00897F84" w:rsidP="00D4470F">
            <w:pPr>
              <w:jc w:val="center"/>
              <w:rPr>
                <w:color w:val="000000"/>
                <w:sz w:val="22"/>
                <w:szCs w:val="22"/>
              </w:rPr>
            </w:pPr>
            <w:r w:rsidRPr="0091367F">
              <w:rPr>
                <w:color w:val="000000"/>
                <w:sz w:val="22"/>
                <w:szCs w:val="22"/>
              </w:rPr>
              <w:t> </w:t>
            </w:r>
          </w:p>
        </w:tc>
        <w:tc>
          <w:tcPr>
            <w:tcW w:w="1985" w:type="dxa"/>
            <w:shd w:val="clear" w:color="auto" w:fill="auto"/>
            <w:noWrap/>
            <w:vAlign w:val="bottom"/>
          </w:tcPr>
          <w:p w14:paraId="3C98A63B" w14:textId="77777777" w:rsidR="00897F84" w:rsidRPr="0091367F" w:rsidRDefault="00897F84" w:rsidP="00D4470F">
            <w:pPr>
              <w:jc w:val="center"/>
              <w:rPr>
                <w:color w:val="000000"/>
                <w:sz w:val="22"/>
                <w:szCs w:val="22"/>
              </w:rPr>
            </w:pPr>
            <w:r w:rsidRPr="0091367F">
              <w:rPr>
                <w:color w:val="000000"/>
                <w:sz w:val="22"/>
                <w:szCs w:val="22"/>
              </w:rPr>
              <w:t>Ref</w:t>
            </w:r>
          </w:p>
        </w:tc>
      </w:tr>
    </w:tbl>
    <w:p w14:paraId="640BB9DA" w14:textId="77777777" w:rsidR="00897F84" w:rsidRPr="00D43B73" w:rsidRDefault="00897F84" w:rsidP="00897F84">
      <w:pPr>
        <w:rPr>
          <w:sz w:val="22"/>
          <w:szCs w:val="22"/>
        </w:rPr>
      </w:pPr>
      <w:r w:rsidRPr="00EC0315">
        <w:rPr>
          <w:sz w:val="22"/>
          <w:szCs w:val="22"/>
        </w:rPr>
        <w:lastRenderedPageBreak/>
        <w:t xml:space="preserve">Table 4: </w:t>
      </w:r>
      <w:r w:rsidRPr="00D43B73">
        <w:rPr>
          <w:sz w:val="22"/>
          <w:szCs w:val="22"/>
        </w:rPr>
        <w:t xml:space="preserve">Factors associated with mortality among COVID-19 cases </w:t>
      </w:r>
      <w:r w:rsidRPr="00763210">
        <w:rPr>
          <w:sz w:val="22"/>
          <w:szCs w:val="22"/>
        </w:rPr>
        <w:t>(</w:t>
      </w:r>
      <w:r w:rsidRPr="00763210">
        <w:rPr>
          <w:sz w:val="22"/>
          <w:szCs w:val="22"/>
          <w:shd w:val="clear" w:color="auto" w:fill="FFFFFF"/>
        </w:rPr>
        <w:t>Cox proportional-hazards model</w:t>
      </w:r>
      <w:r w:rsidRPr="00763210">
        <w:rPr>
          <w:sz w:val="22"/>
          <w:szCs w:val="22"/>
        </w:rPr>
        <w:t>)</w:t>
      </w:r>
    </w:p>
    <w:tbl>
      <w:tblPr>
        <w:tblStyle w:val="TableGrid"/>
        <w:tblpPr w:leftFromText="180" w:rightFromText="180" w:vertAnchor="text" w:tblpY="1"/>
        <w:tblOverlap w:val="never"/>
        <w:tblW w:w="9634" w:type="dxa"/>
        <w:tblLook w:val="04A0" w:firstRow="1" w:lastRow="0" w:firstColumn="1" w:lastColumn="0" w:noHBand="0" w:noVBand="1"/>
      </w:tblPr>
      <w:tblGrid>
        <w:gridCol w:w="3397"/>
        <w:gridCol w:w="1843"/>
        <w:gridCol w:w="1134"/>
        <w:gridCol w:w="1843"/>
        <w:gridCol w:w="1417"/>
      </w:tblGrid>
      <w:tr w:rsidR="00897F84" w:rsidRPr="00EC0315" w14:paraId="293E41FA" w14:textId="77777777" w:rsidTr="00D4470F">
        <w:tc>
          <w:tcPr>
            <w:tcW w:w="3397" w:type="dxa"/>
            <w:shd w:val="clear" w:color="auto" w:fill="auto"/>
          </w:tcPr>
          <w:p w14:paraId="30E5CBF2" w14:textId="77777777" w:rsidR="00897F84" w:rsidRPr="007D42F2" w:rsidRDefault="00897F84" w:rsidP="00D4470F">
            <w:pPr>
              <w:rPr>
                <w:lang w:val="en-US"/>
              </w:rPr>
            </w:pPr>
            <w:r w:rsidRPr="007D42F2">
              <w:t>Variable</w:t>
            </w:r>
          </w:p>
        </w:tc>
        <w:tc>
          <w:tcPr>
            <w:tcW w:w="1843" w:type="dxa"/>
            <w:shd w:val="clear" w:color="auto" w:fill="auto"/>
          </w:tcPr>
          <w:p w14:paraId="7ACDBE07" w14:textId="77777777" w:rsidR="00897F84" w:rsidRPr="007D42F2" w:rsidRDefault="00897F84" w:rsidP="00D4470F">
            <w:pPr>
              <w:jc w:val="right"/>
              <w:rPr>
                <w:lang w:val="en-US"/>
              </w:rPr>
            </w:pPr>
            <w:r w:rsidRPr="007D42F2">
              <w:t>UHR,95%CI</w:t>
            </w:r>
          </w:p>
        </w:tc>
        <w:tc>
          <w:tcPr>
            <w:tcW w:w="1134" w:type="dxa"/>
            <w:shd w:val="clear" w:color="auto" w:fill="auto"/>
          </w:tcPr>
          <w:p w14:paraId="42001ECF" w14:textId="77777777" w:rsidR="00897F84" w:rsidRPr="007D42F2" w:rsidRDefault="00897F84" w:rsidP="00D4470F">
            <w:pPr>
              <w:jc w:val="right"/>
              <w:rPr>
                <w:lang w:val="en-US"/>
              </w:rPr>
            </w:pPr>
            <w:r w:rsidRPr="007D42F2">
              <w:t>P-value</w:t>
            </w:r>
          </w:p>
        </w:tc>
        <w:tc>
          <w:tcPr>
            <w:tcW w:w="1843" w:type="dxa"/>
            <w:shd w:val="clear" w:color="auto" w:fill="auto"/>
          </w:tcPr>
          <w:p w14:paraId="19AAC63D" w14:textId="77777777" w:rsidR="00897F84" w:rsidRPr="007D42F2" w:rsidRDefault="00897F84" w:rsidP="00D4470F">
            <w:pPr>
              <w:jc w:val="right"/>
              <w:rPr>
                <w:lang w:val="en-US"/>
              </w:rPr>
            </w:pPr>
            <w:r w:rsidRPr="007D42F2">
              <w:t>AHR,95%CI</w:t>
            </w:r>
          </w:p>
        </w:tc>
        <w:tc>
          <w:tcPr>
            <w:tcW w:w="1417" w:type="dxa"/>
            <w:shd w:val="clear" w:color="auto" w:fill="auto"/>
          </w:tcPr>
          <w:p w14:paraId="4783E03C" w14:textId="77777777" w:rsidR="00897F84" w:rsidRPr="007D42F2" w:rsidRDefault="00897F84" w:rsidP="00D4470F">
            <w:pPr>
              <w:jc w:val="right"/>
              <w:rPr>
                <w:lang w:val="en-US"/>
              </w:rPr>
            </w:pPr>
            <w:r w:rsidRPr="007D42F2">
              <w:t>P-value</w:t>
            </w:r>
          </w:p>
        </w:tc>
      </w:tr>
      <w:tr w:rsidR="00897F84" w:rsidRPr="00EC0315" w14:paraId="64F97C7A" w14:textId="77777777" w:rsidTr="00D4470F">
        <w:tc>
          <w:tcPr>
            <w:tcW w:w="3397" w:type="dxa"/>
            <w:shd w:val="clear" w:color="auto" w:fill="auto"/>
          </w:tcPr>
          <w:p w14:paraId="5475E80A" w14:textId="77777777" w:rsidR="00897F84" w:rsidRPr="009503F1" w:rsidRDefault="00897F84" w:rsidP="00D4470F">
            <w:pPr>
              <w:rPr>
                <w:i/>
              </w:rPr>
            </w:pPr>
            <w:r w:rsidRPr="009503F1">
              <w:rPr>
                <w:i/>
              </w:rPr>
              <w:t>Demographic</w:t>
            </w:r>
          </w:p>
        </w:tc>
        <w:tc>
          <w:tcPr>
            <w:tcW w:w="1843" w:type="dxa"/>
            <w:shd w:val="clear" w:color="auto" w:fill="auto"/>
          </w:tcPr>
          <w:p w14:paraId="4A53A7C4" w14:textId="77777777" w:rsidR="00897F84" w:rsidRPr="007D42F2" w:rsidRDefault="00897F84" w:rsidP="00D4470F">
            <w:pPr>
              <w:jc w:val="right"/>
            </w:pPr>
          </w:p>
        </w:tc>
        <w:tc>
          <w:tcPr>
            <w:tcW w:w="1134" w:type="dxa"/>
            <w:shd w:val="clear" w:color="auto" w:fill="auto"/>
          </w:tcPr>
          <w:p w14:paraId="0657E5C5" w14:textId="77777777" w:rsidR="00897F84" w:rsidRPr="007D42F2" w:rsidRDefault="00897F84" w:rsidP="00D4470F">
            <w:pPr>
              <w:jc w:val="right"/>
            </w:pPr>
          </w:p>
        </w:tc>
        <w:tc>
          <w:tcPr>
            <w:tcW w:w="1843" w:type="dxa"/>
            <w:shd w:val="clear" w:color="auto" w:fill="auto"/>
          </w:tcPr>
          <w:p w14:paraId="751668B1" w14:textId="77777777" w:rsidR="00897F84" w:rsidRPr="007D42F2" w:rsidRDefault="00897F84" w:rsidP="00D4470F">
            <w:pPr>
              <w:jc w:val="right"/>
            </w:pPr>
          </w:p>
        </w:tc>
        <w:tc>
          <w:tcPr>
            <w:tcW w:w="1417" w:type="dxa"/>
            <w:shd w:val="clear" w:color="auto" w:fill="auto"/>
          </w:tcPr>
          <w:p w14:paraId="77BB3BFE" w14:textId="77777777" w:rsidR="00897F84" w:rsidRPr="007D42F2" w:rsidRDefault="00897F84" w:rsidP="00D4470F">
            <w:pPr>
              <w:jc w:val="right"/>
            </w:pPr>
          </w:p>
        </w:tc>
      </w:tr>
      <w:tr w:rsidR="00897F84" w:rsidRPr="00EC0315" w14:paraId="3F4DD7E3" w14:textId="77777777" w:rsidTr="00D4470F">
        <w:tc>
          <w:tcPr>
            <w:tcW w:w="3397" w:type="dxa"/>
            <w:shd w:val="clear" w:color="auto" w:fill="auto"/>
          </w:tcPr>
          <w:p w14:paraId="5229423D" w14:textId="77777777" w:rsidR="00897F84" w:rsidRPr="007D42F2" w:rsidRDefault="00897F84" w:rsidP="00D4470F">
            <w:r>
              <w:t>Age</w:t>
            </w:r>
          </w:p>
        </w:tc>
        <w:tc>
          <w:tcPr>
            <w:tcW w:w="1843" w:type="dxa"/>
            <w:shd w:val="clear" w:color="auto" w:fill="auto"/>
          </w:tcPr>
          <w:p w14:paraId="13DF09E9" w14:textId="77777777" w:rsidR="00897F84" w:rsidRPr="007D42F2" w:rsidRDefault="00897F84" w:rsidP="00D4470F">
            <w:pPr>
              <w:jc w:val="right"/>
            </w:pPr>
          </w:p>
        </w:tc>
        <w:tc>
          <w:tcPr>
            <w:tcW w:w="1134" w:type="dxa"/>
            <w:shd w:val="clear" w:color="auto" w:fill="auto"/>
          </w:tcPr>
          <w:p w14:paraId="6E8BEAC3" w14:textId="77777777" w:rsidR="00897F84" w:rsidRPr="007D42F2" w:rsidRDefault="00897F84" w:rsidP="00D4470F">
            <w:pPr>
              <w:jc w:val="right"/>
            </w:pPr>
          </w:p>
        </w:tc>
        <w:tc>
          <w:tcPr>
            <w:tcW w:w="1843" w:type="dxa"/>
            <w:shd w:val="clear" w:color="auto" w:fill="auto"/>
          </w:tcPr>
          <w:p w14:paraId="08BA20BF" w14:textId="77777777" w:rsidR="00897F84" w:rsidRPr="007D42F2" w:rsidRDefault="00897F84" w:rsidP="00D4470F">
            <w:pPr>
              <w:jc w:val="right"/>
            </w:pPr>
          </w:p>
        </w:tc>
        <w:tc>
          <w:tcPr>
            <w:tcW w:w="1417" w:type="dxa"/>
            <w:shd w:val="clear" w:color="auto" w:fill="auto"/>
          </w:tcPr>
          <w:p w14:paraId="6786F40F" w14:textId="77777777" w:rsidR="00897F84" w:rsidRPr="007D42F2" w:rsidRDefault="00897F84" w:rsidP="00D4470F">
            <w:pPr>
              <w:jc w:val="right"/>
            </w:pPr>
          </w:p>
        </w:tc>
      </w:tr>
      <w:tr w:rsidR="00897F84" w:rsidRPr="00EC0315" w14:paraId="016F1B4F" w14:textId="77777777" w:rsidTr="00D4470F">
        <w:tc>
          <w:tcPr>
            <w:tcW w:w="3397" w:type="dxa"/>
            <w:shd w:val="clear" w:color="auto" w:fill="auto"/>
          </w:tcPr>
          <w:p w14:paraId="286003A5" w14:textId="77777777" w:rsidR="00897F84" w:rsidRPr="007D42F2" w:rsidRDefault="00897F84" w:rsidP="00D4470F">
            <w:r>
              <w:rPr>
                <w:rFonts w:cstheme="minorHAnsi"/>
              </w:rPr>
              <w:t>&lt;60</w:t>
            </w:r>
            <w:r>
              <w:t xml:space="preserve"> years</w:t>
            </w:r>
          </w:p>
        </w:tc>
        <w:tc>
          <w:tcPr>
            <w:tcW w:w="1843" w:type="dxa"/>
            <w:shd w:val="clear" w:color="auto" w:fill="auto"/>
          </w:tcPr>
          <w:p w14:paraId="0678A52A" w14:textId="77777777" w:rsidR="00897F84" w:rsidRPr="007D42F2" w:rsidRDefault="00897F84" w:rsidP="00D4470F">
            <w:pPr>
              <w:jc w:val="right"/>
            </w:pPr>
            <w:r>
              <w:t>Ref</w:t>
            </w:r>
          </w:p>
        </w:tc>
        <w:tc>
          <w:tcPr>
            <w:tcW w:w="1134" w:type="dxa"/>
            <w:shd w:val="clear" w:color="auto" w:fill="auto"/>
          </w:tcPr>
          <w:p w14:paraId="5D64F607" w14:textId="77777777" w:rsidR="00897F84" w:rsidRPr="007D42F2" w:rsidRDefault="00897F84" w:rsidP="00D4470F">
            <w:pPr>
              <w:jc w:val="right"/>
            </w:pPr>
          </w:p>
        </w:tc>
        <w:tc>
          <w:tcPr>
            <w:tcW w:w="1843" w:type="dxa"/>
            <w:shd w:val="clear" w:color="auto" w:fill="auto"/>
          </w:tcPr>
          <w:p w14:paraId="053F461C" w14:textId="77777777" w:rsidR="00897F84" w:rsidRPr="007D42F2" w:rsidRDefault="00897F84" w:rsidP="00D4470F">
            <w:pPr>
              <w:jc w:val="right"/>
            </w:pPr>
            <w:r>
              <w:t>Ref</w:t>
            </w:r>
          </w:p>
        </w:tc>
        <w:tc>
          <w:tcPr>
            <w:tcW w:w="1417" w:type="dxa"/>
            <w:shd w:val="clear" w:color="auto" w:fill="auto"/>
          </w:tcPr>
          <w:p w14:paraId="6771524C" w14:textId="77777777" w:rsidR="00897F84" w:rsidRPr="007D42F2" w:rsidRDefault="00897F84" w:rsidP="00D4470F">
            <w:pPr>
              <w:jc w:val="right"/>
            </w:pPr>
          </w:p>
        </w:tc>
      </w:tr>
      <w:tr w:rsidR="00897F84" w:rsidRPr="00EC0315" w14:paraId="6257677A" w14:textId="77777777" w:rsidTr="00D4470F">
        <w:tc>
          <w:tcPr>
            <w:tcW w:w="3397" w:type="dxa"/>
            <w:shd w:val="clear" w:color="auto" w:fill="auto"/>
          </w:tcPr>
          <w:p w14:paraId="1E77562E" w14:textId="77777777" w:rsidR="00897F84" w:rsidRPr="007D42F2" w:rsidRDefault="00897F84" w:rsidP="00D4470F">
            <w:r>
              <w:t>60+ years</w:t>
            </w:r>
          </w:p>
        </w:tc>
        <w:tc>
          <w:tcPr>
            <w:tcW w:w="1843" w:type="dxa"/>
            <w:shd w:val="clear" w:color="auto" w:fill="auto"/>
          </w:tcPr>
          <w:p w14:paraId="6331EA31" w14:textId="77777777" w:rsidR="00897F84" w:rsidRPr="007D42F2" w:rsidRDefault="00897F84" w:rsidP="00D4470F">
            <w:pPr>
              <w:jc w:val="right"/>
            </w:pPr>
            <w:r>
              <w:t>3.6(1.4-9.2)</w:t>
            </w:r>
          </w:p>
        </w:tc>
        <w:tc>
          <w:tcPr>
            <w:tcW w:w="1134" w:type="dxa"/>
            <w:shd w:val="clear" w:color="auto" w:fill="auto"/>
          </w:tcPr>
          <w:p w14:paraId="0CF24A16" w14:textId="77777777" w:rsidR="00897F84" w:rsidRPr="007D42F2" w:rsidRDefault="00897F84" w:rsidP="00D4470F">
            <w:pPr>
              <w:jc w:val="right"/>
            </w:pPr>
            <w:r>
              <w:t>0.009</w:t>
            </w:r>
          </w:p>
        </w:tc>
        <w:tc>
          <w:tcPr>
            <w:tcW w:w="1843" w:type="dxa"/>
            <w:shd w:val="clear" w:color="auto" w:fill="auto"/>
          </w:tcPr>
          <w:p w14:paraId="4610D58E" w14:textId="77777777" w:rsidR="00897F84" w:rsidRPr="007D42F2" w:rsidRDefault="00897F84" w:rsidP="00D4470F">
            <w:pPr>
              <w:jc w:val="right"/>
            </w:pPr>
            <w:r>
              <w:t>2.7(1.02-7.2)</w:t>
            </w:r>
          </w:p>
        </w:tc>
        <w:tc>
          <w:tcPr>
            <w:tcW w:w="1417" w:type="dxa"/>
            <w:shd w:val="clear" w:color="auto" w:fill="auto"/>
          </w:tcPr>
          <w:p w14:paraId="0EDD7ED5" w14:textId="77777777" w:rsidR="00897F84" w:rsidRPr="007D42F2" w:rsidRDefault="00897F84" w:rsidP="00D4470F">
            <w:pPr>
              <w:jc w:val="right"/>
            </w:pPr>
            <w:r>
              <w:t>0.045</w:t>
            </w:r>
          </w:p>
        </w:tc>
      </w:tr>
      <w:tr w:rsidR="00897F84" w:rsidRPr="00EC0315" w14:paraId="05EB170B" w14:textId="77777777" w:rsidTr="00D4470F">
        <w:tc>
          <w:tcPr>
            <w:tcW w:w="3397" w:type="dxa"/>
            <w:shd w:val="clear" w:color="auto" w:fill="auto"/>
          </w:tcPr>
          <w:p w14:paraId="4E2992B4" w14:textId="77777777" w:rsidR="00897F84" w:rsidRPr="007D42F2" w:rsidRDefault="00897F84" w:rsidP="00D4470F">
            <w:r>
              <w:t>Sex</w:t>
            </w:r>
          </w:p>
        </w:tc>
        <w:tc>
          <w:tcPr>
            <w:tcW w:w="1843" w:type="dxa"/>
            <w:shd w:val="clear" w:color="auto" w:fill="auto"/>
          </w:tcPr>
          <w:p w14:paraId="2BEDE5FF" w14:textId="77777777" w:rsidR="00897F84" w:rsidRPr="007D42F2" w:rsidRDefault="00897F84" w:rsidP="00D4470F">
            <w:pPr>
              <w:jc w:val="right"/>
            </w:pPr>
          </w:p>
        </w:tc>
        <w:tc>
          <w:tcPr>
            <w:tcW w:w="1134" w:type="dxa"/>
            <w:shd w:val="clear" w:color="auto" w:fill="auto"/>
          </w:tcPr>
          <w:p w14:paraId="609D42F9" w14:textId="77777777" w:rsidR="00897F84" w:rsidRPr="007D42F2" w:rsidRDefault="00897F84" w:rsidP="00D4470F">
            <w:pPr>
              <w:jc w:val="right"/>
            </w:pPr>
          </w:p>
        </w:tc>
        <w:tc>
          <w:tcPr>
            <w:tcW w:w="1843" w:type="dxa"/>
            <w:shd w:val="clear" w:color="auto" w:fill="auto"/>
          </w:tcPr>
          <w:p w14:paraId="0C1F3469" w14:textId="77777777" w:rsidR="00897F84" w:rsidRPr="007D42F2" w:rsidRDefault="00897F84" w:rsidP="00D4470F">
            <w:pPr>
              <w:jc w:val="right"/>
            </w:pPr>
          </w:p>
        </w:tc>
        <w:tc>
          <w:tcPr>
            <w:tcW w:w="1417" w:type="dxa"/>
            <w:shd w:val="clear" w:color="auto" w:fill="auto"/>
          </w:tcPr>
          <w:p w14:paraId="242A4D7A" w14:textId="77777777" w:rsidR="00897F84" w:rsidRPr="007D42F2" w:rsidRDefault="00897F84" w:rsidP="00D4470F">
            <w:pPr>
              <w:jc w:val="right"/>
            </w:pPr>
          </w:p>
        </w:tc>
      </w:tr>
      <w:tr w:rsidR="00897F84" w:rsidRPr="00EC0315" w14:paraId="0AF820A6" w14:textId="77777777" w:rsidTr="00D4470F">
        <w:tc>
          <w:tcPr>
            <w:tcW w:w="3397" w:type="dxa"/>
            <w:shd w:val="clear" w:color="auto" w:fill="auto"/>
          </w:tcPr>
          <w:p w14:paraId="26DFACAE" w14:textId="77777777" w:rsidR="00897F84" w:rsidRPr="007D42F2" w:rsidRDefault="00897F84" w:rsidP="00D4470F">
            <w:r>
              <w:t>Male</w:t>
            </w:r>
          </w:p>
        </w:tc>
        <w:tc>
          <w:tcPr>
            <w:tcW w:w="1843" w:type="dxa"/>
            <w:shd w:val="clear" w:color="auto" w:fill="auto"/>
          </w:tcPr>
          <w:p w14:paraId="6DF06514" w14:textId="77777777" w:rsidR="00897F84" w:rsidRPr="007D42F2" w:rsidRDefault="00897F84" w:rsidP="00D4470F">
            <w:pPr>
              <w:jc w:val="right"/>
            </w:pPr>
            <w:r>
              <w:t>2.0(0.7-5.5)</w:t>
            </w:r>
          </w:p>
        </w:tc>
        <w:tc>
          <w:tcPr>
            <w:tcW w:w="1134" w:type="dxa"/>
            <w:shd w:val="clear" w:color="auto" w:fill="auto"/>
          </w:tcPr>
          <w:p w14:paraId="3A629040" w14:textId="77777777" w:rsidR="00897F84" w:rsidRPr="007D42F2" w:rsidRDefault="00897F84" w:rsidP="00D4470F">
            <w:pPr>
              <w:jc w:val="right"/>
            </w:pPr>
            <w:r>
              <w:t>0.200</w:t>
            </w:r>
          </w:p>
        </w:tc>
        <w:tc>
          <w:tcPr>
            <w:tcW w:w="1843" w:type="dxa"/>
            <w:shd w:val="clear" w:color="auto" w:fill="auto"/>
          </w:tcPr>
          <w:p w14:paraId="7244B4F3" w14:textId="77777777" w:rsidR="00897F84" w:rsidRPr="007D42F2" w:rsidRDefault="00897F84" w:rsidP="00D4470F">
            <w:pPr>
              <w:jc w:val="right"/>
            </w:pPr>
            <w:r>
              <w:t>2.0(0.7-5.6)</w:t>
            </w:r>
          </w:p>
        </w:tc>
        <w:tc>
          <w:tcPr>
            <w:tcW w:w="1417" w:type="dxa"/>
            <w:shd w:val="clear" w:color="auto" w:fill="auto"/>
          </w:tcPr>
          <w:p w14:paraId="50DEB5FA" w14:textId="77777777" w:rsidR="00897F84" w:rsidRPr="007D42F2" w:rsidRDefault="00897F84" w:rsidP="00D4470F">
            <w:pPr>
              <w:jc w:val="right"/>
            </w:pPr>
            <w:r>
              <w:t>0.191</w:t>
            </w:r>
          </w:p>
        </w:tc>
      </w:tr>
      <w:tr w:rsidR="00897F84" w:rsidRPr="00EC0315" w14:paraId="50B580EB" w14:textId="77777777" w:rsidTr="00D4470F">
        <w:tc>
          <w:tcPr>
            <w:tcW w:w="3397" w:type="dxa"/>
            <w:shd w:val="clear" w:color="auto" w:fill="auto"/>
          </w:tcPr>
          <w:p w14:paraId="6C093833" w14:textId="77777777" w:rsidR="00897F84" w:rsidRPr="007D42F2" w:rsidRDefault="00897F84" w:rsidP="00D4470F">
            <w:r>
              <w:t>Female</w:t>
            </w:r>
          </w:p>
        </w:tc>
        <w:tc>
          <w:tcPr>
            <w:tcW w:w="1843" w:type="dxa"/>
            <w:shd w:val="clear" w:color="auto" w:fill="auto"/>
          </w:tcPr>
          <w:p w14:paraId="38BDE9B3" w14:textId="77777777" w:rsidR="00897F84" w:rsidRPr="007D42F2" w:rsidRDefault="00897F84" w:rsidP="00D4470F">
            <w:pPr>
              <w:jc w:val="right"/>
            </w:pPr>
            <w:r>
              <w:t>Ref</w:t>
            </w:r>
          </w:p>
        </w:tc>
        <w:tc>
          <w:tcPr>
            <w:tcW w:w="1134" w:type="dxa"/>
            <w:shd w:val="clear" w:color="auto" w:fill="auto"/>
          </w:tcPr>
          <w:p w14:paraId="68BB4487" w14:textId="77777777" w:rsidR="00897F84" w:rsidRPr="007D42F2" w:rsidRDefault="00897F84" w:rsidP="00D4470F">
            <w:pPr>
              <w:jc w:val="right"/>
            </w:pPr>
          </w:p>
        </w:tc>
        <w:tc>
          <w:tcPr>
            <w:tcW w:w="1843" w:type="dxa"/>
            <w:shd w:val="clear" w:color="auto" w:fill="auto"/>
          </w:tcPr>
          <w:p w14:paraId="7340DA56" w14:textId="77777777" w:rsidR="00897F84" w:rsidRPr="007D42F2" w:rsidRDefault="00897F84" w:rsidP="00D4470F">
            <w:pPr>
              <w:jc w:val="right"/>
            </w:pPr>
            <w:r>
              <w:t>Ref</w:t>
            </w:r>
          </w:p>
        </w:tc>
        <w:tc>
          <w:tcPr>
            <w:tcW w:w="1417" w:type="dxa"/>
            <w:shd w:val="clear" w:color="auto" w:fill="auto"/>
          </w:tcPr>
          <w:p w14:paraId="1A0519A5" w14:textId="77777777" w:rsidR="00897F84" w:rsidRPr="007D42F2" w:rsidRDefault="00897F84" w:rsidP="00D4470F">
            <w:pPr>
              <w:jc w:val="right"/>
            </w:pPr>
          </w:p>
        </w:tc>
      </w:tr>
      <w:tr w:rsidR="00897F84" w:rsidRPr="00EC0315" w14:paraId="6F7E9179" w14:textId="77777777" w:rsidTr="00D4470F">
        <w:tc>
          <w:tcPr>
            <w:tcW w:w="3397" w:type="dxa"/>
            <w:shd w:val="clear" w:color="auto" w:fill="auto"/>
          </w:tcPr>
          <w:p w14:paraId="5E1F9721" w14:textId="77777777" w:rsidR="00897F84" w:rsidRPr="009503F1" w:rsidRDefault="00897F84" w:rsidP="00D4470F">
            <w:pPr>
              <w:rPr>
                <w:i/>
              </w:rPr>
            </w:pPr>
            <w:r w:rsidRPr="009503F1">
              <w:rPr>
                <w:i/>
              </w:rPr>
              <w:t>Symptoms</w:t>
            </w:r>
          </w:p>
        </w:tc>
        <w:tc>
          <w:tcPr>
            <w:tcW w:w="1843" w:type="dxa"/>
          </w:tcPr>
          <w:p w14:paraId="7CF5AC12" w14:textId="77777777" w:rsidR="00897F84" w:rsidRPr="007D42F2" w:rsidRDefault="00897F84" w:rsidP="00D4470F">
            <w:pPr>
              <w:jc w:val="right"/>
            </w:pPr>
          </w:p>
        </w:tc>
        <w:tc>
          <w:tcPr>
            <w:tcW w:w="1134" w:type="dxa"/>
          </w:tcPr>
          <w:p w14:paraId="77D71BA2" w14:textId="77777777" w:rsidR="00897F84" w:rsidRPr="007D42F2" w:rsidRDefault="00897F84" w:rsidP="00D4470F">
            <w:pPr>
              <w:jc w:val="right"/>
            </w:pPr>
          </w:p>
        </w:tc>
        <w:tc>
          <w:tcPr>
            <w:tcW w:w="1843" w:type="dxa"/>
          </w:tcPr>
          <w:p w14:paraId="124C01AD" w14:textId="77777777" w:rsidR="00897F84" w:rsidRPr="007D42F2" w:rsidRDefault="00897F84" w:rsidP="00D4470F">
            <w:pPr>
              <w:jc w:val="right"/>
            </w:pPr>
          </w:p>
        </w:tc>
        <w:tc>
          <w:tcPr>
            <w:tcW w:w="1417" w:type="dxa"/>
          </w:tcPr>
          <w:p w14:paraId="08E90C03" w14:textId="77777777" w:rsidR="00897F84" w:rsidRPr="007D42F2" w:rsidRDefault="00897F84" w:rsidP="00D4470F">
            <w:pPr>
              <w:jc w:val="right"/>
            </w:pPr>
          </w:p>
        </w:tc>
      </w:tr>
      <w:tr w:rsidR="00897F84" w:rsidRPr="00EC0315" w14:paraId="6E5ACE82" w14:textId="77777777" w:rsidTr="00D4470F">
        <w:tc>
          <w:tcPr>
            <w:tcW w:w="3397" w:type="dxa"/>
            <w:shd w:val="clear" w:color="auto" w:fill="auto"/>
          </w:tcPr>
          <w:p w14:paraId="659FCC9C" w14:textId="77777777" w:rsidR="00897F84" w:rsidRPr="007D42F2" w:rsidRDefault="00897F84" w:rsidP="00D4470F">
            <w:r w:rsidRPr="007D42F2">
              <w:t>Shortness of breath</w:t>
            </w:r>
          </w:p>
        </w:tc>
        <w:tc>
          <w:tcPr>
            <w:tcW w:w="1843" w:type="dxa"/>
          </w:tcPr>
          <w:p w14:paraId="3E796E0A" w14:textId="77777777" w:rsidR="00897F84" w:rsidRPr="007D42F2" w:rsidRDefault="00897F84" w:rsidP="00D4470F">
            <w:pPr>
              <w:jc w:val="right"/>
            </w:pPr>
          </w:p>
        </w:tc>
        <w:tc>
          <w:tcPr>
            <w:tcW w:w="1134" w:type="dxa"/>
          </w:tcPr>
          <w:p w14:paraId="537F48A7" w14:textId="77777777" w:rsidR="00897F84" w:rsidRPr="007D42F2" w:rsidRDefault="00897F84" w:rsidP="00D4470F">
            <w:pPr>
              <w:jc w:val="right"/>
            </w:pPr>
          </w:p>
        </w:tc>
        <w:tc>
          <w:tcPr>
            <w:tcW w:w="1843" w:type="dxa"/>
          </w:tcPr>
          <w:p w14:paraId="55131266" w14:textId="77777777" w:rsidR="00897F84" w:rsidRPr="007D42F2" w:rsidRDefault="00897F84" w:rsidP="00D4470F">
            <w:pPr>
              <w:jc w:val="right"/>
            </w:pPr>
          </w:p>
        </w:tc>
        <w:tc>
          <w:tcPr>
            <w:tcW w:w="1417" w:type="dxa"/>
          </w:tcPr>
          <w:p w14:paraId="57B5A3D4" w14:textId="77777777" w:rsidR="00897F84" w:rsidRPr="007D42F2" w:rsidRDefault="00897F84" w:rsidP="00D4470F">
            <w:pPr>
              <w:jc w:val="right"/>
            </w:pPr>
          </w:p>
        </w:tc>
      </w:tr>
      <w:tr w:rsidR="00897F84" w:rsidRPr="00EC0315" w14:paraId="41494B7F" w14:textId="77777777" w:rsidTr="00D4470F">
        <w:tc>
          <w:tcPr>
            <w:tcW w:w="3397" w:type="dxa"/>
            <w:shd w:val="clear" w:color="auto" w:fill="auto"/>
          </w:tcPr>
          <w:p w14:paraId="2CB150E8" w14:textId="77777777" w:rsidR="00897F84" w:rsidRPr="007D42F2" w:rsidRDefault="00897F84" w:rsidP="00D4470F">
            <w:r w:rsidRPr="007D42F2">
              <w:t>No</w:t>
            </w:r>
          </w:p>
        </w:tc>
        <w:tc>
          <w:tcPr>
            <w:tcW w:w="1843" w:type="dxa"/>
          </w:tcPr>
          <w:p w14:paraId="29799B8A" w14:textId="77777777" w:rsidR="00897F84" w:rsidRPr="007D42F2" w:rsidRDefault="00897F84" w:rsidP="00D4470F">
            <w:pPr>
              <w:jc w:val="right"/>
            </w:pPr>
            <w:r w:rsidRPr="007D42F2">
              <w:t>Ref</w:t>
            </w:r>
          </w:p>
        </w:tc>
        <w:tc>
          <w:tcPr>
            <w:tcW w:w="1134" w:type="dxa"/>
          </w:tcPr>
          <w:p w14:paraId="3950CD02" w14:textId="77777777" w:rsidR="00897F84" w:rsidRPr="007D42F2" w:rsidRDefault="00897F84" w:rsidP="00D4470F">
            <w:pPr>
              <w:jc w:val="right"/>
            </w:pPr>
          </w:p>
        </w:tc>
        <w:tc>
          <w:tcPr>
            <w:tcW w:w="1843" w:type="dxa"/>
          </w:tcPr>
          <w:p w14:paraId="6BD59154" w14:textId="77777777" w:rsidR="00897F84" w:rsidRPr="007D42F2" w:rsidRDefault="00897F84" w:rsidP="00D4470F">
            <w:pPr>
              <w:jc w:val="right"/>
            </w:pPr>
            <w:r w:rsidRPr="007D42F2">
              <w:t>Ref</w:t>
            </w:r>
          </w:p>
        </w:tc>
        <w:tc>
          <w:tcPr>
            <w:tcW w:w="1417" w:type="dxa"/>
          </w:tcPr>
          <w:p w14:paraId="7B3527EB" w14:textId="77777777" w:rsidR="00897F84" w:rsidRPr="007D42F2" w:rsidRDefault="00897F84" w:rsidP="00D4470F">
            <w:pPr>
              <w:jc w:val="right"/>
            </w:pPr>
          </w:p>
        </w:tc>
      </w:tr>
      <w:tr w:rsidR="00897F84" w:rsidRPr="00EC0315" w14:paraId="39E32BEF" w14:textId="77777777" w:rsidTr="00D4470F">
        <w:tc>
          <w:tcPr>
            <w:tcW w:w="3397" w:type="dxa"/>
            <w:shd w:val="clear" w:color="auto" w:fill="auto"/>
          </w:tcPr>
          <w:p w14:paraId="33E21AFC" w14:textId="77777777" w:rsidR="00897F84" w:rsidRPr="007D42F2" w:rsidRDefault="00897F84" w:rsidP="00D4470F">
            <w:r w:rsidRPr="007D42F2">
              <w:t>Yes</w:t>
            </w:r>
          </w:p>
        </w:tc>
        <w:tc>
          <w:tcPr>
            <w:tcW w:w="1843" w:type="dxa"/>
          </w:tcPr>
          <w:p w14:paraId="0431F2D8" w14:textId="77777777" w:rsidR="00897F84" w:rsidRPr="007D42F2" w:rsidRDefault="00897F84" w:rsidP="00D4470F">
            <w:pPr>
              <w:jc w:val="right"/>
            </w:pPr>
            <w:r>
              <w:t>15.6(2.1-117.5</w:t>
            </w:r>
            <w:r w:rsidRPr="007D42F2">
              <w:t>)</w:t>
            </w:r>
          </w:p>
        </w:tc>
        <w:tc>
          <w:tcPr>
            <w:tcW w:w="1134" w:type="dxa"/>
          </w:tcPr>
          <w:p w14:paraId="0B3DEBEA" w14:textId="77777777" w:rsidR="00897F84" w:rsidRPr="007D42F2" w:rsidRDefault="00897F84" w:rsidP="00D4470F">
            <w:pPr>
              <w:jc w:val="right"/>
            </w:pPr>
            <w:r>
              <w:t>0.008</w:t>
            </w:r>
          </w:p>
        </w:tc>
        <w:tc>
          <w:tcPr>
            <w:tcW w:w="1843" w:type="dxa"/>
          </w:tcPr>
          <w:p w14:paraId="61902043" w14:textId="77777777" w:rsidR="00897F84" w:rsidRPr="007D42F2" w:rsidRDefault="00897F84" w:rsidP="00D4470F">
            <w:pPr>
              <w:jc w:val="right"/>
            </w:pPr>
            <w:r>
              <w:t>13.2(1.8-99.9)</w:t>
            </w:r>
          </w:p>
        </w:tc>
        <w:tc>
          <w:tcPr>
            <w:tcW w:w="1417" w:type="dxa"/>
          </w:tcPr>
          <w:p w14:paraId="71328347" w14:textId="77777777" w:rsidR="00897F84" w:rsidRPr="007D42F2" w:rsidRDefault="00897F84" w:rsidP="00D4470F">
            <w:pPr>
              <w:jc w:val="right"/>
            </w:pPr>
            <w:r>
              <w:t>0.012</w:t>
            </w:r>
          </w:p>
        </w:tc>
      </w:tr>
      <w:tr w:rsidR="00897F84" w:rsidRPr="00EC0315" w14:paraId="29360BCF" w14:textId="77777777" w:rsidTr="00D4470F">
        <w:tc>
          <w:tcPr>
            <w:tcW w:w="3397" w:type="dxa"/>
            <w:shd w:val="clear" w:color="auto" w:fill="auto"/>
          </w:tcPr>
          <w:p w14:paraId="5B195474" w14:textId="77777777" w:rsidR="00897F84" w:rsidRPr="007D42F2" w:rsidRDefault="00897F84" w:rsidP="00D4470F">
            <w:r w:rsidRPr="007D42F2">
              <w:t>Muscles aches</w:t>
            </w:r>
          </w:p>
        </w:tc>
        <w:tc>
          <w:tcPr>
            <w:tcW w:w="1843" w:type="dxa"/>
          </w:tcPr>
          <w:p w14:paraId="75C9BDCE" w14:textId="77777777" w:rsidR="00897F84" w:rsidRPr="007D42F2" w:rsidRDefault="00897F84" w:rsidP="00D4470F">
            <w:pPr>
              <w:jc w:val="right"/>
            </w:pPr>
          </w:p>
        </w:tc>
        <w:tc>
          <w:tcPr>
            <w:tcW w:w="1134" w:type="dxa"/>
          </w:tcPr>
          <w:p w14:paraId="5783759B" w14:textId="77777777" w:rsidR="00897F84" w:rsidRPr="007D42F2" w:rsidRDefault="00897F84" w:rsidP="00D4470F">
            <w:pPr>
              <w:jc w:val="right"/>
            </w:pPr>
          </w:p>
        </w:tc>
        <w:tc>
          <w:tcPr>
            <w:tcW w:w="1843" w:type="dxa"/>
          </w:tcPr>
          <w:p w14:paraId="69439931" w14:textId="77777777" w:rsidR="00897F84" w:rsidRPr="007D42F2" w:rsidRDefault="00897F84" w:rsidP="00D4470F">
            <w:pPr>
              <w:jc w:val="right"/>
            </w:pPr>
          </w:p>
        </w:tc>
        <w:tc>
          <w:tcPr>
            <w:tcW w:w="1417" w:type="dxa"/>
          </w:tcPr>
          <w:p w14:paraId="6158DD7E" w14:textId="77777777" w:rsidR="00897F84" w:rsidRPr="007D42F2" w:rsidRDefault="00897F84" w:rsidP="00D4470F">
            <w:pPr>
              <w:jc w:val="right"/>
            </w:pPr>
          </w:p>
        </w:tc>
      </w:tr>
      <w:tr w:rsidR="00897F84" w:rsidRPr="00EC0315" w14:paraId="3F321A68" w14:textId="77777777" w:rsidTr="00D4470F">
        <w:tc>
          <w:tcPr>
            <w:tcW w:w="3397" w:type="dxa"/>
            <w:shd w:val="clear" w:color="auto" w:fill="auto"/>
          </w:tcPr>
          <w:p w14:paraId="196FC04B" w14:textId="77777777" w:rsidR="00897F84" w:rsidRPr="007D42F2" w:rsidRDefault="00897F84" w:rsidP="00D4470F">
            <w:r w:rsidRPr="007D42F2">
              <w:t>No</w:t>
            </w:r>
          </w:p>
        </w:tc>
        <w:tc>
          <w:tcPr>
            <w:tcW w:w="1843" w:type="dxa"/>
          </w:tcPr>
          <w:p w14:paraId="6F30CAA5" w14:textId="77777777" w:rsidR="00897F84" w:rsidRPr="007D42F2" w:rsidRDefault="00897F84" w:rsidP="00D4470F">
            <w:pPr>
              <w:jc w:val="right"/>
            </w:pPr>
            <w:r w:rsidRPr="007D42F2">
              <w:t>Ref</w:t>
            </w:r>
          </w:p>
        </w:tc>
        <w:tc>
          <w:tcPr>
            <w:tcW w:w="1134" w:type="dxa"/>
          </w:tcPr>
          <w:p w14:paraId="3DDB0E22" w14:textId="77777777" w:rsidR="00897F84" w:rsidRPr="007D42F2" w:rsidRDefault="00897F84" w:rsidP="00D4470F">
            <w:pPr>
              <w:jc w:val="right"/>
            </w:pPr>
          </w:p>
        </w:tc>
        <w:tc>
          <w:tcPr>
            <w:tcW w:w="1843" w:type="dxa"/>
          </w:tcPr>
          <w:p w14:paraId="17BA014D" w14:textId="77777777" w:rsidR="00897F84" w:rsidRPr="007D42F2" w:rsidRDefault="00897F84" w:rsidP="00D4470F">
            <w:pPr>
              <w:jc w:val="right"/>
            </w:pPr>
            <w:r w:rsidRPr="007D42F2">
              <w:t>Ref</w:t>
            </w:r>
          </w:p>
        </w:tc>
        <w:tc>
          <w:tcPr>
            <w:tcW w:w="1417" w:type="dxa"/>
          </w:tcPr>
          <w:p w14:paraId="55D09D5F" w14:textId="77777777" w:rsidR="00897F84" w:rsidRPr="007D42F2" w:rsidRDefault="00897F84" w:rsidP="00D4470F">
            <w:pPr>
              <w:jc w:val="right"/>
            </w:pPr>
          </w:p>
        </w:tc>
      </w:tr>
      <w:tr w:rsidR="00897F84" w:rsidRPr="00EC0315" w14:paraId="0C6BF8B9" w14:textId="77777777" w:rsidTr="00D4470F">
        <w:tc>
          <w:tcPr>
            <w:tcW w:w="3397" w:type="dxa"/>
            <w:shd w:val="clear" w:color="auto" w:fill="auto"/>
          </w:tcPr>
          <w:p w14:paraId="002BD9E8" w14:textId="77777777" w:rsidR="00897F84" w:rsidRPr="007D42F2" w:rsidRDefault="00897F84" w:rsidP="00D4470F">
            <w:r w:rsidRPr="007D42F2">
              <w:t>Yes</w:t>
            </w:r>
          </w:p>
        </w:tc>
        <w:tc>
          <w:tcPr>
            <w:tcW w:w="1843" w:type="dxa"/>
          </w:tcPr>
          <w:p w14:paraId="2D534FC1" w14:textId="77777777" w:rsidR="00897F84" w:rsidRPr="007D42F2" w:rsidRDefault="00897F84" w:rsidP="00D4470F">
            <w:pPr>
              <w:jc w:val="right"/>
            </w:pPr>
            <w:r>
              <w:t>4.2(1.4-1.9)</w:t>
            </w:r>
          </w:p>
        </w:tc>
        <w:tc>
          <w:tcPr>
            <w:tcW w:w="1134" w:type="dxa"/>
          </w:tcPr>
          <w:p w14:paraId="70277AF9" w14:textId="77777777" w:rsidR="00897F84" w:rsidRPr="007D42F2" w:rsidRDefault="00897F84" w:rsidP="00D4470F">
            <w:pPr>
              <w:jc w:val="right"/>
            </w:pPr>
            <w:r>
              <w:t>0.011</w:t>
            </w:r>
          </w:p>
        </w:tc>
        <w:tc>
          <w:tcPr>
            <w:tcW w:w="1843" w:type="dxa"/>
          </w:tcPr>
          <w:p w14:paraId="35A5A535" w14:textId="77777777" w:rsidR="00897F84" w:rsidRPr="007D42F2" w:rsidRDefault="00897F84" w:rsidP="00D4470F">
            <w:pPr>
              <w:jc w:val="right"/>
            </w:pPr>
            <w:r>
              <w:t>3.5(1.1-10.8)</w:t>
            </w:r>
          </w:p>
        </w:tc>
        <w:tc>
          <w:tcPr>
            <w:tcW w:w="1417" w:type="dxa"/>
          </w:tcPr>
          <w:p w14:paraId="2EBFBABF" w14:textId="77777777" w:rsidR="00897F84" w:rsidRPr="007D42F2" w:rsidRDefault="00897F84" w:rsidP="00D4470F">
            <w:pPr>
              <w:jc w:val="right"/>
            </w:pPr>
            <w:r>
              <w:t>0.030</w:t>
            </w:r>
          </w:p>
        </w:tc>
      </w:tr>
      <w:tr w:rsidR="00897F84" w:rsidRPr="00EC0315" w14:paraId="65E244A6" w14:textId="77777777" w:rsidTr="00D4470F">
        <w:tc>
          <w:tcPr>
            <w:tcW w:w="3397" w:type="dxa"/>
            <w:shd w:val="clear" w:color="auto" w:fill="auto"/>
          </w:tcPr>
          <w:p w14:paraId="253181B0" w14:textId="77777777" w:rsidR="00897F84" w:rsidRPr="007D42F2" w:rsidRDefault="00897F84" w:rsidP="00D4470F">
            <w:r>
              <w:t xml:space="preserve">Fatigue </w:t>
            </w:r>
          </w:p>
        </w:tc>
        <w:tc>
          <w:tcPr>
            <w:tcW w:w="1843" w:type="dxa"/>
          </w:tcPr>
          <w:p w14:paraId="7749046B" w14:textId="77777777" w:rsidR="00897F84" w:rsidRPr="007D42F2" w:rsidRDefault="00897F84" w:rsidP="00D4470F">
            <w:pPr>
              <w:jc w:val="right"/>
            </w:pPr>
          </w:p>
        </w:tc>
        <w:tc>
          <w:tcPr>
            <w:tcW w:w="1134" w:type="dxa"/>
          </w:tcPr>
          <w:p w14:paraId="473B61A6" w14:textId="77777777" w:rsidR="00897F84" w:rsidRPr="007D42F2" w:rsidRDefault="00897F84" w:rsidP="00D4470F">
            <w:pPr>
              <w:jc w:val="right"/>
            </w:pPr>
          </w:p>
        </w:tc>
        <w:tc>
          <w:tcPr>
            <w:tcW w:w="1843" w:type="dxa"/>
          </w:tcPr>
          <w:p w14:paraId="4C1E02FB" w14:textId="77777777" w:rsidR="00897F84" w:rsidRPr="007D42F2" w:rsidRDefault="00897F84" w:rsidP="00D4470F">
            <w:pPr>
              <w:jc w:val="right"/>
            </w:pPr>
          </w:p>
        </w:tc>
        <w:tc>
          <w:tcPr>
            <w:tcW w:w="1417" w:type="dxa"/>
          </w:tcPr>
          <w:p w14:paraId="366543AE" w14:textId="77777777" w:rsidR="00897F84" w:rsidRPr="007D42F2" w:rsidRDefault="00897F84" w:rsidP="00D4470F">
            <w:pPr>
              <w:jc w:val="right"/>
            </w:pPr>
          </w:p>
        </w:tc>
      </w:tr>
      <w:tr w:rsidR="00897F84" w:rsidRPr="00EC0315" w14:paraId="059D3EC1" w14:textId="77777777" w:rsidTr="00D4470F">
        <w:tc>
          <w:tcPr>
            <w:tcW w:w="3397" w:type="dxa"/>
            <w:shd w:val="clear" w:color="auto" w:fill="auto"/>
          </w:tcPr>
          <w:p w14:paraId="3470775C" w14:textId="77777777" w:rsidR="00897F84" w:rsidRPr="007D42F2" w:rsidRDefault="00897F84" w:rsidP="00D4470F">
            <w:r w:rsidRPr="007D42F2">
              <w:t>No</w:t>
            </w:r>
          </w:p>
        </w:tc>
        <w:tc>
          <w:tcPr>
            <w:tcW w:w="1843" w:type="dxa"/>
          </w:tcPr>
          <w:p w14:paraId="599FE334" w14:textId="77777777" w:rsidR="00897F84" w:rsidRPr="007D42F2" w:rsidRDefault="00897F84" w:rsidP="00D4470F">
            <w:pPr>
              <w:jc w:val="right"/>
            </w:pPr>
            <w:r>
              <w:t>Ref</w:t>
            </w:r>
          </w:p>
        </w:tc>
        <w:tc>
          <w:tcPr>
            <w:tcW w:w="1134" w:type="dxa"/>
          </w:tcPr>
          <w:p w14:paraId="65DC3979" w14:textId="77777777" w:rsidR="00897F84" w:rsidRPr="007D42F2" w:rsidRDefault="00897F84" w:rsidP="00D4470F">
            <w:pPr>
              <w:jc w:val="right"/>
            </w:pPr>
          </w:p>
        </w:tc>
        <w:tc>
          <w:tcPr>
            <w:tcW w:w="1843" w:type="dxa"/>
          </w:tcPr>
          <w:p w14:paraId="4C95D343" w14:textId="77777777" w:rsidR="00897F84" w:rsidRPr="007D42F2" w:rsidRDefault="00897F84" w:rsidP="00D4470F">
            <w:pPr>
              <w:jc w:val="right"/>
            </w:pPr>
            <w:r>
              <w:t>Ref</w:t>
            </w:r>
          </w:p>
        </w:tc>
        <w:tc>
          <w:tcPr>
            <w:tcW w:w="1417" w:type="dxa"/>
          </w:tcPr>
          <w:p w14:paraId="2AD6984B" w14:textId="77777777" w:rsidR="00897F84" w:rsidRPr="007D42F2" w:rsidRDefault="00897F84" w:rsidP="00D4470F">
            <w:pPr>
              <w:jc w:val="right"/>
            </w:pPr>
          </w:p>
        </w:tc>
      </w:tr>
      <w:tr w:rsidR="00897F84" w:rsidRPr="00EC0315" w14:paraId="5A804FEC" w14:textId="77777777" w:rsidTr="00D4470F">
        <w:tc>
          <w:tcPr>
            <w:tcW w:w="3397" w:type="dxa"/>
            <w:shd w:val="clear" w:color="auto" w:fill="auto"/>
          </w:tcPr>
          <w:p w14:paraId="7C7D2CDB" w14:textId="77777777" w:rsidR="00897F84" w:rsidRPr="007D42F2" w:rsidRDefault="00897F84" w:rsidP="00D4470F">
            <w:r>
              <w:t>Yes</w:t>
            </w:r>
          </w:p>
        </w:tc>
        <w:tc>
          <w:tcPr>
            <w:tcW w:w="1843" w:type="dxa"/>
          </w:tcPr>
          <w:p w14:paraId="692EB6FB" w14:textId="77777777" w:rsidR="00897F84" w:rsidRDefault="00897F84" w:rsidP="00D4470F">
            <w:pPr>
              <w:jc w:val="right"/>
            </w:pPr>
            <w:r>
              <w:t>3.9(1.3-11.9)</w:t>
            </w:r>
          </w:p>
        </w:tc>
        <w:tc>
          <w:tcPr>
            <w:tcW w:w="1134" w:type="dxa"/>
          </w:tcPr>
          <w:p w14:paraId="402EAAE7" w14:textId="77777777" w:rsidR="00897F84" w:rsidRPr="007D42F2" w:rsidRDefault="00897F84" w:rsidP="00D4470F">
            <w:pPr>
              <w:jc w:val="right"/>
            </w:pPr>
            <w:r>
              <w:t xml:space="preserve">0.016      </w:t>
            </w:r>
          </w:p>
        </w:tc>
        <w:tc>
          <w:tcPr>
            <w:tcW w:w="1843" w:type="dxa"/>
          </w:tcPr>
          <w:p w14:paraId="595F3316" w14:textId="77777777" w:rsidR="00897F84" w:rsidRDefault="00897F84" w:rsidP="00D4470F">
            <w:pPr>
              <w:jc w:val="right"/>
            </w:pPr>
            <w:r>
              <w:t>4.4(1.4-13.3)</w:t>
            </w:r>
          </w:p>
        </w:tc>
        <w:tc>
          <w:tcPr>
            <w:tcW w:w="1417" w:type="dxa"/>
          </w:tcPr>
          <w:p w14:paraId="3437C4A9" w14:textId="77777777" w:rsidR="00897F84" w:rsidRPr="007D42F2" w:rsidRDefault="00897F84" w:rsidP="00D4470F">
            <w:pPr>
              <w:jc w:val="right"/>
            </w:pPr>
            <w:r>
              <w:t>0.010</w:t>
            </w:r>
          </w:p>
        </w:tc>
      </w:tr>
      <w:tr w:rsidR="00897F84" w:rsidRPr="00EC0315" w14:paraId="15CFE36E" w14:textId="77777777" w:rsidTr="00D4470F">
        <w:tc>
          <w:tcPr>
            <w:tcW w:w="3397" w:type="dxa"/>
            <w:shd w:val="clear" w:color="auto" w:fill="auto"/>
          </w:tcPr>
          <w:p w14:paraId="07870A59" w14:textId="77777777" w:rsidR="00897F84" w:rsidRPr="007D42F2" w:rsidRDefault="00897F84" w:rsidP="00D4470F">
            <w:r w:rsidRPr="007D42F2">
              <w:t>Altered consciousness</w:t>
            </w:r>
          </w:p>
        </w:tc>
        <w:tc>
          <w:tcPr>
            <w:tcW w:w="1843" w:type="dxa"/>
          </w:tcPr>
          <w:p w14:paraId="62A4A43D" w14:textId="77777777" w:rsidR="00897F84" w:rsidRPr="007D42F2" w:rsidRDefault="00897F84" w:rsidP="00D4470F">
            <w:pPr>
              <w:jc w:val="right"/>
            </w:pPr>
          </w:p>
        </w:tc>
        <w:tc>
          <w:tcPr>
            <w:tcW w:w="1134" w:type="dxa"/>
          </w:tcPr>
          <w:p w14:paraId="613DA2EE" w14:textId="77777777" w:rsidR="00897F84" w:rsidRPr="007D42F2" w:rsidRDefault="00897F84" w:rsidP="00D4470F">
            <w:pPr>
              <w:jc w:val="right"/>
            </w:pPr>
          </w:p>
        </w:tc>
        <w:tc>
          <w:tcPr>
            <w:tcW w:w="1843" w:type="dxa"/>
          </w:tcPr>
          <w:p w14:paraId="14A07E72" w14:textId="77777777" w:rsidR="00897F84" w:rsidRPr="007D42F2" w:rsidRDefault="00897F84" w:rsidP="00D4470F">
            <w:pPr>
              <w:jc w:val="right"/>
            </w:pPr>
          </w:p>
        </w:tc>
        <w:tc>
          <w:tcPr>
            <w:tcW w:w="1417" w:type="dxa"/>
          </w:tcPr>
          <w:p w14:paraId="6C1FAA29" w14:textId="77777777" w:rsidR="00897F84" w:rsidRPr="007D42F2" w:rsidRDefault="00897F84" w:rsidP="00D4470F">
            <w:pPr>
              <w:jc w:val="right"/>
            </w:pPr>
          </w:p>
        </w:tc>
      </w:tr>
      <w:tr w:rsidR="00897F84" w:rsidRPr="00EC0315" w14:paraId="36B5A7EF" w14:textId="77777777" w:rsidTr="00D4470F">
        <w:tc>
          <w:tcPr>
            <w:tcW w:w="3397" w:type="dxa"/>
            <w:shd w:val="clear" w:color="auto" w:fill="auto"/>
          </w:tcPr>
          <w:p w14:paraId="6354A23D" w14:textId="77777777" w:rsidR="00897F84" w:rsidRPr="007D42F2" w:rsidRDefault="00897F84" w:rsidP="00D4470F">
            <w:r w:rsidRPr="007D42F2">
              <w:t>No</w:t>
            </w:r>
          </w:p>
        </w:tc>
        <w:tc>
          <w:tcPr>
            <w:tcW w:w="1843" w:type="dxa"/>
          </w:tcPr>
          <w:p w14:paraId="40E0EF9A" w14:textId="77777777" w:rsidR="00897F84" w:rsidRPr="007D42F2" w:rsidRDefault="00897F84" w:rsidP="00D4470F">
            <w:pPr>
              <w:jc w:val="right"/>
            </w:pPr>
            <w:r w:rsidRPr="007D42F2">
              <w:t>Ref</w:t>
            </w:r>
          </w:p>
        </w:tc>
        <w:tc>
          <w:tcPr>
            <w:tcW w:w="1134" w:type="dxa"/>
          </w:tcPr>
          <w:p w14:paraId="1054C0F0" w14:textId="77777777" w:rsidR="00897F84" w:rsidRPr="007D42F2" w:rsidRDefault="00897F84" w:rsidP="00D4470F">
            <w:pPr>
              <w:jc w:val="right"/>
            </w:pPr>
          </w:p>
        </w:tc>
        <w:tc>
          <w:tcPr>
            <w:tcW w:w="1843" w:type="dxa"/>
          </w:tcPr>
          <w:p w14:paraId="1E7A706F" w14:textId="77777777" w:rsidR="00897F84" w:rsidRPr="007D42F2" w:rsidRDefault="00897F84" w:rsidP="00D4470F">
            <w:pPr>
              <w:jc w:val="right"/>
            </w:pPr>
            <w:r w:rsidRPr="007D42F2">
              <w:t>Ref</w:t>
            </w:r>
          </w:p>
        </w:tc>
        <w:tc>
          <w:tcPr>
            <w:tcW w:w="1417" w:type="dxa"/>
          </w:tcPr>
          <w:p w14:paraId="5A382378" w14:textId="77777777" w:rsidR="00897F84" w:rsidRPr="007D42F2" w:rsidRDefault="00897F84" w:rsidP="00D4470F">
            <w:pPr>
              <w:jc w:val="right"/>
            </w:pPr>
          </w:p>
        </w:tc>
      </w:tr>
      <w:tr w:rsidR="00897F84" w:rsidRPr="00EC0315" w14:paraId="62182783" w14:textId="77777777" w:rsidTr="00D4470F">
        <w:tc>
          <w:tcPr>
            <w:tcW w:w="3397" w:type="dxa"/>
            <w:shd w:val="clear" w:color="auto" w:fill="auto"/>
          </w:tcPr>
          <w:p w14:paraId="71F84088" w14:textId="77777777" w:rsidR="00897F84" w:rsidRPr="007D42F2" w:rsidRDefault="00897F84" w:rsidP="00D4470F">
            <w:r w:rsidRPr="007D42F2">
              <w:t>Yes</w:t>
            </w:r>
          </w:p>
        </w:tc>
        <w:tc>
          <w:tcPr>
            <w:tcW w:w="1843" w:type="dxa"/>
          </w:tcPr>
          <w:p w14:paraId="5BD090E6" w14:textId="77777777" w:rsidR="00897F84" w:rsidRPr="007D42F2" w:rsidRDefault="00897F84" w:rsidP="00D4470F">
            <w:pPr>
              <w:jc w:val="right"/>
            </w:pPr>
            <w:r>
              <w:t>6.4(2.3-18.3</w:t>
            </w:r>
            <w:r w:rsidRPr="007D42F2">
              <w:t>)</w:t>
            </w:r>
          </w:p>
        </w:tc>
        <w:tc>
          <w:tcPr>
            <w:tcW w:w="1134" w:type="dxa"/>
          </w:tcPr>
          <w:p w14:paraId="6B53AC2E" w14:textId="77777777" w:rsidR="00897F84" w:rsidRPr="007D42F2" w:rsidRDefault="00897F84" w:rsidP="00D4470F">
            <w:pPr>
              <w:jc w:val="right"/>
            </w:pPr>
            <w:r>
              <w:t>&lt;0.001</w:t>
            </w:r>
          </w:p>
        </w:tc>
        <w:tc>
          <w:tcPr>
            <w:tcW w:w="1843" w:type="dxa"/>
          </w:tcPr>
          <w:p w14:paraId="04015EBF" w14:textId="77777777" w:rsidR="00897F84" w:rsidRPr="007D42F2" w:rsidRDefault="00897F84" w:rsidP="00D4470F">
            <w:pPr>
              <w:jc w:val="right"/>
            </w:pPr>
            <w:r>
              <w:t>5.4(1.9-15.5)</w:t>
            </w:r>
          </w:p>
        </w:tc>
        <w:tc>
          <w:tcPr>
            <w:tcW w:w="1417" w:type="dxa"/>
          </w:tcPr>
          <w:p w14:paraId="439C6694" w14:textId="77777777" w:rsidR="00897F84" w:rsidRPr="007D42F2" w:rsidRDefault="00897F84" w:rsidP="00D4470F">
            <w:pPr>
              <w:jc w:val="right"/>
            </w:pPr>
            <w:r>
              <w:t>0.002</w:t>
            </w:r>
          </w:p>
        </w:tc>
      </w:tr>
      <w:tr w:rsidR="00897F84" w:rsidRPr="00EC0315" w14:paraId="77A1794B" w14:textId="77777777" w:rsidTr="00D4470F">
        <w:tc>
          <w:tcPr>
            <w:tcW w:w="3397" w:type="dxa"/>
            <w:shd w:val="clear" w:color="auto" w:fill="auto"/>
          </w:tcPr>
          <w:p w14:paraId="53B0AE12" w14:textId="77777777" w:rsidR="00897F84" w:rsidRPr="007D42F2" w:rsidRDefault="00897F84" w:rsidP="00D4470F">
            <w:r w:rsidRPr="007D42F2">
              <w:t>Neurological signs</w:t>
            </w:r>
          </w:p>
        </w:tc>
        <w:tc>
          <w:tcPr>
            <w:tcW w:w="1843" w:type="dxa"/>
          </w:tcPr>
          <w:p w14:paraId="3C12CE71" w14:textId="77777777" w:rsidR="00897F84" w:rsidRPr="007D42F2" w:rsidRDefault="00897F84" w:rsidP="00D4470F">
            <w:pPr>
              <w:jc w:val="right"/>
            </w:pPr>
          </w:p>
        </w:tc>
        <w:tc>
          <w:tcPr>
            <w:tcW w:w="1134" w:type="dxa"/>
          </w:tcPr>
          <w:p w14:paraId="3886A017" w14:textId="77777777" w:rsidR="00897F84" w:rsidRPr="007D42F2" w:rsidRDefault="00897F84" w:rsidP="00D4470F">
            <w:pPr>
              <w:jc w:val="right"/>
            </w:pPr>
          </w:p>
        </w:tc>
        <w:tc>
          <w:tcPr>
            <w:tcW w:w="1843" w:type="dxa"/>
          </w:tcPr>
          <w:p w14:paraId="1FB8606F" w14:textId="77777777" w:rsidR="00897F84" w:rsidRPr="007D42F2" w:rsidRDefault="00897F84" w:rsidP="00D4470F">
            <w:pPr>
              <w:jc w:val="right"/>
            </w:pPr>
          </w:p>
        </w:tc>
        <w:tc>
          <w:tcPr>
            <w:tcW w:w="1417" w:type="dxa"/>
          </w:tcPr>
          <w:p w14:paraId="7F584023" w14:textId="77777777" w:rsidR="00897F84" w:rsidRPr="007D42F2" w:rsidRDefault="00897F84" w:rsidP="00D4470F">
            <w:pPr>
              <w:jc w:val="right"/>
            </w:pPr>
          </w:p>
        </w:tc>
      </w:tr>
      <w:tr w:rsidR="00897F84" w:rsidRPr="00EC0315" w14:paraId="19EA9CA2" w14:textId="77777777" w:rsidTr="00D4470F">
        <w:tc>
          <w:tcPr>
            <w:tcW w:w="3397" w:type="dxa"/>
            <w:shd w:val="clear" w:color="auto" w:fill="auto"/>
          </w:tcPr>
          <w:p w14:paraId="08B738BF" w14:textId="77777777" w:rsidR="00897F84" w:rsidRPr="007D42F2" w:rsidRDefault="00897F84" w:rsidP="00D4470F">
            <w:r w:rsidRPr="007D42F2">
              <w:t>No</w:t>
            </w:r>
          </w:p>
        </w:tc>
        <w:tc>
          <w:tcPr>
            <w:tcW w:w="1843" w:type="dxa"/>
          </w:tcPr>
          <w:p w14:paraId="7808ACA8" w14:textId="77777777" w:rsidR="00897F84" w:rsidRPr="007D42F2" w:rsidRDefault="00897F84" w:rsidP="00D4470F">
            <w:pPr>
              <w:jc w:val="right"/>
            </w:pPr>
            <w:r w:rsidRPr="007D42F2">
              <w:t>Ref</w:t>
            </w:r>
          </w:p>
        </w:tc>
        <w:tc>
          <w:tcPr>
            <w:tcW w:w="1134" w:type="dxa"/>
          </w:tcPr>
          <w:p w14:paraId="7FD4AEDA" w14:textId="77777777" w:rsidR="00897F84" w:rsidRPr="007D42F2" w:rsidRDefault="00897F84" w:rsidP="00D4470F">
            <w:pPr>
              <w:jc w:val="right"/>
            </w:pPr>
          </w:p>
        </w:tc>
        <w:tc>
          <w:tcPr>
            <w:tcW w:w="1843" w:type="dxa"/>
          </w:tcPr>
          <w:p w14:paraId="1D44CAEC" w14:textId="77777777" w:rsidR="00897F84" w:rsidRPr="007D42F2" w:rsidRDefault="00897F84" w:rsidP="00D4470F">
            <w:pPr>
              <w:jc w:val="right"/>
            </w:pPr>
            <w:r w:rsidRPr="007D42F2">
              <w:t>Ref</w:t>
            </w:r>
          </w:p>
        </w:tc>
        <w:tc>
          <w:tcPr>
            <w:tcW w:w="1417" w:type="dxa"/>
          </w:tcPr>
          <w:p w14:paraId="73297E99" w14:textId="77777777" w:rsidR="00897F84" w:rsidRPr="007D42F2" w:rsidRDefault="00897F84" w:rsidP="00D4470F">
            <w:pPr>
              <w:jc w:val="right"/>
            </w:pPr>
          </w:p>
        </w:tc>
      </w:tr>
      <w:tr w:rsidR="00897F84" w:rsidRPr="00EC0315" w14:paraId="6845E6D9" w14:textId="77777777" w:rsidTr="00D4470F">
        <w:tc>
          <w:tcPr>
            <w:tcW w:w="3397" w:type="dxa"/>
            <w:shd w:val="clear" w:color="auto" w:fill="auto"/>
          </w:tcPr>
          <w:p w14:paraId="5887BFCD" w14:textId="77777777" w:rsidR="00897F84" w:rsidRPr="007D42F2" w:rsidRDefault="00897F84" w:rsidP="00D4470F">
            <w:r w:rsidRPr="007D42F2">
              <w:t>Yes</w:t>
            </w:r>
          </w:p>
        </w:tc>
        <w:tc>
          <w:tcPr>
            <w:tcW w:w="1843" w:type="dxa"/>
          </w:tcPr>
          <w:p w14:paraId="6AD60A37" w14:textId="77777777" w:rsidR="00897F84" w:rsidRPr="007D42F2" w:rsidRDefault="00897F84" w:rsidP="00D4470F">
            <w:pPr>
              <w:jc w:val="right"/>
            </w:pPr>
            <w:r>
              <w:t>5.0(1.1-22.1</w:t>
            </w:r>
            <w:r w:rsidRPr="007D42F2">
              <w:t>)</w:t>
            </w:r>
          </w:p>
        </w:tc>
        <w:tc>
          <w:tcPr>
            <w:tcW w:w="1134" w:type="dxa"/>
          </w:tcPr>
          <w:p w14:paraId="3052CBA7" w14:textId="77777777" w:rsidR="00897F84" w:rsidRPr="007D42F2" w:rsidRDefault="00897F84" w:rsidP="00D4470F">
            <w:pPr>
              <w:jc w:val="right"/>
            </w:pPr>
            <w:r>
              <w:t>0.032</w:t>
            </w:r>
          </w:p>
        </w:tc>
        <w:tc>
          <w:tcPr>
            <w:tcW w:w="1843" w:type="dxa"/>
          </w:tcPr>
          <w:p w14:paraId="735BA041" w14:textId="77777777" w:rsidR="00897F84" w:rsidRPr="007D42F2" w:rsidRDefault="00897F84" w:rsidP="00D4470F">
            <w:pPr>
              <w:jc w:val="right"/>
            </w:pPr>
            <w:r>
              <w:t>3.8(0.8-17.1)</w:t>
            </w:r>
          </w:p>
        </w:tc>
        <w:tc>
          <w:tcPr>
            <w:tcW w:w="1417" w:type="dxa"/>
          </w:tcPr>
          <w:p w14:paraId="1D1FCE9C" w14:textId="77777777" w:rsidR="00897F84" w:rsidRPr="007D42F2" w:rsidRDefault="00897F84" w:rsidP="00D4470F">
            <w:pPr>
              <w:jc w:val="right"/>
            </w:pPr>
            <w:r>
              <w:t>0.083</w:t>
            </w:r>
          </w:p>
        </w:tc>
      </w:tr>
      <w:tr w:rsidR="00897F84" w:rsidRPr="00EC0315" w14:paraId="6F12BF28" w14:textId="77777777" w:rsidTr="00D4470F">
        <w:tc>
          <w:tcPr>
            <w:tcW w:w="3397" w:type="dxa"/>
            <w:shd w:val="clear" w:color="auto" w:fill="auto"/>
          </w:tcPr>
          <w:p w14:paraId="5CB60B2A" w14:textId="77777777" w:rsidR="00897F84" w:rsidRPr="009503F1" w:rsidRDefault="00897F84" w:rsidP="00D4470F">
            <w:pPr>
              <w:rPr>
                <w:i/>
              </w:rPr>
            </w:pPr>
            <w:r w:rsidRPr="009503F1">
              <w:rPr>
                <w:i/>
              </w:rPr>
              <w:t>Comorbidity status</w:t>
            </w:r>
          </w:p>
        </w:tc>
        <w:tc>
          <w:tcPr>
            <w:tcW w:w="1843" w:type="dxa"/>
          </w:tcPr>
          <w:p w14:paraId="4ED73F85" w14:textId="77777777" w:rsidR="00897F84" w:rsidRDefault="00897F84" w:rsidP="00D4470F">
            <w:pPr>
              <w:jc w:val="right"/>
            </w:pPr>
          </w:p>
        </w:tc>
        <w:tc>
          <w:tcPr>
            <w:tcW w:w="1134" w:type="dxa"/>
          </w:tcPr>
          <w:p w14:paraId="32ACB56C" w14:textId="77777777" w:rsidR="00897F84" w:rsidRDefault="00897F84" w:rsidP="00D4470F">
            <w:pPr>
              <w:jc w:val="right"/>
            </w:pPr>
          </w:p>
        </w:tc>
        <w:tc>
          <w:tcPr>
            <w:tcW w:w="1843" w:type="dxa"/>
          </w:tcPr>
          <w:p w14:paraId="26B8BD7D" w14:textId="77777777" w:rsidR="00897F84" w:rsidRDefault="00897F84" w:rsidP="00D4470F">
            <w:pPr>
              <w:jc w:val="right"/>
            </w:pPr>
          </w:p>
        </w:tc>
        <w:tc>
          <w:tcPr>
            <w:tcW w:w="1417" w:type="dxa"/>
          </w:tcPr>
          <w:p w14:paraId="184A224E" w14:textId="77777777" w:rsidR="00897F84" w:rsidRDefault="00897F84" w:rsidP="00D4470F">
            <w:pPr>
              <w:jc w:val="right"/>
            </w:pPr>
          </w:p>
        </w:tc>
      </w:tr>
      <w:tr w:rsidR="00897F84" w:rsidRPr="00EC0315" w14:paraId="43661457" w14:textId="77777777" w:rsidTr="00D4470F">
        <w:tc>
          <w:tcPr>
            <w:tcW w:w="3397" w:type="dxa"/>
            <w:shd w:val="clear" w:color="auto" w:fill="auto"/>
          </w:tcPr>
          <w:p w14:paraId="3D3C63E8" w14:textId="77777777" w:rsidR="00897F84" w:rsidRPr="007D42F2" w:rsidRDefault="00897F84" w:rsidP="00D4470F">
            <w:pPr>
              <w:rPr>
                <w:bCs/>
              </w:rPr>
            </w:pPr>
            <w:r>
              <w:rPr>
                <w:bCs/>
              </w:rPr>
              <w:t>Comorbidity</w:t>
            </w:r>
          </w:p>
        </w:tc>
        <w:tc>
          <w:tcPr>
            <w:tcW w:w="1843" w:type="dxa"/>
          </w:tcPr>
          <w:p w14:paraId="50D19738" w14:textId="77777777" w:rsidR="00897F84" w:rsidRPr="007D42F2" w:rsidRDefault="00897F84" w:rsidP="00D4470F">
            <w:pPr>
              <w:jc w:val="right"/>
            </w:pPr>
          </w:p>
        </w:tc>
        <w:tc>
          <w:tcPr>
            <w:tcW w:w="1134" w:type="dxa"/>
          </w:tcPr>
          <w:p w14:paraId="13A31451" w14:textId="77777777" w:rsidR="00897F84" w:rsidRPr="007D42F2" w:rsidRDefault="00897F84" w:rsidP="00D4470F">
            <w:pPr>
              <w:jc w:val="right"/>
            </w:pPr>
          </w:p>
        </w:tc>
        <w:tc>
          <w:tcPr>
            <w:tcW w:w="1843" w:type="dxa"/>
          </w:tcPr>
          <w:p w14:paraId="724F1A26" w14:textId="77777777" w:rsidR="00897F84" w:rsidRPr="007D42F2" w:rsidRDefault="00897F84" w:rsidP="00D4470F">
            <w:pPr>
              <w:jc w:val="right"/>
            </w:pPr>
          </w:p>
        </w:tc>
        <w:tc>
          <w:tcPr>
            <w:tcW w:w="1417" w:type="dxa"/>
          </w:tcPr>
          <w:p w14:paraId="5FAB22E2" w14:textId="77777777" w:rsidR="00897F84" w:rsidRPr="007D42F2" w:rsidRDefault="00897F84" w:rsidP="00D4470F">
            <w:pPr>
              <w:jc w:val="right"/>
            </w:pPr>
          </w:p>
        </w:tc>
      </w:tr>
      <w:tr w:rsidR="00897F84" w:rsidRPr="00EC0315" w14:paraId="702B9DB9" w14:textId="77777777" w:rsidTr="00D4470F">
        <w:trPr>
          <w:trHeight w:val="65"/>
        </w:trPr>
        <w:tc>
          <w:tcPr>
            <w:tcW w:w="3397" w:type="dxa"/>
            <w:shd w:val="clear" w:color="auto" w:fill="auto"/>
          </w:tcPr>
          <w:p w14:paraId="3E271816" w14:textId="77777777" w:rsidR="00897F84" w:rsidRPr="007D42F2" w:rsidRDefault="00897F84" w:rsidP="00D4470F">
            <w:r w:rsidRPr="007D42F2">
              <w:t xml:space="preserve"> No</w:t>
            </w:r>
          </w:p>
        </w:tc>
        <w:tc>
          <w:tcPr>
            <w:tcW w:w="1843" w:type="dxa"/>
          </w:tcPr>
          <w:p w14:paraId="7CD3CC98" w14:textId="77777777" w:rsidR="00897F84" w:rsidRPr="007D42F2" w:rsidRDefault="00897F84" w:rsidP="00D4470F">
            <w:pPr>
              <w:jc w:val="right"/>
            </w:pPr>
            <w:r w:rsidRPr="007D42F2">
              <w:t>Ref</w:t>
            </w:r>
          </w:p>
        </w:tc>
        <w:tc>
          <w:tcPr>
            <w:tcW w:w="1134" w:type="dxa"/>
          </w:tcPr>
          <w:p w14:paraId="645CE3CB" w14:textId="77777777" w:rsidR="00897F84" w:rsidRPr="007D42F2" w:rsidRDefault="00897F84" w:rsidP="00D4470F">
            <w:pPr>
              <w:jc w:val="right"/>
            </w:pPr>
          </w:p>
        </w:tc>
        <w:tc>
          <w:tcPr>
            <w:tcW w:w="1843" w:type="dxa"/>
          </w:tcPr>
          <w:p w14:paraId="5A9BD742" w14:textId="77777777" w:rsidR="00897F84" w:rsidRPr="007D42F2" w:rsidRDefault="00897F84" w:rsidP="00D4470F">
            <w:pPr>
              <w:jc w:val="right"/>
            </w:pPr>
            <w:r w:rsidRPr="007D42F2">
              <w:t>Ref</w:t>
            </w:r>
          </w:p>
        </w:tc>
        <w:tc>
          <w:tcPr>
            <w:tcW w:w="1417" w:type="dxa"/>
          </w:tcPr>
          <w:p w14:paraId="279DEA20" w14:textId="77777777" w:rsidR="00897F84" w:rsidRPr="007D42F2" w:rsidRDefault="00897F84" w:rsidP="00D4470F">
            <w:pPr>
              <w:jc w:val="right"/>
            </w:pPr>
          </w:p>
        </w:tc>
      </w:tr>
      <w:tr w:rsidR="00897F84" w:rsidRPr="00EC0315" w14:paraId="6C707EC9" w14:textId="77777777" w:rsidTr="00D4470F">
        <w:tc>
          <w:tcPr>
            <w:tcW w:w="3397" w:type="dxa"/>
            <w:shd w:val="clear" w:color="auto" w:fill="auto"/>
          </w:tcPr>
          <w:p w14:paraId="544EA2B7" w14:textId="77777777" w:rsidR="00897F84" w:rsidRPr="007D42F2" w:rsidRDefault="00897F84" w:rsidP="00D4470F">
            <w:r w:rsidRPr="007D42F2">
              <w:t xml:space="preserve"> Yes</w:t>
            </w:r>
          </w:p>
        </w:tc>
        <w:tc>
          <w:tcPr>
            <w:tcW w:w="1843" w:type="dxa"/>
          </w:tcPr>
          <w:p w14:paraId="67C51E85" w14:textId="77777777" w:rsidR="00897F84" w:rsidRPr="007D42F2" w:rsidRDefault="00897F84" w:rsidP="00D4470F">
            <w:pPr>
              <w:jc w:val="right"/>
            </w:pPr>
            <w:r>
              <w:t>3.6(1.4-9.8</w:t>
            </w:r>
            <w:r w:rsidRPr="007D42F2">
              <w:t>)</w:t>
            </w:r>
          </w:p>
        </w:tc>
        <w:tc>
          <w:tcPr>
            <w:tcW w:w="1134" w:type="dxa"/>
          </w:tcPr>
          <w:p w14:paraId="1030BE91" w14:textId="77777777" w:rsidR="00897F84" w:rsidRPr="007D42F2" w:rsidRDefault="00897F84" w:rsidP="00D4470F">
            <w:pPr>
              <w:jc w:val="right"/>
            </w:pPr>
            <w:r w:rsidRPr="007D42F2">
              <w:t>0.012</w:t>
            </w:r>
          </w:p>
        </w:tc>
        <w:tc>
          <w:tcPr>
            <w:tcW w:w="1843" w:type="dxa"/>
          </w:tcPr>
          <w:p w14:paraId="390B89E2" w14:textId="77777777" w:rsidR="00897F84" w:rsidRPr="007D42F2" w:rsidRDefault="00897F84" w:rsidP="00D4470F">
            <w:pPr>
              <w:jc w:val="right"/>
            </w:pPr>
            <w:r>
              <w:t>3.1(1.1-8.5)</w:t>
            </w:r>
          </w:p>
        </w:tc>
        <w:tc>
          <w:tcPr>
            <w:tcW w:w="1417" w:type="dxa"/>
          </w:tcPr>
          <w:p w14:paraId="0AB56857" w14:textId="77777777" w:rsidR="00897F84" w:rsidRPr="007D42F2" w:rsidRDefault="00897F84" w:rsidP="00D4470F">
            <w:pPr>
              <w:jc w:val="right"/>
            </w:pPr>
            <w:r>
              <w:t>0.028</w:t>
            </w:r>
          </w:p>
        </w:tc>
      </w:tr>
    </w:tbl>
    <w:p w14:paraId="32BCD32A" w14:textId="77777777" w:rsidR="00897F84" w:rsidRPr="004F3B27" w:rsidRDefault="00897F84" w:rsidP="00897F84">
      <w:pPr>
        <w:rPr>
          <w:sz w:val="20"/>
          <w:szCs w:val="20"/>
        </w:rPr>
      </w:pPr>
      <w:r w:rsidRPr="004F3B27">
        <w:rPr>
          <w:sz w:val="20"/>
          <w:szCs w:val="20"/>
        </w:rPr>
        <w:t>Un-Adjusted Hazard Ratio (UHR) and Adjusted Hazard Ratio (AHR</w:t>
      </w:r>
      <w:r w:rsidRPr="004F3B27">
        <w:rPr>
          <w:b/>
          <w:sz w:val="20"/>
          <w:szCs w:val="20"/>
        </w:rPr>
        <w:t xml:space="preserve">), </w:t>
      </w:r>
      <w:r w:rsidRPr="004F3B27">
        <w:rPr>
          <w:sz w:val="20"/>
          <w:szCs w:val="20"/>
        </w:rPr>
        <w:t>Comorbidity was adjusted for age and sex, all symptoms were adjusted for comorbidity, comorbidity was adjusted for age and sex, age and sex were adjusted for comorbidity</w:t>
      </w:r>
    </w:p>
    <w:p w14:paraId="10FDCCB3" w14:textId="77777777" w:rsidR="00897F84" w:rsidRDefault="00897F84" w:rsidP="00897F84">
      <w:pPr>
        <w:tabs>
          <w:tab w:val="left" w:pos="2444"/>
        </w:tabs>
        <w:rPr>
          <w:sz w:val="20"/>
          <w:szCs w:val="20"/>
        </w:rPr>
      </w:pPr>
    </w:p>
    <w:p w14:paraId="73A2ABB7" w14:textId="77777777" w:rsidR="00897F84" w:rsidRPr="00EE10A8" w:rsidRDefault="00897F84" w:rsidP="00897F84">
      <w:pPr>
        <w:tabs>
          <w:tab w:val="left" w:pos="2444"/>
        </w:tabs>
        <w:rPr>
          <w:sz w:val="22"/>
          <w:szCs w:val="22"/>
        </w:rPr>
      </w:pPr>
      <w:r w:rsidRPr="00EE10A8">
        <w:rPr>
          <w:sz w:val="22"/>
          <w:szCs w:val="22"/>
        </w:rPr>
        <w:t xml:space="preserve">Table </w:t>
      </w:r>
      <w:r>
        <w:rPr>
          <w:sz w:val="22"/>
          <w:szCs w:val="22"/>
          <w:lang w:val="en-US"/>
        </w:rPr>
        <w:t>5</w:t>
      </w:r>
      <w:r w:rsidRPr="00EE10A8">
        <w:rPr>
          <w:sz w:val="22"/>
          <w:szCs w:val="22"/>
        </w:rPr>
        <w:t>: Factors associated with mortality among COVID-19 cases (</w:t>
      </w:r>
      <w:r w:rsidRPr="00EE10A8">
        <w:rPr>
          <w:color w:val="5F6368"/>
          <w:sz w:val="22"/>
          <w:szCs w:val="22"/>
          <w:shd w:val="clear" w:color="auto" w:fill="FFFFFF"/>
        </w:rPr>
        <w:t>Cox proportional</w:t>
      </w:r>
      <w:r w:rsidRPr="00EE10A8">
        <w:rPr>
          <w:color w:val="4D5156"/>
          <w:sz w:val="22"/>
          <w:szCs w:val="22"/>
          <w:shd w:val="clear" w:color="auto" w:fill="FFFFFF"/>
        </w:rPr>
        <w:t>-</w:t>
      </w:r>
      <w:r w:rsidRPr="00EE10A8">
        <w:rPr>
          <w:color w:val="5F6368"/>
          <w:sz w:val="22"/>
          <w:szCs w:val="22"/>
          <w:shd w:val="clear" w:color="auto" w:fill="FFFFFF"/>
        </w:rPr>
        <w:t>hazards model</w:t>
      </w:r>
      <w:r w:rsidRPr="00EE10A8">
        <w:rPr>
          <w:sz w:val="22"/>
          <w:szCs w:val="22"/>
        </w:rPr>
        <w:t>)</w:t>
      </w:r>
    </w:p>
    <w:tbl>
      <w:tblPr>
        <w:tblStyle w:val="TableGrid"/>
        <w:tblpPr w:leftFromText="180" w:rightFromText="180" w:vertAnchor="text" w:tblpY="1"/>
        <w:tblOverlap w:val="never"/>
        <w:tblW w:w="9634" w:type="dxa"/>
        <w:tblLook w:val="04A0" w:firstRow="1" w:lastRow="0" w:firstColumn="1" w:lastColumn="0" w:noHBand="0" w:noVBand="1"/>
      </w:tblPr>
      <w:tblGrid>
        <w:gridCol w:w="3397"/>
        <w:gridCol w:w="1843"/>
        <w:gridCol w:w="1134"/>
        <w:gridCol w:w="1843"/>
        <w:gridCol w:w="1417"/>
      </w:tblGrid>
      <w:tr w:rsidR="00897F84" w:rsidRPr="00EC0315" w14:paraId="7D5BE135" w14:textId="77777777" w:rsidTr="00D4470F">
        <w:tc>
          <w:tcPr>
            <w:tcW w:w="3397" w:type="dxa"/>
            <w:shd w:val="clear" w:color="auto" w:fill="auto"/>
          </w:tcPr>
          <w:p w14:paraId="42A290A1" w14:textId="77777777" w:rsidR="00897F84" w:rsidRPr="007D42F2" w:rsidRDefault="00897F84" w:rsidP="00D4470F">
            <w:pPr>
              <w:rPr>
                <w:lang w:val="en-US"/>
              </w:rPr>
            </w:pPr>
            <w:r w:rsidRPr="007D42F2">
              <w:t>Variable</w:t>
            </w:r>
          </w:p>
        </w:tc>
        <w:tc>
          <w:tcPr>
            <w:tcW w:w="1843" w:type="dxa"/>
            <w:shd w:val="clear" w:color="auto" w:fill="auto"/>
          </w:tcPr>
          <w:p w14:paraId="719341C8" w14:textId="77777777" w:rsidR="00897F84" w:rsidRPr="007D42F2" w:rsidRDefault="00897F84" w:rsidP="00D4470F">
            <w:pPr>
              <w:jc w:val="right"/>
              <w:rPr>
                <w:lang w:val="en-US"/>
              </w:rPr>
            </w:pPr>
            <w:r w:rsidRPr="007D42F2">
              <w:t>UHR</w:t>
            </w:r>
            <w:r>
              <w:t xml:space="preserve"> </w:t>
            </w:r>
            <w:r w:rsidRPr="007D42F2">
              <w:t>95%CI</w:t>
            </w:r>
          </w:p>
        </w:tc>
        <w:tc>
          <w:tcPr>
            <w:tcW w:w="1134" w:type="dxa"/>
            <w:shd w:val="clear" w:color="auto" w:fill="auto"/>
          </w:tcPr>
          <w:p w14:paraId="394F98EE" w14:textId="77777777" w:rsidR="00897F84" w:rsidRPr="007D42F2" w:rsidRDefault="00897F84" w:rsidP="00D4470F">
            <w:pPr>
              <w:jc w:val="right"/>
              <w:rPr>
                <w:lang w:val="en-US"/>
              </w:rPr>
            </w:pPr>
            <w:r w:rsidRPr="007D42F2">
              <w:t>P-value</w:t>
            </w:r>
          </w:p>
        </w:tc>
        <w:tc>
          <w:tcPr>
            <w:tcW w:w="1843" w:type="dxa"/>
            <w:shd w:val="clear" w:color="auto" w:fill="auto"/>
          </w:tcPr>
          <w:p w14:paraId="3DAAC54B" w14:textId="77777777" w:rsidR="00897F84" w:rsidRPr="007D42F2" w:rsidRDefault="00897F84" w:rsidP="00D4470F">
            <w:pPr>
              <w:jc w:val="right"/>
              <w:rPr>
                <w:lang w:val="en-US"/>
              </w:rPr>
            </w:pPr>
            <w:r w:rsidRPr="007D42F2">
              <w:t>AHR</w:t>
            </w:r>
            <w:r>
              <w:t xml:space="preserve"> </w:t>
            </w:r>
            <w:r w:rsidRPr="007D42F2">
              <w:t>95%CI</w:t>
            </w:r>
          </w:p>
        </w:tc>
        <w:tc>
          <w:tcPr>
            <w:tcW w:w="1417" w:type="dxa"/>
            <w:shd w:val="clear" w:color="auto" w:fill="auto"/>
          </w:tcPr>
          <w:p w14:paraId="5B5F9820" w14:textId="77777777" w:rsidR="00897F84" w:rsidRPr="007D42F2" w:rsidRDefault="00897F84" w:rsidP="00D4470F">
            <w:pPr>
              <w:jc w:val="right"/>
              <w:rPr>
                <w:lang w:val="en-US"/>
              </w:rPr>
            </w:pPr>
            <w:r w:rsidRPr="007D42F2">
              <w:t>P-value</w:t>
            </w:r>
          </w:p>
        </w:tc>
      </w:tr>
      <w:tr w:rsidR="00897F84" w:rsidRPr="00EC0315" w14:paraId="7A9CE096" w14:textId="77777777" w:rsidTr="00D4470F">
        <w:tc>
          <w:tcPr>
            <w:tcW w:w="3397" w:type="dxa"/>
            <w:shd w:val="clear" w:color="auto" w:fill="auto"/>
          </w:tcPr>
          <w:p w14:paraId="48DBA970" w14:textId="77777777" w:rsidR="00897F84" w:rsidRPr="009503F1" w:rsidRDefault="00897F84" w:rsidP="00D4470F">
            <w:pPr>
              <w:rPr>
                <w:i/>
              </w:rPr>
            </w:pPr>
            <w:r w:rsidRPr="009503F1">
              <w:rPr>
                <w:i/>
              </w:rPr>
              <w:t>Demographic</w:t>
            </w:r>
          </w:p>
        </w:tc>
        <w:tc>
          <w:tcPr>
            <w:tcW w:w="1843" w:type="dxa"/>
            <w:shd w:val="clear" w:color="auto" w:fill="auto"/>
          </w:tcPr>
          <w:p w14:paraId="2DFFF8D8" w14:textId="77777777" w:rsidR="00897F84" w:rsidRPr="007D42F2" w:rsidRDefault="00897F84" w:rsidP="00D4470F">
            <w:pPr>
              <w:jc w:val="right"/>
            </w:pPr>
          </w:p>
        </w:tc>
        <w:tc>
          <w:tcPr>
            <w:tcW w:w="1134" w:type="dxa"/>
            <w:shd w:val="clear" w:color="auto" w:fill="auto"/>
          </w:tcPr>
          <w:p w14:paraId="4FFA3110" w14:textId="77777777" w:rsidR="00897F84" w:rsidRPr="007D42F2" w:rsidRDefault="00897F84" w:rsidP="00D4470F">
            <w:pPr>
              <w:jc w:val="right"/>
            </w:pPr>
          </w:p>
        </w:tc>
        <w:tc>
          <w:tcPr>
            <w:tcW w:w="1843" w:type="dxa"/>
            <w:shd w:val="clear" w:color="auto" w:fill="auto"/>
          </w:tcPr>
          <w:p w14:paraId="4C390E4D" w14:textId="77777777" w:rsidR="00897F84" w:rsidRPr="007D42F2" w:rsidRDefault="00897F84" w:rsidP="00D4470F">
            <w:pPr>
              <w:jc w:val="right"/>
            </w:pPr>
          </w:p>
        </w:tc>
        <w:tc>
          <w:tcPr>
            <w:tcW w:w="1417" w:type="dxa"/>
            <w:shd w:val="clear" w:color="auto" w:fill="auto"/>
          </w:tcPr>
          <w:p w14:paraId="43E6717F" w14:textId="77777777" w:rsidR="00897F84" w:rsidRPr="007D42F2" w:rsidRDefault="00897F84" w:rsidP="00D4470F">
            <w:pPr>
              <w:jc w:val="right"/>
            </w:pPr>
          </w:p>
        </w:tc>
      </w:tr>
      <w:tr w:rsidR="00897F84" w:rsidRPr="00EC0315" w14:paraId="3677C9D6" w14:textId="77777777" w:rsidTr="00D4470F">
        <w:tc>
          <w:tcPr>
            <w:tcW w:w="3397" w:type="dxa"/>
            <w:shd w:val="clear" w:color="auto" w:fill="auto"/>
          </w:tcPr>
          <w:p w14:paraId="6F60D752" w14:textId="77777777" w:rsidR="00897F84" w:rsidRPr="007D42F2" w:rsidRDefault="00897F84" w:rsidP="00D4470F">
            <w:r>
              <w:t>Age</w:t>
            </w:r>
          </w:p>
        </w:tc>
        <w:tc>
          <w:tcPr>
            <w:tcW w:w="1843" w:type="dxa"/>
            <w:shd w:val="clear" w:color="auto" w:fill="auto"/>
          </w:tcPr>
          <w:p w14:paraId="7131564E" w14:textId="77777777" w:rsidR="00897F84" w:rsidRPr="007D42F2" w:rsidRDefault="00897F84" w:rsidP="00D4470F">
            <w:pPr>
              <w:jc w:val="right"/>
            </w:pPr>
          </w:p>
        </w:tc>
        <w:tc>
          <w:tcPr>
            <w:tcW w:w="1134" w:type="dxa"/>
            <w:shd w:val="clear" w:color="auto" w:fill="auto"/>
          </w:tcPr>
          <w:p w14:paraId="0CC8CF5F" w14:textId="77777777" w:rsidR="00897F84" w:rsidRPr="007D42F2" w:rsidRDefault="00897F84" w:rsidP="00D4470F">
            <w:pPr>
              <w:jc w:val="right"/>
            </w:pPr>
          </w:p>
        </w:tc>
        <w:tc>
          <w:tcPr>
            <w:tcW w:w="1843" w:type="dxa"/>
            <w:shd w:val="clear" w:color="auto" w:fill="auto"/>
          </w:tcPr>
          <w:p w14:paraId="0EC82BAF" w14:textId="77777777" w:rsidR="00897F84" w:rsidRPr="007D42F2" w:rsidRDefault="00897F84" w:rsidP="00D4470F">
            <w:pPr>
              <w:jc w:val="right"/>
            </w:pPr>
          </w:p>
        </w:tc>
        <w:tc>
          <w:tcPr>
            <w:tcW w:w="1417" w:type="dxa"/>
            <w:shd w:val="clear" w:color="auto" w:fill="auto"/>
          </w:tcPr>
          <w:p w14:paraId="30408695" w14:textId="77777777" w:rsidR="00897F84" w:rsidRPr="007D42F2" w:rsidRDefault="00897F84" w:rsidP="00D4470F">
            <w:pPr>
              <w:jc w:val="right"/>
            </w:pPr>
          </w:p>
        </w:tc>
      </w:tr>
      <w:tr w:rsidR="00897F84" w:rsidRPr="00EC0315" w14:paraId="6E7B5E15" w14:textId="77777777" w:rsidTr="00D4470F">
        <w:tc>
          <w:tcPr>
            <w:tcW w:w="3397" w:type="dxa"/>
            <w:shd w:val="clear" w:color="auto" w:fill="auto"/>
          </w:tcPr>
          <w:p w14:paraId="2C86EA10" w14:textId="77777777" w:rsidR="00897F84" w:rsidRPr="007D42F2" w:rsidRDefault="00897F84" w:rsidP="00D4470F">
            <w:r>
              <w:rPr>
                <w:rFonts w:cstheme="minorHAnsi"/>
              </w:rPr>
              <w:t>≤</w:t>
            </w:r>
            <w:r>
              <w:t>50 years</w:t>
            </w:r>
          </w:p>
        </w:tc>
        <w:tc>
          <w:tcPr>
            <w:tcW w:w="1843" w:type="dxa"/>
            <w:shd w:val="clear" w:color="auto" w:fill="auto"/>
          </w:tcPr>
          <w:p w14:paraId="4ECE410D" w14:textId="77777777" w:rsidR="00897F84" w:rsidRPr="007D42F2" w:rsidRDefault="00897F84" w:rsidP="00D4470F">
            <w:pPr>
              <w:jc w:val="right"/>
            </w:pPr>
            <w:r>
              <w:t>Ref</w:t>
            </w:r>
          </w:p>
        </w:tc>
        <w:tc>
          <w:tcPr>
            <w:tcW w:w="1134" w:type="dxa"/>
            <w:shd w:val="clear" w:color="auto" w:fill="auto"/>
          </w:tcPr>
          <w:p w14:paraId="59A27660" w14:textId="77777777" w:rsidR="00897F84" w:rsidRPr="007D42F2" w:rsidRDefault="00897F84" w:rsidP="00D4470F">
            <w:pPr>
              <w:jc w:val="right"/>
            </w:pPr>
          </w:p>
        </w:tc>
        <w:tc>
          <w:tcPr>
            <w:tcW w:w="1843" w:type="dxa"/>
            <w:shd w:val="clear" w:color="auto" w:fill="auto"/>
          </w:tcPr>
          <w:p w14:paraId="48A414DF" w14:textId="77777777" w:rsidR="00897F84" w:rsidRPr="007D42F2" w:rsidRDefault="00897F84" w:rsidP="00D4470F">
            <w:pPr>
              <w:jc w:val="right"/>
            </w:pPr>
            <w:r>
              <w:t>Ref</w:t>
            </w:r>
          </w:p>
        </w:tc>
        <w:tc>
          <w:tcPr>
            <w:tcW w:w="1417" w:type="dxa"/>
            <w:shd w:val="clear" w:color="auto" w:fill="auto"/>
          </w:tcPr>
          <w:p w14:paraId="59C17A3D" w14:textId="77777777" w:rsidR="00897F84" w:rsidRPr="007D42F2" w:rsidRDefault="00897F84" w:rsidP="00D4470F">
            <w:pPr>
              <w:jc w:val="right"/>
            </w:pPr>
          </w:p>
        </w:tc>
      </w:tr>
      <w:tr w:rsidR="00897F84" w:rsidRPr="00EC0315" w14:paraId="275CA406" w14:textId="77777777" w:rsidTr="00D4470F">
        <w:tc>
          <w:tcPr>
            <w:tcW w:w="3397" w:type="dxa"/>
            <w:shd w:val="clear" w:color="auto" w:fill="auto"/>
          </w:tcPr>
          <w:p w14:paraId="0DD5495D" w14:textId="77777777" w:rsidR="00897F84" w:rsidRPr="007D42F2" w:rsidRDefault="00897F84" w:rsidP="00D4470F">
            <w:r>
              <w:t>&gt;50 years</w:t>
            </w:r>
          </w:p>
        </w:tc>
        <w:tc>
          <w:tcPr>
            <w:tcW w:w="1843" w:type="dxa"/>
            <w:shd w:val="clear" w:color="auto" w:fill="auto"/>
          </w:tcPr>
          <w:p w14:paraId="4A6C2078" w14:textId="77777777" w:rsidR="00897F84" w:rsidRPr="007D42F2" w:rsidRDefault="00897F84" w:rsidP="00D4470F">
            <w:pPr>
              <w:jc w:val="right"/>
            </w:pPr>
            <w:r>
              <w:t>8.4(2.8-25.6)</w:t>
            </w:r>
          </w:p>
        </w:tc>
        <w:tc>
          <w:tcPr>
            <w:tcW w:w="1134" w:type="dxa"/>
            <w:shd w:val="clear" w:color="auto" w:fill="auto"/>
          </w:tcPr>
          <w:p w14:paraId="31267176" w14:textId="77777777" w:rsidR="00897F84" w:rsidRPr="007D42F2" w:rsidRDefault="00897F84" w:rsidP="00D4470F">
            <w:pPr>
              <w:jc w:val="right"/>
            </w:pPr>
            <w:r>
              <w:t>&lt;0.001</w:t>
            </w:r>
          </w:p>
        </w:tc>
        <w:tc>
          <w:tcPr>
            <w:tcW w:w="1843" w:type="dxa"/>
            <w:shd w:val="clear" w:color="auto" w:fill="auto"/>
          </w:tcPr>
          <w:p w14:paraId="2ADB9BDA" w14:textId="77777777" w:rsidR="00897F84" w:rsidRPr="007D42F2" w:rsidRDefault="00897F84" w:rsidP="00D4470F">
            <w:pPr>
              <w:jc w:val="right"/>
            </w:pPr>
            <w:r>
              <w:t>6.7(2.1-21.2)</w:t>
            </w:r>
          </w:p>
        </w:tc>
        <w:tc>
          <w:tcPr>
            <w:tcW w:w="1417" w:type="dxa"/>
            <w:shd w:val="clear" w:color="auto" w:fill="auto"/>
          </w:tcPr>
          <w:p w14:paraId="45F6C7D2" w14:textId="77777777" w:rsidR="00897F84" w:rsidRPr="007D42F2" w:rsidRDefault="00897F84" w:rsidP="00D4470F">
            <w:pPr>
              <w:jc w:val="right"/>
            </w:pPr>
            <w:r>
              <w:t>0.001</w:t>
            </w:r>
          </w:p>
        </w:tc>
      </w:tr>
      <w:tr w:rsidR="00897F84" w:rsidRPr="00EC0315" w14:paraId="6D233EAD" w14:textId="77777777" w:rsidTr="00D4470F">
        <w:tc>
          <w:tcPr>
            <w:tcW w:w="3397" w:type="dxa"/>
            <w:shd w:val="clear" w:color="auto" w:fill="auto"/>
          </w:tcPr>
          <w:p w14:paraId="280D40C4" w14:textId="77777777" w:rsidR="00897F84" w:rsidRPr="007D42F2" w:rsidRDefault="00897F84" w:rsidP="00D4470F">
            <w:r>
              <w:t>Sex</w:t>
            </w:r>
          </w:p>
        </w:tc>
        <w:tc>
          <w:tcPr>
            <w:tcW w:w="1843" w:type="dxa"/>
            <w:shd w:val="clear" w:color="auto" w:fill="auto"/>
          </w:tcPr>
          <w:p w14:paraId="1F7A56BA" w14:textId="77777777" w:rsidR="00897F84" w:rsidRPr="007D42F2" w:rsidRDefault="00897F84" w:rsidP="00D4470F">
            <w:pPr>
              <w:jc w:val="right"/>
            </w:pPr>
          </w:p>
        </w:tc>
        <w:tc>
          <w:tcPr>
            <w:tcW w:w="1134" w:type="dxa"/>
            <w:shd w:val="clear" w:color="auto" w:fill="auto"/>
          </w:tcPr>
          <w:p w14:paraId="335DE7E6" w14:textId="77777777" w:rsidR="00897F84" w:rsidRPr="007D42F2" w:rsidRDefault="00897F84" w:rsidP="00D4470F">
            <w:pPr>
              <w:jc w:val="right"/>
            </w:pPr>
          </w:p>
        </w:tc>
        <w:tc>
          <w:tcPr>
            <w:tcW w:w="1843" w:type="dxa"/>
            <w:shd w:val="clear" w:color="auto" w:fill="auto"/>
          </w:tcPr>
          <w:p w14:paraId="34964396" w14:textId="77777777" w:rsidR="00897F84" w:rsidRPr="007D42F2" w:rsidRDefault="00897F84" w:rsidP="00D4470F">
            <w:pPr>
              <w:jc w:val="right"/>
            </w:pPr>
          </w:p>
        </w:tc>
        <w:tc>
          <w:tcPr>
            <w:tcW w:w="1417" w:type="dxa"/>
            <w:shd w:val="clear" w:color="auto" w:fill="auto"/>
          </w:tcPr>
          <w:p w14:paraId="03ABB3F4" w14:textId="77777777" w:rsidR="00897F84" w:rsidRPr="007D42F2" w:rsidRDefault="00897F84" w:rsidP="00D4470F">
            <w:pPr>
              <w:jc w:val="right"/>
            </w:pPr>
          </w:p>
        </w:tc>
      </w:tr>
      <w:tr w:rsidR="00897F84" w:rsidRPr="00EC0315" w14:paraId="23BB74BD" w14:textId="77777777" w:rsidTr="00D4470F">
        <w:tc>
          <w:tcPr>
            <w:tcW w:w="3397" w:type="dxa"/>
            <w:shd w:val="clear" w:color="auto" w:fill="auto"/>
          </w:tcPr>
          <w:p w14:paraId="7C286509" w14:textId="77777777" w:rsidR="00897F84" w:rsidRPr="007D42F2" w:rsidRDefault="00897F84" w:rsidP="00D4470F">
            <w:r>
              <w:t>Male</w:t>
            </w:r>
          </w:p>
        </w:tc>
        <w:tc>
          <w:tcPr>
            <w:tcW w:w="1843" w:type="dxa"/>
            <w:shd w:val="clear" w:color="auto" w:fill="auto"/>
          </w:tcPr>
          <w:p w14:paraId="34B90394" w14:textId="77777777" w:rsidR="00897F84" w:rsidRPr="007D42F2" w:rsidRDefault="00897F84" w:rsidP="00D4470F">
            <w:pPr>
              <w:jc w:val="right"/>
            </w:pPr>
            <w:r>
              <w:t>2.0(0.7-5.5)</w:t>
            </w:r>
          </w:p>
        </w:tc>
        <w:tc>
          <w:tcPr>
            <w:tcW w:w="1134" w:type="dxa"/>
            <w:shd w:val="clear" w:color="auto" w:fill="auto"/>
          </w:tcPr>
          <w:p w14:paraId="38CB219A" w14:textId="77777777" w:rsidR="00897F84" w:rsidRPr="007D42F2" w:rsidRDefault="00897F84" w:rsidP="00D4470F">
            <w:pPr>
              <w:jc w:val="right"/>
            </w:pPr>
            <w:r>
              <w:t>0.200</w:t>
            </w:r>
          </w:p>
        </w:tc>
        <w:tc>
          <w:tcPr>
            <w:tcW w:w="1843" w:type="dxa"/>
            <w:shd w:val="clear" w:color="auto" w:fill="auto"/>
          </w:tcPr>
          <w:p w14:paraId="63D4ECCE" w14:textId="77777777" w:rsidR="00897F84" w:rsidRPr="007D42F2" w:rsidRDefault="00897F84" w:rsidP="00D4470F">
            <w:pPr>
              <w:jc w:val="right"/>
            </w:pPr>
            <w:r>
              <w:t>2.0(0.7-5.6)</w:t>
            </w:r>
          </w:p>
        </w:tc>
        <w:tc>
          <w:tcPr>
            <w:tcW w:w="1417" w:type="dxa"/>
            <w:shd w:val="clear" w:color="auto" w:fill="auto"/>
          </w:tcPr>
          <w:p w14:paraId="7A8D8F32" w14:textId="77777777" w:rsidR="00897F84" w:rsidRPr="007D42F2" w:rsidRDefault="00897F84" w:rsidP="00D4470F">
            <w:pPr>
              <w:jc w:val="right"/>
            </w:pPr>
            <w:r>
              <w:t>0.191</w:t>
            </w:r>
          </w:p>
        </w:tc>
      </w:tr>
      <w:tr w:rsidR="00897F84" w:rsidRPr="00EC0315" w14:paraId="65B94160" w14:textId="77777777" w:rsidTr="00D4470F">
        <w:tc>
          <w:tcPr>
            <w:tcW w:w="3397" w:type="dxa"/>
            <w:shd w:val="clear" w:color="auto" w:fill="auto"/>
          </w:tcPr>
          <w:p w14:paraId="697A4F00" w14:textId="77777777" w:rsidR="00897F84" w:rsidRPr="007D42F2" w:rsidRDefault="00897F84" w:rsidP="00D4470F">
            <w:r>
              <w:t>Female</w:t>
            </w:r>
          </w:p>
        </w:tc>
        <w:tc>
          <w:tcPr>
            <w:tcW w:w="1843" w:type="dxa"/>
            <w:shd w:val="clear" w:color="auto" w:fill="auto"/>
          </w:tcPr>
          <w:p w14:paraId="143592C3" w14:textId="77777777" w:rsidR="00897F84" w:rsidRPr="007D42F2" w:rsidRDefault="00897F84" w:rsidP="00D4470F">
            <w:pPr>
              <w:jc w:val="right"/>
            </w:pPr>
            <w:r>
              <w:t>Ref</w:t>
            </w:r>
          </w:p>
        </w:tc>
        <w:tc>
          <w:tcPr>
            <w:tcW w:w="1134" w:type="dxa"/>
            <w:shd w:val="clear" w:color="auto" w:fill="auto"/>
          </w:tcPr>
          <w:p w14:paraId="664BFB8F" w14:textId="77777777" w:rsidR="00897F84" w:rsidRPr="007D42F2" w:rsidRDefault="00897F84" w:rsidP="00D4470F">
            <w:pPr>
              <w:jc w:val="right"/>
            </w:pPr>
          </w:p>
        </w:tc>
        <w:tc>
          <w:tcPr>
            <w:tcW w:w="1843" w:type="dxa"/>
            <w:shd w:val="clear" w:color="auto" w:fill="auto"/>
          </w:tcPr>
          <w:p w14:paraId="0BFE8A0C" w14:textId="77777777" w:rsidR="00897F84" w:rsidRPr="007D42F2" w:rsidRDefault="00897F84" w:rsidP="00D4470F">
            <w:pPr>
              <w:jc w:val="right"/>
            </w:pPr>
            <w:r>
              <w:t>Ref</w:t>
            </w:r>
          </w:p>
        </w:tc>
        <w:tc>
          <w:tcPr>
            <w:tcW w:w="1417" w:type="dxa"/>
            <w:shd w:val="clear" w:color="auto" w:fill="auto"/>
          </w:tcPr>
          <w:p w14:paraId="3F02B3D1" w14:textId="77777777" w:rsidR="00897F84" w:rsidRPr="007D42F2" w:rsidRDefault="00897F84" w:rsidP="00D4470F">
            <w:pPr>
              <w:jc w:val="right"/>
            </w:pPr>
          </w:p>
        </w:tc>
      </w:tr>
      <w:tr w:rsidR="00897F84" w:rsidRPr="00EC0315" w14:paraId="64CA9B81" w14:textId="77777777" w:rsidTr="00D4470F">
        <w:tc>
          <w:tcPr>
            <w:tcW w:w="3397" w:type="dxa"/>
            <w:shd w:val="clear" w:color="auto" w:fill="auto"/>
          </w:tcPr>
          <w:p w14:paraId="0F0DE1A9" w14:textId="77777777" w:rsidR="00897F84" w:rsidRPr="009503F1" w:rsidRDefault="00897F84" w:rsidP="00D4470F">
            <w:pPr>
              <w:rPr>
                <w:i/>
              </w:rPr>
            </w:pPr>
            <w:r w:rsidRPr="009503F1">
              <w:rPr>
                <w:i/>
              </w:rPr>
              <w:t>Symptoms</w:t>
            </w:r>
          </w:p>
        </w:tc>
        <w:tc>
          <w:tcPr>
            <w:tcW w:w="1843" w:type="dxa"/>
          </w:tcPr>
          <w:p w14:paraId="2296C572" w14:textId="77777777" w:rsidR="00897F84" w:rsidRPr="007D42F2" w:rsidRDefault="00897F84" w:rsidP="00D4470F">
            <w:pPr>
              <w:jc w:val="right"/>
            </w:pPr>
          </w:p>
        </w:tc>
        <w:tc>
          <w:tcPr>
            <w:tcW w:w="1134" w:type="dxa"/>
          </w:tcPr>
          <w:p w14:paraId="0D2170F9" w14:textId="77777777" w:rsidR="00897F84" w:rsidRPr="007D42F2" w:rsidRDefault="00897F84" w:rsidP="00D4470F">
            <w:pPr>
              <w:jc w:val="right"/>
            </w:pPr>
          </w:p>
        </w:tc>
        <w:tc>
          <w:tcPr>
            <w:tcW w:w="1843" w:type="dxa"/>
          </w:tcPr>
          <w:p w14:paraId="56F7A9AB" w14:textId="77777777" w:rsidR="00897F84" w:rsidRPr="007D42F2" w:rsidRDefault="00897F84" w:rsidP="00D4470F">
            <w:pPr>
              <w:jc w:val="right"/>
            </w:pPr>
          </w:p>
        </w:tc>
        <w:tc>
          <w:tcPr>
            <w:tcW w:w="1417" w:type="dxa"/>
          </w:tcPr>
          <w:p w14:paraId="7634DB36" w14:textId="77777777" w:rsidR="00897F84" w:rsidRPr="007D42F2" w:rsidRDefault="00897F84" w:rsidP="00D4470F">
            <w:pPr>
              <w:jc w:val="right"/>
            </w:pPr>
          </w:p>
        </w:tc>
      </w:tr>
      <w:tr w:rsidR="00897F84" w:rsidRPr="00EC0315" w14:paraId="15049B82" w14:textId="77777777" w:rsidTr="00D4470F">
        <w:tc>
          <w:tcPr>
            <w:tcW w:w="3397" w:type="dxa"/>
            <w:shd w:val="clear" w:color="auto" w:fill="auto"/>
          </w:tcPr>
          <w:p w14:paraId="4BBC8B7D" w14:textId="77777777" w:rsidR="00897F84" w:rsidRPr="007D42F2" w:rsidRDefault="00897F84" w:rsidP="00D4470F">
            <w:r w:rsidRPr="007D42F2">
              <w:t>Shortness of breath</w:t>
            </w:r>
          </w:p>
        </w:tc>
        <w:tc>
          <w:tcPr>
            <w:tcW w:w="1843" w:type="dxa"/>
          </w:tcPr>
          <w:p w14:paraId="1B401C45" w14:textId="77777777" w:rsidR="00897F84" w:rsidRPr="007D42F2" w:rsidRDefault="00897F84" w:rsidP="00D4470F">
            <w:pPr>
              <w:jc w:val="right"/>
            </w:pPr>
          </w:p>
        </w:tc>
        <w:tc>
          <w:tcPr>
            <w:tcW w:w="1134" w:type="dxa"/>
          </w:tcPr>
          <w:p w14:paraId="05893F16" w14:textId="77777777" w:rsidR="00897F84" w:rsidRPr="007D42F2" w:rsidRDefault="00897F84" w:rsidP="00D4470F">
            <w:pPr>
              <w:jc w:val="right"/>
            </w:pPr>
          </w:p>
        </w:tc>
        <w:tc>
          <w:tcPr>
            <w:tcW w:w="1843" w:type="dxa"/>
          </w:tcPr>
          <w:p w14:paraId="7D45F56C" w14:textId="77777777" w:rsidR="00897F84" w:rsidRPr="007D42F2" w:rsidRDefault="00897F84" w:rsidP="00D4470F">
            <w:pPr>
              <w:jc w:val="right"/>
            </w:pPr>
          </w:p>
        </w:tc>
        <w:tc>
          <w:tcPr>
            <w:tcW w:w="1417" w:type="dxa"/>
          </w:tcPr>
          <w:p w14:paraId="7FE5268B" w14:textId="77777777" w:rsidR="00897F84" w:rsidRPr="007D42F2" w:rsidRDefault="00897F84" w:rsidP="00D4470F">
            <w:pPr>
              <w:jc w:val="right"/>
            </w:pPr>
          </w:p>
        </w:tc>
      </w:tr>
      <w:tr w:rsidR="00897F84" w:rsidRPr="00EC0315" w14:paraId="4FAE3036" w14:textId="77777777" w:rsidTr="00D4470F">
        <w:tc>
          <w:tcPr>
            <w:tcW w:w="3397" w:type="dxa"/>
            <w:shd w:val="clear" w:color="auto" w:fill="auto"/>
          </w:tcPr>
          <w:p w14:paraId="6CCE8B30" w14:textId="77777777" w:rsidR="00897F84" w:rsidRPr="007D42F2" w:rsidRDefault="00897F84" w:rsidP="00D4470F">
            <w:r w:rsidRPr="007D42F2">
              <w:t>No</w:t>
            </w:r>
          </w:p>
        </w:tc>
        <w:tc>
          <w:tcPr>
            <w:tcW w:w="1843" w:type="dxa"/>
          </w:tcPr>
          <w:p w14:paraId="4ABE9CC9" w14:textId="77777777" w:rsidR="00897F84" w:rsidRPr="007D42F2" w:rsidRDefault="00897F84" w:rsidP="00D4470F">
            <w:pPr>
              <w:jc w:val="right"/>
            </w:pPr>
            <w:r w:rsidRPr="007D42F2">
              <w:t>Ref</w:t>
            </w:r>
          </w:p>
        </w:tc>
        <w:tc>
          <w:tcPr>
            <w:tcW w:w="1134" w:type="dxa"/>
          </w:tcPr>
          <w:p w14:paraId="0D9197AD" w14:textId="77777777" w:rsidR="00897F84" w:rsidRPr="007D42F2" w:rsidRDefault="00897F84" w:rsidP="00D4470F">
            <w:pPr>
              <w:jc w:val="right"/>
            </w:pPr>
          </w:p>
        </w:tc>
        <w:tc>
          <w:tcPr>
            <w:tcW w:w="1843" w:type="dxa"/>
          </w:tcPr>
          <w:p w14:paraId="2574745B" w14:textId="77777777" w:rsidR="00897F84" w:rsidRPr="007D42F2" w:rsidRDefault="00897F84" w:rsidP="00D4470F">
            <w:pPr>
              <w:jc w:val="right"/>
            </w:pPr>
            <w:r w:rsidRPr="007D42F2">
              <w:t>Ref</w:t>
            </w:r>
          </w:p>
        </w:tc>
        <w:tc>
          <w:tcPr>
            <w:tcW w:w="1417" w:type="dxa"/>
          </w:tcPr>
          <w:p w14:paraId="7FA09CD9" w14:textId="77777777" w:rsidR="00897F84" w:rsidRPr="007D42F2" w:rsidRDefault="00897F84" w:rsidP="00D4470F">
            <w:pPr>
              <w:jc w:val="right"/>
            </w:pPr>
          </w:p>
        </w:tc>
      </w:tr>
      <w:tr w:rsidR="00897F84" w:rsidRPr="00EC0315" w14:paraId="5775E080" w14:textId="77777777" w:rsidTr="00D4470F">
        <w:tc>
          <w:tcPr>
            <w:tcW w:w="3397" w:type="dxa"/>
            <w:shd w:val="clear" w:color="auto" w:fill="auto"/>
          </w:tcPr>
          <w:p w14:paraId="687C595D" w14:textId="77777777" w:rsidR="00897F84" w:rsidRPr="007D42F2" w:rsidRDefault="00897F84" w:rsidP="00D4470F">
            <w:r w:rsidRPr="007D42F2">
              <w:t>Yes</w:t>
            </w:r>
          </w:p>
        </w:tc>
        <w:tc>
          <w:tcPr>
            <w:tcW w:w="1843" w:type="dxa"/>
          </w:tcPr>
          <w:p w14:paraId="057D2526" w14:textId="77777777" w:rsidR="00897F84" w:rsidRPr="007D42F2" w:rsidRDefault="00897F84" w:rsidP="00D4470F">
            <w:pPr>
              <w:jc w:val="right"/>
            </w:pPr>
            <w:r>
              <w:t>15.6(2.1-117.5</w:t>
            </w:r>
            <w:r w:rsidRPr="007D42F2">
              <w:t>)</w:t>
            </w:r>
          </w:p>
        </w:tc>
        <w:tc>
          <w:tcPr>
            <w:tcW w:w="1134" w:type="dxa"/>
          </w:tcPr>
          <w:p w14:paraId="2D06C68C" w14:textId="77777777" w:rsidR="00897F84" w:rsidRPr="007D42F2" w:rsidRDefault="00897F84" w:rsidP="00D4470F">
            <w:pPr>
              <w:jc w:val="right"/>
            </w:pPr>
            <w:r>
              <w:t>0.008</w:t>
            </w:r>
          </w:p>
        </w:tc>
        <w:tc>
          <w:tcPr>
            <w:tcW w:w="1843" w:type="dxa"/>
          </w:tcPr>
          <w:p w14:paraId="77FBB4FC" w14:textId="77777777" w:rsidR="00897F84" w:rsidRPr="007D42F2" w:rsidRDefault="00897F84" w:rsidP="00D4470F">
            <w:pPr>
              <w:jc w:val="right"/>
            </w:pPr>
            <w:r>
              <w:t>13.2(1.8-99.9)</w:t>
            </w:r>
          </w:p>
        </w:tc>
        <w:tc>
          <w:tcPr>
            <w:tcW w:w="1417" w:type="dxa"/>
          </w:tcPr>
          <w:p w14:paraId="0E5B165F" w14:textId="77777777" w:rsidR="00897F84" w:rsidRPr="007D42F2" w:rsidRDefault="00897F84" w:rsidP="00D4470F">
            <w:pPr>
              <w:jc w:val="right"/>
            </w:pPr>
            <w:r>
              <w:t>0.012</w:t>
            </w:r>
          </w:p>
        </w:tc>
      </w:tr>
      <w:tr w:rsidR="00897F84" w:rsidRPr="00EC0315" w14:paraId="3D8EBA27" w14:textId="77777777" w:rsidTr="00D4470F">
        <w:tc>
          <w:tcPr>
            <w:tcW w:w="3397" w:type="dxa"/>
            <w:shd w:val="clear" w:color="auto" w:fill="auto"/>
          </w:tcPr>
          <w:p w14:paraId="60326BDC" w14:textId="77777777" w:rsidR="00897F84" w:rsidRPr="007D42F2" w:rsidRDefault="00897F84" w:rsidP="00D4470F">
            <w:r w:rsidRPr="007D42F2">
              <w:t>Muscles aches</w:t>
            </w:r>
          </w:p>
        </w:tc>
        <w:tc>
          <w:tcPr>
            <w:tcW w:w="1843" w:type="dxa"/>
          </w:tcPr>
          <w:p w14:paraId="0960BD34" w14:textId="77777777" w:rsidR="00897F84" w:rsidRPr="007D42F2" w:rsidRDefault="00897F84" w:rsidP="00D4470F">
            <w:pPr>
              <w:jc w:val="right"/>
            </w:pPr>
          </w:p>
        </w:tc>
        <w:tc>
          <w:tcPr>
            <w:tcW w:w="1134" w:type="dxa"/>
          </w:tcPr>
          <w:p w14:paraId="5F47250B" w14:textId="77777777" w:rsidR="00897F84" w:rsidRPr="007D42F2" w:rsidRDefault="00897F84" w:rsidP="00D4470F">
            <w:pPr>
              <w:jc w:val="right"/>
            </w:pPr>
          </w:p>
        </w:tc>
        <w:tc>
          <w:tcPr>
            <w:tcW w:w="1843" w:type="dxa"/>
          </w:tcPr>
          <w:p w14:paraId="4764F6D4" w14:textId="77777777" w:rsidR="00897F84" w:rsidRPr="007D42F2" w:rsidRDefault="00897F84" w:rsidP="00D4470F">
            <w:pPr>
              <w:jc w:val="right"/>
            </w:pPr>
          </w:p>
        </w:tc>
        <w:tc>
          <w:tcPr>
            <w:tcW w:w="1417" w:type="dxa"/>
          </w:tcPr>
          <w:p w14:paraId="075E0912" w14:textId="77777777" w:rsidR="00897F84" w:rsidRPr="007D42F2" w:rsidRDefault="00897F84" w:rsidP="00D4470F">
            <w:pPr>
              <w:jc w:val="right"/>
            </w:pPr>
          </w:p>
        </w:tc>
      </w:tr>
      <w:tr w:rsidR="00897F84" w:rsidRPr="00EC0315" w14:paraId="41289AD6" w14:textId="77777777" w:rsidTr="00D4470F">
        <w:tc>
          <w:tcPr>
            <w:tcW w:w="3397" w:type="dxa"/>
            <w:shd w:val="clear" w:color="auto" w:fill="auto"/>
          </w:tcPr>
          <w:p w14:paraId="27883001" w14:textId="77777777" w:rsidR="00897F84" w:rsidRPr="007D42F2" w:rsidRDefault="00897F84" w:rsidP="00D4470F">
            <w:r w:rsidRPr="007D42F2">
              <w:t>No</w:t>
            </w:r>
          </w:p>
        </w:tc>
        <w:tc>
          <w:tcPr>
            <w:tcW w:w="1843" w:type="dxa"/>
          </w:tcPr>
          <w:p w14:paraId="2EA654EE" w14:textId="77777777" w:rsidR="00897F84" w:rsidRPr="007D42F2" w:rsidRDefault="00897F84" w:rsidP="00D4470F">
            <w:pPr>
              <w:jc w:val="right"/>
            </w:pPr>
            <w:r w:rsidRPr="007D42F2">
              <w:t>Ref</w:t>
            </w:r>
          </w:p>
        </w:tc>
        <w:tc>
          <w:tcPr>
            <w:tcW w:w="1134" w:type="dxa"/>
          </w:tcPr>
          <w:p w14:paraId="3E14FBA3" w14:textId="77777777" w:rsidR="00897F84" w:rsidRPr="007D42F2" w:rsidRDefault="00897F84" w:rsidP="00D4470F">
            <w:pPr>
              <w:jc w:val="right"/>
            </w:pPr>
          </w:p>
        </w:tc>
        <w:tc>
          <w:tcPr>
            <w:tcW w:w="1843" w:type="dxa"/>
          </w:tcPr>
          <w:p w14:paraId="46067980" w14:textId="77777777" w:rsidR="00897F84" w:rsidRPr="007D42F2" w:rsidRDefault="00897F84" w:rsidP="00D4470F">
            <w:pPr>
              <w:jc w:val="right"/>
            </w:pPr>
            <w:r w:rsidRPr="007D42F2">
              <w:t>Ref</w:t>
            </w:r>
          </w:p>
        </w:tc>
        <w:tc>
          <w:tcPr>
            <w:tcW w:w="1417" w:type="dxa"/>
          </w:tcPr>
          <w:p w14:paraId="017002D0" w14:textId="77777777" w:rsidR="00897F84" w:rsidRPr="007D42F2" w:rsidRDefault="00897F84" w:rsidP="00D4470F">
            <w:pPr>
              <w:jc w:val="right"/>
            </w:pPr>
          </w:p>
        </w:tc>
      </w:tr>
      <w:tr w:rsidR="00897F84" w:rsidRPr="00EC0315" w14:paraId="7F66D562" w14:textId="77777777" w:rsidTr="00D4470F">
        <w:tc>
          <w:tcPr>
            <w:tcW w:w="3397" w:type="dxa"/>
            <w:shd w:val="clear" w:color="auto" w:fill="auto"/>
          </w:tcPr>
          <w:p w14:paraId="4DC8E334" w14:textId="77777777" w:rsidR="00897F84" w:rsidRPr="007D42F2" w:rsidRDefault="00897F84" w:rsidP="00D4470F">
            <w:r w:rsidRPr="007D42F2">
              <w:t>Yes</w:t>
            </w:r>
          </w:p>
        </w:tc>
        <w:tc>
          <w:tcPr>
            <w:tcW w:w="1843" w:type="dxa"/>
          </w:tcPr>
          <w:p w14:paraId="2EC11091" w14:textId="77777777" w:rsidR="00897F84" w:rsidRPr="007D42F2" w:rsidRDefault="00897F84" w:rsidP="00D4470F">
            <w:pPr>
              <w:jc w:val="right"/>
            </w:pPr>
            <w:r>
              <w:t>4.2(1.4-1.9)</w:t>
            </w:r>
          </w:p>
        </w:tc>
        <w:tc>
          <w:tcPr>
            <w:tcW w:w="1134" w:type="dxa"/>
          </w:tcPr>
          <w:p w14:paraId="3FA559E0" w14:textId="77777777" w:rsidR="00897F84" w:rsidRPr="007D42F2" w:rsidRDefault="00897F84" w:rsidP="00D4470F">
            <w:pPr>
              <w:jc w:val="right"/>
            </w:pPr>
            <w:r>
              <w:t>0.011</w:t>
            </w:r>
          </w:p>
        </w:tc>
        <w:tc>
          <w:tcPr>
            <w:tcW w:w="1843" w:type="dxa"/>
          </w:tcPr>
          <w:p w14:paraId="4575BFFD" w14:textId="77777777" w:rsidR="00897F84" w:rsidRPr="007D42F2" w:rsidRDefault="00897F84" w:rsidP="00D4470F">
            <w:pPr>
              <w:jc w:val="right"/>
            </w:pPr>
            <w:r>
              <w:t>3.5(1.1-10.8)</w:t>
            </w:r>
          </w:p>
        </w:tc>
        <w:tc>
          <w:tcPr>
            <w:tcW w:w="1417" w:type="dxa"/>
          </w:tcPr>
          <w:p w14:paraId="5153300A" w14:textId="77777777" w:rsidR="00897F84" w:rsidRPr="007D42F2" w:rsidRDefault="00897F84" w:rsidP="00D4470F">
            <w:pPr>
              <w:jc w:val="right"/>
            </w:pPr>
            <w:r>
              <w:t>0.030</w:t>
            </w:r>
          </w:p>
        </w:tc>
      </w:tr>
      <w:tr w:rsidR="00897F84" w:rsidRPr="00EC0315" w14:paraId="30F034FE" w14:textId="77777777" w:rsidTr="00D4470F">
        <w:tc>
          <w:tcPr>
            <w:tcW w:w="3397" w:type="dxa"/>
            <w:shd w:val="clear" w:color="auto" w:fill="auto"/>
          </w:tcPr>
          <w:p w14:paraId="27150411" w14:textId="77777777" w:rsidR="00897F84" w:rsidRPr="007D42F2" w:rsidRDefault="00897F84" w:rsidP="00D4470F">
            <w:r>
              <w:lastRenderedPageBreak/>
              <w:t xml:space="preserve">Fatigue </w:t>
            </w:r>
          </w:p>
        </w:tc>
        <w:tc>
          <w:tcPr>
            <w:tcW w:w="1843" w:type="dxa"/>
          </w:tcPr>
          <w:p w14:paraId="6C49D691" w14:textId="77777777" w:rsidR="00897F84" w:rsidRPr="007D42F2" w:rsidRDefault="00897F84" w:rsidP="00D4470F">
            <w:pPr>
              <w:jc w:val="right"/>
            </w:pPr>
          </w:p>
        </w:tc>
        <w:tc>
          <w:tcPr>
            <w:tcW w:w="1134" w:type="dxa"/>
          </w:tcPr>
          <w:p w14:paraId="67B96312" w14:textId="77777777" w:rsidR="00897F84" w:rsidRPr="007D42F2" w:rsidRDefault="00897F84" w:rsidP="00D4470F">
            <w:pPr>
              <w:jc w:val="right"/>
            </w:pPr>
          </w:p>
        </w:tc>
        <w:tc>
          <w:tcPr>
            <w:tcW w:w="1843" w:type="dxa"/>
          </w:tcPr>
          <w:p w14:paraId="4E1AA70B" w14:textId="77777777" w:rsidR="00897F84" w:rsidRPr="007D42F2" w:rsidRDefault="00897F84" w:rsidP="00D4470F">
            <w:pPr>
              <w:jc w:val="right"/>
            </w:pPr>
          </w:p>
        </w:tc>
        <w:tc>
          <w:tcPr>
            <w:tcW w:w="1417" w:type="dxa"/>
          </w:tcPr>
          <w:p w14:paraId="6F873459" w14:textId="77777777" w:rsidR="00897F84" w:rsidRPr="007D42F2" w:rsidRDefault="00897F84" w:rsidP="00D4470F">
            <w:pPr>
              <w:jc w:val="right"/>
            </w:pPr>
          </w:p>
        </w:tc>
      </w:tr>
      <w:tr w:rsidR="00897F84" w:rsidRPr="00EC0315" w14:paraId="6C6BC719" w14:textId="77777777" w:rsidTr="00D4470F">
        <w:tc>
          <w:tcPr>
            <w:tcW w:w="3397" w:type="dxa"/>
            <w:shd w:val="clear" w:color="auto" w:fill="auto"/>
          </w:tcPr>
          <w:p w14:paraId="0A2DB517" w14:textId="77777777" w:rsidR="00897F84" w:rsidRPr="007D42F2" w:rsidRDefault="00897F84" w:rsidP="00D4470F">
            <w:r w:rsidRPr="007D42F2">
              <w:t>No</w:t>
            </w:r>
          </w:p>
        </w:tc>
        <w:tc>
          <w:tcPr>
            <w:tcW w:w="1843" w:type="dxa"/>
          </w:tcPr>
          <w:p w14:paraId="1688EB68" w14:textId="77777777" w:rsidR="00897F84" w:rsidRPr="007D42F2" w:rsidRDefault="00897F84" w:rsidP="00D4470F">
            <w:pPr>
              <w:jc w:val="right"/>
            </w:pPr>
            <w:r>
              <w:t>Ref</w:t>
            </w:r>
          </w:p>
        </w:tc>
        <w:tc>
          <w:tcPr>
            <w:tcW w:w="1134" w:type="dxa"/>
          </w:tcPr>
          <w:p w14:paraId="1DBBA32A" w14:textId="77777777" w:rsidR="00897F84" w:rsidRPr="007D42F2" w:rsidRDefault="00897F84" w:rsidP="00D4470F">
            <w:pPr>
              <w:jc w:val="right"/>
            </w:pPr>
          </w:p>
        </w:tc>
        <w:tc>
          <w:tcPr>
            <w:tcW w:w="1843" w:type="dxa"/>
          </w:tcPr>
          <w:p w14:paraId="426F4671" w14:textId="77777777" w:rsidR="00897F84" w:rsidRPr="007D42F2" w:rsidRDefault="00897F84" w:rsidP="00D4470F">
            <w:pPr>
              <w:jc w:val="right"/>
            </w:pPr>
            <w:r>
              <w:t>Ref</w:t>
            </w:r>
          </w:p>
        </w:tc>
        <w:tc>
          <w:tcPr>
            <w:tcW w:w="1417" w:type="dxa"/>
          </w:tcPr>
          <w:p w14:paraId="41EE4221" w14:textId="77777777" w:rsidR="00897F84" w:rsidRPr="007D42F2" w:rsidRDefault="00897F84" w:rsidP="00D4470F">
            <w:pPr>
              <w:jc w:val="right"/>
            </w:pPr>
          </w:p>
        </w:tc>
      </w:tr>
      <w:tr w:rsidR="00897F84" w:rsidRPr="00EC0315" w14:paraId="40878426" w14:textId="77777777" w:rsidTr="00D4470F">
        <w:tc>
          <w:tcPr>
            <w:tcW w:w="3397" w:type="dxa"/>
            <w:shd w:val="clear" w:color="auto" w:fill="auto"/>
          </w:tcPr>
          <w:p w14:paraId="7DC2057C" w14:textId="77777777" w:rsidR="00897F84" w:rsidRPr="007D42F2" w:rsidRDefault="00897F84" w:rsidP="00D4470F">
            <w:r>
              <w:t>Yes</w:t>
            </w:r>
          </w:p>
        </w:tc>
        <w:tc>
          <w:tcPr>
            <w:tcW w:w="1843" w:type="dxa"/>
          </w:tcPr>
          <w:p w14:paraId="17596C8C" w14:textId="77777777" w:rsidR="00897F84" w:rsidRDefault="00897F84" w:rsidP="00D4470F">
            <w:pPr>
              <w:jc w:val="right"/>
            </w:pPr>
            <w:r>
              <w:t>3.9(1.3-11.9)</w:t>
            </w:r>
          </w:p>
        </w:tc>
        <w:tc>
          <w:tcPr>
            <w:tcW w:w="1134" w:type="dxa"/>
          </w:tcPr>
          <w:p w14:paraId="5CA5EC22" w14:textId="77777777" w:rsidR="00897F84" w:rsidRPr="007D42F2" w:rsidRDefault="00897F84" w:rsidP="00D4470F">
            <w:pPr>
              <w:jc w:val="right"/>
            </w:pPr>
            <w:r>
              <w:t xml:space="preserve">0.016      </w:t>
            </w:r>
          </w:p>
        </w:tc>
        <w:tc>
          <w:tcPr>
            <w:tcW w:w="1843" w:type="dxa"/>
          </w:tcPr>
          <w:p w14:paraId="6460B3CF" w14:textId="77777777" w:rsidR="00897F84" w:rsidRDefault="00897F84" w:rsidP="00D4470F">
            <w:pPr>
              <w:jc w:val="right"/>
            </w:pPr>
            <w:r>
              <w:t>4.4(1.4-13.3)</w:t>
            </w:r>
          </w:p>
        </w:tc>
        <w:tc>
          <w:tcPr>
            <w:tcW w:w="1417" w:type="dxa"/>
          </w:tcPr>
          <w:p w14:paraId="6CDEF5C5" w14:textId="77777777" w:rsidR="00897F84" w:rsidRPr="007D42F2" w:rsidRDefault="00897F84" w:rsidP="00D4470F">
            <w:pPr>
              <w:jc w:val="right"/>
            </w:pPr>
            <w:r>
              <w:t>0.010</w:t>
            </w:r>
          </w:p>
        </w:tc>
      </w:tr>
      <w:tr w:rsidR="00897F84" w:rsidRPr="00EC0315" w14:paraId="4311FC14" w14:textId="77777777" w:rsidTr="00D4470F">
        <w:tc>
          <w:tcPr>
            <w:tcW w:w="3397" w:type="dxa"/>
            <w:shd w:val="clear" w:color="auto" w:fill="auto"/>
          </w:tcPr>
          <w:p w14:paraId="29E569C4" w14:textId="77777777" w:rsidR="00897F84" w:rsidRPr="007D42F2" w:rsidRDefault="00897F84" w:rsidP="00D4470F">
            <w:r w:rsidRPr="007D42F2">
              <w:t>Altered consciousness</w:t>
            </w:r>
          </w:p>
        </w:tc>
        <w:tc>
          <w:tcPr>
            <w:tcW w:w="1843" w:type="dxa"/>
          </w:tcPr>
          <w:p w14:paraId="61175460" w14:textId="77777777" w:rsidR="00897F84" w:rsidRPr="007D42F2" w:rsidRDefault="00897F84" w:rsidP="00D4470F">
            <w:pPr>
              <w:jc w:val="right"/>
            </w:pPr>
          </w:p>
        </w:tc>
        <w:tc>
          <w:tcPr>
            <w:tcW w:w="1134" w:type="dxa"/>
          </w:tcPr>
          <w:p w14:paraId="570CCE5A" w14:textId="77777777" w:rsidR="00897F84" w:rsidRPr="007D42F2" w:rsidRDefault="00897F84" w:rsidP="00D4470F">
            <w:pPr>
              <w:jc w:val="right"/>
            </w:pPr>
          </w:p>
        </w:tc>
        <w:tc>
          <w:tcPr>
            <w:tcW w:w="1843" w:type="dxa"/>
          </w:tcPr>
          <w:p w14:paraId="2155269E" w14:textId="77777777" w:rsidR="00897F84" w:rsidRPr="007D42F2" w:rsidRDefault="00897F84" w:rsidP="00D4470F">
            <w:pPr>
              <w:jc w:val="right"/>
            </w:pPr>
          </w:p>
        </w:tc>
        <w:tc>
          <w:tcPr>
            <w:tcW w:w="1417" w:type="dxa"/>
          </w:tcPr>
          <w:p w14:paraId="5AB73FA8" w14:textId="77777777" w:rsidR="00897F84" w:rsidRPr="007D42F2" w:rsidRDefault="00897F84" w:rsidP="00D4470F">
            <w:pPr>
              <w:jc w:val="right"/>
            </w:pPr>
          </w:p>
        </w:tc>
      </w:tr>
      <w:tr w:rsidR="00897F84" w:rsidRPr="00EC0315" w14:paraId="502B345F" w14:textId="77777777" w:rsidTr="00D4470F">
        <w:tc>
          <w:tcPr>
            <w:tcW w:w="3397" w:type="dxa"/>
            <w:shd w:val="clear" w:color="auto" w:fill="auto"/>
          </w:tcPr>
          <w:p w14:paraId="24006242" w14:textId="77777777" w:rsidR="00897F84" w:rsidRPr="007D42F2" w:rsidRDefault="00897F84" w:rsidP="00D4470F">
            <w:r w:rsidRPr="007D42F2">
              <w:t>No</w:t>
            </w:r>
          </w:p>
        </w:tc>
        <w:tc>
          <w:tcPr>
            <w:tcW w:w="1843" w:type="dxa"/>
          </w:tcPr>
          <w:p w14:paraId="3DC65365" w14:textId="77777777" w:rsidR="00897F84" w:rsidRPr="007D42F2" w:rsidRDefault="00897F84" w:rsidP="00D4470F">
            <w:pPr>
              <w:jc w:val="right"/>
            </w:pPr>
            <w:r w:rsidRPr="007D42F2">
              <w:t>Ref</w:t>
            </w:r>
          </w:p>
        </w:tc>
        <w:tc>
          <w:tcPr>
            <w:tcW w:w="1134" w:type="dxa"/>
          </w:tcPr>
          <w:p w14:paraId="7C7A2639" w14:textId="77777777" w:rsidR="00897F84" w:rsidRPr="007D42F2" w:rsidRDefault="00897F84" w:rsidP="00D4470F">
            <w:pPr>
              <w:jc w:val="right"/>
            </w:pPr>
          </w:p>
        </w:tc>
        <w:tc>
          <w:tcPr>
            <w:tcW w:w="1843" w:type="dxa"/>
          </w:tcPr>
          <w:p w14:paraId="7519656B" w14:textId="77777777" w:rsidR="00897F84" w:rsidRPr="007D42F2" w:rsidRDefault="00897F84" w:rsidP="00D4470F">
            <w:pPr>
              <w:jc w:val="right"/>
            </w:pPr>
            <w:r w:rsidRPr="007D42F2">
              <w:t>Ref</w:t>
            </w:r>
          </w:p>
        </w:tc>
        <w:tc>
          <w:tcPr>
            <w:tcW w:w="1417" w:type="dxa"/>
          </w:tcPr>
          <w:p w14:paraId="6A54BEDE" w14:textId="77777777" w:rsidR="00897F84" w:rsidRPr="007D42F2" w:rsidRDefault="00897F84" w:rsidP="00D4470F">
            <w:pPr>
              <w:jc w:val="right"/>
            </w:pPr>
          </w:p>
        </w:tc>
      </w:tr>
      <w:tr w:rsidR="00897F84" w:rsidRPr="00EC0315" w14:paraId="0BCF495A" w14:textId="77777777" w:rsidTr="00D4470F">
        <w:tc>
          <w:tcPr>
            <w:tcW w:w="3397" w:type="dxa"/>
            <w:shd w:val="clear" w:color="auto" w:fill="auto"/>
          </w:tcPr>
          <w:p w14:paraId="248505AB" w14:textId="77777777" w:rsidR="00897F84" w:rsidRPr="007D42F2" w:rsidRDefault="00897F84" w:rsidP="00D4470F">
            <w:r w:rsidRPr="007D42F2">
              <w:t>Yes</w:t>
            </w:r>
          </w:p>
        </w:tc>
        <w:tc>
          <w:tcPr>
            <w:tcW w:w="1843" w:type="dxa"/>
          </w:tcPr>
          <w:p w14:paraId="1E372CD7" w14:textId="77777777" w:rsidR="00897F84" w:rsidRPr="007D42F2" w:rsidRDefault="00897F84" w:rsidP="00D4470F">
            <w:pPr>
              <w:jc w:val="right"/>
            </w:pPr>
            <w:r>
              <w:t>6.4(2.3-18.3</w:t>
            </w:r>
            <w:r w:rsidRPr="007D42F2">
              <w:t>)</w:t>
            </w:r>
          </w:p>
        </w:tc>
        <w:tc>
          <w:tcPr>
            <w:tcW w:w="1134" w:type="dxa"/>
          </w:tcPr>
          <w:p w14:paraId="45C00507" w14:textId="77777777" w:rsidR="00897F84" w:rsidRPr="007D42F2" w:rsidRDefault="00897F84" w:rsidP="00D4470F">
            <w:pPr>
              <w:jc w:val="right"/>
            </w:pPr>
            <w:r>
              <w:t>&lt;0.001</w:t>
            </w:r>
          </w:p>
        </w:tc>
        <w:tc>
          <w:tcPr>
            <w:tcW w:w="1843" w:type="dxa"/>
          </w:tcPr>
          <w:p w14:paraId="728DBDF9" w14:textId="77777777" w:rsidR="00897F84" w:rsidRPr="007D42F2" w:rsidRDefault="00897F84" w:rsidP="00D4470F">
            <w:pPr>
              <w:jc w:val="right"/>
            </w:pPr>
            <w:r>
              <w:t>5.4(1.9-15.5)</w:t>
            </w:r>
          </w:p>
        </w:tc>
        <w:tc>
          <w:tcPr>
            <w:tcW w:w="1417" w:type="dxa"/>
          </w:tcPr>
          <w:p w14:paraId="42BDF0E5" w14:textId="77777777" w:rsidR="00897F84" w:rsidRPr="007D42F2" w:rsidRDefault="00897F84" w:rsidP="00D4470F">
            <w:pPr>
              <w:jc w:val="right"/>
            </w:pPr>
            <w:r>
              <w:t>0.002</w:t>
            </w:r>
          </w:p>
        </w:tc>
      </w:tr>
      <w:tr w:rsidR="00897F84" w:rsidRPr="00EC0315" w14:paraId="01132773" w14:textId="77777777" w:rsidTr="00D4470F">
        <w:tc>
          <w:tcPr>
            <w:tcW w:w="3397" w:type="dxa"/>
            <w:shd w:val="clear" w:color="auto" w:fill="auto"/>
          </w:tcPr>
          <w:p w14:paraId="2A3DB21A" w14:textId="77777777" w:rsidR="00897F84" w:rsidRPr="007D42F2" w:rsidRDefault="00897F84" w:rsidP="00D4470F">
            <w:r w:rsidRPr="007D42F2">
              <w:t>Neurological signs</w:t>
            </w:r>
          </w:p>
        </w:tc>
        <w:tc>
          <w:tcPr>
            <w:tcW w:w="1843" w:type="dxa"/>
          </w:tcPr>
          <w:p w14:paraId="1BE64FF6" w14:textId="77777777" w:rsidR="00897F84" w:rsidRPr="007D42F2" w:rsidRDefault="00897F84" w:rsidP="00D4470F">
            <w:pPr>
              <w:jc w:val="right"/>
            </w:pPr>
          </w:p>
        </w:tc>
        <w:tc>
          <w:tcPr>
            <w:tcW w:w="1134" w:type="dxa"/>
          </w:tcPr>
          <w:p w14:paraId="6D9652E7" w14:textId="77777777" w:rsidR="00897F84" w:rsidRPr="007D42F2" w:rsidRDefault="00897F84" w:rsidP="00D4470F">
            <w:pPr>
              <w:jc w:val="right"/>
            </w:pPr>
          </w:p>
        </w:tc>
        <w:tc>
          <w:tcPr>
            <w:tcW w:w="1843" w:type="dxa"/>
          </w:tcPr>
          <w:p w14:paraId="3AF74D26" w14:textId="77777777" w:rsidR="00897F84" w:rsidRPr="007D42F2" w:rsidRDefault="00897F84" w:rsidP="00D4470F">
            <w:pPr>
              <w:jc w:val="right"/>
            </w:pPr>
          </w:p>
        </w:tc>
        <w:tc>
          <w:tcPr>
            <w:tcW w:w="1417" w:type="dxa"/>
          </w:tcPr>
          <w:p w14:paraId="3C576D91" w14:textId="77777777" w:rsidR="00897F84" w:rsidRPr="007D42F2" w:rsidRDefault="00897F84" w:rsidP="00D4470F">
            <w:pPr>
              <w:jc w:val="right"/>
            </w:pPr>
          </w:p>
        </w:tc>
      </w:tr>
      <w:tr w:rsidR="00897F84" w:rsidRPr="00EC0315" w14:paraId="384FBC98" w14:textId="77777777" w:rsidTr="00D4470F">
        <w:tc>
          <w:tcPr>
            <w:tcW w:w="3397" w:type="dxa"/>
            <w:shd w:val="clear" w:color="auto" w:fill="auto"/>
          </w:tcPr>
          <w:p w14:paraId="56DD1D19" w14:textId="77777777" w:rsidR="00897F84" w:rsidRPr="007D42F2" w:rsidRDefault="00897F84" w:rsidP="00D4470F">
            <w:r w:rsidRPr="007D42F2">
              <w:t>No</w:t>
            </w:r>
          </w:p>
        </w:tc>
        <w:tc>
          <w:tcPr>
            <w:tcW w:w="1843" w:type="dxa"/>
          </w:tcPr>
          <w:p w14:paraId="7BB23C5E" w14:textId="77777777" w:rsidR="00897F84" w:rsidRPr="007D42F2" w:rsidRDefault="00897F84" w:rsidP="00D4470F">
            <w:pPr>
              <w:jc w:val="right"/>
            </w:pPr>
            <w:r w:rsidRPr="007D42F2">
              <w:t>Ref</w:t>
            </w:r>
          </w:p>
        </w:tc>
        <w:tc>
          <w:tcPr>
            <w:tcW w:w="1134" w:type="dxa"/>
          </w:tcPr>
          <w:p w14:paraId="7FC2EA37" w14:textId="77777777" w:rsidR="00897F84" w:rsidRPr="007D42F2" w:rsidRDefault="00897F84" w:rsidP="00D4470F">
            <w:pPr>
              <w:jc w:val="right"/>
            </w:pPr>
          </w:p>
        </w:tc>
        <w:tc>
          <w:tcPr>
            <w:tcW w:w="1843" w:type="dxa"/>
          </w:tcPr>
          <w:p w14:paraId="73A03AC9" w14:textId="77777777" w:rsidR="00897F84" w:rsidRPr="007D42F2" w:rsidRDefault="00897F84" w:rsidP="00D4470F">
            <w:pPr>
              <w:jc w:val="right"/>
            </w:pPr>
            <w:r w:rsidRPr="007D42F2">
              <w:t>Ref</w:t>
            </w:r>
          </w:p>
        </w:tc>
        <w:tc>
          <w:tcPr>
            <w:tcW w:w="1417" w:type="dxa"/>
          </w:tcPr>
          <w:p w14:paraId="64FC2621" w14:textId="77777777" w:rsidR="00897F84" w:rsidRPr="007D42F2" w:rsidRDefault="00897F84" w:rsidP="00D4470F">
            <w:pPr>
              <w:jc w:val="right"/>
            </w:pPr>
          </w:p>
        </w:tc>
      </w:tr>
      <w:tr w:rsidR="00897F84" w:rsidRPr="00EC0315" w14:paraId="4955959E" w14:textId="77777777" w:rsidTr="00D4470F">
        <w:tc>
          <w:tcPr>
            <w:tcW w:w="3397" w:type="dxa"/>
            <w:shd w:val="clear" w:color="auto" w:fill="auto"/>
          </w:tcPr>
          <w:p w14:paraId="6602EFAE" w14:textId="77777777" w:rsidR="00897F84" w:rsidRPr="007D42F2" w:rsidRDefault="00897F84" w:rsidP="00D4470F">
            <w:r w:rsidRPr="007D42F2">
              <w:t>Yes</w:t>
            </w:r>
          </w:p>
        </w:tc>
        <w:tc>
          <w:tcPr>
            <w:tcW w:w="1843" w:type="dxa"/>
          </w:tcPr>
          <w:p w14:paraId="19B1C599" w14:textId="77777777" w:rsidR="00897F84" w:rsidRPr="007D42F2" w:rsidRDefault="00897F84" w:rsidP="00D4470F">
            <w:pPr>
              <w:jc w:val="right"/>
            </w:pPr>
            <w:r>
              <w:t>5.0(1.1-22.1</w:t>
            </w:r>
            <w:r w:rsidRPr="007D42F2">
              <w:t>)</w:t>
            </w:r>
          </w:p>
        </w:tc>
        <w:tc>
          <w:tcPr>
            <w:tcW w:w="1134" w:type="dxa"/>
          </w:tcPr>
          <w:p w14:paraId="53F63AD3" w14:textId="77777777" w:rsidR="00897F84" w:rsidRPr="007D42F2" w:rsidRDefault="00897F84" w:rsidP="00D4470F">
            <w:pPr>
              <w:jc w:val="right"/>
            </w:pPr>
            <w:r>
              <w:t>0.032</w:t>
            </w:r>
          </w:p>
        </w:tc>
        <w:tc>
          <w:tcPr>
            <w:tcW w:w="1843" w:type="dxa"/>
          </w:tcPr>
          <w:p w14:paraId="283B8BFE" w14:textId="77777777" w:rsidR="00897F84" w:rsidRPr="007D42F2" w:rsidRDefault="00897F84" w:rsidP="00D4470F">
            <w:pPr>
              <w:jc w:val="right"/>
            </w:pPr>
            <w:r>
              <w:t>3.8(0.8-17.1)</w:t>
            </w:r>
          </w:p>
        </w:tc>
        <w:tc>
          <w:tcPr>
            <w:tcW w:w="1417" w:type="dxa"/>
          </w:tcPr>
          <w:p w14:paraId="0F7652DD" w14:textId="77777777" w:rsidR="00897F84" w:rsidRPr="007D42F2" w:rsidRDefault="00897F84" w:rsidP="00D4470F">
            <w:pPr>
              <w:jc w:val="right"/>
            </w:pPr>
            <w:r>
              <w:t>0.083</w:t>
            </w:r>
          </w:p>
        </w:tc>
      </w:tr>
      <w:tr w:rsidR="00897F84" w:rsidRPr="00EC0315" w14:paraId="4AB371E7" w14:textId="77777777" w:rsidTr="00D4470F">
        <w:tc>
          <w:tcPr>
            <w:tcW w:w="3397" w:type="dxa"/>
            <w:shd w:val="clear" w:color="auto" w:fill="auto"/>
          </w:tcPr>
          <w:p w14:paraId="7359A41D" w14:textId="77777777" w:rsidR="00897F84" w:rsidRPr="009503F1" w:rsidRDefault="00897F84" w:rsidP="00D4470F">
            <w:pPr>
              <w:rPr>
                <w:i/>
              </w:rPr>
            </w:pPr>
            <w:r w:rsidRPr="009503F1">
              <w:rPr>
                <w:i/>
              </w:rPr>
              <w:t>Comorbidity status</w:t>
            </w:r>
          </w:p>
        </w:tc>
        <w:tc>
          <w:tcPr>
            <w:tcW w:w="1843" w:type="dxa"/>
          </w:tcPr>
          <w:p w14:paraId="50F9E4F2" w14:textId="77777777" w:rsidR="00897F84" w:rsidRDefault="00897F84" w:rsidP="00D4470F">
            <w:pPr>
              <w:jc w:val="right"/>
            </w:pPr>
          </w:p>
        </w:tc>
        <w:tc>
          <w:tcPr>
            <w:tcW w:w="1134" w:type="dxa"/>
          </w:tcPr>
          <w:p w14:paraId="1DD0EDDC" w14:textId="77777777" w:rsidR="00897F84" w:rsidRDefault="00897F84" w:rsidP="00D4470F">
            <w:pPr>
              <w:jc w:val="right"/>
            </w:pPr>
          </w:p>
        </w:tc>
        <w:tc>
          <w:tcPr>
            <w:tcW w:w="1843" w:type="dxa"/>
          </w:tcPr>
          <w:p w14:paraId="7341D182" w14:textId="77777777" w:rsidR="00897F84" w:rsidRDefault="00897F84" w:rsidP="00D4470F">
            <w:pPr>
              <w:jc w:val="right"/>
            </w:pPr>
          </w:p>
        </w:tc>
        <w:tc>
          <w:tcPr>
            <w:tcW w:w="1417" w:type="dxa"/>
          </w:tcPr>
          <w:p w14:paraId="3F0F5818" w14:textId="77777777" w:rsidR="00897F84" w:rsidRDefault="00897F84" w:rsidP="00D4470F">
            <w:pPr>
              <w:jc w:val="right"/>
            </w:pPr>
          </w:p>
        </w:tc>
      </w:tr>
      <w:tr w:rsidR="00897F84" w:rsidRPr="00EC0315" w14:paraId="08B60322" w14:textId="77777777" w:rsidTr="00D4470F">
        <w:tc>
          <w:tcPr>
            <w:tcW w:w="3397" w:type="dxa"/>
            <w:shd w:val="clear" w:color="auto" w:fill="auto"/>
          </w:tcPr>
          <w:p w14:paraId="612574F2" w14:textId="77777777" w:rsidR="00897F84" w:rsidRPr="007D42F2" w:rsidRDefault="00897F84" w:rsidP="00D4470F">
            <w:pPr>
              <w:rPr>
                <w:bCs/>
              </w:rPr>
            </w:pPr>
            <w:r>
              <w:rPr>
                <w:bCs/>
              </w:rPr>
              <w:t>Comorbidity</w:t>
            </w:r>
          </w:p>
        </w:tc>
        <w:tc>
          <w:tcPr>
            <w:tcW w:w="1843" w:type="dxa"/>
          </w:tcPr>
          <w:p w14:paraId="7504536F" w14:textId="77777777" w:rsidR="00897F84" w:rsidRPr="007D42F2" w:rsidRDefault="00897F84" w:rsidP="00D4470F">
            <w:pPr>
              <w:jc w:val="right"/>
            </w:pPr>
          </w:p>
        </w:tc>
        <w:tc>
          <w:tcPr>
            <w:tcW w:w="1134" w:type="dxa"/>
          </w:tcPr>
          <w:p w14:paraId="4201BC44" w14:textId="77777777" w:rsidR="00897F84" w:rsidRPr="007D42F2" w:rsidRDefault="00897F84" w:rsidP="00D4470F">
            <w:pPr>
              <w:jc w:val="right"/>
            </w:pPr>
          </w:p>
        </w:tc>
        <w:tc>
          <w:tcPr>
            <w:tcW w:w="1843" w:type="dxa"/>
          </w:tcPr>
          <w:p w14:paraId="57A048C1" w14:textId="77777777" w:rsidR="00897F84" w:rsidRPr="007D42F2" w:rsidRDefault="00897F84" w:rsidP="00D4470F">
            <w:pPr>
              <w:jc w:val="right"/>
            </w:pPr>
          </w:p>
        </w:tc>
        <w:tc>
          <w:tcPr>
            <w:tcW w:w="1417" w:type="dxa"/>
          </w:tcPr>
          <w:p w14:paraId="3B13FBF7" w14:textId="77777777" w:rsidR="00897F84" w:rsidRPr="007D42F2" w:rsidRDefault="00897F84" w:rsidP="00D4470F">
            <w:pPr>
              <w:jc w:val="right"/>
            </w:pPr>
          </w:p>
        </w:tc>
      </w:tr>
      <w:tr w:rsidR="00897F84" w:rsidRPr="00EC0315" w14:paraId="3B744F0B" w14:textId="77777777" w:rsidTr="00D4470F">
        <w:trPr>
          <w:trHeight w:val="65"/>
        </w:trPr>
        <w:tc>
          <w:tcPr>
            <w:tcW w:w="3397" w:type="dxa"/>
            <w:shd w:val="clear" w:color="auto" w:fill="auto"/>
          </w:tcPr>
          <w:p w14:paraId="49A2DF01" w14:textId="77777777" w:rsidR="00897F84" w:rsidRPr="007D42F2" w:rsidRDefault="00897F84" w:rsidP="00D4470F">
            <w:r w:rsidRPr="007D42F2">
              <w:t xml:space="preserve"> No</w:t>
            </w:r>
          </w:p>
        </w:tc>
        <w:tc>
          <w:tcPr>
            <w:tcW w:w="1843" w:type="dxa"/>
          </w:tcPr>
          <w:p w14:paraId="08521749" w14:textId="77777777" w:rsidR="00897F84" w:rsidRPr="007D42F2" w:rsidRDefault="00897F84" w:rsidP="00D4470F">
            <w:pPr>
              <w:jc w:val="right"/>
            </w:pPr>
            <w:r w:rsidRPr="007D42F2">
              <w:t>Ref</w:t>
            </w:r>
          </w:p>
        </w:tc>
        <w:tc>
          <w:tcPr>
            <w:tcW w:w="1134" w:type="dxa"/>
          </w:tcPr>
          <w:p w14:paraId="505410E7" w14:textId="77777777" w:rsidR="00897F84" w:rsidRPr="007D42F2" w:rsidRDefault="00897F84" w:rsidP="00D4470F">
            <w:pPr>
              <w:jc w:val="right"/>
            </w:pPr>
          </w:p>
        </w:tc>
        <w:tc>
          <w:tcPr>
            <w:tcW w:w="1843" w:type="dxa"/>
          </w:tcPr>
          <w:p w14:paraId="44194F66" w14:textId="77777777" w:rsidR="00897F84" w:rsidRPr="007D42F2" w:rsidRDefault="00897F84" w:rsidP="00D4470F">
            <w:pPr>
              <w:jc w:val="right"/>
            </w:pPr>
            <w:r w:rsidRPr="007D42F2">
              <w:t>Ref</w:t>
            </w:r>
          </w:p>
        </w:tc>
        <w:tc>
          <w:tcPr>
            <w:tcW w:w="1417" w:type="dxa"/>
          </w:tcPr>
          <w:p w14:paraId="1A07E1F6" w14:textId="77777777" w:rsidR="00897F84" w:rsidRPr="007D42F2" w:rsidRDefault="00897F84" w:rsidP="00D4470F">
            <w:pPr>
              <w:jc w:val="right"/>
            </w:pPr>
          </w:p>
        </w:tc>
      </w:tr>
      <w:tr w:rsidR="00897F84" w:rsidRPr="00EC0315" w14:paraId="3F3E7504" w14:textId="77777777" w:rsidTr="00D4470F">
        <w:tc>
          <w:tcPr>
            <w:tcW w:w="3397" w:type="dxa"/>
            <w:shd w:val="clear" w:color="auto" w:fill="auto"/>
          </w:tcPr>
          <w:p w14:paraId="78092711" w14:textId="77777777" w:rsidR="00897F84" w:rsidRPr="007D42F2" w:rsidRDefault="00897F84" w:rsidP="00D4470F">
            <w:r w:rsidRPr="007D42F2">
              <w:t xml:space="preserve"> Yes</w:t>
            </w:r>
          </w:p>
        </w:tc>
        <w:tc>
          <w:tcPr>
            <w:tcW w:w="1843" w:type="dxa"/>
          </w:tcPr>
          <w:p w14:paraId="122CC1B9" w14:textId="77777777" w:rsidR="00897F84" w:rsidRPr="007D42F2" w:rsidRDefault="00897F84" w:rsidP="00D4470F">
            <w:pPr>
              <w:jc w:val="right"/>
            </w:pPr>
            <w:r>
              <w:t>3.6(1.4-9.8</w:t>
            </w:r>
            <w:r w:rsidRPr="007D42F2">
              <w:t>)</w:t>
            </w:r>
          </w:p>
        </w:tc>
        <w:tc>
          <w:tcPr>
            <w:tcW w:w="1134" w:type="dxa"/>
          </w:tcPr>
          <w:p w14:paraId="5A108423" w14:textId="77777777" w:rsidR="00897F84" w:rsidRPr="007D42F2" w:rsidRDefault="00897F84" w:rsidP="00D4470F">
            <w:pPr>
              <w:jc w:val="right"/>
            </w:pPr>
            <w:r w:rsidRPr="007D42F2">
              <w:t>0.012</w:t>
            </w:r>
          </w:p>
        </w:tc>
        <w:tc>
          <w:tcPr>
            <w:tcW w:w="1843" w:type="dxa"/>
          </w:tcPr>
          <w:p w14:paraId="46AA19D1" w14:textId="77777777" w:rsidR="00897F84" w:rsidRPr="007D42F2" w:rsidRDefault="00897F84" w:rsidP="00D4470F">
            <w:pPr>
              <w:jc w:val="right"/>
            </w:pPr>
            <w:r>
              <w:t>3.1(1.2-8.2)</w:t>
            </w:r>
          </w:p>
        </w:tc>
        <w:tc>
          <w:tcPr>
            <w:tcW w:w="1417" w:type="dxa"/>
          </w:tcPr>
          <w:p w14:paraId="06AD3E5F" w14:textId="77777777" w:rsidR="00897F84" w:rsidRPr="007D42F2" w:rsidRDefault="00897F84" w:rsidP="00D4470F">
            <w:pPr>
              <w:jc w:val="right"/>
            </w:pPr>
            <w:r>
              <w:t>0.025</w:t>
            </w:r>
          </w:p>
        </w:tc>
      </w:tr>
    </w:tbl>
    <w:p w14:paraId="5A1BDE43" w14:textId="77777777" w:rsidR="00897F84" w:rsidRPr="00EE10A8" w:rsidRDefault="00897F84" w:rsidP="00897F84">
      <w:pPr>
        <w:tabs>
          <w:tab w:val="left" w:pos="2444"/>
        </w:tabs>
        <w:jc w:val="both"/>
        <w:rPr>
          <w:sz w:val="20"/>
          <w:szCs w:val="20"/>
        </w:rPr>
      </w:pPr>
      <w:r w:rsidRPr="00EE10A8">
        <w:rPr>
          <w:sz w:val="20"/>
          <w:szCs w:val="20"/>
        </w:rPr>
        <w:t>Un-Adjusted Hazard Ratio (UHR) and Adjusted Hazard Ratio (AHR</w:t>
      </w:r>
      <w:r w:rsidRPr="00EE10A8">
        <w:rPr>
          <w:b/>
          <w:sz w:val="20"/>
          <w:szCs w:val="20"/>
        </w:rPr>
        <w:t xml:space="preserve">), </w:t>
      </w:r>
      <w:r w:rsidRPr="00EE10A8">
        <w:rPr>
          <w:sz w:val="20"/>
          <w:szCs w:val="20"/>
        </w:rPr>
        <w:t>Comorbidity was adjusted for age and sex, all symptoms were adjusted for comorbidity, comorbidity was adjusted for age and sex, age and sex were adjusted for comorbidity</w:t>
      </w:r>
    </w:p>
    <w:p w14:paraId="465CC048" w14:textId="77777777" w:rsidR="00897F84" w:rsidRDefault="00897F84" w:rsidP="00897F84">
      <w:pPr>
        <w:spacing w:before="120" w:line="360" w:lineRule="auto"/>
        <w:jc w:val="both"/>
        <w:rPr>
          <w:bCs/>
        </w:rPr>
      </w:pPr>
    </w:p>
    <w:p w14:paraId="24758E4C" w14:textId="73A970E4" w:rsidR="00897F84" w:rsidRPr="008247F6" w:rsidRDefault="00897F84" w:rsidP="00897F84">
      <w:pPr>
        <w:spacing w:before="120" w:line="360" w:lineRule="auto"/>
        <w:jc w:val="both"/>
      </w:pPr>
      <w:r w:rsidRPr="00F01F8D">
        <w:rPr>
          <w:bCs/>
        </w:rPr>
        <w:t xml:space="preserve">Table </w:t>
      </w:r>
      <w:r>
        <w:rPr>
          <w:bCs/>
          <w:lang w:val="en-US"/>
        </w:rPr>
        <w:t>6</w:t>
      </w:r>
      <w:r w:rsidRPr="00F01F8D">
        <w:rPr>
          <w:bCs/>
        </w:rPr>
        <w:t>: Laboratory results for 12</w:t>
      </w:r>
      <w:r>
        <w:rPr>
          <w:bCs/>
        </w:rPr>
        <w:t>1</w:t>
      </w:r>
      <w:r w:rsidRPr="00F01F8D">
        <w:rPr>
          <w:bCs/>
        </w:rPr>
        <w:t xml:space="preserve"> patients infected with SARS-CoV-2</w:t>
      </w:r>
    </w:p>
    <w:tbl>
      <w:tblPr>
        <w:tblStyle w:val="TableGrid"/>
        <w:tblW w:w="94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09"/>
        <w:gridCol w:w="2126"/>
        <w:gridCol w:w="1134"/>
        <w:gridCol w:w="1276"/>
        <w:gridCol w:w="1129"/>
      </w:tblGrid>
      <w:tr w:rsidR="00897F84" w:rsidRPr="00F01F8D" w14:paraId="61A3E9F5" w14:textId="77777777" w:rsidTr="00D4470F">
        <w:tc>
          <w:tcPr>
            <w:tcW w:w="3119" w:type="dxa"/>
            <w:tcBorders>
              <w:top w:val="single" w:sz="4" w:space="0" w:color="auto"/>
              <w:bottom w:val="single" w:sz="4" w:space="0" w:color="auto"/>
            </w:tcBorders>
            <w:shd w:val="clear" w:color="auto" w:fill="auto"/>
          </w:tcPr>
          <w:p w14:paraId="4CE0C98F" w14:textId="77777777" w:rsidR="00897F84" w:rsidRPr="00F01F8D" w:rsidRDefault="00897F84" w:rsidP="00D4470F">
            <w:pPr>
              <w:rPr>
                <w:b/>
                <w:bCs/>
                <w:sz w:val="21"/>
                <w:szCs w:val="21"/>
              </w:rPr>
            </w:pPr>
            <w:r w:rsidRPr="00F01F8D">
              <w:rPr>
                <w:b/>
                <w:bCs/>
                <w:sz w:val="21"/>
                <w:szCs w:val="21"/>
              </w:rPr>
              <w:t>Parameters</w:t>
            </w:r>
          </w:p>
        </w:tc>
        <w:tc>
          <w:tcPr>
            <w:tcW w:w="709" w:type="dxa"/>
            <w:tcBorders>
              <w:top w:val="single" w:sz="4" w:space="0" w:color="auto"/>
              <w:bottom w:val="single" w:sz="4" w:space="0" w:color="auto"/>
            </w:tcBorders>
            <w:shd w:val="clear" w:color="auto" w:fill="auto"/>
            <w:vAlign w:val="bottom"/>
          </w:tcPr>
          <w:p w14:paraId="66A14585" w14:textId="77777777" w:rsidR="00897F84" w:rsidRPr="00F01F8D" w:rsidRDefault="00897F84" w:rsidP="00D4470F">
            <w:pPr>
              <w:jc w:val="right"/>
              <w:rPr>
                <w:b/>
                <w:bCs/>
              </w:rPr>
            </w:pPr>
            <w:r w:rsidRPr="00F01F8D">
              <w:rPr>
                <w:b/>
                <w:bCs/>
              </w:rPr>
              <w:t>N</w:t>
            </w:r>
          </w:p>
        </w:tc>
        <w:tc>
          <w:tcPr>
            <w:tcW w:w="2126" w:type="dxa"/>
            <w:tcBorders>
              <w:top w:val="single" w:sz="4" w:space="0" w:color="auto"/>
              <w:bottom w:val="single" w:sz="4" w:space="0" w:color="auto"/>
            </w:tcBorders>
            <w:shd w:val="clear" w:color="auto" w:fill="auto"/>
          </w:tcPr>
          <w:p w14:paraId="53F4DF99" w14:textId="77777777" w:rsidR="00897F84" w:rsidRPr="00F01F8D" w:rsidRDefault="00897F84" w:rsidP="00D4470F">
            <w:pPr>
              <w:jc w:val="center"/>
              <w:rPr>
                <w:b/>
                <w:bCs/>
              </w:rPr>
            </w:pPr>
            <w:r w:rsidRPr="00F01F8D">
              <w:rPr>
                <w:b/>
                <w:bCs/>
              </w:rPr>
              <w:t>Reference</w:t>
            </w:r>
          </w:p>
        </w:tc>
        <w:tc>
          <w:tcPr>
            <w:tcW w:w="1134" w:type="dxa"/>
            <w:tcBorders>
              <w:top w:val="single" w:sz="4" w:space="0" w:color="auto"/>
              <w:bottom w:val="single" w:sz="4" w:space="0" w:color="auto"/>
            </w:tcBorders>
            <w:shd w:val="clear" w:color="auto" w:fill="auto"/>
            <w:vAlign w:val="bottom"/>
          </w:tcPr>
          <w:p w14:paraId="7432DA14" w14:textId="77777777" w:rsidR="00897F84" w:rsidRPr="00F01F8D" w:rsidRDefault="00897F84" w:rsidP="00D4470F">
            <w:pPr>
              <w:rPr>
                <w:b/>
                <w:bCs/>
              </w:rPr>
            </w:pPr>
            <w:r w:rsidRPr="00F01F8D">
              <w:rPr>
                <w:b/>
                <w:bCs/>
              </w:rPr>
              <w:t>Normal n(%)</w:t>
            </w:r>
          </w:p>
        </w:tc>
        <w:tc>
          <w:tcPr>
            <w:tcW w:w="1276" w:type="dxa"/>
            <w:tcBorders>
              <w:top w:val="single" w:sz="4" w:space="0" w:color="auto"/>
              <w:bottom w:val="single" w:sz="4" w:space="0" w:color="auto"/>
            </w:tcBorders>
            <w:shd w:val="clear" w:color="auto" w:fill="auto"/>
            <w:vAlign w:val="bottom"/>
          </w:tcPr>
          <w:p w14:paraId="5DE527E0" w14:textId="77777777" w:rsidR="00897F84" w:rsidRPr="00F01F8D" w:rsidRDefault="00897F84" w:rsidP="00D4470F">
            <w:pPr>
              <w:rPr>
                <w:b/>
                <w:bCs/>
              </w:rPr>
            </w:pPr>
            <w:r w:rsidRPr="00F01F8D">
              <w:rPr>
                <w:b/>
                <w:bCs/>
              </w:rPr>
              <w:t>Decreased n(%)</w:t>
            </w:r>
          </w:p>
        </w:tc>
        <w:tc>
          <w:tcPr>
            <w:tcW w:w="1129" w:type="dxa"/>
            <w:tcBorders>
              <w:top w:val="single" w:sz="4" w:space="0" w:color="auto"/>
              <w:bottom w:val="single" w:sz="4" w:space="0" w:color="auto"/>
            </w:tcBorders>
            <w:shd w:val="clear" w:color="auto" w:fill="auto"/>
            <w:vAlign w:val="bottom"/>
          </w:tcPr>
          <w:p w14:paraId="3B37AAE5" w14:textId="77777777" w:rsidR="00897F84" w:rsidRPr="00F01F8D" w:rsidRDefault="00897F84" w:rsidP="00D4470F">
            <w:pPr>
              <w:rPr>
                <w:b/>
                <w:bCs/>
              </w:rPr>
            </w:pPr>
            <w:r w:rsidRPr="00F01F8D">
              <w:rPr>
                <w:b/>
                <w:bCs/>
              </w:rPr>
              <w:t>Increased n(%)</w:t>
            </w:r>
          </w:p>
        </w:tc>
      </w:tr>
      <w:tr w:rsidR="00897F84" w:rsidRPr="00F01F8D" w14:paraId="39056537" w14:textId="77777777" w:rsidTr="00D4470F">
        <w:tc>
          <w:tcPr>
            <w:tcW w:w="3119" w:type="dxa"/>
            <w:tcBorders>
              <w:top w:val="single" w:sz="4" w:space="0" w:color="auto"/>
            </w:tcBorders>
            <w:shd w:val="clear" w:color="auto" w:fill="auto"/>
          </w:tcPr>
          <w:p w14:paraId="685342E1" w14:textId="77777777" w:rsidR="00897F84" w:rsidRPr="00F01F8D" w:rsidRDefault="00897F84" w:rsidP="00D4470F">
            <w:pPr>
              <w:rPr>
                <w:sz w:val="21"/>
                <w:szCs w:val="21"/>
              </w:rPr>
            </w:pPr>
            <w:r w:rsidRPr="00F01F8D">
              <w:rPr>
                <w:sz w:val="21"/>
                <w:szCs w:val="21"/>
              </w:rPr>
              <w:t>WBC</w:t>
            </w:r>
            <w:r w:rsidRPr="00F01F8D">
              <w:rPr>
                <w:rFonts w:eastAsia="Arial"/>
                <w:sz w:val="21"/>
                <w:szCs w:val="21"/>
              </w:rPr>
              <w:t xml:space="preserve"> (K/uL)</w:t>
            </w:r>
          </w:p>
        </w:tc>
        <w:tc>
          <w:tcPr>
            <w:tcW w:w="709" w:type="dxa"/>
            <w:tcBorders>
              <w:top w:val="single" w:sz="4" w:space="0" w:color="auto"/>
            </w:tcBorders>
            <w:shd w:val="clear" w:color="auto" w:fill="auto"/>
          </w:tcPr>
          <w:p w14:paraId="5D399AA3" w14:textId="77777777" w:rsidR="00897F84" w:rsidRPr="00F01F8D" w:rsidRDefault="00897F84" w:rsidP="00D4470F">
            <w:pPr>
              <w:jc w:val="right"/>
            </w:pPr>
            <w:r w:rsidRPr="00F01F8D">
              <w:t>64</w:t>
            </w:r>
          </w:p>
        </w:tc>
        <w:tc>
          <w:tcPr>
            <w:tcW w:w="2126" w:type="dxa"/>
            <w:tcBorders>
              <w:top w:val="single" w:sz="4" w:space="0" w:color="auto"/>
            </w:tcBorders>
            <w:shd w:val="clear" w:color="auto" w:fill="auto"/>
          </w:tcPr>
          <w:p w14:paraId="05EE4472" w14:textId="77777777" w:rsidR="00897F84" w:rsidRPr="00F01F8D" w:rsidRDefault="00897F84" w:rsidP="00D4470F">
            <w:pPr>
              <w:jc w:val="center"/>
            </w:pPr>
            <w:r w:rsidRPr="00F01F8D">
              <w:t>4 – 10</w:t>
            </w:r>
          </w:p>
        </w:tc>
        <w:tc>
          <w:tcPr>
            <w:tcW w:w="1134" w:type="dxa"/>
            <w:tcBorders>
              <w:top w:val="single" w:sz="4" w:space="0" w:color="auto"/>
            </w:tcBorders>
            <w:shd w:val="clear" w:color="auto" w:fill="auto"/>
          </w:tcPr>
          <w:p w14:paraId="20C48C1A" w14:textId="77777777" w:rsidR="00897F84" w:rsidRPr="00F01F8D" w:rsidRDefault="00897F84" w:rsidP="00D4470F">
            <w:pPr>
              <w:jc w:val="center"/>
            </w:pPr>
            <w:r w:rsidRPr="00F01F8D">
              <w:t>43(67.2)</w:t>
            </w:r>
          </w:p>
        </w:tc>
        <w:tc>
          <w:tcPr>
            <w:tcW w:w="1276" w:type="dxa"/>
            <w:tcBorders>
              <w:top w:val="single" w:sz="4" w:space="0" w:color="auto"/>
            </w:tcBorders>
            <w:shd w:val="clear" w:color="auto" w:fill="auto"/>
          </w:tcPr>
          <w:p w14:paraId="2F3F8E40" w14:textId="77777777" w:rsidR="00897F84" w:rsidRPr="00F01F8D" w:rsidRDefault="00897F84" w:rsidP="00D4470F">
            <w:pPr>
              <w:jc w:val="center"/>
            </w:pPr>
            <w:r w:rsidRPr="00F01F8D">
              <w:t>15(23.4)</w:t>
            </w:r>
          </w:p>
        </w:tc>
        <w:tc>
          <w:tcPr>
            <w:tcW w:w="1129" w:type="dxa"/>
            <w:tcBorders>
              <w:top w:val="single" w:sz="4" w:space="0" w:color="auto"/>
            </w:tcBorders>
            <w:shd w:val="clear" w:color="auto" w:fill="auto"/>
          </w:tcPr>
          <w:p w14:paraId="3440E7B2" w14:textId="77777777" w:rsidR="00897F84" w:rsidRPr="00F01F8D" w:rsidRDefault="00897F84" w:rsidP="00D4470F">
            <w:pPr>
              <w:jc w:val="center"/>
            </w:pPr>
            <w:r w:rsidRPr="00F01F8D">
              <w:t>6(9.4)</w:t>
            </w:r>
          </w:p>
        </w:tc>
      </w:tr>
      <w:tr w:rsidR="00897F84" w:rsidRPr="00F01F8D" w14:paraId="08DE849A" w14:textId="77777777" w:rsidTr="00D4470F">
        <w:tc>
          <w:tcPr>
            <w:tcW w:w="3119" w:type="dxa"/>
            <w:shd w:val="clear" w:color="auto" w:fill="auto"/>
          </w:tcPr>
          <w:p w14:paraId="1F08C8BF" w14:textId="77777777" w:rsidR="00897F84" w:rsidRPr="00F01F8D" w:rsidRDefault="00897F84" w:rsidP="00D4470F">
            <w:pPr>
              <w:rPr>
                <w:sz w:val="21"/>
                <w:szCs w:val="21"/>
              </w:rPr>
            </w:pPr>
            <w:r w:rsidRPr="00F01F8D">
              <w:rPr>
                <w:sz w:val="21"/>
                <w:szCs w:val="21"/>
              </w:rPr>
              <w:t>Neutrophils abs</w:t>
            </w:r>
            <w:r w:rsidRPr="00F01F8D">
              <w:rPr>
                <w:rFonts w:eastAsia="Arial"/>
                <w:sz w:val="21"/>
                <w:szCs w:val="21"/>
              </w:rPr>
              <w:t xml:space="preserve"> (K/uL)</w:t>
            </w:r>
          </w:p>
        </w:tc>
        <w:tc>
          <w:tcPr>
            <w:tcW w:w="709" w:type="dxa"/>
            <w:shd w:val="clear" w:color="auto" w:fill="auto"/>
          </w:tcPr>
          <w:p w14:paraId="2F0A1217" w14:textId="77777777" w:rsidR="00897F84" w:rsidRPr="00F01F8D" w:rsidRDefault="00897F84" w:rsidP="00D4470F">
            <w:pPr>
              <w:jc w:val="right"/>
            </w:pPr>
            <w:r w:rsidRPr="00F01F8D">
              <w:t>63</w:t>
            </w:r>
          </w:p>
        </w:tc>
        <w:tc>
          <w:tcPr>
            <w:tcW w:w="2126" w:type="dxa"/>
            <w:shd w:val="clear" w:color="auto" w:fill="auto"/>
          </w:tcPr>
          <w:p w14:paraId="3064D9DE" w14:textId="77777777" w:rsidR="00897F84" w:rsidRPr="00F01F8D" w:rsidRDefault="00897F84" w:rsidP="00D4470F">
            <w:pPr>
              <w:jc w:val="center"/>
            </w:pPr>
            <w:r w:rsidRPr="00F01F8D">
              <w:t>2 – 6.9</w:t>
            </w:r>
          </w:p>
        </w:tc>
        <w:tc>
          <w:tcPr>
            <w:tcW w:w="1134" w:type="dxa"/>
            <w:shd w:val="clear" w:color="auto" w:fill="auto"/>
          </w:tcPr>
          <w:p w14:paraId="2806E780" w14:textId="77777777" w:rsidR="00897F84" w:rsidRPr="00F01F8D" w:rsidRDefault="00897F84" w:rsidP="00D4470F">
            <w:pPr>
              <w:jc w:val="center"/>
            </w:pPr>
            <w:r w:rsidRPr="00F01F8D">
              <w:t>35(55.6)</w:t>
            </w:r>
          </w:p>
        </w:tc>
        <w:tc>
          <w:tcPr>
            <w:tcW w:w="1276" w:type="dxa"/>
            <w:shd w:val="clear" w:color="auto" w:fill="auto"/>
          </w:tcPr>
          <w:p w14:paraId="2BEBE8C7" w14:textId="77777777" w:rsidR="00897F84" w:rsidRPr="00F01F8D" w:rsidRDefault="00897F84" w:rsidP="00D4470F">
            <w:pPr>
              <w:jc w:val="center"/>
            </w:pPr>
            <w:r w:rsidRPr="00F01F8D">
              <w:t>16(25.4)</w:t>
            </w:r>
          </w:p>
        </w:tc>
        <w:tc>
          <w:tcPr>
            <w:tcW w:w="1129" w:type="dxa"/>
            <w:shd w:val="clear" w:color="auto" w:fill="auto"/>
          </w:tcPr>
          <w:p w14:paraId="144DD484" w14:textId="77777777" w:rsidR="00897F84" w:rsidRPr="00F01F8D" w:rsidRDefault="00897F84" w:rsidP="00D4470F">
            <w:pPr>
              <w:jc w:val="center"/>
            </w:pPr>
            <w:r w:rsidRPr="00F01F8D">
              <w:t>12(19.0)</w:t>
            </w:r>
          </w:p>
        </w:tc>
      </w:tr>
      <w:tr w:rsidR="00897F84" w:rsidRPr="00F01F8D" w14:paraId="0C2E2B8F" w14:textId="77777777" w:rsidTr="00D4470F">
        <w:tc>
          <w:tcPr>
            <w:tcW w:w="3119" w:type="dxa"/>
            <w:shd w:val="clear" w:color="auto" w:fill="auto"/>
          </w:tcPr>
          <w:p w14:paraId="5B91C7B5" w14:textId="77777777" w:rsidR="00897F84" w:rsidRPr="00F01F8D" w:rsidRDefault="00897F84" w:rsidP="00D4470F">
            <w:pPr>
              <w:rPr>
                <w:sz w:val="21"/>
                <w:szCs w:val="21"/>
              </w:rPr>
            </w:pPr>
            <w:r w:rsidRPr="00F01F8D">
              <w:rPr>
                <w:sz w:val="21"/>
                <w:szCs w:val="21"/>
              </w:rPr>
              <w:t>Neutrophils (%)</w:t>
            </w:r>
          </w:p>
        </w:tc>
        <w:tc>
          <w:tcPr>
            <w:tcW w:w="709" w:type="dxa"/>
            <w:shd w:val="clear" w:color="auto" w:fill="auto"/>
          </w:tcPr>
          <w:p w14:paraId="02A75AB3" w14:textId="77777777" w:rsidR="00897F84" w:rsidRPr="00F01F8D" w:rsidRDefault="00897F84" w:rsidP="00D4470F">
            <w:pPr>
              <w:jc w:val="right"/>
            </w:pPr>
            <w:r w:rsidRPr="00F01F8D">
              <w:t>55</w:t>
            </w:r>
          </w:p>
        </w:tc>
        <w:tc>
          <w:tcPr>
            <w:tcW w:w="2126" w:type="dxa"/>
            <w:shd w:val="clear" w:color="auto" w:fill="auto"/>
          </w:tcPr>
          <w:p w14:paraId="694F46BD" w14:textId="77777777" w:rsidR="00897F84" w:rsidRPr="00F01F8D" w:rsidRDefault="00897F84" w:rsidP="00D4470F">
            <w:pPr>
              <w:jc w:val="center"/>
            </w:pPr>
            <w:r w:rsidRPr="00F01F8D">
              <w:t>40 – 80</w:t>
            </w:r>
          </w:p>
        </w:tc>
        <w:tc>
          <w:tcPr>
            <w:tcW w:w="1134" w:type="dxa"/>
            <w:shd w:val="clear" w:color="auto" w:fill="auto"/>
          </w:tcPr>
          <w:p w14:paraId="2159A5F8" w14:textId="77777777" w:rsidR="00897F84" w:rsidRPr="00F01F8D" w:rsidRDefault="00897F84" w:rsidP="00D4470F">
            <w:pPr>
              <w:jc w:val="center"/>
            </w:pPr>
            <w:r w:rsidRPr="00F01F8D">
              <w:t>36(65.5)</w:t>
            </w:r>
          </w:p>
        </w:tc>
        <w:tc>
          <w:tcPr>
            <w:tcW w:w="1276" w:type="dxa"/>
            <w:shd w:val="clear" w:color="auto" w:fill="auto"/>
          </w:tcPr>
          <w:p w14:paraId="0740D564" w14:textId="77777777" w:rsidR="00897F84" w:rsidRPr="00F01F8D" w:rsidRDefault="00897F84" w:rsidP="00D4470F">
            <w:pPr>
              <w:jc w:val="center"/>
            </w:pPr>
            <w:r w:rsidRPr="00F01F8D">
              <w:t>12(21.8)</w:t>
            </w:r>
          </w:p>
        </w:tc>
        <w:tc>
          <w:tcPr>
            <w:tcW w:w="1129" w:type="dxa"/>
            <w:shd w:val="clear" w:color="auto" w:fill="auto"/>
          </w:tcPr>
          <w:p w14:paraId="5D471CF1" w14:textId="77777777" w:rsidR="00897F84" w:rsidRPr="00F01F8D" w:rsidRDefault="00897F84" w:rsidP="00D4470F">
            <w:pPr>
              <w:jc w:val="center"/>
            </w:pPr>
            <w:r w:rsidRPr="00F01F8D">
              <w:t>7(12.7)</w:t>
            </w:r>
          </w:p>
        </w:tc>
      </w:tr>
      <w:tr w:rsidR="00897F84" w:rsidRPr="00F01F8D" w14:paraId="42547119" w14:textId="77777777" w:rsidTr="00D4470F">
        <w:tc>
          <w:tcPr>
            <w:tcW w:w="3119" w:type="dxa"/>
            <w:shd w:val="clear" w:color="auto" w:fill="auto"/>
          </w:tcPr>
          <w:p w14:paraId="6249D6E7" w14:textId="77777777" w:rsidR="00897F84" w:rsidRPr="00F01F8D" w:rsidRDefault="00897F84" w:rsidP="00D4470F">
            <w:pPr>
              <w:rPr>
                <w:sz w:val="21"/>
                <w:szCs w:val="21"/>
              </w:rPr>
            </w:pPr>
            <w:r w:rsidRPr="00F01F8D">
              <w:rPr>
                <w:sz w:val="21"/>
                <w:szCs w:val="21"/>
              </w:rPr>
              <w:t>Lymphocytes abs</w:t>
            </w:r>
            <w:r w:rsidRPr="00F01F8D">
              <w:rPr>
                <w:rFonts w:eastAsia="Arial"/>
                <w:sz w:val="21"/>
                <w:szCs w:val="21"/>
              </w:rPr>
              <w:t xml:space="preserve"> (K/uL)</w:t>
            </w:r>
          </w:p>
        </w:tc>
        <w:tc>
          <w:tcPr>
            <w:tcW w:w="709" w:type="dxa"/>
            <w:shd w:val="clear" w:color="auto" w:fill="auto"/>
          </w:tcPr>
          <w:p w14:paraId="45C64079" w14:textId="77777777" w:rsidR="00897F84" w:rsidRPr="00F01F8D" w:rsidRDefault="00897F84" w:rsidP="00D4470F">
            <w:pPr>
              <w:jc w:val="right"/>
            </w:pPr>
            <w:r w:rsidRPr="00F01F8D">
              <w:t>63</w:t>
            </w:r>
          </w:p>
        </w:tc>
        <w:tc>
          <w:tcPr>
            <w:tcW w:w="2126" w:type="dxa"/>
            <w:shd w:val="clear" w:color="auto" w:fill="auto"/>
          </w:tcPr>
          <w:p w14:paraId="61A432A7" w14:textId="77777777" w:rsidR="00897F84" w:rsidRPr="00F01F8D" w:rsidRDefault="00897F84" w:rsidP="00D4470F">
            <w:pPr>
              <w:jc w:val="center"/>
            </w:pPr>
            <w:r w:rsidRPr="00F01F8D">
              <w:t>0.6 – 3.4</w:t>
            </w:r>
          </w:p>
        </w:tc>
        <w:tc>
          <w:tcPr>
            <w:tcW w:w="1134" w:type="dxa"/>
            <w:shd w:val="clear" w:color="auto" w:fill="auto"/>
          </w:tcPr>
          <w:p w14:paraId="7338228E" w14:textId="77777777" w:rsidR="00897F84" w:rsidRPr="00F01F8D" w:rsidRDefault="00897F84" w:rsidP="00D4470F">
            <w:pPr>
              <w:jc w:val="center"/>
            </w:pPr>
            <w:r w:rsidRPr="00F01F8D">
              <w:t>55(87.2)</w:t>
            </w:r>
          </w:p>
        </w:tc>
        <w:tc>
          <w:tcPr>
            <w:tcW w:w="1276" w:type="dxa"/>
            <w:shd w:val="clear" w:color="auto" w:fill="auto"/>
          </w:tcPr>
          <w:p w14:paraId="4B92A562" w14:textId="77777777" w:rsidR="00897F84" w:rsidRPr="00F01F8D" w:rsidRDefault="00897F84" w:rsidP="00D4470F">
            <w:pPr>
              <w:jc w:val="center"/>
            </w:pPr>
            <w:r w:rsidRPr="00F01F8D">
              <w:t>4(6.4)</w:t>
            </w:r>
          </w:p>
        </w:tc>
        <w:tc>
          <w:tcPr>
            <w:tcW w:w="1129" w:type="dxa"/>
            <w:shd w:val="clear" w:color="auto" w:fill="auto"/>
          </w:tcPr>
          <w:p w14:paraId="53DF8DEC" w14:textId="77777777" w:rsidR="00897F84" w:rsidRPr="00F01F8D" w:rsidRDefault="00897F84" w:rsidP="00D4470F">
            <w:pPr>
              <w:jc w:val="center"/>
            </w:pPr>
            <w:r w:rsidRPr="00F01F8D">
              <w:t>4(6.4)</w:t>
            </w:r>
          </w:p>
        </w:tc>
      </w:tr>
      <w:tr w:rsidR="00897F84" w:rsidRPr="00F01F8D" w14:paraId="3B8880ED" w14:textId="77777777" w:rsidTr="00D4470F">
        <w:tc>
          <w:tcPr>
            <w:tcW w:w="3119" w:type="dxa"/>
            <w:shd w:val="clear" w:color="auto" w:fill="auto"/>
          </w:tcPr>
          <w:p w14:paraId="3C83A82B" w14:textId="77777777" w:rsidR="00897F84" w:rsidRPr="00F01F8D" w:rsidRDefault="00897F84" w:rsidP="00D4470F">
            <w:pPr>
              <w:rPr>
                <w:sz w:val="21"/>
                <w:szCs w:val="21"/>
              </w:rPr>
            </w:pPr>
            <w:r w:rsidRPr="00F01F8D">
              <w:rPr>
                <w:sz w:val="21"/>
                <w:szCs w:val="21"/>
              </w:rPr>
              <w:t>Lymphocytes (%)</w:t>
            </w:r>
          </w:p>
        </w:tc>
        <w:tc>
          <w:tcPr>
            <w:tcW w:w="709" w:type="dxa"/>
            <w:shd w:val="clear" w:color="auto" w:fill="auto"/>
          </w:tcPr>
          <w:p w14:paraId="21D75C87" w14:textId="77777777" w:rsidR="00897F84" w:rsidRPr="00F01F8D" w:rsidRDefault="00897F84" w:rsidP="00D4470F">
            <w:pPr>
              <w:jc w:val="right"/>
            </w:pPr>
            <w:r w:rsidRPr="00F01F8D">
              <w:t>55</w:t>
            </w:r>
          </w:p>
        </w:tc>
        <w:tc>
          <w:tcPr>
            <w:tcW w:w="2126" w:type="dxa"/>
            <w:shd w:val="clear" w:color="auto" w:fill="auto"/>
          </w:tcPr>
          <w:p w14:paraId="5E0577E4" w14:textId="77777777" w:rsidR="00897F84" w:rsidRPr="00F01F8D" w:rsidRDefault="00897F84" w:rsidP="00D4470F">
            <w:pPr>
              <w:jc w:val="center"/>
            </w:pPr>
            <w:r w:rsidRPr="00F01F8D">
              <w:t>20 – 40</w:t>
            </w:r>
          </w:p>
        </w:tc>
        <w:tc>
          <w:tcPr>
            <w:tcW w:w="1134" w:type="dxa"/>
            <w:shd w:val="clear" w:color="auto" w:fill="auto"/>
          </w:tcPr>
          <w:p w14:paraId="12D53F4C" w14:textId="77777777" w:rsidR="00897F84" w:rsidRPr="00F01F8D" w:rsidRDefault="00897F84" w:rsidP="00D4470F">
            <w:pPr>
              <w:jc w:val="center"/>
            </w:pPr>
            <w:r w:rsidRPr="00F01F8D">
              <w:t>21(38.2)</w:t>
            </w:r>
          </w:p>
        </w:tc>
        <w:tc>
          <w:tcPr>
            <w:tcW w:w="1276" w:type="dxa"/>
            <w:shd w:val="clear" w:color="auto" w:fill="auto"/>
          </w:tcPr>
          <w:p w14:paraId="19E9F571" w14:textId="77777777" w:rsidR="00897F84" w:rsidRPr="00F01F8D" w:rsidRDefault="00897F84" w:rsidP="00D4470F">
            <w:pPr>
              <w:jc w:val="center"/>
            </w:pPr>
            <w:r w:rsidRPr="00F01F8D">
              <w:t>15(27.3)</w:t>
            </w:r>
          </w:p>
        </w:tc>
        <w:tc>
          <w:tcPr>
            <w:tcW w:w="1129" w:type="dxa"/>
            <w:shd w:val="clear" w:color="auto" w:fill="auto"/>
          </w:tcPr>
          <w:p w14:paraId="3F79B7AF" w14:textId="77777777" w:rsidR="00897F84" w:rsidRPr="00F01F8D" w:rsidRDefault="00897F84" w:rsidP="00D4470F">
            <w:pPr>
              <w:jc w:val="center"/>
            </w:pPr>
            <w:r w:rsidRPr="00F01F8D">
              <w:t>19(34.5)</w:t>
            </w:r>
          </w:p>
        </w:tc>
      </w:tr>
      <w:tr w:rsidR="00897F84" w:rsidRPr="00F01F8D" w14:paraId="4EB4B342" w14:textId="77777777" w:rsidTr="00D4470F">
        <w:tc>
          <w:tcPr>
            <w:tcW w:w="3119" w:type="dxa"/>
            <w:shd w:val="clear" w:color="auto" w:fill="auto"/>
          </w:tcPr>
          <w:p w14:paraId="7EC6E174" w14:textId="77777777" w:rsidR="00897F84" w:rsidRPr="00F01F8D" w:rsidRDefault="00897F84" w:rsidP="00D4470F">
            <w:pPr>
              <w:rPr>
                <w:sz w:val="21"/>
                <w:szCs w:val="21"/>
              </w:rPr>
            </w:pPr>
            <w:r w:rsidRPr="00F01F8D">
              <w:rPr>
                <w:sz w:val="21"/>
                <w:szCs w:val="21"/>
              </w:rPr>
              <w:t>Monocytes abs</w:t>
            </w:r>
            <w:r w:rsidRPr="00F01F8D">
              <w:rPr>
                <w:rFonts w:eastAsia="Arial"/>
                <w:sz w:val="21"/>
                <w:szCs w:val="21"/>
              </w:rPr>
              <w:t xml:space="preserve"> (K/uL)</w:t>
            </w:r>
          </w:p>
        </w:tc>
        <w:tc>
          <w:tcPr>
            <w:tcW w:w="709" w:type="dxa"/>
            <w:shd w:val="clear" w:color="auto" w:fill="auto"/>
          </w:tcPr>
          <w:p w14:paraId="2EC42BC8" w14:textId="77777777" w:rsidR="00897F84" w:rsidRPr="00F01F8D" w:rsidRDefault="00897F84" w:rsidP="00D4470F">
            <w:pPr>
              <w:jc w:val="right"/>
            </w:pPr>
            <w:r w:rsidRPr="00F01F8D">
              <w:t>55</w:t>
            </w:r>
          </w:p>
        </w:tc>
        <w:tc>
          <w:tcPr>
            <w:tcW w:w="2126" w:type="dxa"/>
            <w:shd w:val="clear" w:color="auto" w:fill="auto"/>
          </w:tcPr>
          <w:p w14:paraId="36D06F40" w14:textId="77777777" w:rsidR="00897F84" w:rsidRPr="00F01F8D" w:rsidRDefault="00897F84" w:rsidP="00D4470F">
            <w:pPr>
              <w:jc w:val="center"/>
            </w:pPr>
            <w:r w:rsidRPr="00F01F8D">
              <w:t>0 – 0.9</w:t>
            </w:r>
          </w:p>
        </w:tc>
        <w:tc>
          <w:tcPr>
            <w:tcW w:w="1134" w:type="dxa"/>
            <w:shd w:val="clear" w:color="auto" w:fill="auto"/>
          </w:tcPr>
          <w:p w14:paraId="7548AAAF" w14:textId="77777777" w:rsidR="00897F84" w:rsidRPr="00F01F8D" w:rsidRDefault="00897F84" w:rsidP="00D4470F">
            <w:pPr>
              <w:jc w:val="center"/>
            </w:pPr>
            <w:r w:rsidRPr="00F01F8D">
              <w:t>50(90.0)</w:t>
            </w:r>
          </w:p>
        </w:tc>
        <w:tc>
          <w:tcPr>
            <w:tcW w:w="1276" w:type="dxa"/>
            <w:shd w:val="clear" w:color="auto" w:fill="auto"/>
          </w:tcPr>
          <w:p w14:paraId="7FC903DD" w14:textId="77777777" w:rsidR="00897F84" w:rsidRPr="00F01F8D" w:rsidRDefault="00897F84" w:rsidP="00D4470F">
            <w:pPr>
              <w:jc w:val="center"/>
            </w:pPr>
            <w:r w:rsidRPr="00F01F8D">
              <w:t>0(0.0)</w:t>
            </w:r>
          </w:p>
        </w:tc>
        <w:tc>
          <w:tcPr>
            <w:tcW w:w="1129" w:type="dxa"/>
            <w:shd w:val="clear" w:color="auto" w:fill="auto"/>
          </w:tcPr>
          <w:p w14:paraId="5DA64512" w14:textId="77777777" w:rsidR="00897F84" w:rsidRPr="00F01F8D" w:rsidRDefault="00897F84" w:rsidP="00D4470F">
            <w:pPr>
              <w:jc w:val="center"/>
            </w:pPr>
            <w:r w:rsidRPr="00F01F8D">
              <w:t>5(9.1)</w:t>
            </w:r>
          </w:p>
        </w:tc>
      </w:tr>
      <w:tr w:rsidR="00897F84" w:rsidRPr="00F01F8D" w14:paraId="646C7F0E" w14:textId="77777777" w:rsidTr="00D4470F">
        <w:tc>
          <w:tcPr>
            <w:tcW w:w="3119" w:type="dxa"/>
            <w:shd w:val="clear" w:color="auto" w:fill="auto"/>
          </w:tcPr>
          <w:p w14:paraId="054DBE27" w14:textId="77777777" w:rsidR="00897F84" w:rsidRPr="00F01F8D" w:rsidRDefault="00897F84" w:rsidP="00D4470F">
            <w:pPr>
              <w:rPr>
                <w:sz w:val="21"/>
                <w:szCs w:val="21"/>
              </w:rPr>
            </w:pPr>
            <w:r w:rsidRPr="00F01F8D">
              <w:rPr>
                <w:sz w:val="21"/>
                <w:szCs w:val="21"/>
              </w:rPr>
              <w:t>Monocytes (%)</w:t>
            </w:r>
          </w:p>
        </w:tc>
        <w:tc>
          <w:tcPr>
            <w:tcW w:w="709" w:type="dxa"/>
            <w:shd w:val="clear" w:color="auto" w:fill="auto"/>
          </w:tcPr>
          <w:p w14:paraId="1284831C" w14:textId="77777777" w:rsidR="00897F84" w:rsidRPr="00F01F8D" w:rsidRDefault="00897F84" w:rsidP="00D4470F">
            <w:pPr>
              <w:jc w:val="right"/>
            </w:pPr>
            <w:r w:rsidRPr="00F01F8D">
              <w:t>55</w:t>
            </w:r>
          </w:p>
        </w:tc>
        <w:tc>
          <w:tcPr>
            <w:tcW w:w="2126" w:type="dxa"/>
            <w:shd w:val="clear" w:color="auto" w:fill="auto"/>
          </w:tcPr>
          <w:p w14:paraId="00A691B5" w14:textId="77777777" w:rsidR="00897F84" w:rsidRPr="00F01F8D" w:rsidRDefault="00897F84" w:rsidP="00D4470F">
            <w:pPr>
              <w:jc w:val="center"/>
            </w:pPr>
            <w:r w:rsidRPr="00F01F8D">
              <w:t>2 – 10</w:t>
            </w:r>
          </w:p>
        </w:tc>
        <w:tc>
          <w:tcPr>
            <w:tcW w:w="1134" w:type="dxa"/>
            <w:shd w:val="clear" w:color="auto" w:fill="auto"/>
          </w:tcPr>
          <w:p w14:paraId="113079A4" w14:textId="77777777" w:rsidR="00897F84" w:rsidRPr="00F01F8D" w:rsidRDefault="00897F84" w:rsidP="00D4470F">
            <w:pPr>
              <w:jc w:val="center"/>
            </w:pPr>
            <w:r w:rsidRPr="00F01F8D">
              <w:t>35(63.6</w:t>
            </w:r>
          </w:p>
        </w:tc>
        <w:tc>
          <w:tcPr>
            <w:tcW w:w="1276" w:type="dxa"/>
            <w:shd w:val="clear" w:color="auto" w:fill="auto"/>
          </w:tcPr>
          <w:p w14:paraId="0BB7347E" w14:textId="77777777" w:rsidR="00897F84" w:rsidRPr="00F01F8D" w:rsidRDefault="00897F84" w:rsidP="00D4470F">
            <w:pPr>
              <w:jc w:val="center"/>
            </w:pPr>
            <w:r w:rsidRPr="00F01F8D">
              <w:t>4(7.3)</w:t>
            </w:r>
          </w:p>
        </w:tc>
        <w:tc>
          <w:tcPr>
            <w:tcW w:w="1129" w:type="dxa"/>
            <w:shd w:val="clear" w:color="auto" w:fill="auto"/>
          </w:tcPr>
          <w:p w14:paraId="0E656F53" w14:textId="77777777" w:rsidR="00897F84" w:rsidRPr="00F01F8D" w:rsidRDefault="00897F84" w:rsidP="00D4470F">
            <w:pPr>
              <w:jc w:val="center"/>
            </w:pPr>
            <w:r w:rsidRPr="00F01F8D">
              <w:t>16(29.1)</w:t>
            </w:r>
          </w:p>
        </w:tc>
      </w:tr>
      <w:tr w:rsidR="00897F84" w:rsidRPr="00F01F8D" w14:paraId="098836EB" w14:textId="77777777" w:rsidTr="00D4470F">
        <w:tc>
          <w:tcPr>
            <w:tcW w:w="3119" w:type="dxa"/>
            <w:shd w:val="clear" w:color="auto" w:fill="auto"/>
          </w:tcPr>
          <w:p w14:paraId="3153319D" w14:textId="77777777" w:rsidR="00897F84" w:rsidRPr="00F01F8D" w:rsidRDefault="00897F84" w:rsidP="00D4470F">
            <w:pPr>
              <w:rPr>
                <w:sz w:val="21"/>
                <w:szCs w:val="21"/>
              </w:rPr>
            </w:pPr>
            <w:r w:rsidRPr="00F01F8D">
              <w:rPr>
                <w:sz w:val="21"/>
                <w:szCs w:val="21"/>
              </w:rPr>
              <w:t>Eosinophils abs</w:t>
            </w:r>
            <w:r w:rsidRPr="00F01F8D">
              <w:rPr>
                <w:rFonts w:eastAsia="Arial"/>
                <w:sz w:val="21"/>
                <w:szCs w:val="21"/>
              </w:rPr>
              <w:t xml:space="preserve"> (K/uL)</w:t>
            </w:r>
          </w:p>
        </w:tc>
        <w:tc>
          <w:tcPr>
            <w:tcW w:w="709" w:type="dxa"/>
            <w:shd w:val="clear" w:color="auto" w:fill="auto"/>
          </w:tcPr>
          <w:p w14:paraId="5FA31705" w14:textId="77777777" w:rsidR="00897F84" w:rsidRPr="00F01F8D" w:rsidRDefault="00897F84" w:rsidP="00D4470F">
            <w:pPr>
              <w:jc w:val="right"/>
            </w:pPr>
            <w:r w:rsidRPr="00F01F8D">
              <w:t>63</w:t>
            </w:r>
          </w:p>
        </w:tc>
        <w:tc>
          <w:tcPr>
            <w:tcW w:w="2126" w:type="dxa"/>
            <w:shd w:val="clear" w:color="auto" w:fill="auto"/>
          </w:tcPr>
          <w:p w14:paraId="0EB7037F" w14:textId="77777777" w:rsidR="00897F84" w:rsidRPr="00F01F8D" w:rsidRDefault="00897F84" w:rsidP="00D4470F">
            <w:pPr>
              <w:jc w:val="center"/>
            </w:pPr>
            <w:r w:rsidRPr="00F01F8D">
              <w:t>0 – 0.7</w:t>
            </w:r>
          </w:p>
        </w:tc>
        <w:tc>
          <w:tcPr>
            <w:tcW w:w="1134" w:type="dxa"/>
            <w:shd w:val="clear" w:color="auto" w:fill="auto"/>
          </w:tcPr>
          <w:p w14:paraId="1E0DC919" w14:textId="77777777" w:rsidR="00897F84" w:rsidRPr="00F01F8D" w:rsidRDefault="00897F84" w:rsidP="00D4470F">
            <w:pPr>
              <w:jc w:val="center"/>
            </w:pPr>
            <w:r w:rsidRPr="00F01F8D">
              <w:t>58(92.1)</w:t>
            </w:r>
          </w:p>
        </w:tc>
        <w:tc>
          <w:tcPr>
            <w:tcW w:w="1276" w:type="dxa"/>
            <w:shd w:val="clear" w:color="auto" w:fill="auto"/>
          </w:tcPr>
          <w:p w14:paraId="11E89322" w14:textId="77777777" w:rsidR="00897F84" w:rsidRPr="00F01F8D" w:rsidRDefault="00897F84" w:rsidP="00D4470F">
            <w:pPr>
              <w:jc w:val="center"/>
            </w:pPr>
            <w:r w:rsidRPr="00F01F8D">
              <w:t>0(0.0)</w:t>
            </w:r>
          </w:p>
        </w:tc>
        <w:tc>
          <w:tcPr>
            <w:tcW w:w="1129" w:type="dxa"/>
            <w:shd w:val="clear" w:color="auto" w:fill="auto"/>
          </w:tcPr>
          <w:p w14:paraId="22614B08" w14:textId="77777777" w:rsidR="00897F84" w:rsidRPr="00F01F8D" w:rsidRDefault="00897F84" w:rsidP="00D4470F">
            <w:pPr>
              <w:jc w:val="center"/>
            </w:pPr>
            <w:r w:rsidRPr="00F01F8D">
              <w:t>5(7.9)</w:t>
            </w:r>
          </w:p>
        </w:tc>
      </w:tr>
      <w:tr w:rsidR="00897F84" w:rsidRPr="00F01F8D" w14:paraId="2B912CDC" w14:textId="77777777" w:rsidTr="00D4470F">
        <w:tc>
          <w:tcPr>
            <w:tcW w:w="3119" w:type="dxa"/>
            <w:shd w:val="clear" w:color="auto" w:fill="auto"/>
          </w:tcPr>
          <w:p w14:paraId="49AF9403" w14:textId="77777777" w:rsidR="00897F84" w:rsidRPr="00F01F8D" w:rsidRDefault="00897F84" w:rsidP="00D4470F">
            <w:pPr>
              <w:rPr>
                <w:sz w:val="21"/>
                <w:szCs w:val="21"/>
              </w:rPr>
            </w:pPr>
            <w:r w:rsidRPr="00F01F8D">
              <w:rPr>
                <w:sz w:val="21"/>
                <w:szCs w:val="21"/>
              </w:rPr>
              <w:t>Eosinophils (%)</w:t>
            </w:r>
          </w:p>
        </w:tc>
        <w:tc>
          <w:tcPr>
            <w:tcW w:w="709" w:type="dxa"/>
            <w:shd w:val="clear" w:color="auto" w:fill="auto"/>
          </w:tcPr>
          <w:p w14:paraId="6FCE0B3B" w14:textId="77777777" w:rsidR="00897F84" w:rsidRPr="00F01F8D" w:rsidRDefault="00897F84" w:rsidP="00D4470F">
            <w:pPr>
              <w:jc w:val="right"/>
            </w:pPr>
            <w:r w:rsidRPr="00F01F8D">
              <w:t>55</w:t>
            </w:r>
          </w:p>
        </w:tc>
        <w:tc>
          <w:tcPr>
            <w:tcW w:w="2126" w:type="dxa"/>
            <w:shd w:val="clear" w:color="auto" w:fill="auto"/>
          </w:tcPr>
          <w:p w14:paraId="4E91D5F6" w14:textId="77777777" w:rsidR="00897F84" w:rsidRPr="00F01F8D" w:rsidRDefault="00897F84" w:rsidP="00D4470F">
            <w:pPr>
              <w:jc w:val="center"/>
            </w:pPr>
            <w:r w:rsidRPr="00F01F8D">
              <w:t>1 – 6</w:t>
            </w:r>
          </w:p>
        </w:tc>
        <w:tc>
          <w:tcPr>
            <w:tcW w:w="1134" w:type="dxa"/>
            <w:shd w:val="clear" w:color="auto" w:fill="auto"/>
          </w:tcPr>
          <w:p w14:paraId="4BCA1E33" w14:textId="77777777" w:rsidR="00897F84" w:rsidRPr="00F01F8D" w:rsidRDefault="00897F84" w:rsidP="00D4470F">
            <w:pPr>
              <w:jc w:val="center"/>
            </w:pPr>
            <w:r w:rsidRPr="00F01F8D">
              <w:t>23(41.8)</w:t>
            </w:r>
          </w:p>
        </w:tc>
        <w:tc>
          <w:tcPr>
            <w:tcW w:w="1276" w:type="dxa"/>
            <w:shd w:val="clear" w:color="auto" w:fill="auto"/>
          </w:tcPr>
          <w:p w14:paraId="23F57095" w14:textId="77777777" w:rsidR="00897F84" w:rsidRPr="00F01F8D" w:rsidRDefault="00897F84" w:rsidP="00D4470F">
            <w:pPr>
              <w:jc w:val="center"/>
            </w:pPr>
            <w:r w:rsidRPr="00F01F8D">
              <w:t>32(55.2)</w:t>
            </w:r>
          </w:p>
        </w:tc>
        <w:tc>
          <w:tcPr>
            <w:tcW w:w="1129" w:type="dxa"/>
            <w:shd w:val="clear" w:color="auto" w:fill="auto"/>
          </w:tcPr>
          <w:p w14:paraId="19ECC6BE" w14:textId="77777777" w:rsidR="00897F84" w:rsidRPr="00F01F8D" w:rsidRDefault="00897F84" w:rsidP="00D4470F">
            <w:pPr>
              <w:jc w:val="center"/>
            </w:pPr>
            <w:r w:rsidRPr="00F01F8D">
              <w:t>0(0.0)</w:t>
            </w:r>
          </w:p>
        </w:tc>
      </w:tr>
      <w:tr w:rsidR="00897F84" w:rsidRPr="00F01F8D" w14:paraId="5A9916D2" w14:textId="77777777" w:rsidTr="00D4470F">
        <w:tc>
          <w:tcPr>
            <w:tcW w:w="3119" w:type="dxa"/>
            <w:shd w:val="clear" w:color="auto" w:fill="auto"/>
          </w:tcPr>
          <w:p w14:paraId="7B72B27C" w14:textId="77777777" w:rsidR="00897F84" w:rsidRPr="00F01F8D" w:rsidRDefault="00897F84" w:rsidP="00D4470F">
            <w:pPr>
              <w:rPr>
                <w:sz w:val="21"/>
                <w:szCs w:val="21"/>
              </w:rPr>
            </w:pPr>
            <w:r w:rsidRPr="00F01F8D">
              <w:rPr>
                <w:sz w:val="21"/>
                <w:szCs w:val="21"/>
              </w:rPr>
              <w:t>Basophils abs</w:t>
            </w:r>
            <w:r w:rsidRPr="00F01F8D">
              <w:rPr>
                <w:rFonts w:eastAsia="Arial"/>
                <w:sz w:val="21"/>
                <w:szCs w:val="21"/>
              </w:rPr>
              <w:t xml:space="preserve"> (K/uL)</w:t>
            </w:r>
          </w:p>
        </w:tc>
        <w:tc>
          <w:tcPr>
            <w:tcW w:w="709" w:type="dxa"/>
            <w:shd w:val="clear" w:color="auto" w:fill="auto"/>
          </w:tcPr>
          <w:p w14:paraId="7A363295" w14:textId="77777777" w:rsidR="00897F84" w:rsidRPr="00F01F8D" w:rsidRDefault="00897F84" w:rsidP="00D4470F">
            <w:pPr>
              <w:jc w:val="right"/>
            </w:pPr>
            <w:r w:rsidRPr="00F01F8D">
              <w:t>63</w:t>
            </w:r>
          </w:p>
        </w:tc>
        <w:tc>
          <w:tcPr>
            <w:tcW w:w="2126" w:type="dxa"/>
            <w:shd w:val="clear" w:color="auto" w:fill="auto"/>
          </w:tcPr>
          <w:p w14:paraId="0C3F81EE" w14:textId="77777777" w:rsidR="00897F84" w:rsidRPr="00F01F8D" w:rsidRDefault="00897F84" w:rsidP="00D4470F">
            <w:pPr>
              <w:jc w:val="center"/>
            </w:pPr>
            <w:r w:rsidRPr="00F01F8D">
              <w:t>0 – 2</w:t>
            </w:r>
          </w:p>
        </w:tc>
        <w:tc>
          <w:tcPr>
            <w:tcW w:w="1134" w:type="dxa"/>
            <w:shd w:val="clear" w:color="auto" w:fill="auto"/>
          </w:tcPr>
          <w:p w14:paraId="7B684E6A" w14:textId="77777777" w:rsidR="00897F84" w:rsidRPr="00F01F8D" w:rsidRDefault="00897F84" w:rsidP="00D4470F">
            <w:pPr>
              <w:jc w:val="center"/>
            </w:pPr>
            <w:r w:rsidRPr="00F01F8D">
              <w:t>63(100)</w:t>
            </w:r>
          </w:p>
        </w:tc>
        <w:tc>
          <w:tcPr>
            <w:tcW w:w="1276" w:type="dxa"/>
            <w:shd w:val="clear" w:color="auto" w:fill="auto"/>
          </w:tcPr>
          <w:p w14:paraId="6B95393B" w14:textId="77777777" w:rsidR="00897F84" w:rsidRPr="00F01F8D" w:rsidRDefault="00897F84" w:rsidP="00D4470F">
            <w:pPr>
              <w:jc w:val="center"/>
            </w:pPr>
            <w:r w:rsidRPr="00F01F8D">
              <w:t>0(0.0)</w:t>
            </w:r>
          </w:p>
        </w:tc>
        <w:tc>
          <w:tcPr>
            <w:tcW w:w="1129" w:type="dxa"/>
            <w:shd w:val="clear" w:color="auto" w:fill="auto"/>
          </w:tcPr>
          <w:p w14:paraId="56C18F08" w14:textId="77777777" w:rsidR="00897F84" w:rsidRPr="00F01F8D" w:rsidRDefault="00897F84" w:rsidP="00D4470F">
            <w:pPr>
              <w:jc w:val="center"/>
            </w:pPr>
            <w:r w:rsidRPr="00F01F8D">
              <w:t>0(0.0)</w:t>
            </w:r>
          </w:p>
        </w:tc>
      </w:tr>
      <w:tr w:rsidR="00897F84" w:rsidRPr="00F01F8D" w14:paraId="44C52564" w14:textId="77777777" w:rsidTr="00D4470F">
        <w:tc>
          <w:tcPr>
            <w:tcW w:w="3119" w:type="dxa"/>
            <w:shd w:val="clear" w:color="auto" w:fill="auto"/>
          </w:tcPr>
          <w:p w14:paraId="3E0D6C3A" w14:textId="77777777" w:rsidR="00897F84" w:rsidRPr="00F01F8D" w:rsidRDefault="00897F84" w:rsidP="00D4470F">
            <w:pPr>
              <w:rPr>
                <w:sz w:val="21"/>
                <w:szCs w:val="21"/>
              </w:rPr>
            </w:pPr>
            <w:r w:rsidRPr="00F01F8D">
              <w:rPr>
                <w:sz w:val="21"/>
                <w:szCs w:val="21"/>
              </w:rPr>
              <w:t>Basophils (%)</w:t>
            </w:r>
          </w:p>
        </w:tc>
        <w:tc>
          <w:tcPr>
            <w:tcW w:w="709" w:type="dxa"/>
            <w:shd w:val="clear" w:color="auto" w:fill="auto"/>
          </w:tcPr>
          <w:p w14:paraId="23FDC32A" w14:textId="77777777" w:rsidR="00897F84" w:rsidRPr="00F01F8D" w:rsidRDefault="00897F84" w:rsidP="00D4470F">
            <w:pPr>
              <w:jc w:val="right"/>
            </w:pPr>
            <w:r w:rsidRPr="00F01F8D">
              <w:t>55</w:t>
            </w:r>
          </w:p>
        </w:tc>
        <w:tc>
          <w:tcPr>
            <w:tcW w:w="2126" w:type="dxa"/>
            <w:shd w:val="clear" w:color="auto" w:fill="auto"/>
          </w:tcPr>
          <w:p w14:paraId="5934F0C8" w14:textId="77777777" w:rsidR="00897F84" w:rsidRPr="00F01F8D" w:rsidRDefault="00897F84" w:rsidP="00D4470F">
            <w:pPr>
              <w:jc w:val="center"/>
            </w:pPr>
            <w:r w:rsidRPr="00F01F8D">
              <w:t>0.02 – 0.1</w:t>
            </w:r>
          </w:p>
        </w:tc>
        <w:tc>
          <w:tcPr>
            <w:tcW w:w="1134" w:type="dxa"/>
            <w:shd w:val="clear" w:color="auto" w:fill="auto"/>
          </w:tcPr>
          <w:p w14:paraId="5F061048" w14:textId="77777777" w:rsidR="00897F84" w:rsidRPr="00F01F8D" w:rsidRDefault="00897F84" w:rsidP="00D4470F">
            <w:pPr>
              <w:jc w:val="center"/>
            </w:pPr>
            <w:r w:rsidRPr="00F01F8D">
              <w:t>0(0.0)</w:t>
            </w:r>
          </w:p>
        </w:tc>
        <w:tc>
          <w:tcPr>
            <w:tcW w:w="1276" w:type="dxa"/>
            <w:shd w:val="clear" w:color="auto" w:fill="auto"/>
          </w:tcPr>
          <w:p w14:paraId="06AB7C04" w14:textId="77777777" w:rsidR="00897F84" w:rsidRPr="00F01F8D" w:rsidRDefault="00897F84" w:rsidP="00D4470F">
            <w:pPr>
              <w:jc w:val="center"/>
            </w:pPr>
            <w:r w:rsidRPr="00F01F8D">
              <w:t>0(0.0)</w:t>
            </w:r>
          </w:p>
        </w:tc>
        <w:tc>
          <w:tcPr>
            <w:tcW w:w="1129" w:type="dxa"/>
            <w:shd w:val="clear" w:color="auto" w:fill="auto"/>
          </w:tcPr>
          <w:p w14:paraId="7BC16178" w14:textId="77777777" w:rsidR="00897F84" w:rsidRPr="00F01F8D" w:rsidRDefault="00897F84" w:rsidP="00D4470F">
            <w:pPr>
              <w:jc w:val="center"/>
            </w:pPr>
            <w:r w:rsidRPr="00F01F8D">
              <w:t>55(100)</w:t>
            </w:r>
          </w:p>
        </w:tc>
      </w:tr>
      <w:tr w:rsidR="00897F84" w:rsidRPr="00F01F8D" w14:paraId="7BC8D70E" w14:textId="77777777" w:rsidTr="00D4470F">
        <w:tc>
          <w:tcPr>
            <w:tcW w:w="3119" w:type="dxa"/>
            <w:shd w:val="clear" w:color="auto" w:fill="auto"/>
          </w:tcPr>
          <w:p w14:paraId="5A383D46" w14:textId="77777777" w:rsidR="00897F84" w:rsidRPr="00F01F8D" w:rsidRDefault="00897F84" w:rsidP="00D4470F">
            <w:pPr>
              <w:rPr>
                <w:sz w:val="21"/>
                <w:szCs w:val="21"/>
              </w:rPr>
            </w:pPr>
            <w:r w:rsidRPr="00F01F8D">
              <w:rPr>
                <w:sz w:val="21"/>
                <w:szCs w:val="21"/>
              </w:rPr>
              <w:t>RBC (</w:t>
            </w:r>
            <w:r w:rsidRPr="00F01F8D">
              <w:rPr>
                <w:rFonts w:eastAsia="Arial"/>
                <w:sz w:val="21"/>
                <w:szCs w:val="21"/>
              </w:rPr>
              <w:t>M/uL)</w:t>
            </w:r>
          </w:p>
        </w:tc>
        <w:tc>
          <w:tcPr>
            <w:tcW w:w="709" w:type="dxa"/>
            <w:shd w:val="clear" w:color="auto" w:fill="auto"/>
          </w:tcPr>
          <w:p w14:paraId="3A939F5D" w14:textId="77777777" w:rsidR="00897F84" w:rsidRPr="00F01F8D" w:rsidRDefault="00897F84" w:rsidP="00D4470F">
            <w:pPr>
              <w:jc w:val="right"/>
            </w:pPr>
            <w:r w:rsidRPr="00F01F8D">
              <w:t>56</w:t>
            </w:r>
          </w:p>
        </w:tc>
        <w:tc>
          <w:tcPr>
            <w:tcW w:w="2126" w:type="dxa"/>
            <w:shd w:val="clear" w:color="auto" w:fill="auto"/>
          </w:tcPr>
          <w:p w14:paraId="4C559311" w14:textId="77777777" w:rsidR="00897F84" w:rsidRPr="00F01F8D" w:rsidRDefault="00897F84" w:rsidP="00D4470F">
            <w:pPr>
              <w:jc w:val="center"/>
            </w:pPr>
            <w:r w:rsidRPr="00F01F8D">
              <w:t>3.8 – 4.8</w:t>
            </w:r>
          </w:p>
        </w:tc>
        <w:tc>
          <w:tcPr>
            <w:tcW w:w="1134" w:type="dxa"/>
            <w:shd w:val="clear" w:color="auto" w:fill="auto"/>
          </w:tcPr>
          <w:p w14:paraId="09F7DCAE" w14:textId="77777777" w:rsidR="00897F84" w:rsidRPr="00F01F8D" w:rsidRDefault="00897F84" w:rsidP="00D4470F">
            <w:pPr>
              <w:jc w:val="center"/>
            </w:pPr>
            <w:r w:rsidRPr="00F01F8D">
              <w:t>27(48.2)</w:t>
            </w:r>
          </w:p>
        </w:tc>
        <w:tc>
          <w:tcPr>
            <w:tcW w:w="1276" w:type="dxa"/>
            <w:shd w:val="clear" w:color="auto" w:fill="auto"/>
          </w:tcPr>
          <w:p w14:paraId="04D9A91A" w14:textId="77777777" w:rsidR="00897F84" w:rsidRPr="00F01F8D" w:rsidRDefault="00897F84" w:rsidP="00D4470F">
            <w:pPr>
              <w:jc w:val="center"/>
            </w:pPr>
            <w:r w:rsidRPr="00F01F8D">
              <w:t>6(10.7)</w:t>
            </w:r>
          </w:p>
        </w:tc>
        <w:tc>
          <w:tcPr>
            <w:tcW w:w="1129" w:type="dxa"/>
            <w:shd w:val="clear" w:color="auto" w:fill="auto"/>
          </w:tcPr>
          <w:p w14:paraId="2D38EC2A" w14:textId="77777777" w:rsidR="00897F84" w:rsidRPr="00F01F8D" w:rsidRDefault="00897F84" w:rsidP="00D4470F">
            <w:pPr>
              <w:jc w:val="center"/>
            </w:pPr>
            <w:r w:rsidRPr="00F01F8D">
              <w:t>23(41.1)</w:t>
            </w:r>
          </w:p>
        </w:tc>
      </w:tr>
      <w:tr w:rsidR="00897F84" w:rsidRPr="00F01F8D" w14:paraId="422CD7D6" w14:textId="77777777" w:rsidTr="00D4470F">
        <w:tc>
          <w:tcPr>
            <w:tcW w:w="3119" w:type="dxa"/>
            <w:shd w:val="clear" w:color="auto" w:fill="auto"/>
          </w:tcPr>
          <w:p w14:paraId="62EF1F15" w14:textId="77777777" w:rsidR="00897F84" w:rsidRPr="00F01F8D" w:rsidRDefault="00897F84" w:rsidP="00D4470F">
            <w:pPr>
              <w:rPr>
                <w:sz w:val="21"/>
                <w:szCs w:val="21"/>
              </w:rPr>
            </w:pPr>
            <w:r w:rsidRPr="00F01F8D">
              <w:rPr>
                <w:sz w:val="21"/>
                <w:szCs w:val="21"/>
              </w:rPr>
              <w:t>HB</w:t>
            </w:r>
            <w:r w:rsidRPr="00F01F8D">
              <w:rPr>
                <w:rFonts w:eastAsia="Arial"/>
                <w:sz w:val="21"/>
                <w:szCs w:val="21"/>
              </w:rPr>
              <w:t xml:space="preserve"> (g/dl)</w:t>
            </w:r>
          </w:p>
        </w:tc>
        <w:tc>
          <w:tcPr>
            <w:tcW w:w="709" w:type="dxa"/>
            <w:shd w:val="clear" w:color="auto" w:fill="auto"/>
          </w:tcPr>
          <w:p w14:paraId="0A885128" w14:textId="77777777" w:rsidR="00897F84" w:rsidRPr="00F01F8D" w:rsidRDefault="00897F84" w:rsidP="00D4470F">
            <w:pPr>
              <w:jc w:val="right"/>
            </w:pPr>
            <w:r w:rsidRPr="00F01F8D">
              <w:t>64</w:t>
            </w:r>
          </w:p>
        </w:tc>
        <w:tc>
          <w:tcPr>
            <w:tcW w:w="2126" w:type="dxa"/>
            <w:shd w:val="clear" w:color="auto" w:fill="auto"/>
          </w:tcPr>
          <w:p w14:paraId="2A9E2DEB" w14:textId="77777777" w:rsidR="00897F84" w:rsidRPr="00F01F8D" w:rsidRDefault="00897F84" w:rsidP="00D4470F">
            <w:pPr>
              <w:jc w:val="center"/>
            </w:pPr>
            <w:r w:rsidRPr="00F01F8D">
              <w:t>12 – 15</w:t>
            </w:r>
          </w:p>
        </w:tc>
        <w:tc>
          <w:tcPr>
            <w:tcW w:w="1134" w:type="dxa"/>
            <w:shd w:val="clear" w:color="auto" w:fill="auto"/>
          </w:tcPr>
          <w:p w14:paraId="115467AA" w14:textId="77777777" w:rsidR="00897F84" w:rsidRPr="00F01F8D" w:rsidRDefault="00897F84" w:rsidP="00D4470F">
            <w:pPr>
              <w:jc w:val="center"/>
            </w:pPr>
            <w:r w:rsidRPr="00F01F8D">
              <w:t>32(50.0)</w:t>
            </w:r>
          </w:p>
        </w:tc>
        <w:tc>
          <w:tcPr>
            <w:tcW w:w="1276" w:type="dxa"/>
            <w:shd w:val="clear" w:color="auto" w:fill="auto"/>
          </w:tcPr>
          <w:p w14:paraId="6E19AFAF" w14:textId="77777777" w:rsidR="00897F84" w:rsidRPr="00F01F8D" w:rsidRDefault="00897F84" w:rsidP="00D4470F">
            <w:pPr>
              <w:jc w:val="center"/>
            </w:pPr>
            <w:r w:rsidRPr="00F01F8D">
              <w:t>26(40.6)</w:t>
            </w:r>
          </w:p>
        </w:tc>
        <w:tc>
          <w:tcPr>
            <w:tcW w:w="1129" w:type="dxa"/>
            <w:shd w:val="clear" w:color="auto" w:fill="auto"/>
          </w:tcPr>
          <w:p w14:paraId="6A75BEFD" w14:textId="77777777" w:rsidR="00897F84" w:rsidRPr="00F01F8D" w:rsidRDefault="00897F84" w:rsidP="00D4470F">
            <w:pPr>
              <w:jc w:val="center"/>
            </w:pPr>
            <w:r w:rsidRPr="00F01F8D">
              <w:t>6(9.4)</w:t>
            </w:r>
          </w:p>
        </w:tc>
      </w:tr>
      <w:tr w:rsidR="00897F84" w:rsidRPr="00F01F8D" w14:paraId="5961F7B3" w14:textId="77777777" w:rsidTr="00D4470F">
        <w:tc>
          <w:tcPr>
            <w:tcW w:w="3119" w:type="dxa"/>
            <w:shd w:val="clear" w:color="auto" w:fill="auto"/>
          </w:tcPr>
          <w:p w14:paraId="4D61041C" w14:textId="77777777" w:rsidR="00897F84" w:rsidRPr="00F01F8D" w:rsidRDefault="00897F84" w:rsidP="00D4470F">
            <w:pPr>
              <w:rPr>
                <w:sz w:val="21"/>
                <w:szCs w:val="21"/>
              </w:rPr>
            </w:pPr>
            <w:r w:rsidRPr="00F01F8D">
              <w:rPr>
                <w:sz w:val="21"/>
                <w:szCs w:val="21"/>
              </w:rPr>
              <w:t>Platelet count (</w:t>
            </w:r>
            <w:r w:rsidRPr="00F01F8D">
              <w:rPr>
                <w:rFonts w:eastAsia="Arial"/>
                <w:sz w:val="21"/>
                <w:szCs w:val="21"/>
              </w:rPr>
              <w:t>K/uL)</w:t>
            </w:r>
          </w:p>
        </w:tc>
        <w:tc>
          <w:tcPr>
            <w:tcW w:w="709" w:type="dxa"/>
            <w:shd w:val="clear" w:color="auto" w:fill="auto"/>
          </w:tcPr>
          <w:p w14:paraId="1DE77812" w14:textId="77777777" w:rsidR="00897F84" w:rsidRPr="00F01F8D" w:rsidRDefault="00897F84" w:rsidP="00D4470F">
            <w:pPr>
              <w:jc w:val="right"/>
            </w:pPr>
            <w:r w:rsidRPr="00F01F8D">
              <w:t>64</w:t>
            </w:r>
          </w:p>
        </w:tc>
        <w:tc>
          <w:tcPr>
            <w:tcW w:w="2126" w:type="dxa"/>
            <w:shd w:val="clear" w:color="auto" w:fill="auto"/>
          </w:tcPr>
          <w:p w14:paraId="53F61278" w14:textId="77777777" w:rsidR="00897F84" w:rsidRPr="00F01F8D" w:rsidRDefault="00897F84" w:rsidP="00D4470F">
            <w:pPr>
              <w:jc w:val="center"/>
            </w:pPr>
            <w:r w:rsidRPr="00F01F8D">
              <w:t>150 – 410</w:t>
            </w:r>
          </w:p>
        </w:tc>
        <w:tc>
          <w:tcPr>
            <w:tcW w:w="1134" w:type="dxa"/>
            <w:shd w:val="clear" w:color="auto" w:fill="auto"/>
          </w:tcPr>
          <w:p w14:paraId="222F6DD2" w14:textId="77777777" w:rsidR="00897F84" w:rsidRPr="00F01F8D" w:rsidRDefault="00897F84" w:rsidP="00D4470F">
            <w:pPr>
              <w:jc w:val="center"/>
            </w:pPr>
            <w:r w:rsidRPr="00F01F8D">
              <w:t>59(92.2)</w:t>
            </w:r>
          </w:p>
        </w:tc>
        <w:tc>
          <w:tcPr>
            <w:tcW w:w="1276" w:type="dxa"/>
            <w:shd w:val="clear" w:color="auto" w:fill="auto"/>
          </w:tcPr>
          <w:p w14:paraId="1094DE2B" w14:textId="77777777" w:rsidR="00897F84" w:rsidRPr="00F01F8D" w:rsidRDefault="00897F84" w:rsidP="00D4470F">
            <w:pPr>
              <w:jc w:val="center"/>
            </w:pPr>
            <w:r w:rsidRPr="00F01F8D">
              <w:t>2(3.1)</w:t>
            </w:r>
          </w:p>
        </w:tc>
        <w:tc>
          <w:tcPr>
            <w:tcW w:w="1129" w:type="dxa"/>
            <w:shd w:val="clear" w:color="auto" w:fill="auto"/>
          </w:tcPr>
          <w:p w14:paraId="3A1BD909" w14:textId="77777777" w:rsidR="00897F84" w:rsidRPr="00F01F8D" w:rsidRDefault="00897F84" w:rsidP="00D4470F">
            <w:pPr>
              <w:jc w:val="center"/>
            </w:pPr>
            <w:r w:rsidRPr="00F01F8D">
              <w:t>3(4.7)</w:t>
            </w:r>
          </w:p>
        </w:tc>
      </w:tr>
      <w:tr w:rsidR="00897F84" w:rsidRPr="00F01F8D" w14:paraId="43128D8B" w14:textId="77777777" w:rsidTr="00D4470F">
        <w:tc>
          <w:tcPr>
            <w:tcW w:w="3119" w:type="dxa"/>
            <w:shd w:val="clear" w:color="auto" w:fill="auto"/>
          </w:tcPr>
          <w:p w14:paraId="1E68682B" w14:textId="77777777" w:rsidR="00897F84" w:rsidRPr="00F01F8D" w:rsidRDefault="00897F84" w:rsidP="00D4470F">
            <w:pPr>
              <w:rPr>
                <w:sz w:val="21"/>
                <w:szCs w:val="21"/>
              </w:rPr>
            </w:pPr>
            <w:r w:rsidRPr="00F01F8D">
              <w:rPr>
                <w:sz w:val="21"/>
                <w:szCs w:val="21"/>
              </w:rPr>
              <w:t xml:space="preserve">BUN </w:t>
            </w:r>
            <w:r w:rsidRPr="00F01F8D">
              <w:rPr>
                <w:rFonts w:eastAsia="Arial"/>
                <w:sz w:val="21"/>
                <w:szCs w:val="21"/>
              </w:rPr>
              <w:t>M (mol/L)</w:t>
            </w:r>
          </w:p>
        </w:tc>
        <w:tc>
          <w:tcPr>
            <w:tcW w:w="709" w:type="dxa"/>
            <w:shd w:val="clear" w:color="auto" w:fill="auto"/>
          </w:tcPr>
          <w:p w14:paraId="267100CE" w14:textId="77777777" w:rsidR="00897F84" w:rsidRPr="00F01F8D" w:rsidRDefault="00897F84" w:rsidP="00D4470F">
            <w:pPr>
              <w:jc w:val="right"/>
            </w:pPr>
            <w:r w:rsidRPr="00F01F8D">
              <w:t>62</w:t>
            </w:r>
          </w:p>
        </w:tc>
        <w:tc>
          <w:tcPr>
            <w:tcW w:w="2126" w:type="dxa"/>
            <w:shd w:val="clear" w:color="auto" w:fill="auto"/>
          </w:tcPr>
          <w:p w14:paraId="5838A7BD" w14:textId="77777777" w:rsidR="00897F84" w:rsidRPr="00F01F8D" w:rsidRDefault="00897F84" w:rsidP="00D4470F">
            <w:pPr>
              <w:jc w:val="center"/>
            </w:pPr>
            <w:r w:rsidRPr="00F01F8D">
              <w:t>2.5 – 6.7</w:t>
            </w:r>
          </w:p>
        </w:tc>
        <w:tc>
          <w:tcPr>
            <w:tcW w:w="1134" w:type="dxa"/>
            <w:shd w:val="clear" w:color="auto" w:fill="auto"/>
          </w:tcPr>
          <w:p w14:paraId="1087F3C0" w14:textId="77777777" w:rsidR="00897F84" w:rsidRPr="00F01F8D" w:rsidRDefault="00897F84" w:rsidP="00D4470F">
            <w:pPr>
              <w:jc w:val="center"/>
            </w:pPr>
            <w:r w:rsidRPr="00F01F8D">
              <w:t>34(54.8)</w:t>
            </w:r>
          </w:p>
        </w:tc>
        <w:tc>
          <w:tcPr>
            <w:tcW w:w="1276" w:type="dxa"/>
            <w:shd w:val="clear" w:color="auto" w:fill="auto"/>
          </w:tcPr>
          <w:p w14:paraId="4A9ECA6A" w14:textId="77777777" w:rsidR="00897F84" w:rsidRPr="00F01F8D" w:rsidRDefault="00897F84" w:rsidP="00D4470F">
            <w:pPr>
              <w:jc w:val="center"/>
            </w:pPr>
            <w:r w:rsidRPr="00F01F8D">
              <w:t>22(35.5)</w:t>
            </w:r>
          </w:p>
        </w:tc>
        <w:tc>
          <w:tcPr>
            <w:tcW w:w="1129" w:type="dxa"/>
            <w:shd w:val="clear" w:color="auto" w:fill="auto"/>
          </w:tcPr>
          <w:p w14:paraId="48C83127" w14:textId="77777777" w:rsidR="00897F84" w:rsidRPr="00F01F8D" w:rsidRDefault="00897F84" w:rsidP="00D4470F">
            <w:pPr>
              <w:jc w:val="center"/>
            </w:pPr>
            <w:r w:rsidRPr="00F01F8D">
              <w:t>6(9.7)</w:t>
            </w:r>
          </w:p>
        </w:tc>
      </w:tr>
      <w:tr w:rsidR="00897F84" w:rsidRPr="00F01F8D" w14:paraId="448741A7" w14:textId="77777777" w:rsidTr="00D4470F">
        <w:tc>
          <w:tcPr>
            <w:tcW w:w="3119" w:type="dxa"/>
            <w:shd w:val="clear" w:color="auto" w:fill="auto"/>
          </w:tcPr>
          <w:p w14:paraId="39CCE84F" w14:textId="77777777" w:rsidR="00897F84" w:rsidRPr="00F01F8D" w:rsidRDefault="00897F84" w:rsidP="00D4470F">
            <w:pPr>
              <w:rPr>
                <w:sz w:val="21"/>
                <w:szCs w:val="21"/>
              </w:rPr>
            </w:pPr>
            <w:r w:rsidRPr="00F01F8D">
              <w:rPr>
                <w:sz w:val="21"/>
                <w:szCs w:val="21"/>
              </w:rPr>
              <w:t>Creatinine (</w:t>
            </w:r>
            <w:r w:rsidRPr="00F01F8D">
              <w:rPr>
                <w:rFonts w:eastAsia="Arial"/>
                <w:sz w:val="21"/>
                <w:szCs w:val="21"/>
              </w:rPr>
              <w:t>umol/L)</w:t>
            </w:r>
          </w:p>
        </w:tc>
        <w:tc>
          <w:tcPr>
            <w:tcW w:w="709" w:type="dxa"/>
            <w:shd w:val="clear" w:color="auto" w:fill="auto"/>
          </w:tcPr>
          <w:p w14:paraId="04F8FE3D" w14:textId="77777777" w:rsidR="00897F84" w:rsidRPr="00F01F8D" w:rsidRDefault="00897F84" w:rsidP="00D4470F">
            <w:pPr>
              <w:jc w:val="right"/>
            </w:pPr>
            <w:r w:rsidRPr="00F01F8D">
              <w:t>63</w:t>
            </w:r>
          </w:p>
        </w:tc>
        <w:tc>
          <w:tcPr>
            <w:tcW w:w="2126" w:type="dxa"/>
            <w:shd w:val="clear" w:color="auto" w:fill="auto"/>
          </w:tcPr>
          <w:p w14:paraId="5F3E0DF9" w14:textId="77777777" w:rsidR="00897F84" w:rsidRPr="00F01F8D" w:rsidRDefault="00897F84" w:rsidP="00D4470F">
            <w:pPr>
              <w:jc w:val="center"/>
            </w:pPr>
            <w:r w:rsidRPr="00F01F8D">
              <w:t>50.4 – 98.1</w:t>
            </w:r>
          </w:p>
        </w:tc>
        <w:tc>
          <w:tcPr>
            <w:tcW w:w="1134" w:type="dxa"/>
            <w:shd w:val="clear" w:color="auto" w:fill="auto"/>
          </w:tcPr>
          <w:p w14:paraId="6AAB02EA" w14:textId="77777777" w:rsidR="00897F84" w:rsidRPr="00F01F8D" w:rsidRDefault="00897F84" w:rsidP="00D4470F">
            <w:pPr>
              <w:jc w:val="center"/>
            </w:pPr>
            <w:r w:rsidRPr="00F01F8D">
              <w:t>50(79.4)</w:t>
            </w:r>
          </w:p>
        </w:tc>
        <w:tc>
          <w:tcPr>
            <w:tcW w:w="1276" w:type="dxa"/>
            <w:shd w:val="clear" w:color="auto" w:fill="auto"/>
          </w:tcPr>
          <w:p w14:paraId="3D9BB5B5" w14:textId="77777777" w:rsidR="00897F84" w:rsidRPr="00F01F8D" w:rsidRDefault="00897F84" w:rsidP="00D4470F">
            <w:pPr>
              <w:jc w:val="center"/>
            </w:pPr>
            <w:r w:rsidRPr="00F01F8D">
              <w:t>2(3.2)</w:t>
            </w:r>
          </w:p>
        </w:tc>
        <w:tc>
          <w:tcPr>
            <w:tcW w:w="1129" w:type="dxa"/>
            <w:shd w:val="clear" w:color="auto" w:fill="auto"/>
          </w:tcPr>
          <w:p w14:paraId="1996AD69" w14:textId="77777777" w:rsidR="00897F84" w:rsidRPr="00F01F8D" w:rsidRDefault="00897F84" w:rsidP="00D4470F">
            <w:pPr>
              <w:jc w:val="center"/>
            </w:pPr>
            <w:r w:rsidRPr="00F01F8D">
              <w:t>11(17.5)</w:t>
            </w:r>
          </w:p>
        </w:tc>
      </w:tr>
      <w:tr w:rsidR="00897F84" w:rsidRPr="00F01F8D" w14:paraId="16CD3562" w14:textId="77777777" w:rsidTr="00D4470F">
        <w:tc>
          <w:tcPr>
            <w:tcW w:w="3119" w:type="dxa"/>
            <w:shd w:val="clear" w:color="auto" w:fill="auto"/>
          </w:tcPr>
          <w:p w14:paraId="13EE7977" w14:textId="77777777" w:rsidR="00897F84" w:rsidRPr="00F01F8D" w:rsidRDefault="00897F84" w:rsidP="00D4470F">
            <w:pPr>
              <w:rPr>
                <w:sz w:val="21"/>
                <w:szCs w:val="21"/>
              </w:rPr>
            </w:pPr>
            <w:r w:rsidRPr="00F01F8D">
              <w:rPr>
                <w:sz w:val="21"/>
                <w:szCs w:val="21"/>
              </w:rPr>
              <w:t>Potassium (</w:t>
            </w:r>
            <w:r w:rsidRPr="00F01F8D">
              <w:rPr>
                <w:rFonts w:eastAsia="Arial"/>
                <w:sz w:val="21"/>
                <w:szCs w:val="21"/>
              </w:rPr>
              <w:t>mmol/L)</w:t>
            </w:r>
          </w:p>
        </w:tc>
        <w:tc>
          <w:tcPr>
            <w:tcW w:w="709" w:type="dxa"/>
            <w:shd w:val="clear" w:color="auto" w:fill="auto"/>
          </w:tcPr>
          <w:p w14:paraId="3EB67CE2" w14:textId="77777777" w:rsidR="00897F84" w:rsidRPr="00F01F8D" w:rsidRDefault="00897F84" w:rsidP="00D4470F">
            <w:pPr>
              <w:jc w:val="right"/>
            </w:pPr>
            <w:r w:rsidRPr="00F01F8D">
              <w:t>63</w:t>
            </w:r>
          </w:p>
        </w:tc>
        <w:tc>
          <w:tcPr>
            <w:tcW w:w="2126" w:type="dxa"/>
            <w:shd w:val="clear" w:color="auto" w:fill="auto"/>
          </w:tcPr>
          <w:p w14:paraId="79E1BBD8" w14:textId="77777777" w:rsidR="00897F84" w:rsidRPr="00F01F8D" w:rsidRDefault="00897F84" w:rsidP="00D4470F">
            <w:pPr>
              <w:jc w:val="center"/>
            </w:pPr>
            <w:r w:rsidRPr="00F01F8D">
              <w:t>3.5 – 5.1</w:t>
            </w:r>
          </w:p>
        </w:tc>
        <w:tc>
          <w:tcPr>
            <w:tcW w:w="1134" w:type="dxa"/>
            <w:shd w:val="clear" w:color="auto" w:fill="auto"/>
          </w:tcPr>
          <w:p w14:paraId="63F05430" w14:textId="77777777" w:rsidR="00897F84" w:rsidRPr="00F01F8D" w:rsidRDefault="00897F84" w:rsidP="00D4470F">
            <w:pPr>
              <w:jc w:val="center"/>
            </w:pPr>
            <w:r w:rsidRPr="00F01F8D">
              <w:t>33(52.4)</w:t>
            </w:r>
          </w:p>
        </w:tc>
        <w:tc>
          <w:tcPr>
            <w:tcW w:w="1276" w:type="dxa"/>
            <w:shd w:val="clear" w:color="auto" w:fill="auto"/>
          </w:tcPr>
          <w:p w14:paraId="15DAA60F" w14:textId="77777777" w:rsidR="00897F84" w:rsidRPr="00F01F8D" w:rsidRDefault="00897F84" w:rsidP="00D4470F">
            <w:pPr>
              <w:jc w:val="center"/>
            </w:pPr>
            <w:r w:rsidRPr="00F01F8D">
              <w:t>2(3.2)</w:t>
            </w:r>
          </w:p>
        </w:tc>
        <w:tc>
          <w:tcPr>
            <w:tcW w:w="1129" w:type="dxa"/>
            <w:shd w:val="clear" w:color="auto" w:fill="auto"/>
          </w:tcPr>
          <w:p w14:paraId="00214127" w14:textId="77777777" w:rsidR="00897F84" w:rsidRPr="00F01F8D" w:rsidRDefault="00897F84" w:rsidP="00D4470F">
            <w:pPr>
              <w:jc w:val="center"/>
            </w:pPr>
            <w:r w:rsidRPr="00F01F8D">
              <w:t>28(44.4)</w:t>
            </w:r>
          </w:p>
        </w:tc>
      </w:tr>
      <w:tr w:rsidR="00897F84" w:rsidRPr="00F01F8D" w14:paraId="4E0BD01D" w14:textId="77777777" w:rsidTr="00D4470F">
        <w:tc>
          <w:tcPr>
            <w:tcW w:w="3119" w:type="dxa"/>
            <w:shd w:val="clear" w:color="auto" w:fill="auto"/>
          </w:tcPr>
          <w:p w14:paraId="5985BDA1" w14:textId="77777777" w:rsidR="00897F84" w:rsidRPr="00F01F8D" w:rsidRDefault="00897F84" w:rsidP="00D4470F">
            <w:pPr>
              <w:rPr>
                <w:sz w:val="21"/>
                <w:szCs w:val="21"/>
              </w:rPr>
            </w:pPr>
            <w:r w:rsidRPr="00F01F8D">
              <w:rPr>
                <w:sz w:val="21"/>
                <w:szCs w:val="21"/>
              </w:rPr>
              <w:t>Sodium (</w:t>
            </w:r>
            <w:r w:rsidRPr="00F01F8D">
              <w:rPr>
                <w:rFonts w:eastAsia="Arial"/>
                <w:sz w:val="21"/>
                <w:szCs w:val="21"/>
              </w:rPr>
              <w:t>mmol/L)</w:t>
            </w:r>
          </w:p>
        </w:tc>
        <w:tc>
          <w:tcPr>
            <w:tcW w:w="709" w:type="dxa"/>
            <w:shd w:val="clear" w:color="auto" w:fill="auto"/>
          </w:tcPr>
          <w:p w14:paraId="7AC8A734" w14:textId="77777777" w:rsidR="00897F84" w:rsidRPr="00F01F8D" w:rsidRDefault="00897F84" w:rsidP="00D4470F">
            <w:pPr>
              <w:jc w:val="right"/>
            </w:pPr>
            <w:r w:rsidRPr="00F01F8D">
              <w:t>63</w:t>
            </w:r>
          </w:p>
        </w:tc>
        <w:tc>
          <w:tcPr>
            <w:tcW w:w="2126" w:type="dxa"/>
            <w:shd w:val="clear" w:color="auto" w:fill="auto"/>
          </w:tcPr>
          <w:p w14:paraId="7EC36083" w14:textId="77777777" w:rsidR="00897F84" w:rsidRPr="00F01F8D" w:rsidRDefault="00897F84" w:rsidP="00D4470F">
            <w:pPr>
              <w:jc w:val="center"/>
            </w:pPr>
            <w:r w:rsidRPr="00F01F8D">
              <w:t>136 – 145</w:t>
            </w:r>
          </w:p>
        </w:tc>
        <w:tc>
          <w:tcPr>
            <w:tcW w:w="1134" w:type="dxa"/>
            <w:shd w:val="clear" w:color="auto" w:fill="auto"/>
          </w:tcPr>
          <w:p w14:paraId="285A6DB7" w14:textId="77777777" w:rsidR="00897F84" w:rsidRPr="00F01F8D" w:rsidRDefault="00897F84" w:rsidP="00D4470F">
            <w:pPr>
              <w:jc w:val="center"/>
            </w:pPr>
            <w:r w:rsidRPr="00F01F8D">
              <w:t>41(65.1)</w:t>
            </w:r>
          </w:p>
        </w:tc>
        <w:tc>
          <w:tcPr>
            <w:tcW w:w="1276" w:type="dxa"/>
            <w:shd w:val="clear" w:color="auto" w:fill="auto"/>
          </w:tcPr>
          <w:p w14:paraId="302FBD27" w14:textId="77777777" w:rsidR="00897F84" w:rsidRPr="00F01F8D" w:rsidRDefault="00897F84" w:rsidP="00D4470F">
            <w:pPr>
              <w:jc w:val="center"/>
            </w:pPr>
            <w:r w:rsidRPr="00F01F8D">
              <w:t>16(25.4)</w:t>
            </w:r>
          </w:p>
        </w:tc>
        <w:tc>
          <w:tcPr>
            <w:tcW w:w="1129" w:type="dxa"/>
            <w:shd w:val="clear" w:color="auto" w:fill="auto"/>
          </w:tcPr>
          <w:p w14:paraId="3278596F" w14:textId="77777777" w:rsidR="00897F84" w:rsidRPr="00F01F8D" w:rsidRDefault="00897F84" w:rsidP="00D4470F">
            <w:pPr>
              <w:jc w:val="center"/>
            </w:pPr>
            <w:r w:rsidRPr="00F01F8D">
              <w:t>6(9.5)</w:t>
            </w:r>
          </w:p>
        </w:tc>
      </w:tr>
      <w:tr w:rsidR="00897F84" w:rsidRPr="00F01F8D" w14:paraId="1A98D6EE" w14:textId="77777777" w:rsidTr="00D4470F">
        <w:tc>
          <w:tcPr>
            <w:tcW w:w="3119" w:type="dxa"/>
            <w:shd w:val="clear" w:color="auto" w:fill="auto"/>
          </w:tcPr>
          <w:p w14:paraId="363BCBBE" w14:textId="77777777" w:rsidR="00897F84" w:rsidRPr="00F01F8D" w:rsidRDefault="00897F84" w:rsidP="00D4470F">
            <w:pPr>
              <w:rPr>
                <w:sz w:val="21"/>
                <w:szCs w:val="21"/>
              </w:rPr>
            </w:pPr>
            <w:r w:rsidRPr="00F01F8D">
              <w:rPr>
                <w:sz w:val="21"/>
                <w:szCs w:val="21"/>
              </w:rPr>
              <w:t>Chloride</w:t>
            </w:r>
            <w:r w:rsidRPr="00F01F8D">
              <w:rPr>
                <w:rFonts w:eastAsia="Arial"/>
                <w:sz w:val="21"/>
                <w:szCs w:val="21"/>
              </w:rPr>
              <w:t xml:space="preserve"> (mmol/L)</w:t>
            </w:r>
          </w:p>
        </w:tc>
        <w:tc>
          <w:tcPr>
            <w:tcW w:w="709" w:type="dxa"/>
            <w:shd w:val="clear" w:color="auto" w:fill="auto"/>
          </w:tcPr>
          <w:p w14:paraId="2F03FE62" w14:textId="77777777" w:rsidR="00897F84" w:rsidRPr="00F01F8D" w:rsidRDefault="00897F84" w:rsidP="00D4470F">
            <w:pPr>
              <w:jc w:val="right"/>
            </w:pPr>
            <w:r w:rsidRPr="00F01F8D">
              <w:t>64</w:t>
            </w:r>
          </w:p>
        </w:tc>
        <w:tc>
          <w:tcPr>
            <w:tcW w:w="2126" w:type="dxa"/>
            <w:shd w:val="clear" w:color="auto" w:fill="auto"/>
          </w:tcPr>
          <w:p w14:paraId="4742BE95" w14:textId="77777777" w:rsidR="00897F84" w:rsidRPr="00F01F8D" w:rsidRDefault="00897F84" w:rsidP="00D4470F">
            <w:pPr>
              <w:jc w:val="center"/>
            </w:pPr>
            <w:r w:rsidRPr="00F01F8D">
              <w:t>98 – 107</w:t>
            </w:r>
          </w:p>
        </w:tc>
        <w:tc>
          <w:tcPr>
            <w:tcW w:w="1134" w:type="dxa"/>
            <w:shd w:val="clear" w:color="auto" w:fill="auto"/>
          </w:tcPr>
          <w:p w14:paraId="669630D2" w14:textId="77777777" w:rsidR="00897F84" w:rsidRPr="00F01F8D" w:rsidRDefault="00897F84" w:rsidP="00D4470F">
            <w:pPr>
              <w:jc w:val="center"/>
            </w:pPr>
            <w:r w:rsidRPr="00F01F8D">
              <w:t>49(76.6)</w:t>
            </w:r>
          </w:p>
        </w:tc>
        <w:tc>
          <w:tcPr>
            <w:tcW w:w="1276" w:type="dxa"/>
            <w:shd w:val="clear" w:color="auto" w:fill="auto"/>
          </w:tcPr>
          <w:p w14:paraId="2ADBC833" w14:textId="77777777" w:rsidR="00897F84" w:rsidRPr="00F01F8D" w:rsidRDefault="00897F84" w:rsidP="00D4470F">
            <w:pPr>
              <w:jc w:val="center"/>
            </w:pPr>
            <w:r w:rsidRPr="00F01F8D">
              <w:t>10(15.6)</w:t>
            </w:r>
          </w:p>
        </w:tc>
        <w:tc>
          <w:tcPr>
            <w:tcW w:w="1129" w:type="dxa"/>
            <w:shd w:val="clear" w:color="auto" w:fill="auto"/>
          </w:tcPr>
          <w:p w14:paraId="4C9C132F" w14:textId="77777777" w:rsidR="00897F84" w:rsidRPr="00F01F8D" w:rsidRDefault="00897F84" w:rsidP="00D4470F">
            <w:pPr>
              <w:jc w:val="center"/>
            </w:pPr>
            <w:r w:rsidRPr="00F01F8D">
              <w:t>5(7.8)</w:t>
            </w:r>
          </w:p>
        </w:tc>
      </w:tr>
      <w:tr w:rsidR="00897F84" w:rsidRPr="00F01F8D" w14:paraId="3866804D" w14:textId="77777777" w:rsidTr="00D4470F">
        <w:tc>
          <w:tcPr>
            <w:tcW w:w="3119" w:type="dxa"/>
            <w:shd w:val="clear" w:color="auto" w:fill="auto"/>
          </w:tcPr>
          <w:p w14:paraId="747A2EAA" w14:textId="77777777" w:rsidR="00897F84" w:rsidRPr="00F01F8D" w:rsidRDefault="00897F84" w:rsidP="00D4470F">
            <w:pPr>
              <w:rPr>
                <w:sz w:val="21"/>
                <w:szCs w:val="21"/>
              </w:rPr>
            </w:pPr>
            <w:r w:rsidRPr="00F01F8D">
              <w:rPr>
                <w:sz w:val="21"/>
                <w:szCs w:val="21"/>
              </w:rPr>
              <w:t>Uric Acid (</w:t>
            </w:r>
            <w:r w:rsidRPr="00F01F8D">
              <w:rPr>
                <w:rFonts w:eastAsia="Arial"/>
                <w:sz w:val="21"/>
                <w:szCs w:val="21"/>
              </w:rPr>
              <w:t>mmol/L)</w:t>
            </w:r>
          </w:p>
        </w:tc>
        <w:tc>
          <w:tcPr>
            <w:tcW w:w="709" w:type="dxa"/>
            <w:shd w:val="clear" w:color="auto" w:fill="auto"/>
          </w:tcPr>
          <w:p w14:paraId="0E5D3788" w14:textId="77777777" w:rsidR="00897F84" w:rsidRPr="00F01F8D" w:rsidRDefault="00897F84" w:rsidP="00D4470F">
            <w:pPr>
              <w:jc w:val="right"/>
            </w:pPr>
            <w:r w:rsidRPr="00F01F8D">
              <w:t>56</w:t>
            </w:r>
          </w:p>
        </w:tc>
        <w:tc>
          <w:tcPr>
            <w:tcW w:w="2126" w:type="dxa"/>
            <w:shd w:val="clear" w:color="auto" w:fill="auto"/>
          </w:tcPr>
          <w:p w14:paraId="292814FB" w14:textId="77777777" w:rsidR="00897F84" w:rsidRPr="00F01F8D" w:rsidRDefault="00897F84" w:rsidP="00D4470F">
            <w:pPr>
              <w:jc w:val="center"/>
            </w:pPr>
            <w:r w:rsidRPr="00F01F8D">
              <w:t>0.15 – 0.35</w:t>
            </w:r>
          </w:p>
        </w:tc>
        <w:tc>
          <w:tcPr>
            <w:tcW w:w="1134" w:type="dxa"/>
            <w:shd w:val="clear" w:color="auto" w:fill="auto"/>
          </w:tcPr>
          <w:p w14:paraId="01B999FC" w14:textId="77777777" w:rsidR="00897F84" w:rsidRPr="00F01F8D" w:rsidRDefault="00897F84" w:rsidP="00D4470F">
            <w:pPr>
              <w:jc w:val="center"/>
            </w:pPr>
            <w:r w:rsidRPr="00F01F8D">
              <w:t>45(80.4)</w:t>
            </w:r>
          </w:p>
        </w:tc>
        <w:tc>
          <w:tcPr>
            <w:tcW w:w="1276" w:type="dxa"/>
            <w:shd w:val="clear" w:color="auto" w:fill="auto"/>
          </w:tcPr>
          <w:p w14:paraId="4854FFE2" w14:textId="77777777" w:rsidR="00897F84" w:rsidRPr="00F01F8D" w:rsidRDefault="00897F84" w:rsidP="00D4470F">
            <w:pPr>
              <w:jc w:val="center"/>
            </w:pPr>
            <w:r w:rsidRPr="00F01F8D">
              <w:t>3(5.4)</w:t>
            </w:r>
          </w:p>
        </w:tc>
        <w:tc>
          <w:tcPr>
            <w:tcW w:w="1129" w:type="dxa"/>
            <w:shd w:val="clear" w:color="auto" w:fill="auto"/>
          </w:tcPr>
          <w:p w14:paraId="7FE968CD" w14:textId="77777777" w:rsidR="00897F84" w:rsidRPr="00F01F8D" w:rsidRDefault="00897F84" w:rsidP="00D4470F">
            <w:pPr>
              <w:jc w:val="center"/>
            </w:pPr>
            <w:r w:rsidRPr="00F01F8D">
              <w:t>8(14.3)</w:t>
            </w:r>
          </w:p>
        </w:tc>
      </w:tr>
      <w:tr w:rsidR="00897F84" w:rsidRPr="00F01F8D" w14:paraId="266C1E2A" w14:textId="77777777" w:rsidTr="00D4470F">
        <w:tc>
          <w:tcPr>
            <w:tcW w:w="3119" w:type="dxa"/>
            <w:shd w:val="clear" w:color="auto" w:fill="auto"/>
          </w:tcPr>
          <w:p w14:paraId="4F54DF51" w14:textId="77777777" w:rsidR="00897F84" w:rsidRPr="00F01F8D" w:rsidRDefault="00897F84" w:rsidP="00D4470F">
            <w:pPr>
              <w:rPr>
                <w:sz w:val="21"/>
                <w:szCs w:val="21"/>
              </w:rPr>
            </w:pPr>
            <w:r w:rsidRPr="00F01F8D">
              <w:rPr>
                <w:sz w:val="21"/>
                <w:szCs w:val="21"/>
              </w:rPr>
              <w:t>Calcium-ionized (</w:t>
            </w:r>
            <w:r w:rsidRPr="00F01F8D">
              <w:rPr>
                <w:rFonts w:eastAsia="Arial"/>
                <w:sz w:val="21"/>
                <w:szCs w:val="21"/>
              </w:rPr>
              <w:t>mmol/L)</w:t>
            </w:r>
          </w:p>
        </w:tc>
        <w:tc>
          <w:tcPr>
            <w:tcW w:w="709" w:type="dxa"/>
            <w:shd w:val="clear" w:color="auto" w:fill="auto"/>
          </w:tcPr>
          <w:p w14:paraId="0607FBFF" w14:textId="77777777" w:rsidR="00897F84" w:rsidRPr="00F01F8D" w:rsidRDefault="00897F84" w:rsidP="00D4470F">
            <w:pPr>
              <w:jc w:val="right"/>
            </w:pPr>
            <w:r w:rsidRPr="00F01F8D">
              <w:t>61</w:t>
            </w:r>
          </w:p>
        </w:tc>
        <w:tc>
          <w:tcPr>
            <w:tcW w:w="2126" w:type="dxa"/>
            <w:shd w:val="clear" w:color="auto" w:fill="auto"/>
          </w:tcPr>
          <w:p w14:paraId="7B5B29BE" w14:textId="77777777" w:rsidR="00897F84" w:rsidRPr="00F01F8D" w:rsidRDefault="00897F84" w:rsidP="00D4470F">
            <w:pPr>
              <w:jc w:val="center"/>
            </w:pPr>
            <w:r w:rsidRPr="00F01F8D">
              <w:t>2.1 – 2.55</w:t>
            </w:r>
          </w:p>
        </w:tc>
        <w:tc>
          <w:tcPr>
            <w:tcW w:w="1134" w:type="dxa"/>
            <w:shd w:val="clear" w:color="auto" w:fill="auto"/>
          </w:tcPr>
          <w:p w14:paraId="735D627E" w14:textId="77777777" w:rsidR="00897F84" w:rsidRPr="00F01F8D" w:rsidRDefault="00897F84" w:rsidP="00D4470F">
            <w:pPr>
              <w:jc w:val="center"/>
            </w:pPr>
            <w:r w:rsidRPr="00F01F8D">
              <w:t>39(63.9)</w:t>
            </w:r>
          </w:p>
        </w:tc>
        <w:tc>
          <w:tcPr>
            <w:tcW w:w="1276" w:type="dxa"/>
            <w:shd w:val="clear" w:color="auto" w:fill="auto"/>
          </w:tcPr>
          <w:p w14:paraId="6098815E" w14:textId="77777777" w:rsidR="00897F84" w:rsidRPr="00F01F8D" w:rsidRDefault="00897F84" w:rsidP="00D4470F">
            <w:pPr>
              <w:jc w:val="center"/>
            </w:pPr>
            <w:r w:rsidRPr="00F01F8D">
              <w:t>11(18.0)</w:t>
            </w:r>
          </w:p>
        </w:tc>
        <w:tc>
          <w:tcPr>
            <w:tcW w:w="1129" w:type="dxa"/>
            <w:shd w:val="clear" w:color="auto" w:fill="auto"/>
          </w:tcPr>
          <w:p w14:paraId="55A7EE41" w14:textId="77777777" w:rsidR="00897F84" w:rsidRPr="00F01F8D" w:rsidRDefault="00897F84" w:rsidP="00D4470F">
            <w:pPr>
              <w:jc w:val="center"/>
            </w:pPr>
            <w:r w:rsidRPr="00F01F8D">
              <w:t>11(18.0)</w:t>
            </w:r>
          </w:p>
        </w:tc>
      </w:tr>
      <w:tr w:rsidR="00897F84" w:rsidRPr="00F01F8D" w14:paraId="099BB5C7" w14:textId="77777777" w:rsidTr="00D4470F">
        <w:tc>
          <w:tcPr>
            <w:tcW w:w="3119" w:type="dxa"/>
            <w:shd w:val="clear" w:color="auto" w:fill="auto"/>
          </w:tcPr>
          <w:p w14:paraId="1CCDEFFA" w14:textId="77777777" w:rsidR="00897F84" w:rsidRPr="00F01F8D" w:rsidRDefault="00897F84" w:rsidP="00D4470F">
            <w:pPr>
              <w:rPr>
                <w:sz w:val="21"/>
                <w:szCs w:val="21"/>
              </w:rPr>
            </w:pPr>
            <w:r w:rsidRPr="00F01F8D">
              <w:rPr>
                <w:sz w:val="21"/>
                <w:szCs w:val="21"/>
              </w:rPr>
              <w:t>Magnesium</w:t>
            </w:r>
            <w:r w:rsidRPr="00F01F8D">
              <w:rPr>
                <w:rFonts w:eastAsia="Arial"/>
                <w:sz w:val="21"/>
                <w:szCs w:val="21"/>
              </w:rPr>
              <w:t xml:space="preserve"> (mmol/L)</w:t>
            </w:r>
          </w:p>
        </w:tc>
        <w:tc>
          <w:tcPr>
            <w:tcW w:w="709" w:type="dxa"/>
            <w:shd w:val="clear" w:color="auto" w:fill="auto"/>
          </w:tcPr>
          <w:p w14:paraId="237BFE92" w14:textId="77777777" w:rsidR="00897F84" w:rsidRPr="00F01F8D" w:rsidRDefault="00897F84" w:rsidP="00D4470F">
            <w:pPr>
              <w:jc w:val="right"/>
            </w:pPr>
            <w:r w:rsidRPr="00F01F8D">
              <w:t>63</w:t>
            </w:r>
          </w:p>
        </w:tc>
        <w:tc>
          <w:tcPr>
            <w:tcW w:w="2126" w:type="dxa"/>
            <w:shd w:val="clear" w:color="auto" w:fill="auto"/>
          </w:tcPr>
          <w:p w14:paraId="66E1FC15" w14:textId="77777777" w:rsidR="00897F84" w:rsidRPr="00F01F8D" w:rsidRDefault="00897F84" w:rsidP="00D4470F">
            <w:pPr>
              <w:jc w:val="center"/>
            </w:pPr>
            <w:r w:rsidRPr="00F01F8D">
              <w:t>0.66 – 1.07</w:t>
            </w:r>
          </w:p>
        </w:tc>
        <w:tc>
          <w:tcPr>
            <w:tcW w:w="1134" w:type="dxa"/>
            <w:shd w:val="clear" w:color="auto" w:fill="auto"/>
          </w:tcPr>
          <w:p w14:paraId="069091B1" w14:textId="77777777" w:rsidR="00897F84" w:rsidRPr="00F01F8D" w:rsidRDefault="00897F84" w:rsidP="00D4470F">
            <w:pPr>
              <w:jc w:val="center"/>
            </w:pPr>
            <w:r w:rsidRPr="00F01F8D">
              <w:t>45(71.4)</w:t>
            </w:r>
          </w:p>
        </w:tc>
        <w:tc>
          <w:tcPr>
            <w:tcW w:w="1276" w:type="dxa"/>
            <w:shd w:val="clear" w:color="auto" w:fill="auto"/>
          </w:tcPr>
          <w:p w14:paraId="7331E187" w14:textId="77777777" w:rsidR="00897F84" w:rsidRPr="00F01F8D" w:rsidRDefault="00897F84" w:rsidP="00D4470F">
            <w:pPr>
              <w:jc w:val="center"/>
            </w:pPr>
            <w:r w:rsidRPr="00F01F8D">
              <w:t>6(9.5)</w:t>
            </w:r>
          </w:p>
        </w:tc>
        <w:tc>
          <w:tcPr>
            <w:tcW w:w="1129" w:type="dxa"/>
            <w:shd w:val="clear" w:color="auto" w:fill="auto"/>
          </w:tcPr>
          <w:p w14:paraId="5BA5FB04" w14:textId="77777777" w:rsidR="00897F84" w:rsidRPr="00F01F8D" w:rsidRDefault="00897F84" w:rsidP="00D4470F">
            <w:pPr>
              <w:jc w:val="center"/>
            </w:pPr>
            <w:r w:rsidRPr="00F01F8D">
              <w:t>12(19.1)</w:t>
            </w:r>
          </w:p>
        </w:tc>
      </w:tr>
      <w:tr w:rsidR="00897F84" w:rsidRPr="00F01F8D" w14:paraId="0F3542A5" w14:textId="77777777" w:rsidTr="00D4470F">
        <w:tc>
          <w:tcPr>
            <w:tcW w:w="3119" w:type="dxa"/>
            <w:shd w:val="clear" w:color="auto" w:fill="auto"/>
          </w:tcPr>
          <w:p w14:paraId="3599474B" w14:textId="77777777" w:rsidR="00897F84" w:rsidRPr="00F01F8D" w:rsidRDefault="00897F84" w:rsidP="00D4470F">
            <w:pPr>
              <w:rPr>
                <w:sz w:val="21"/>
                <w:szCs w:val="21"/>
              </w:rPr>
            </w:pPr>
            <w:r w:rsidRPr="00F01F8D">
              <w:rPr>
                <w:sz w:val="21"/>
                <w:szCs w:val="21"/>
              </w:rPr>
              <w:t>ALT (SGPT)</w:t>
            </w:r>
            <w:r w:rsidRPr="00F01F8D">
              <w:rPr>
                <w:rFonts w:eastAsia="Arial"/>
                <w:sz w:val="21"/>
                <w:szCs w:val="21"/>
              </w:rPr>
              <w:t xml:space="preserve"> (U/L)</w:t>
            </w:r>
          </w:p>
        </w:tc>
        <w:tc>
          <w:tcPr>
            <w:tcW w:w="709" w:type="dxa"/>
            <w:shd w:val="clear" w:color="auto" w:fill="auto"/>
          </w:tcPr>
          <w:p w14:paraId="5450E455" w14:textId="77777777" w:rsidR="00897F84" w:rsidRPr="00F01F8D" w:rsidRDefault="00897F84" w:rsidP="00D4470F">
            <w:pPr>
              <w:jc w:val="right"/>
            </w:pPr>
            <w:r w:rsidRPr="00F01F8D">
              <w:t>62</w:t>
            </w:r>
          </w:p>
        </w:tc>
        <w:tc>
          <w:tcPr>
            <w:tcW w:w="2126" w:type="dxa"/>
            <w:shd w:val="clear" w:color="auto" w:fill="auto"/>
          </w:tcPr>
          <w:p w14:paraId="3E5473C9" w14:textId="77777777" w:rsidR="00897F84" w:rsidRPr="00F01F8D" w:rsidRDefault="00897F84" w:rsidP="00D4470F">
            <w:pPr>
              <w:jc w:val="center"/>
            </w:pPr>
            <w:r w:rsidRPr="00F01F8D">
              <w:t>0 – 55</w:t>
            </w:r>
          </w:p>
        </w:tc>
        <w:tc>
          <w:tcPr>
            <w:tcW w:w="1134" w:type="dxa"/>
            <w:shd w:val="clear" w:color="auto" w:fill="auto"/>
          </w:tcPr>
          <w:p w14:paraId="48EAB6DE" w14:textId="77777777" w:rsidR="00897F84" w:rsidRPr="00F01F8D" w:rsidRDefault="00897F84" w:rsidP="00D4470F">
            <w:pPr>
              <w:jc w:val="center"/>
            </w:pPr>
            <w:r w:rsidRPr="00F01F8D">
              <w:t>52(83.9)</w:t>
            </w:r>
          </w:p>
        </w:tc>
        <w:tc>
          <w:tcPr>
            <w:tcW w:w="1276" w:type="dxa"/>
            <w:shd w:val="clear" w:color="auto" w:fill="auto"/>
          </w:tcPr>
          <w:p w14:paraId="6F763C1C" w14:textId="77777777" w:rsidR="00897F84" w:rsidRPr="00F01F8D" w:rsidRDefault="00897F84" w:rsidP="00D4470F">
            <w:pPr>
              <w:jc w:val="center"/>
            </w:pPr>
            <w:r w:rsidRPr="00F01F8D">
              <w:t>0(0.0)</w:t>
            </w:r>
          </w:p>
        </w:tc>
        <w:tc>
          <w:tcPr>
            <w:tcW w:w="1129" w:type="dxa"/>
            <w:shd w:val="clear" w:color="auto" w:fill="auto"/>
          </w:tcPr>
          <w:p w14:paraId="25ECF9BB" w14:textId="77777777" w:rsidR="00897F84" w:rsidRPr="00F01F8D" w:rsidRDefault="00897F84" w:rsidP="00D4470F">
            <w:pPr>
              <w:jc w:val="center"/>
            </w:pPr>
            <w:r w:rsidRPr="00F01F8D">
              <w:t>10(16.1)</w:t>
            </w:r>
          </w:p>
        </w:tc>
      </w:tr>
      <w:tr w:rsidR="00897F84" w:rsidRPr="00F01F8D" w14:paraId="32A7C442" w14:textId="77777777" w:rsidTr="00D4470F">
        <w:tc>
          <w:tcPr>
            <w:tcW w:w="3119" w:type="dxa"/>
            <w:shd w:val="clear" w:color="auto" w:fill="auto"/>
          </w:tcPr>
          <w:p w14:paraId="094A60E7" w14:textId="77777777" w:rsidR="00897F84" w:rsidRPr="00F01F8D" w:rsidRDefault="00897F84" w:rsidP="00D4470F">
            <w:pPr>
              <w:rPr>
                <w:sz w:val="21"/>
                <w:szCs w:val="21"/>
              </w:rPr>
            </w:pPr>
            <w:r w:rsidRPr="00F01F8D">
              <w:rPr>
                <w:sz w:val="21"/>
                <w:szCs w:val="21"/>
              </w:rPr>
              <w:t>AST (SGOT)</w:t>
            </w:r>
            <w:r w:rsidRPr="00F01F8D">
              <w:rPr>
                <w:rFonts w:eastAsia="Arial"/>
                <w:sz w:val="21"/>
                <w:szCs w:val="21"/>
              </w:rPr>
              <w:t xml:space="preserve"> (U/L)</w:t>
            </w:r>
          </w:p>
        </w:tc>
        <w:tc>
          <w:tcPr>
            <w:tcW w:w="709" w:type="dxa"/>
            <w:shd w:val="clear" w:color="auto" w:fill="auto"/>
          </w:tcPr>
          <w:p w14:paraId="057430CC" w14:textId="77777777" w:rsidR="00897F84" w:rsidRPr="00F01F8D" w:rsidRDefault="00897F84" w:rsidP="00D4470F">
            <w:pPr>
              <w:jc w:val="right"/>
            </w:pPr>
            <w:r w:rsidRPr="00F01F8D">
              <w:t>61</w:t>
            </w:r>
          </w:p>
        </w:tc>
        <w:tc>
          <w:tcPr>
            <w:tcW w:w="2126" w:type="dxa"/>
            <w:shd w:val="clear" w:color="auto" w:fill="auto"/>
          </w:tcPr>
          <w:p w14:paraId="5580C266" w14:textId="77777777" w:rsidR="00897F84" w:rsidRPr="00F01F8D" w:rsidRDefault="00897F84" w:rsidP="00D4470F">
            <w:pPr>
              <w:jc w:val="center"/>
            </w:pPr>
            <w:r w:rsidRPr="00F01F8D">
              <w:t>5 – 34</w:t>
            </w:r>
          </w:p>
        </w:tc>
        <w:tc>
          <w:tcPr>
            <w:tcW w:w="1134" w:type="dxa"/>
            <w:shd w:val="clear" w:color="auto" w:fill="auto"/>
          </w:tcPr>
          <w:p w14:paraId="47AE970D" w14:textId="77777777" w:rsidR="00897F84" w:rsidRPr="00F01F8D" w:rsidRDefault="00897F84" w:rsidP="00D4470F">
            <w:pPr>
              <w:jc w:val="center"/>
            </w:pPr>
            <w:r w:rsidRPr="00F01F8D">
              <w:t>38(62.3)</w:t>
            </w:r>
          </w:p>
        </w:tc>
        <w:tc>
          <w:tcPr>
            <w:tcW w:w="1276" w:type="dxa"/>
            <w:shd w:val="clear" w:color="auto" w:fill="auto"/>
          </w:tcPr>
          <w:p w14:paraId="0FE598F4" w14:textId="77777777" w:rsidR="00897F84" w:rsidRPr="00F01F8D" w:rsidRDefault="00897F84" w:rsidP="00D4470F">
            <w:pPr>
              <w:jc w:val="center"/>
            </w:pPr>
            <w:r w:rsidRPr="00F01F8D">
              <w:t>0(0.0)</w:t>
            </w:r>
          </w:p>
        </w:tc>
        <w:tc>
          <w:tcPr>
            <w:tcW w:w="1129" w:type="dxa"/>
            <w:shd w:val="clear" w:color="auto" w:fill="auto"/>
          </w:tcPr>
          <w:p w14:paraId="76298A33" w14:textId="77777777" w:rsidR="00897F84" w:rsidRPr="00F01F8D" w:rsidRDefault="00897F84" w:rsidP="00D4470F">
            <w:pPr>
              <w:jc w:val="center"/>
            </w:pPr>
            <w:r w:rsidRPr="00F01F8D">
              <w:t>23(37.7)</w:t>
            </w:r>
          </w:p>
        </w:tc>
      </w:tr>
      <w:tr w:rsidR="00897F84" w:rsidRPr="00F01F8D" w14:paraId="61AB6597" w14:textId="77777777" w:rsidTr="00D4470F">
        <w:tc>
          <w:tcPr>
            <w:tcW w:w="3119" w:type="dxa"/>
            <w:shd w:val="clear" w:color="auto" w:fill="auto"/>
          </w:tcPr>
          <w:p w14:paraId="6920EA05" w14:textId="77777777" w:rsidR="00897F84" w:rsidRPr="00F01F8D" w:rsidRDefault="00897F84" w:rsidP="00D4470F">
            <w:pPr>
              <w:rPr>
                <w:sz w:val="21"/>
                <w:szCs w:val="21"/>
              </w:rPr>
            </w:pPr>
            <w:r w:rsidRPr="00F01F8D">
              <w:rPr>
                <w:sz w:val="21"/>
                <w:szCs w:val="21"/>
              </w:rPr>
              <w:t>Alkaline Phosphatase</w:t>
            </w:r>
            <w:r w:rsidRPr="00F01F8D">
              <w:rPr>
                <w:rFonts w:eastAsia="Arial"/>
                <w:sz w:val="21"/>
                <w:szCs w:val="21"/>
              </w:rPr>
              <w:t xml:space="preserve"> (U/L)</w:t>
            </w:r>
          </w:p>
        </w:tc>
        <w:tc>
          <w:tcPr>
            <w:tcW w:w="709" w:type="dxa"/>
            <w:shd w:val="clear" w:color="auto" w:fill="auto"/>
          </w:tcPr>
          <w:p w14:paraId="2EBEBE0D" w14:textId="77777777" w:rsidR="00897F84" w:rsidRPr="00F01F8D" w:rsidRDefault="00897F84" w:rsidP="00D4470F">
            <w:pPr>
              <w:jc w:val="right"/>
            </w:pPr>
            <w:r w:rsidRPr="00F01F8D">
              <w:t>42</w:t>
            </w:r>
          </w:p>
        </w:tc>
        <w:tc>
          <w:tcPr>
            <w:tcW w:w="2126" w:type="dxa"/>
            <w:shd w:val="clear" w:color="auto" w:fill="auto"/>
          </w:tcPr>
          <w:p w14:paraId="668DB257" w14:textId="77777777" w:rsidR="00897F84" w:rsidRPr="00F01F8D" w:rsidRDefault="00897F84" w:rsidP="00D4470F">
            <w:pPr>
              <w:jc w:val="center"/>
            </w:pPr>
            <w:r w:rsidRPr="00F01F8D">
              <w:t>40 – 150</w:t>
            </w:r>
          </w:p>
        </w:tc>
        <w:tc>
          <w:tcPr>
            <w:tcW w:w="1134" w:type="dxa"/>
            <w:shd w:val="clear" w:color="auto" w:fill="auto"/>
          </w:tcPr>
          <w:p w14:paraId="64FFA798" w14:textId="77777777" w:rsidR="00897F84" w:rsidRPr="00F01F8D" w:rsidRDefault="00897F84" w:rsidP="00D4470F">
            <w:pPr>
              <w:jc w:val="center"/>
            </w:pPr>
            <w:r w:rsidRPr="00F01F8D">
              <w:t>37(88.1)</w:t>
            </w:r>
          </w:p>
        </w:tc>
        <w:tc>
          <w:tcPr>
            <w:tcW w:w="1276" w:type="dxa"/>
            <w:shd w:val="clear" w:color="auto" w:fill="auto"/>
          </w:tcPr>
          <w:p w14:paraId="3ECD52F4" w14:textId="77777777" w:rsidR="00897F84" w:rsidRPr="00F01F8D" w:rsidRDefault="00897F84" w:rsidP="00D4470F">
            <w:pPr>
              <w:jc w:val="center"/>
            </w:pPr>
            <w:r w:rsidRPr="00F01F8D">
              <w:t>3(7.1)</w:t>
            </w:r>
          </w:p>
        </w:tc>
        <w:tc>
          <w:tcPr>
            <w:tcW w:w="1129" w:type="dxa"/>
            <w:shd w:val="clear" w:color="auto" w:fill="auto"/>
          </w:tcPr>
          <w:p w14:paraId="65F42139" w14:textId="77777777" w:rsidR="00897F84" w:rsidRPr="00F01F8D" w:rsidRDefault="00897F84" w:rsidP="00D4470F">
            <w:pPr>
              <w:jc w:val="center"/>
            </w:pPr>
            <w:r w:rsidRPr="00F01F8D">
              <w:t>2(7.8)</w:t>
            </w:r>
          </w:p>
        </w:tc>
      </w:tr>
      <w:tr w:rsidR="00897F84" w:rsidRPr="00F01F8D" w14:paraId="4767DBBD" w14:textId="77777777" w:rsidTr="00D4470F">
        <w:tc>
          <w:tcPr>
            <w:tcW w:w="3119" w:type="dxa"/>
            <w:shd w:val="clear" w:color="auto" w:fill="auto"/>
          </w:tcPr>
          <w:p w14:paraId="0765428D" w14:textId="77777777" w:rsidR="00897F84" w:rsidRPr="00F01F8D" w:rsidRDefault="00897F84" w:rsidP="00D4470F">
            <w:pPr>
              <w:rPr>
                <w:sz w:val="21"/>
                <w:szCs w:val="21"/>
              </w:rPr>
            </w:pPr>
            <w:r w:rsidRPr="00F01F8D">
              <w:rPr>
                <w:sz w:val="21"/>
                <w:szCs w:val="21"/>
              </w:rPr>
              <w:t>Total Bilirubin (</w:t>
            </w:r>
            <w:r w:rsidRPr="00F01F8D">
              <w:rPr>
                <w:rFonts w:eastAsia="Arial"/>
                <w:sz w:val="21"/>
                <w:szCs w:val="21"/>
              </w:rPr>
              <w:t>umol/L)</w:t>
            </w:r>
          </w:p>
        </w:tc>
        <w:tc>
          <w:tcPr>
            <w:tcW w:w="709" w:type="dxa"/>
            <w:shd w:val="clear" w:color="auto" w:fill="auto"/>
          </w:tcPr>
          <w:p w14:paraId="52B6D5E4" w14:textId="77777777" w:rsidR="00897F84" w:rsidRPr="00F01F8D" w:rsidRDefault="00897F84" w:rsidP="00D4470F">
            <w:pPr>
              <w:jc w:val="right"/>
            </w:pPr>
            <w:r w:rsidRPr="00F01F8D">
              <w:t>54</w:t>
            </w:r>
          </w:p>
        </w:tc>
        <w:tc>
          <w:tcPr>
            <w:tcW w:w="2126" w:type="dxa"/>
            <w:shd w:val="clear" w:color="auto" w:fill="auto"/>
          </w:tcPr>
          <w:p w14:paraId="4B386E49" w14:textId="77777777" w:rsidR="00897F84" w:rsidRPr="00F01F8D" w:rsidRDefault="00897F84" w:rsidP="00D4470F">
            <w:pPr>
              <w:jc w:val="center"/>
            </w:pPr>
            <w:r w:rsidRPr="00F01F8D">
              <w:t>3.4 – 20.5</w:t>
            </w:r>
          </w:p>
        </w:tc>
        <w:tc>
          <w:tcPr>
            <w:tcW w:w="1134" w:type="dxa"/>
            <w:shd w:val="clear" w:color="auto" w:fill="auto"/>
          </w:tcPr>
          <w:p w14:paraId="4EEBB3EB" w14:textId="77777777" w:rsidR="00897F84" w:rsidRPr="00F01F8D" w:rsidRDefault="00897F84" w:rsidP="00D4470F">
            <w:pPr>
              <w:jc w:val="center"/>
            </w:pPr>
            <w:r w:rsidRPr="00F01F8D">
              <w:t>50(92.6)</w:t>
            </w:r>
          </w:p>
        </w:tc>
        <w:tc>
          <w:tcPr>
            <w:tcW w:w="1276" w:type="dxa"/>
            <w:shd w:val="clear" w:color="auto" w:fill="auto"/>
          </w:tcPr>
          <w:p w14:paraId="43623090" w14:textId="77777777" w:rsidR="00897F84" w:rsidRPr="00F01F8D" w:rsidRDefault="00897F84" w:rsidP="00D4470F">
            <w:pPr>
              <w:jc w:val="center"/>
            </w:pPr>
            <w:r w:rsidRPr="00F01F8D">
              <w:t>2(3.7)</w:t>
            </w:r>
          </w:p>
        </w:tc>
        <w:tc>
          <w:tcPr>
            <w:tcW w:w="1129" w:type="dxa"/>
            <w:shd w:val="clear" w:color="auto" w:fill="auto"/>
          </w:tcPr>
          <w:p w14:paraId="28EDD743" w14:textId="77777777" w:rsidR="00897F84" w:rsidRPr="00F01F8D" w:rsidRDefault="00897F84" w:rsidP="00D4470F">
            <w:pPr>
              <w:jc w:val="center"/>
            </w:pPr>
            <w:r w:rsidRPr="00F01F8D">
              <w:t>2(3.7)</w:t>
            </w:r>
          </w:p>
        </w:tc>
      </w:tr>
      <w:tr w:rsidR="00897F84" w:rsidRPr="00F01F8D" w14:paraId="1240CD8E" w14:textId="77777777" w:rsidTr="00D4470F">
        <w:tc>
          <w:tcPr>
            <w:tcW w:w="3119" w:type="dxa"/>
            <w:shd w:val="clear" w:color="auto" w:fill="auto"/>
          </w:tcPr>
          <w:p w14:paraId="7665B68D" w14:textId="77777777" w:rsidR="00897F84" w:rsidRPr="00F01F8D" w:rsidRDefault="00897F84" w:rsidP="00D4470F">
            <w:pPr>
              <w:rPr>
                <w:sz w:val="21"/>
                <w:szCs w:val="21"/>
              </w:rPr>
            </w:pPr>
            <w:r w:rsidRPr="00F01F8D">
              <w:rPr>
                <w:sz w:val="21"/>
                <w:szCs w:val="21"/>
              </w:rPr>
              <w:t>Direct Bilirubin (</w:t>
            </w:r>
            <w:r w:rsidRPr="00F01F8D">
              <w:rPr>
                <w:rFonts w:eastAsia="Arial"/>
                <w:sz w:val="21"/>
                <w:szCs w:val="21"/>
              </w:rPr>
              <w:t>umol/L)</w:t>
            </w:r>
          </w:p>
        </w:tc>
        <w:tc>
          <w:tcPr>
            <w:tcW w:w="709" w:type="dxa"/>
            <w:shd w:val="clear" w:color="auto" w:fill="auto"/>
          </w:tcPr>
          <w:p w14:paraId="371937B5" w14:textId="77777777" w:rsidR="00897F84" w:rsidRPr="00F01F8D" w:rsidRDefault="00897F84" w:rsidP="00D4470F">
            <w:pPr>
              <w:jc w:val="right"/>
            </w:pPr>
            <w:r w:rsidRPr="00F01F8D">
              <w:t>47</w:t>
            </w:r>
          </w:p>
        </w:tc>
        <w:tc>
          <w:tcPr>
            <w:tcW w:w="2126" w:type="dxa"/>
            <w:shd w:val="clear" w:color="auto" w:fill="auto"/>
          </w:tcPr>
          <w:p w14:paraId="5D7AF797" w14:textId="77777777" w:rsidR="00897F84" w:rsidRPr="00F01F8D" w:rsidRDefault="00897F84" w:rsidP="00D4470F">
            <w:pPr>
              <w:jc w:val="center"/>
            </w:pPr>
            <w:r w:rsidRPr="00F01F8D">
              <w:t>0 – 8.6</w:t>
            </w:r>
          </w:p>
        </w:tc>
        <w:tc>
          <w:tcPr>
            <w:tcW w:w="1134" w:type="dxa"/>
            <w:shd w:val="clear" w:color="auto" w:fill="auto"/>
          </w:tcPr>
          <w:p w14:paraId="517937B8" w14:textId="77777777" w:rsidR="00897F84" w:rsidRPr="00F01F8D" w:rsidRDefault="00897F84" w:rsidP="00D4470F">
            <w:pPr>
              <w:jc w:val="center"/>
            </w:pPr>
            <w:r w:rsidRPr="00F01F8D">
              <w:t>45(95.7)</w:t>
            </w:r>
          </w:p>
        </w:tc>
        <w:tc>
          <w:tcPr>
            <w:tcW w:w="1276" w:type="dxa"/>
            <w:shd w:val="clear" w:color="auto" w:fill="auto"/>
          </w:tcPr>
          <w:p w14:paraId="325B5BD8" w14:textId="77777777" w:rsidR="00897F84" w:rsidRPr="00F01F8D" w:rsidRDefault="00897F84" w:rsidP="00D4470F">
            <w:pPr>
              <w:jc w:val="center"/>
            </w:pPr>
            <w:r w:rsidRPr="00F01F8D">
              <w:t>0(0.0)</w:t>
            </w:r>
          </w:p>
        </w:tc>
        <w:tc>
          <w:tcPr>
            <w:tcW w:w="1129" w:type="dxa"/>
            <w:shd w:val="clear" w:color="auto" w:fill="auto"/>
          </w:tcPr>
          <w:p w14:paraId="75DF4AAD" w14:textId="77777777" w:rsidR="00897F84" w:rsidRPr="00F01F8D" w:rsidRDefault="00897F84" w:rsidP="00D4470F">
            <w:pPr>
              <w:jc w:val="center"/>
            </w:pPr>
            <w:r w:rsidRPr="00F01F8D">
              <w:t>2(4.3)</w:t>
            </w:r>
          </w:p>
        </w:tc>
      </w:tr>
      <w:tr w:rsidR="00897F84" w:rsidRPr="00F01F8D" w14:paraId="12816A2B" w14:textId="77777777" w:rsidTr="00D4470F">
        <w:tc>
          <w:tcPr>
            <w:tcW w:w="3119" w:type="dxa"/>
            <w:shd w:val="clear" w:color="auto" w:fill="auto"/>
          </w:tcPr>
          <w:p w14:paraId="5B1A7A0E" w14:textId="77777777" w:rsidR="00897F84" w:rsidRPr="00F01F8D" w:rsidRDefault="00897F84" w:rsidP="00D4470F">
            <w:pPr>
              <w:rPr>
                <w:sz w:val="21"/>
                <w:szCs w:val="21"/>
              </w:rPr>
            </w:pPr>
            <w:r w:rsidRPr="00F01F8D">
              <w:rPr>
                <w:sz w:val="21"/>
                <w:szCs w:val="21"/>
              </w:rPr>
              <w:t>Albumin (</w:t>
            </w:r>
            <w:r w:rsidRPr="00F01F8D">
              <w:rPr>
                <w:rFonts w:eastAsia="Arial"/>
                <w:sz w:val="21"/>
                <w:szCs w:val="21"/>
              </w:rPr>
              <w:t>g/dl)</w:t>
            </w:r>
          </w:p>
        </w:tc>
        <w:tc>
          <w:tcPr>
            <w:tcW w:w="709" w:type="dxa"/>
            <w:shd w:val="clear" w:color="auto" w:fill="auto"/>
          </w:tcPr>
          <w:p w14:paraId="21C95124" w14:textId="77777777" w:rsidR="00897F84" w:rsidRPr="00F01F8D" w:rsidRDefault="00897F84" w:rsidP="00D4470F">
            <w:pPr>
              <w:jc w:val="right"/>
            </w:pPr>
            <w:r w:rsidRPr="00F01F8D">
              <w:t>60</w:t>
            </w:r>
          </w:p>
        </w:tc>
        <w:tc>
          <w:tcPr>
            <w:tcW w:w="2126" w:type="dxa"/>
            <w:shd w:val="clear" w:color="auto" w:fill="auto"/>
          </w:tcPr>
          <w:p w14:paraId="433A94B1" w14:textId="77777777" w:rsidR="00897F84" w:rsidRPr="00F01F8D" w:rsidRDefault="00897F84" w:rsidP="00D4470F">
            <w:pPr>
              <w:jc w:val="center"/>
            </w:pPr>
            <w:r w:rsidRPr="00F01F8D">
              <w:t>35 – 50</w:t>
            </w:r>
          </w:p>
        </w:tc>
        <w:tc>
          <w:tcPr>
            <w:tcW w:w="1134" w:type="dxa"/>
            <w:shd w:val="clear" w:color="auto" w:fill="auto"/>
          </w:tcPr>
          <w:p w14:paraId="39671022" w14:textId="77777777" w:rsidR="00897F84" w:rsidRPr="00F01F8D" w:rsidRDefault="00897F84" w:rsidP="00D4470F">
            <w:pPr>
              <w:jc w:val="center"/>
            </w:pPr>
            <w:r w:rsidRPr="00F01F8D">
              <w:t>52(86.7)</w:t>
            </w:r>
          </w:p>
        </w:tc>
        <w:tc>
          <w:tcPr>
            <w:tcW w:w="1276" w:type="dxa"/>
            <w:shd w:val="clear" w:color="auto" w:fill="auto"/>
          </w:tcPr>
          <w:p w14:paraId="41E2CD48" w14:textId="77777777" w:rsidR="00897F84" w:rsidRPr="00F01F8D" w:rsidRDefault="00897F84" w:rsidP="00D4470F">
            <w:pPr>
              <w:jc w:val="center"/>
            </w:pPr>
            <w:r w:rsidRPr="00F01F8D">
              <w:t>8(13.3)</w:t>
            </w:r>
          </w:p>
        </w:tc>
        <w:tc>
          <w:tcPr>
            <w:tcW w:w="1129" w:type="dxa"/>
            <w:shd w:val="clear" w:color="auto" w:fill="auto"/>
          </w:tcPr>
          <w:p w14:paraId="34EA1055" w14:textId="77777777" w:rsidR="00897F84" w:rsidRPr="00F01F8D" w:rsidRDefault="00897F84" w:rsidP="00D4470F">
            <w:pPr>
              <w:jc w:val="center"/>
            </w:pPr>
            <w:r w:rsidRPr="00F01F8D">
              <w:t>0(0.0)</w:t>
            </w:r>
          </w:p>
        </w:tc>
      </w:tr>
      <w:tr w:rsidR="00897F84" w:rsidRPr="00F01F8D" w14:paraId="24AFD51C" w14:textId="77777777" w:rsidTr="00D4470F">
        <w:tc>
          <w:tcPr>
            <w:tcW w:w="3119" w:type="dxa"/>
            <w:shd w:val="clear" w:color="auto" w:fill="auto"/>
          </w:tcPr>
          <w:p w14:paraId="09D2AC92" w14:textId="77777777" w:rsidR="00897F84" w:rsidRPr="00F01F8D" w:rsidRDefault="00897F84" w:rsidP="00D4470F">
            <w:pPr>
              <w:rPr>
                <w:sz w:val="21"/>
                <w:szCs w:val="21"/>
              </w:rPr>
            </w:pPr>
            <w:r w:rsidRPr="00F01F8D">
              <w:rPr>
                <w:sz w:val="21"/>
                <w:szCs w:val="21"/>
              </w:rPr>
              <w:lastRenderedPageBreak/>
              <w:t>ESR(Westergren)</w:t>
            </w:r>
            <w:r w:rsidRPr="00F01F8D">
              <w:rPr>
                <w:rFonts w:eastAsia="Arial"/>
                <w:sz w:val="21"/>
                <w:szCs w:val="21"/>
              </w:rPr>
              <w:t xml:space="preserve"> (Mm/hr)</w:t>
            </w:r>
          </w:p>
        </w:tc>
        <w:tc>
          <w:tcPr>
            <w:tcW w:w="709" w:type="dxa"/>
            <w:shd w:val="clear" w:color="auto" w:fill="auto"/>
          </w:tcPr>
          <w:p w14:paraId="7233124F" w14:textId="77777777" w:rsidR="00897F84" w:rsidRPr="00F01F8D" w:rsidRDefault="00897F84" w:rsidP="00D4470F">
            <w:pPr>
              <w:jc w:val="right"/>
            </w:pPr>
            <w:r w:rsidRPr="00F01F8D">
              <w:t>54</w:t>
            </w:r>
          </w:p>
        </w:tc>
        <w:tc>
          <w:tcPr>
            <w:tcW w:w="2126" w:type="dxa"/>
            <w:shd w:val="clear" w:color="auto" w:fill="auto"/>
          </w:tcPr>
          <w:p w14:paraId="2C526686" w14:textId="77777777" w:rsidR="00897F84" w:rsidRPr="00F01F8D" w:rsidRDefault="00897F84" w:rsidP="00D4470F">
            <w:pPr>
              <w:jc w:val="center"/>
            </w:pPr>
            <w:r w:rsidRPr="00F01F8D">
              <w:t>0 – 20</w:t>
            </w:r>
          </w:p>
        </w:tc>
        <w:tc>
          <w:tcPr>
            <w:tcW w:w="1134" w:type="dxa"/>
            <w:shd w:val="clear" w:color="auto" w:fill="auto"/>
          </w:tcPr>
          <w:p w14:paraId="7033E60A" w14:textId="77777777" w:rsidR="00897F84" w:rsidRPr="00F01F8D" w:rsidRDefault="00897F84" w:rsidP="00D4470F">
            <w:pPr>
              <w:jc w:val="center"/>
            </w:pPr>
            <w:r w:rsidRPr="00F01F8D">
              <w:t>25(46.3)</w:t>
            </w:r>
          </w:p>
        </w:tc>
        <w:tc>
          <w:tcPr>
            <w:tcW w:w="1276" w:type="dxa"/>
            <w:shd w:val="clear" w:color="auto" w:fill="auto"/>
          </w:tcPr>
          <w:p w14:paraId="120CF2CA" w14:textId="77777777" w:rsidR="00897F84" w:rsidRPr="00F01F8D" w:rsidRDefault="00897F84" w:rsidP="00D4470F">
            <w:pPr>
              <w:jc w:val="center"/>
            </w:pPr>
            <w:r w:rsidRPr="00F01F8D">
              <w:t>0(0.0)</w:t>
            </w:r>
          </w:p>
        </w:tc>
        <w:tc>
          <w:tcPr>
            <w:tcW w:w="1129" w:type="dxa"/>
            <w:shd w:val="clear" w:color="auto" w:fill="auto"/>
          </w:tcPr>
          <w:p w14:paraId="15CAEB41" w14:textId="77777777" w:rsidR="00897F84" w:rsidRPr="00F01F8D" w:rsidRDefault="00897F84" w:rsidP="00D4470F">
            <w:pPr>
              <w:jc w:val="center"/>
            </w:pPr>
            <w:r w:rsidRPr="00F01F8D">
              <w:t>29(53.7)</w:t>
            </w:r>
          </w:p>
        </w:tc>
      </w:tr>
      <w:tr w:rsidR="00897F84" w:rsidRPr="00F01F8D" w14:paraId="6542E369" w14:textId="77777777" w:rsidTr="00D4470F">
        <w:tc>
          <w:tcPr>
            <w:tcW w:w="3119" w:type="dxa"/>
            <w:shd w:val="clear" w:color="auto" w:fill="auto"/>
          </w:tcPr>
          <w:p w14:paraId="088F6B5E" w14:textId="77777777" w:rsidR="00897F84" w:rsidRPr="00F01F8D" w:rsidRDefault="00897F84" w:rsidP="00D4470F">
            <w:pPr>
              <w:rPr>
                <w:sz w:val="21"/>
                <w:szCs w:val="21"/>
              </w:rPr>
            </w:pPr>
            <w:r w:rsidRPr="00F01F8D">
              <w:rPr>
                <w:sz w:val="21"/>
                <w:szCs w:val="21"/>
              </w:rPr>
              <w:t>Ferritin (</w:t>
            </w:r>
            <w:r w:rsidRPr="00F01F8D">
              <w:rPr>
                <w:rFonts w:eastAsia="Arial"/>
                <w:sz w:val="21"/>
                <w:szCs w:val="21"/>
              </w:rPr>
              <w:t>ng/mL)</w:t>
            </w:r>
          </w:p>
        </w:tc>
        <w:tc>
          <w:tcPr>
            <w:tcW w:w="709" w:type="dxa"/>
            <w:shd w:val="clear" w:color="auto" w:fill="auto"/>
          </w:tcPr>
          <w:p w14:paraId="0116A09C" w14:textId="77777777" w:rsidR="00897F84" w:rsidRPr="00F01F8D" w:rsidRDefault="00897F84" w:rsidP="00D4470F">
            <w:pPr>
              <w:jc w:val="right"/>
            </w:pPr>
            <w:r w:rsidRPr="00F01F8D">
              <w:t>59</w:t>
            </w:r>
          </w:p>
        </w:tc>
        <w:tc>
          <w:tcPr>
            <w:tcW w:w="2126" w:type="dxa"/>
            <w:shd w:val="clear" w:color="auto" w:fill="auto"/>
          </w:tcPr>
          <w:p w14:paraId="5C1C41A2" w14:textId="77777777" w:rsidR="00897F84" w:rsidRPr="00F01F8D" w:rsidRDefault="00897F84" w:rsidP="00D4470F">
            <w:pPr>
              <w:jc w:val="center"/>
            </w:pPr>
            <w:r w:rsidRPr="00F01F8D">
              <w:t>10 – 250</w:t>
            </w:r>
          </w:p>
        </w:tc>
        <w:tc>
          <w:tcPr>
            <w:tcW w:w="1134" w:type="dxa"/>
            <w:shd w:val="clear" w:color="auto" w:fill="auto"/>
          </w:tcPr>
          <w:p w14:paraId="430ED033" w14:textId="77777777" w:rsidR="00897F84" w:rsidRPr="00F01F8D" w:rsidRDefault="00897F84" w:rsidP="00D4470F">
            <w:pPr>
              <w:jc w:val="center"/>
            </w:pPr>
            <w:r w:rsidRPr="00F01F8D">
              <w:t>31(52.5)</w:t>
            </w:r>
          </w:p>
        </w:tc>
        <w:tc>
          <w:tcPr>
            <w:tcW w:w="1276" w:type="dxa"/>
            <w:shd w:val="clear" w:color="auto" w:fill="auto"/>
          </w:tcPr>
          <w:p w14:paraId="2A560C7F" w14:textId="77777777" w:rsidR="00897F84" w:rsidRPr="00F01F8D" w:rsidRDefault="00897F84" w:rsidP="00D4470F">
            <w:pPr>
              <w:jc w:val="center"/>
            </w:pPr>
            <w:r w:rsidRPr="00F01F8D">
              <w:t>4(6.8)</w:t>
            </w:r>
          </w:p>
        </w:tc>
        <w:tc>
          <w:tcPr>
            <w:tcW w:w="1129" w:type="dxa"/>
            <w:shd w:val="clear" w:color="auto" w:fill="auto"/>
          </w:tcPr>
          <w:p w14:paraId="422A210E" w14:textId="77777777" w:rsidR="00897F84" w:rsidRPr="00F01F8D" w:rsidRDefault="00897F84" w:rsidP="00D4470F">
            <w:pPr>
              <w:jc w:val="center"/>
            </w:pPr>
            <w:r w:rsidRPr="00F01F8D">
              <w:t>24(40.7)</w:t>
            </w:r>
          </w:p>
        </w:tc>
      </w:tr>
      <w:tr w:rsidR="00897F84" w:rsidRPr="00F01F8D" w14:paraId="480A80E4" w14:textId="77777777" w:rsidTr="00D4470F">
        <w:trPr>
          <w:trHeight w:val="58"/>
        </w:trPr>
        <w:tc>
          <w:tcPr>
            <w:tcW w:w="3119" w:type="dxa"/>
            <w:shd w:val="clear" w:color="auto" w:fill="auto"/>
          </w:tcPr>
          <w:p w14:paraId="521B1E5E" w14:textId="77777777" w:rsidR="00897F84" w:rsidRPr="00F01F8D" w:rsidRDefault="00897F84" w:rsidP="00D4470F">
            <w:pPr>
              <w:rPr>
                <w:sz w:val="21"/>
                <w:szCs w:val="21"/>
              </w:rPr>
            </w:pPr>
            <w:r w:rsidRPr="00F01F8D">
              <w:rPr>
                <w:sz w:val="21"/>
                <w:szCs w:val="21"/>
              </w:rPr>
              <w:t>C-reactive protein (</w:t>
            </w:r>
            <w:r w:rsidRPr="00F01F8D">
              <w:rPr>
                <w:rFonts w:eastAsia="Arial"/>
                <w:sz w:val="21"/>
                <w:szCs w:val="21"/>
              </w:rPr>
              <w:t>mg/L)</w:t>
            </w:r>
          </w:p>
        </w:tc>
        <w:tc>
          <w:tcPr>
            <w:tcW w:w="709" w:type="dxa"/>
            <w:shd w:val="clear" w:color="auto" w:fill="auto"/>
          </w:tcPr>
          <w:p w14:paraId="7568D336" w14:textId="77777777" w:rsidR="00897F84" w:rsidRPr="00F01F8D" w:rsidRDefault="00897F84" w:rsidP="00D4470F">
            <w:pPr>
              <w:jc w:val="right"/>
            </w:pPr>
            <w:r w:rsidRPr="00F01F8D">
              <w:t>59</w:t>
            </w:r>
          </w:p>
        </w:tc>
        <w:tc>
          <w:tcPr>
            <w:tcW w:w="2126" w:type="dxa"/>
            <w:shd w:val="clear" w:color="auto" w:fill="auto"/>
          </w:tcPr>
          <w:p w14:paraId="517BC15E" w14:textId="77777777" w:rsidR="00897F84" w:rsidRPr="00F01F8D" w:rsidRDefault="00897F84" w:rsidP="00D4470F">
            <w:pPr>
              <w:jc w:val="center"/>
            </w:pPr>
            <w:r w:rsidRPr="00F01F8D">
              <w:t>0 – 5</w:t>
            </w:r>
          </w:p>
        </w:tc>
        <w:tc>
          <w:tcPr>
            <w:tcW w:w="1134" w:type="dxa"/>
            <w:shd w:val="clear" w:color="auto" w:fill="auto"/>
          </w:tcPr>
          <w:p w14:paraId="13B60BA4" w14:textId="77777777" w:rsidR="00897F84" w:rsidRPr="00F01F8D" w:rsidRDefault="00897F84" w:rsidP="00D4470F">
            <w:pPr>
              <w:jc w:val="center"/>
            </w:pPr>
            <w:r w:rsidRPr="00F01F8D">
              <w:t>19(32.2)</w:t>
            </w:r>
          </w:p>
        </w:tc>
        <w:tc>
          <w:tcPr>
            <w:tcW w:w="1276" w:type="dxa"/>
            <w:shd w:val="clear" w:color="auto" w:fill="auto"/>
          </w:tcPr>
          <w:p w14:paraId="49E959E9" w14:textId="77777777" w:rsidR="00897F84" w:rsidRPr="00F01F8D" w:rsidRDefault="00897F84" w:rsidP="00D4470F">
            <w:pPr>
              <w:jc w:val="center"/>
            </w:pPr>
            <w:r w:rsidRPr="00F01F8D">
              <w:t>40(67.8)</w:t>
            </w:r>
          </w:p>
        </w:tc>
        <w:tc>
          <w:tcPr>
            <w:tcW w:w="1129" w:type="dxa"/>
            <w:shd w:val="clear" w:color="auto" w:fill="auto"/>
          </w:tcPr>
          <w:p w14:paraId="182B167D" w14:textId="77777777" w:rsidR="00897F84" w:rsidRPr="00F01F8D" w:rsidRDefault="00897F84" w:rsidP="00D4470F">
            <w:pPr>
              <w:jc w:val="center"/>
            </w:pPr>
            <w:r w:rsidRPr="00F01F8D">
              <w:t>0(0.0)</w:t>
            </w:r>
          </w:p>
        </w:tc>
      </w:tr>
      <w:tr w:rsidR="00897F84" w:rsidRPr="00F01F8D" w14:paraId="103E8380" w14:textId="77777777" w:rsidTr="00D4470F">
        <w:trPr>
          <w:trHeight w:val="60"/>
        </w:trPr>
        <w:tc>
          <w:tcPr>
            <w:tcW w:w="3119" w:type="dxa"/>
            <w:shd w:val="clear" w:color="auto" w:fill="auto"/>
          </w:tcPr>
          <w:p w14:paraId="55FF8F9B" w14:textId="77777777" w:rsidR="00897F84" w:rsidRPr="00F01F8D" w:rsidRDefault="00897F84" w:rsidP="00D4470F">
            <w:pPr>
              <w:rPr>
                <w:sz w:val="21"/>
                <w:szCs w:val="21"/>
              </w:rPr>
            </w:pPr>
            <w:r w:rsidRPr="00F01F8D">
              <w:rPr>
                <w:sz w:val="21"/>
                <w:szCs w:val="21"/>
              </w:rPr>
              <w:t>PT (s)</w:t>
            </w:r>
          </w:p>
        </w:tc>
        <w:tc>
          <w:tcPr>
            <w:tcW w:w="709" w:type="dxa"/>
            <w:shd w:val="clear" w:color="auto" w:fill="auto"/>
          </w:tcPr>
          <w:p w14:paraId="483512E9" w14:textId="77777777" w:rsidR="00897F84" w:rsidRPr="00F01F8D" w:rsidRDefault="00897F84" w:rsidP="00D4470F">
            <w:pPr>
              <w:jc w:val="right"/>
            </w:pPr>
            <w:r w:rsidRPr="00F01F8D">
              <w:t>18</w:t>
            </w:r>
          </w:p>
        </w:tc>
        <w:tc>
          <w:tcPr>
            <w:tcW w:w="2126" w:type="dxa"/>
            <w:shd w:val="clear" w:color="auto" w:fill="auto"/>
          </w:tcPr>
          <w:p w14:paraId="37235A2C" w14:textId="77777777" w:rsidR="00897F84" w:rsidRPr="00F01F8D" w:rsidRDefault="00897F84" w:rsidP="00D4470F">
            <w:pPr>
              <w:jc w:val="center"/>
            </w:pPr>
            <w:r w:rsidRPr="00F01F8D">
              <w:t>9.4 – 12</w:t>
            </w:r>
          </w:p>
        </w:tc>
        <w:tc>
          <w:tcPr>
            <w:tcW w:w="1134" w:type="dxa"/>
            <w:shd w:val="clear" w:color="auto" w:fill="auto"/>
          </w:tcPr>
          <w:p w14:paraId="6247288B" w14:textId="77777777" w:rsidR="00897F84" w:rsidRPr="00F01F8D" w:rsidRDefault="00897F84" w:rsidP="00D4470F">
            <w:pPr>
              <w:jc w:val="center"/>
            </w:pPr>
            <w:r w:rsidRPr="00F01F8D">
              <w:t>12(66.7)</w:t>
            </w:r>
          </w:p>
        </w:tc>
        <w:tc>
          <w:tcPr>
            <w:tcW w:w="1276" w:type="dxa"/>
            <w:shd w:val="clear" w:color="auto" w:fill="auto"/>
          </w:tcPr>
          <w:p w14:paraId="5EEB3F2D" w14:textId="77777777" w:rsidR="00897F84" w:rsidRPr="00F01F8D" w:rsidRDefault="00897F84" w:rsidP="00D4470F">
            <w:pPr>
              <w:jc w:val="center"/>
            </w:pPr>
            <w:r w:rsidRPr="00F01F8D">
              <w:t>5(27.8)</w:t>
            </w:r>
          </w:p>
        </w:tc>
        <w:tc>
          <w:tcPr>
            <w:tcW w:w="1129" w:type="dxa"/>
            <w:shd w:val="clear" w:color="auto" w:fill="auto"/>
          </w:tcPr>
          <w:p w14:paraId="01E383A8" w14:textId="77777777" w:rsidR="00897F84" w:rsidRPr="00F01F8D" w:rsidRDefault="00897F84" w:rsidP="00D4470F">
            <w:pPr>
              <w:jc w:val="center"/>
            </w:pPr>
            <w:r w:rsidRPr="00F01F8D">
              <w:t>1(5.6)</w:t>
            </w:r>
          </w:p>
        </w:tc>
      </w:tr>
      <w:tr w:rsidR="00897F84" w:rsidRPr="00F01F8D" w14:paraId="455F690B" w14:textId="77777777" w:rsidTr="00D4470F">
        <w:trPr>
          <w:trHeight w:val="60"/>
        </w:trPr>
        <w:tc>
          <w:tcPr>
            <w:tcW w:w="3119" w:type="dxa"/>
            <w:shd w:val="clear" w:color="auto" w:fill="auto"/>
          </w:tcPr>
          <w:p w14:paraId="49477335" w14:textId="77777777" w:rsidR="00897F84" w:rsidRPr="00F01F8D" w:rsidRDefault="00897F84" w:rsidP="00D4470F">
            <w:pPr>
              <w:rPr>
                <w:sz w:val="21"/>
                <w:szCs w:val="21"/>
              </w:rPr>
            </w:pPr>
            <w:r w:rsidRPr="00F01F8D">
              <w:rPr>
                <w:sz w:val="21"/>
                <w:szCs w:val="21"/>
              </w:rPr>
              <w:t>PTT (s)</w:t>
            </w:r>
          </w:p>
        </w:tc>
        <w:tc>
          <w:tcPr>
            <w:tcW w:w="709" w:type="dxa"/>
            <w:shd w:val="clear" w:color="auto" w:fill="auto"/>
          </w:tcPr>
          <w:p w14:paraId="551BA174" w14:textId="77777777" w:rsidR="00897F84" w:rsidRPr="00F01F8D" w:rsidRDefault="00897F84" w:rsidP="00D4470F">
            <w:pPr>
              <w:jc w:val="right"/>
            </w:pPr>
            <w:r w:rsidRPr="00F01F8D">
              <w:t>18</w:t>
            </w:r>
          </w:p>
        </w:tc>
        <w:tc>
          <w:tcPr>
            <w:tcW w:w="2126" w:type="dxa"/>
            <w:shd w:val="clear" w:color="auto" w:fill="auto"/>
          </w:tcPr>
          <w:p w14:paraId="200DB9E2" w14:textId="77777777" w:rsidR="00897F84" w:rsidRPr="00F01F8D" w:rsidRDefault="00897F84" w:rsidP="00D4470F">
            <w:pPr>
              <w:jc w:val="center"/>
            </w:pPr>
            <w:r w:rsidRPr="00F01F8D">
              <w:t>25.4 – 36.9</w:t>
            </w:r>
          </w:p>
        </w:tc>
        <w:tc>
          <w:tcPr>
            <w:tcW w:w="1134" w:type="dxa"/>
            <w:shd w:val="clear" w:color="auto" w:fill="auto"/>
          </w:tcPr>
          <w:p w14:paraId="49A0C54E" w14:textId="77777777" w:rsidR="00897F84" w:rsidRPr="00F01F8D" w:rsidRDefault="00897F84" w:rsidP="00D4470F">
            <w:pPr>
              <w:jc w:val="center"/>
            </w:pPr>
            <w:r w:rsidRPr="00F01F8D">
              <w:t>7(38.9)</w:t>
            </w:r>
          </w:p>
        </w:tc>
        <w:tc>
          <w:tcPr>
            <w:tcW w:w="1276" w:type="dxa"/>
            <w:shd w:val="clear" w:color="auto" w:fill="auto"/>
          </w:tcPr>
          <w:p w14:paraId="37BE0FA3" w14:textId="77777777" w:rsidR="00897F84" w:rsidRPr="00F01F8D" w:rsidRDefault="00897F84" w:rsidP="00D4470F">
            <w:pPr>
              <w:jc w:val="center"/>
            </w:pPr>
            <w:r w:rsidRPr="00F01F8D">
              <w:t>11(61.1)</w:t>
            </w:r>
          </w:p>
        </w:tc>
        <w:tc>
          <w:tcPr>
            <w:tcW w:w="1129" w:type="dxa"/>
            <w:shd w:val="clear" w:color="auto" w:fill="auto"/>
          </w:tcPr>
          <w:p w14:paraId="116AB2F0" w14:textId="77777777" w:rsidR="00897F84" w:rsidRPr="00F01F8D" w:rsidRDefault="00897F84" w:rsidP="00D4470F">
            <w:pPr>
              <w:jc w:val="center"/>
            </w:pPr>
            <w:r w:rsidRPr="00F01F8D">
              <w:t>0(0.0)</w:t>
            </w:r>
          </w:p>
        </w:tc>
      </w:tr>
      <w:tr w:rsidR="00897F84" w:rsidRPr="00F01F8D" w14:paraId="4C2B27CE" w14:textId="77777777" w:rsidTr="00D4470F">
        <w:trPr>
          <w:trHeight w:val="60"/>
        </w:trPr>
        <w:tc>
          <w:tcPr>
            <w:tcW w:w="3119" w:type="dxa"/>
            <w:shd w:val="clear" w:color="auto" w:fill="auto"/>
          </w:tcPr>
          <w:p w14:paraId="784DAC40" w14:textId="77777777" w:rsidR="00897F84" w:rsidRPr="00F01F8D" w:rsidRDefault="00897F84" w:rsidP="00D4470F">
            <w:pPr>
              <w:rPr>
                <w:sz w:val="21"/>
                <w:szCs w:val="21"/>
              </w:rPr>
            </w:pPr>
            <w:r w:rsidRPr="00F01F8D">
              <w:rPr>
                <w:sz w:val="21"/>
                <w:szCs w:val="21"/>
              </w:rPr>
              <w:t>INR (s)</w:t>
            </w:r>
          </w:p>
        </w:tc>
        <w:tc>
          <w:tcPr>
            <w:tcW w:w="709" w:type="dxa"/>
            <w:shd w:val="clear" w:color="auto" w:fill="auto"/>
          </w:tcPr>
          <w:p w14:paraId="56D60A9C" w14:textId="77777777" w:rsidR="00897F84" w:rsidRPr="00F01F8D" w:rsidRDefault="00897F84" w:rsidP="00D4470F">
            <w:pPr>
              <w:jc w:val="right"/>
            </w:pPr>
            <w:r w:rsidRPr="00F01F8D">
              <w:t>18</w:t>
            </w:r>
          </w:p>
        </w:tc>
        <w:tc>
          <w:tcPr>
            <w:tcW w:w="2126" w:type="dxa"/>
            <w:shd w:val="clear" w:color="auto" w:fill="auto"/>
          </w:tcPr>
          <w:p w14:paraId="6C61EA25" w14:textId="77777777" w:rsidR="00897F84" w:rsidRPr="00F01F8D" w:rsidRDefault="00897F84" w:rsidP="00D4470F">
            <w:pPr>
              <w:jc w:val="center"/>
            </w:pPr>
            <w:r w:rsidRPr="00F01F8D">
              <w:t>0.8 – 1.2</w:t>
            </w:r>
          </w:p>
        </w:tc>
        <w:tc>
          <w:tcPr>
            <w:tcW w:w="1134" w:type="dxa"/>
            <w:shd w:val="clear" w:color="auto" w:fill="auto"/>
          </w:tcPr>
          <w:p w14:paraId="036087BA" w14:textId="77777777" w:rsidR="00897F84" w:rsidRPr="00F01F8D" w:rsidRDefault="00897F84" w:rsidP="00D4470F">
            <w:pPr>
              <w:jc w:val="center"/>
            </w:pPr>
            <w:r w:rsidRPr="00F01F8D">
              <w:t>12(66.7)</w:t>
            </w:r>
          </w:p>
        </w:tc>
        <w:tc>
          <w:tcPr>
            <w:tcW w:w="1276" w:type="dxa"/>
            <w:shd w:val="clear" w:color="auto" w:fill="auto"/>
          </w:tcPr>
          <w:p w14:paraId="2943AED5" w14:textId="77777777" w:rsidR="00897F84" w:rsidRPr="00F01F8D" w:rsidRDefault="00897F84" w:rsidP="00D4470F">
            <w:pPr>
              <w:jc w:val="center"/>
            </w:pPr>
            <w:r w:rsidRPr="00F01F8D">
              <w:t>5(27.8)</w:t>
            </w:r>
          </w:p>
        </w:tc>
        <w:tc>
          <w:tcPr>
            <w:tcW w:w="1129" w:type="dxa"/>
            <w:shd w:val="clear" w:color="auto" w:fill="auto"/>
          </w:tcPr>
          <w:p w14:paraId="2496E710" w14:textId="77777777" w:rsidR="00897F84" w:rsidRPr="00F01F8D" w:rsidRDefault="00897F84" w:rsidP="00D4470F">
            <w:pPr>
              <w:jc w:val="center"/>
            </w:pPr>
            <w:r w:rsidRPr="00F01F8D">
              <w:t>1(5.6)</w:t>
            </w:r>
          </w:p>
        </w:tc>
      </w:tr>
      <w:tr w:rsidR="00897F84" w:rsidRPr="00F01F8D" w14:paraId="59D0A207" w14:textId="77777777" w:rsidTr="00D4470F">
        <w:trPr>
          <w:trHeight w:val="60"/>
        </w:trPr>
        <w:tc>
          <w:tcPr>
            <w:tcW w:w="3119" w:type="dxa"/>
            <w:shd w:val="clear" w:color="auto" w:fill="auto"/>
          </w:tcPr>
          <w:p w14:paraId="2EA2DF41" w14:textId="77777777" w:rsidR="00897F84" w:rsidRPr="00F01F8D" w:rsidRDefault="00897F84" w:rsidP="00D4470F">
            <w:pPr>
              <w:rPr>
                <w:sz w:val="21"/>
                <w:szCs w:val="21"/>
              </w:rPr>
            </w:pPr>
            <w:r w:rsidRPr="00F01F8D">
              <w:rPr>
                <w:sz w:val="21"/>
                <w:szCs w:val="21"/>
              </w:rPr>
              <w:t>D – dimer (</w:t>
            </w:r>
            <w:r w:rsidRPr="00F01F8D">
              <w:rPr>
                <w:rFonts w:eastAsia="Arial"/>
                <w:sz w:val="21"/>
                <w:szCs w:val="21"/>
              </w:rPr>
              <w:t>ng/mL)</w:t>
            </w:r>
          </w:p>
        </w:tc>
        <w:tc>
          <w:tcPr>
            <w:tcW w:w="709" w:type="dxa"/>
            <w:shd w:val="clear" w:color="auto" w:fill="auto"/>
          </w:tcPr>
          <w:p w14:paraId="395B9D27" w14:textId="77777777" w:rsidR="00897F84" w:rsidRPr="00F01F8D" w:rsidRDefault="00897F84" w:rsidP="00D4470F">
            <w:pPr>
              <w:jc w:val="right"/>
            </w:pPr>
            <w:r w:rsidRPr="00F01F8D">
              <w:t>49</w:t>
            </w:r>
          </w:p>
        </w:tc>
        <w:tc>
          <w:tcPr>
            <w:tcW w:w="2126" w:type="dxa"/>
            <w:shd w:val="clear" w:color="auto" w:fill="auto"/>
          </w:tcPr>
          <w:p w14:paraId="0AA8A129" w14:textId="77777777" w:rsidR="00897F84" w:rsidRPr="00F01F8D" w:rsidRDefault="00897F84" w:rsidP="00D4470F">
            <w:pPr>
              <w:jc w:val="center"/>
            </w:pPr>
            <w:r w:rsidRPr="00F01F8D">
              <w:t>0 – 198</w:t>
            </w:r>
          </w:p>
        </w:tc>
        <w:tc>
          <w:tcPr>
            <w:tcW w:w="1134" w:type="dxa"/>
            <w:shd w:val="clear" w:color="auto" w:fill="auto"/>
          </w:tcPr>
          <w:p w14:paraId="023B5A05" w14:textId="77777777" w:rsidR="00897F84" w:rsidRPr="00F01F8D" w:rsidRDefault="00897F84" w:rsidP="00D4470F">
            <w:pPr>
              <w:jc w:val="center"/>
            </w:pPr>
            <w:r w:rsidRPr="00F01F8D">
              <w:t>18(36.7)</w:t>
            </w:r>
          </w:p>
        </w:tc>
        <w:tc>
          <w:tcPr>
            <w:tcW w:w="1276" w:type="dxa"/>
            <w:shd w:val="clear" w:color="auto" w:fill="auto"/>
          </w:tcPr>
          <w:p w14:paraId="39F9272B" w14:textId="77777777" w:rsidR="00897F84" w:rsidRPr="00F01F8D" w:rsidRDefault="00897F84" w:rsidP="00D4470F">
            <w:pPr>
              <w:jc w:val="center"/>
            </w:pPr>
            <w:r w:rsidRPr="00F01F8D">
              <w:t>0(0.0)</w:t>
            </w:r>
          </w:p>
        </w:tc>
        <w:tc>
          <w:tcPr>
            <w:tcW w:w="1129" w:type="dxa"/>
            <w:shd w:val="clear" w:color="auto" w:fill="auto"/>
          </w:tcPr>
          <w:p w14:paraId="26605CB0" w14:textId="77777777" w:rsidR="00897F84" w:rsidRPr="00F01F8D" w:rsidRDefault="00897F84" w:rsidP="00D4470F">
            <w:pPr>
              <w:jc w:val="center"/>
            </w:pPr>
            <w:r w:rsidRPr="00F01F8D">
              <w:t>31(63.3)</w:t>
            </w:r>
          </w:p>
        </w:tc>
      </w:tr>
    </w:tbl>
    <w:p w14:paraId="4C9DFB78" w14:textId="77777777" w:rsidR="00897F84" w:rsidRDefault="00897F84" w:rsidP="00897F84">
      <w:pPr>
        <w:contextualSpacing/>
        <w:rPr>
          <w:sz w:val="20"/>
          <w:szCs w:val="20"/>
        </w:rPr>
      </w:pPr>
    </w:p>
    <w:p w14:paraId="49FF5EE0" w14:textId="77777777" w:rsidR="00AC0979" w:rsidRDefault="00AC0979" w:rsidP="00897F84">
      <w:pPr>
        <w:contextualSpacing/>
        <w:rPr>
          <w:rFonts w:ascii="Arial" w:hAnsi="Arial" w:cs="Arial"/>
        </w:rPr>
      </w:pPr>
      <w:r>
        <w:rPr>
          <w:rFonts w:ascii="Arial" w:hAnsi="Arial" w:cs="Arial"/>
        </w:rPr>
        <w:br/>
      </w:r>
      <w:r>
        <w:rPr>
          <w:rFonts w:ascii="Arial" w:hAnsi="Arial" w:cs="Arial"/>
        </w:rPr>
        <w:br/>
      </w:r>
      <w:r>
        <w:rPr>
          <w:rFonts w:ascii="Arial" w:hAnsi="Arial" w:cs="Arial"/>
        </w:rPr>
        <w:br/>
      </w:r>
    </w:p>
    <w:p w14:paraId="0411A922" w14:textId="77777777" w:rsidR="00AC0979" w:rsidRDefault="00AC0979">
      <w:pPr>
        <w:rPr>
          <w:rFonts w:ascii="Arial" w:hAnsi="Arial" w:cs="Arial"/>
        </w:rPr>
      </w:pPr>
      <w:r>
        <w:rPr>
          <w:rFonts w:ascii="Arial" w:hAnsi="Arial" w:cs="Arial"/>
        </w:rPr>
        <w:br w:type="page"/>
      </w:r>
    </w:p>
    <w:p w14:paraId="1415E667" w14:textId="3355F7D6" w:rsidR="00897F84" w:rsidRPr="00AC0979" w:rsidRDefault="00897F84" w:rsidP="00897F84">
      <w:pPr>
        <w:rPr>
          <w:rFonts w:ascii="Arial" w:hAnsi="Arial" w:cs="Arial"/>
        </w:rPr>
      </w:pPr>
      <w:r w:rsidRPr="004B3350">
        <w:rPr>
          <w:rFonts w:ascii="Arial" w:hAnsi="Arial" w:cs="Arial"/>
        </w:rPr>
        <w:lastRenderedPageBreak/>
        <w:br w:type="textWrapping" w:clear="all"/>
      </w:r>
    </w:p>
    <w:p w14:paraId="23D13F6B" w14:textId="77777777" w:rsidR="00897F84" w:rsidRDefault="00897F84" w:rsidP="00897F84">
      <w:pPr>
        <w:pStyle w:val="Caption"/>
        <w:rPr>
          <w:noProof/>
        </w:rPr>
      </w:pPr>
      <w:r w:rsidRPr="009427FA">
        <w:rPr>
          <w:noProof/>
        </w:rPr>
        <w:drawing>
          <wp:inline distT="0" distB="0" distL="0" distR="0" wp14:anchorId="58C37704" wp14:editId="5DB9A6CC">
            <wp:extent cx="4978909" cy="36948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02" r="12858" b="2101"/>
                    <a:stretch/>
                  </pic:blipFill>
                  <pic:spPr bwMode="auto">
                    <a:xfrm>
                      <a:off x="0" y="0"/>
                      <a:ext cx="5003081" cy="3712741"/>
                    </a:xfrm>
                    <a:prstGeom prst="rect">
                      <a:avLst/>
                    </a:prstGeom>
                    <a:ln>
                      <a:noFill/>
                    </a:ln>
                    <a:extLst>
                      <a:ext uri="{53640926-AAD7-44D8-BBD7-CCE9431645EC}">
                        <a14:shadowObscured xmlns:a14="http://schemas.microsoft.com/office/drawing/2010/main"/>
                      </a:ext>
                    </a:extLst>
                  </pic:spPr>
                </pic:pic>
              </a:graphicData>
            </a:graphic>
          </wp:inline>
        </w:drawing>
      </w:r>
    </w:p>
    <w:p w14:paraId="2D7ABD78" w14:textId="4BBF886B" w:rsidR="00AC0979" w:rsidRDefault="00897F84" w:rsidP="00897F84">
      <w:pPr>
        <w:pStyle w:val="Caption"/>
        <w:rPr>
          <w:rFonts w:ascii="Times New Roman" w:hAnsi="Times New Roman"/>
          <w:b w:val="0"/>
          <w:bCs w:val="0"/>
        </w:rPr>
      </w:pPr>
      <w:r w:rsidRPr="00CA0CED">
        <w:rPr>
          <w:rFonts w:ascii="Times New Roman" w:hAnsi="Times New Roman"/>
        </w:rPr>
        <w:t xml:space="preserve">Figure </w:t>
      </w:r>
      <w:r w:rsidRPr="00CA0CED">
        <w:rPr>
          <w:rFonts w:ascii="Times New Roman" w:hAnsi="Times New Roman"/>
        </w:rPr>
        <w:fldChar w:fldCharType="begin"/>
      </w:r>
      <w:r w:rsidRPr="00CA0CED">
        <w:rPr>
          <w:rFonts w:ascii="Times New Roman" w:hAnsi="Times New Roman"/>
        </w:rPr>
        <w:instrText xml:space="preserve"> SEQ Figure \* ARABIC </w:instrText>
      </w:r>
      <w:r w:rsidRPr="00CA0CED">
        <w:rPr>
          <w:rFonts w:ascii="Times New Roman" w:hAnsi="Times New Roman"/>
        </w:rPr>
        <w:fldChar w:fldCharType="separate"/>
      </w:r>
      <w:r w:rsidRPr="00CA0CED">
        <w:rPr>
          <w:rFonts w:ascii="Times New Roman" w:hAnsi="Times New Roman"/>
          <w:noProof/>
        </w:rPr>
        <w:t>1</w:t>
      </w:r>
      <w:r w:rsidRPr="00CA0CED">
        <w:rPr>
          <w:rFonts w:ascii="Times New Roman" w:hAnsi="Times New Roman"/>
        </w:rPr>
        <w:fldChar w:fldCharType="end"/>
      </w:r>
      <w:r w:rsidRPr="00CA0CED">
        <w:rPr>
          <w:rFonts w:ascii="Times New Roman" w:hAnsi="Times New Roman"/>
          <w:b w:val="0"/>
          <w:bCs w:val="0"/>
        </w:rPr>
        <w:t xml:space="preserve">: Patients' admission and outcomes at 21-day follow-up. </w:t>
      </w:r>
    </w:p>
    <w:p w14:paraId="0DE1476B" w14:textId="77777777" w:rsidR="00AC0979" w:rsidRDefault="00AC0979">
      <w:pPr>
        <w:rPr>
          <w:rFonts w:eastAsia="Calibri"/>
          <w:sz w:val="20"/>
          <w:szCs w:val="20"/>
          <w:lang w:val="en-US" w:eastAsia="en-US"/>
        </w:rPr>
      </w:pPr>
      <w:r>
        <w:rPr>
          <w:b/>
          <w:bCs/>
        </w:rPr>
        <w:br w:type="page"/>
      </w:r>
    </w:p>
    <w:p w14:paraId="35710452" w14:textId="77777777" w:rsidR="00897F84" w:rsidRPr="00CA0CED" w:rsidRDefault="00897F84" w:rsidP="00897F84">
      <w:pPr>
        <w:pStyle w:val="Caption"/>
        <w:rPr>
          <w:rFonts w:ascii="Times New Roman" w:hAnsi="Times New Roman"/>
          <w:b w:val="0"/>
          <w:bCs w:val="0"/>
        </w:rPr>
      </w:pPr>
    </w:p>
    <w:p w14:paraId="0DF5DFB0" w14:textId="77777777" w:rsidR="00897F84" w:rsidRPr="00897F84" w:rsidRDefault="00897F84" w:rsidP="009B79B5">
      <w:pPr>
        <w:tabs>
          <w:tab w:val="left" w:pos="1040"/>
        </w:tabs>
        <w:spacing w:line="360" w:lineRule="auto"/>
        <w:rPr>
          <w:b/>
          <w:bCs/>
          <w:lang w:val="en-US"/>
        </w:rPr>
      </w:pPr>
    </w:p>
    <w:tbl>
      <w:tblPr>
        <w:tblStyle w:val="TableGrid"/>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76"/>
      </w:tblGrid>
      <w:tr w:rsidR="00AC0979" w14:paraId="542356E0" w14:textId="77777777" w:rsidTr="00D4470F">
        <w:trPr>
          <w:trHeight w:val="3546"/>
        </w:trPr>
        <w:tc>
          <w:tcPr>
            <w:tcW w:w="5256" w:type="dxa"/>
          </w:tcPr>
          <w:p w14:paraId="3FBD16C5" w14:textId="77777777" w:rsidR="00AC0979" w:rsidRDefault="00AC0979" w:rsidP="00D4470F">
            <w:r>
              <w:t>B</w:t>
            </w:r>
          </w:p>
          <w:p w14:paraId="541F5563" w14:textId="77777777" w:rsidR="00AC0979" w:rsidRDefault="00AC0979" w:rsidP="00D4470F">
            <w:r w:rsidRPr="002642EB">
              <w:rPr>
                <w:noProof/>
                <w:shd w:val="clear" w:color="auto" w:fill="FFFFFF"/>
                <w:lang w:eastAsia="en-US"/>
              </w:rPr>
              <w:drawing>
                <wp:inline distT="0" distB="0" distL="0" distR="0" wp14:anchorId="2EE83677" wp14:editId="231D52EA">
                  <wp:extent cx="3298201" cy="36487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5290" cy="3678678"/>
                          </a:xfrm>
                          <a:prstGeom prst="rect">
                            <a:avLst/>
                          </a:prstGeom>
                          <a:noFill/>
                          <a:ln>
                            <a:noFill/>
                          </a:ln>
                        </pic:spPr>
                      </pic:pic>
                    </a:graphicData>
                  </a:graphic>
                </wp:inline>
              </w:drawing>
            </w:r>
          </w:p>
        </w:tc>
        <w:tc>
          <w:tcPr>
            <w:tcW w:w="4956" w:type="dxa"/>
          </w:tcPr>
          <w:p w14:paraId="511B9E4A" w14:textId="77777777" w:rsidR="00AC0979" w:rsidRDefault="00AC0979" w:rsidP="00D4470F">
            <w:r>
              <w:t>A</w:t>
            </w:r>
          </w:p>
          <w:p w14:paraId="2B94693B" w14:textId="77777777" w:rsidR="00AC0979" w:rsidRDefault="00AC0979" w:rsidP="00D4470F">
            <w:r>
              <w:rPr>
                <w:noProof/>
                <w:lang w:eastAsia="en-US"/>
              </w:rPr>
              <w:drawing>
                <wp:inline distT="0" distB="0" distL="0" distR="0" wp14:anchorId="0E741ED7" wp14:editId="00558A0D">
                  <wp:extent cx="3081411" cy="364871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9295" cy="3669887"/>
                          </a:xfrm>
                          <a:prstGeom prst="rect">
                            <a:avLst/>
                          </a:prstGeom>
                          <a:noFill/>
                        </pic:spPr>
                      </pic:pic>
                    </a:graphicData>
                  </a:graphic>
                </wp:inline>
              </w:drawing>
            </w:r>
          </w:p>
          <w:p w14:paraId="7795C8EF" w14:textId="77777777" w:rsidR="00AC0979" w:rsidRDefault="00AC0979" w:rsidP="00D4470F"/>
          <w:p w14:paraId="484A641F" w14:textId="77777777" w:rsidR="00AC0979" w:rsidRDefault="00AC0979" w:rsidP="00D4470F"/>
          <w:p w14:paraId="68EFD74B" w14:textId="77777777" w:rsidR="00AC0979" w:rsidRDefault="00AC0979" w:rsidP="00D4470F"/>
        </w:tc>
      </w:tr>
    </w:tbl>
    <w:p w14:paraId="6AC8A82A" w14:textId="77777777" w:rsidR="00AC0979" w:rsidRPr="00FF6AD5" w:rsidRDefault="00AC0979" w:rsidP="00AC0979">
      <w:pPr>
        <w:tabs>
          <w:tab w:val="left" w:pos="2444"/>
        </w:tabs>
        <w:jc w:val="both"/>
        <w:rPr>
          <w:sz w:val="22"/>
          <w:szCs w:val="22"/>
        </w:rPr>
      </w:pPr>
      <w:r w:rsidRPr="00D65C9F">
        <w:rPr>
          <w:b/>
          <w:iCs/>
        </w:rPr>
        <w:t xml:space="preserve"> </w:t>
      </w:r>
      <w:r w:rsidRPr="00FF6AD5">
        <w:rPr>
          <w:b/>
          <w:iCs/>
          <w:sz w:val="22"/>
          <w:szCs w:val="22"/>
        </w:rPr>
        <w:t>Figure 2:</w:t>
      </w:r>
      <w:r w:rsidRPr="00FF6AD5">
        <w:rPr>
          <w:bCs/>
          <w:iCs/>
          <w:sz w:val="22"/>
          <w:szCs w:val="22"/>
        </w:rPr>
        <w:t xml:space="preserve"> Kaplan–Meier survival curves showing cumulative mortality rates among patients with</w:t>
      </w:r>
      <w:r>
        <w:rPr>
          <w:bCs/>
          <w:iCs/>
          <w:sz w:val="22"/>
          <w:szCs w:val="22"/>
        </w:rPr>
        <w:t xml:space="preserve"> </w:t>
      </w:r>
      <w:r w:rsidRPr="00FF6AD5">
        <w:rPr>
          <w:bCs/>
          <w:iCs/>
          <w:sz w:val="22"/>
          <w:szCs w:val="22"/>
        </w:rPr>
        <w:t xml:space="preserve">underlying conditions against those with no underlying condition from the date </w:t>
      </w:r>
      <w:r w:rsidRPr="00FF6AD5">
        <w:rPr>
          <w:sz w:val="22"/>
          <w:szCs w:val="22"/>
        </w:rPr>
        <w:t>of onset of symptoms.</w:t>
      </w:r>
    </w:p>
    <w:p w14:paraId="4D228917" w14:textId="77777777" w:rsidR="00897F84" w:rsidRDefault="00897F84" w:rsidP="009B79B5">
      <w:pPr>
        <w:tabs>
          <w:tab w:val="left" w:pos="1040"/>
        </w:tabs>
        <w:spacing w:line="360" w:lineRule="auto"/>
        <w:rPr>
          <w:b/>
          <w:bCs/>
        </w:rPr>
      </w:pPr>
    </w:p>
    <w:p w14:paraId="105033F5" w14:textId="77777777" w:rsidR="00AC0979" w:rsidRDefault="00AC0979">
      <w:pPr>
        <w:rPr>
          <w:b/>
          <w:bCs/>
        </w:rPr>
      </w:pPr>
      <w:r>
        <w:rPr>
          <w:b/>
          <w:bCs/>
        </w:rPr>
        <w:br w:type="page"/>
      </w:r>
    </w:p>
    <w:p w14:paraId="1A0E342B" w14:textId="2CCEB05A" w:rsidR="00C30B64" w:rsidRPr="009B79B5" w:rsidRDefault="00C30B64" w:rsidP="009B79B5">
      <w:pPr>
        <w:tabs>
          <w:tab w:val="left" w:pos="1040"/>
        </w:tabs>
        <w:spacing w:line="360" w:lineRule="auto"/>
        <w:rPr>
          <w:b/>
          <w:bCs/>
        </w:rPr>
      </w:pPr>
      <w:r w:rsidRPr="009B79B5">
        <w:rPr>
          <w:b/>
          <w:bCs/>
        </w:rPr>
        <w:lastRenderedPageBreak/>
        <w:t>References</w:t>
      </w:r>
    </w:p>
    <w:p w14:paraId="4243938B" w14:textId="11D2C279" w:rsidR="00CA13B1" w:rsidRPr="00CA13B1" w:rsidRDefault="00211B98" w:rsidP="00CA13B1">
      <w:pPr>
        <w:widowControl w:val="0"/>
        <w:autoSpaceDE w:val="0"/>
        <w:autoSpaceDN w:val="0"/>
        <w:adjustRightInd w:val="0"/>
        <w:spacing w:line="360" w:lineRule="auto"/>
        <w:ind w:left="640" w:hanging="640"/>
        <w:rPr>
          <w:noProof/>
          <w:lang w:val="en-GB"/>
        </w:rPr>
      </w:pPr>
      <w:r w:rsidRPr="009B79B5">
        <w:fldChar w:fldCharType="begin" w:fldLock="1"/>
      </w:r>
      <w:r w:rsidRPr="009B79B5">
        <w:instrText xml:space="preserve">ADDIN Mendeley Bibliography CSL_BIBLIOGRAPHY </w:instrText>
      </w:r>
      <w:r w:rsidRPr="009B79B5">
        <w:fldChar w:fldCharType="separate"/>
      </w:r>
      <w:r w:rsidR="00CA13B1" w:rsidRPr="00CA13B1">
        <w:rPr>
          <w:noProof/>
          <w:lang w:val="en-GB"/>
        </w:rPr>
        <w:t>[1]</w:t>
      </w:r>
      <w:r w:rsidR="00CA13B1" w:rsidRPr="00CA13B1">
        <w:rPr>
          <w:noProof/>
          <w:lang w:val="en-GB"/>
        </w:rPr>
        <w:tab/>
        <w:t>Phelan AL, Katz R, Gostin LO. The Novel Coronavirus Originating in Wuhan, China: Challenges for Global Health Governance. JAMA - J Am Med Assoc 2020;323:709–10. https://doi.org/10.1001/jama.2020.1097.</w:t>
      </w:r>
    </w:p>
    <w:p w14:paraId="35801124"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w:t>
      </w:r>
      <w:r w:rsidRPr="00CA13B1">
        <w:rPr>
          <w:noProof/>
          <w:lang w:val="en-GB"/>
        </w:rPr>
        <w:tab/>
        <w:t>Gorbalenya AE, Baker SC, Baric RS, Groot RJ De, Gulyaeva AA, Haagmans BL, et al. The species and its viruses – a statement of the Coronavirus Study Group. Biorxiv (Cold Spring Harb Lab 2020:1–15. https://doi.org/10.1101/2020.02.07.937862.</w:t>
      </w:r>
    </w:p>
    <w:p w14:paraId="0D1E5D29"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[3]</w:t>
      </w:r>
      <w:r w:rsidRPr="00CA13B1">
        <w:rPr>
          <w:noProof/>
          <w:lang w:val="en-GB"/>
        </w:rPr>
        <w:tab/>
        <w:t>WHO Timeline - COVID-19 n.d. https://www.who.int/news-room/detail/27-04-2020-who-timeline---covid-19 (accessed May 29, 2020).</w:t>
      </w:r>
    </w:p>
    <w:p w14:paraId="60E8A185"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[4]</w:t>
      </w:r>
      <w:r w:rsidRPr="00CA13B1">
        <w:rPr>
          <w:noProof/>
          <w:lang w:val="en-GB"/>
        </w:rPr>
        <w:tab/>
        <w:t>WHO. WHO Coronavirus (COVID-19) Dashboard | WHO Coronavirus (COVID-19) Dashboard With Vaccination Data 2021. https://covid19.who.int/ (accessed April 26, 2021).</w:t>
      </w:r>
    </w:p>
    <w:p w14:paraId="57894AEC"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[5]</w:t>
      </w:r>
      <w:r w:rsidRPr="00CA13B1">
        <w:rPr>
          <w:noProof/>
          <w:lang w:val="en-GB"/>
        </w:rPr>
        <w:tab/>
        <w:t>WHO. Clinical management of severe acute respiratory infection when novel coronavirus (nCoV) infection is suspected 2020;2019.</w:t>
      </w:r>
    </w:p>
    <w:p w14:paraId="490C373F"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[6]</w:t>
      </w:r>
      <w:r w:rsidRPr="00CA13B1">
        <w:rPr>
          <w:noProof/>
          <w:lang w:val="en-GB"/>
        </w:rPr>
        <w:tab/>
        <w:t>Wang D, Hu B, Hu C, Zhu F, Liu X, Zhang J, et al. Clinical Characteristics of 138 Hospitalized Patients with 2019 Novel Coronavirus-Infected Pneumonia in Wuhan, China. JAMA - J Am Med Assoc 2020;323:1061–9. https://doi.org/10.1001/jama.2020.1585.</w:t>
      </w:r>
    </w:p>
    <w:p w14:paraId="74B03ADC"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[7]</w:t>
      </w:r>
      <w:r w:rsidRPr="00CA13B1">
        <w:rPr>
          <w:noProof/>
          <w:lang w:val="en-GB"/>
        </w:rPr>
        <w:tab/>
        <w:t>Cascella M, Rajnik M, Cuomo A, Dulebohn SC, Di Napoli R. Features, Evaluation and Treatment Coronavirus (COVID-19). StatPearls Publishing; 2020.</w:t>
      </w:r>
    </w:p>
    <w:p w14:paraId="27CEF4FF"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[8]</w:t>
      </w:r>
      <w:r w:rsidRPr="00CA13B1">
        <w:rPr>
          <w:noProof/>
          <w:lang w:val="en-GB"/>
        </w:rPr>
        <w:tab/>
        <w:t>Chen N, Zhou M, Dong X, Qu J, Gong F, Han Y, et al. Epidemiological and clinical characteristics of 99 cases of 2019 novel coronavirus pneumonia in Wuhan, China: a descriptive study. Lancet 2020;395:507–13. https://doi.org/10.1016/S0140-6736(20)30211-7.</w:t>
      </w:r>
    </w:p>
    <w:p w14:paraId="4999A3D7"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[9]</w:t>
      </w:r>
      <w:r w:rsidRPr="00CA13B1">
        <w:rPr>
          <w:noProof/>
          <w:lang w:val="en-GB"/>
        </w:rPr>
        <w:tab/>
        <w:t>Pan L, Mu M, Yang P, Sun Y, Wang R, Yan J, et al. Clinical Characteristics of COVID-19 Patients With Digestive Symptoms in Hubei, China. Am J Gastroenterol 2020;115:766–73. https://doi.org/10.14309/ajg.0000000000000620.</w:t>
      </w:r>
    </w:p>
    <w:p w14:paraId="262F5AB4"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[10]</w:t>
      </w:r>
      <w:r w:rsidRPr="00CA13B1">
        <w:rPr>
          <w:noProof/>
          <w:lang w:val="en-GB"/>
        </w:rPr>
        <w:tab/>
        <w:t>Huang C, Wang Y, Li X, Ren L, Zhao J, Hu Y, et al. Clinical features of patients infected with 2019 novel coronavirus in Wuhan, China. Lancet 2020;395:497–506. https://doi.org/10.1016/S0140-6736(20)30183-5.</w:t>
      </w:r>
    </w:p>
    <w:p w14:paraId="01B77EF1"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[11]</w:t>
      </w:r>
      <w:r w:rsidRPr="00CA13B1">
        <w:rPr>
          <w:noProof/>
          <w:lang w:val="en-GB"/>
        </w:rPr>
        <w:tab/>
        <w:t xml:space="preserve">Lai C-C, Shih T-P, Ko W-C, Tang H-J, Hsueh P-R. Severe acute respiratory syndrome coronavirus 2 (SARS-CoV-2) and corona virus disease-2019 (COVID-19): the epidemic </w:t>
      </w:r>
      <w:r w:rsidRPr="00CA13B1">
        <w:rPr>
          <w:noProof/>
          <w:lang w:val="en-GB"/>
        </w:rPr>
        <w:lastRenderedPageBreak/>
        <w:t>and the challenges. Int J Antimicrob Agents 2020:105924.</w:t>
      </w:r>
    </w:p>
    <w:p w14:paraId="778D84F7"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[12]</w:t>
      </w:r>
      <w:r w:rsidRPr="00CA13B1">
        <w:rPr>
          <w:noProof/>
          <w:lang w:val="en-GB"/>
        </w:rPr>
        <w:tab/>
        <w:t>Wu Z, McGoogan JM. Characteristics of and important lessons from the coronavirus disease 2019 (COVID-19) outbreak in China: summary of a report of 72 314 cases from the Chinese Center for Disease Control and Prevention. Jama 2020.</w:t>
      </w:r>
    </w:p>
    <w:p w14:paraId="0B32F863"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[13]</w:t>
      </w:r>
      <w:r w:rsidRPr="00CA13B1">
        <w:rPr>
          <w:noProof/>
          <w:lang w:val="en-GB"/>
        </w:rPr>
        <w:tab/>
        <w:t>Guan W, Ni Z, Hu Y, Liang W, Ou C, He J, et al. Clinical characteristics of coronavirus disease 2019 in China. N Engl J Med 2020;382:1708–20. https://doi.org/10.1056/NEJMoa2002032.</w:t>
      </w:r>
    </w:p>
    <w:p w14:paraId="3D6FB3B9"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[14]</w:t>
      </w:r>
      <w:r w:rsidRPr="00CA13B1">
        <w:rPr>
          <w:noProof/>
          <w:lang w:val="en-GB"/>
        </w:rPr>
        <w:tab/>
        <w:t>CDC COVID-19 Response Team. Preliminary Estimates of the Prevalence of Selected Underlying Health Conditions Among Patients with Coronavirus Disease 2019 - United States, February 12-March 28, 2020. MMWR Morb Mortal Wkly Rep 2020;69:382–6. https://doi.org/10.15585/mmwr.mm6913e2.</w:t>
      </w:r>
    </w:p>
    <w:p w14:paraId="014E9E2C"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[15]</w:t>
      </w:r>
      <w:r w:rsidRPr="00CA13B1">
        <w:rPr>
          <w:noProof/>
          <w:lang w:val="en-GB"/>
        </w:rPr>
        <w:tab/>
        <w:t>Ye C, Zhang S, Zhang X, Cai H, Gu J, Lian J, et al. Impact of comorbidities on patients with COVID‐19: A large retrospective study in Zhejiang, China. J Med Virol 2020;92:2821–9. https://doi.org/10.1002/jmv.26183.</w:t>
      </w:r>
    </w:p>
    <w:p w14:paraId="4016A8EB"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[16]</w:t>
      </w:r>
      <w:r w:rsidRPr="00CA13B1">
        <w:rPr>
          <w:noProof/>
          <w:lang w:val="en-GB"/>
        </w:rPr>
        <w:tab/>
        <w:t>Bonanad C, García-Blas S, Tarazona-Santabalbina F, Sanchis J, Bertomeu-González V, Fácila L, et al. The Effect of Age on Mortality in Patients With COVID-19: A Meta-Analysis With 611,583 Subjects. J Am Med Dir Assoc 2020;21:915–8. https://doi.org/10.1016/j.jamda.2020.05.045.</w:t>
      </w:r>
    </w:p>
    <w:p w14:paraId="405B1C49"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[17]</w:t>
      </w:r>
      <w:r w:rsidRPr="00CA13B1">
        <w:rPr>
          <w:noProof/>
          <w:lang w:val="en-GB"/>
        </w:rPr>
        <w:tab/>
        <w:t>The World Health Organization. Laboratory testing for the 2019 novel Corona virus (2019-nCoV) in suspected human cases 2020:2. https://www.who.int/publications-detail/laboratory-testing-for-2019-novel-coronavirus-in-suspected-human-cases-20200117.</w:t>
      </w:r>
    </w:p>
    <w:p w14:paraId="0258E474"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[18]</w:t>
      </w:r>
      <w:r w:rsidRPr="00CA13B1">
        <w:rPr>
          <w:noProof/>
          <w:lang w:val="en-GB"/>
        </w:rPr>
        <w:tab/>
        <w:t>WHO. Clinical management of severe acute respiratory infection when novel coronavirus (nCoV) infection is suspected 2020;2019:12.</w:t>
      </w:r>
    </w:p>
    <w:p w14:paraId="2740F801"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[19]</w:t>
      </w:r>
      <w:r w:rsidRPr="00CA13B1">
        <w:rPr>
          <w:noProof/>
          <w:lang w:val="en-GB"/>
        </w:rPr>
        <w:tab/>
        <w:t>Goyal P, Choi JJ, Pinheiro LC, Schenck EJ, Chen R, Jabri A, et al. Clinical Characteristics of Covid-19 in New York City. N Engl J Med 2020. https://doi.org/10.1056/nejmc2010419.</w:t>
      </w:r>
    </w:p>
    <w:p w14:paraId="02770B3F"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[20]</w:t>
      </w:r>
      <w:r w:rsidRPr="00CA13B1">
        <w:rPr>
          <w:noProof/>
          <w:lang w:val="en-GB"/>
        </w:rPr>
        <w:tab/>
        <w:t>Grasselli G, Zangrillo A, Zanella A, Antonelli M, Cabrini L, Castelli A, et al. Baseline Characteristics and Outcomes of 1591 Patients Infected with SARS-CoV-2 Admitted to ICUs of the Lombardy Region, Italy. JAMA - J Am Med Assoc 2020;323:1574–81. https://doi.org/10.1001/jama.2020.5394.</w:t>
      </w:r>
    </w:p>
    <w:p w14:paraId="2BF721F1"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lastRenderedPageBreak/>
        <w:t>[21]</w:t>
      </w:r>
      <w:r w:rsidRPr="00CA13B1">
        <w:rPr>
          <w:noProof/>
          <w:lang w:val="en-GB"/>
        </w:rPr>
        <w:tab/>
        <w:t>Kaswa R, Yogeswaran P, Cawe B. Clinical outcomes of hospitalised COVID-19 patients at Mthatha Regional Hospital, Eastern Cape, South Africa: A retrospective study. South African Fam Pract 2021;63. https://doi.org/10.4102/SAFP.V63I1.5253.</w:t>
      </w:r>
    </w:p>
    <w:p w14:paraId="42DDDAEB"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[22]</w:t>
      </w:r>
      <w:r w:rsidRPr="00CA13B1">
        <w:rPr>
          <w:noProof/>
          <w:lang w:val="en-GB"/>
        </w:rPr>
        <w:tab/>
        <w:t>Elhadi M, Momen AA, Alsoufi A, Msherghi A, Zaid A, Ali Senussi Abdulhadi OM, et al. Epidemiological and clinical presentations of hospitalized COVID-19 patients in Libya: An initial report from Africa. Travel Med Infect Dis 2021;42:102064. https://doi.org/10.1016/J.TMAID.2021.102064.</w:t>
      </w:r>
    </w:p>
    <w:p w14:paraId="542434F9"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[23]</w:t>
      </w:r>
      <w:r w:rsidRPr="00CA13B1">
        <w:rPr>
          <w:noProof/>
          <w:lang w:val="en-GB"/>
        </w:rPr>
        <w:tab/>
        <w:t>Goel S, Jain T, Hooda A, Malhotra R, Johal G, Masoomi R, et al. Clinical Characteristics and In-Hospital Mortality for COVID-19 Across The Globe. Cardiol Ther 2020;9:553–9. https://doi.org/10.1007/s40119-020-00189-0.</w:t>
      </w:r>
    </w:p>
    <w:p w14:paraId="0C1118DD"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[24]</w:t>
      </w:r>
      <w:r w:rsidRPr="00CA13B1">
        <w:rPr>
          <w:noProof/>
          <w:lang w:val="en-GB"/>
        </w:rPr>
        <w:tab/>
        <w:t>Immovilli P, Morelli N, Antonucci E, Radaelli G, Barbera M, Guidetti D. COVID-19 mortality and ICU admission: The Italian experience. Crit Care 2020;24:228. https://doi.org/10.1186/s13054-020-02957-9.</w:t>
      </w:r>
    </w:p>
    <w:p w14:paraId="06F3990D"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[25]</w:t>
      </w:r>
      <w:r w:rsidRPr="00CA13B1">
        <w:rPr>
          <w:noProof/>
          <w:lang w:val="en-GB"/>
        </w:rPr>
        <w:tab/>
        <w:t>Richardson S, Hirsch JS, Narasimhan M, Crawford JM, McGinn T, Davidson KW, et al. Presenting Characteristics, Comorbidities, and Outcomes Among 5700 Patients Hospitalized With COVID-19 in the New York City Area. JAMA 2020;323:2052. https://doi.org/10.1001/jama.2020.6775.</w:t>
      </w:r>
    </w:p>
    <w:p w14:paraId="4A433521"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[26]</w:t>
      </w:r>
      <w:r w:rsidRPr="00CA13B1">
        <w:rPr>
          <w:noProof/>
          <w:lang w:val="en-GB"/>
        </w:rPr>
        <w:tab/>
        <w:t>Wu C, Chen X, Cai Y, Xia J, Zhou X, Xu S, et al. Risk Factors Associated With Acute Respiratory Distress Syndrome and Death in Patients With Coronavirus Disease 2019 Pneumonia in Wuhan, China. JAMA Intern Med 2020;180:934. https://doi.org/10.1001/jamainternmed.2020.0994.</w:t>
      </w:r>
    </w:p>
    <w:p w14:paraId="0F5A0FAE"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[27]</w:t>
      </w:r>
      <w:r w:rsidRPr="00CA13B1">
        <w:rPr>
          <w:noProof/>
          <w:lang w:val="en-GB"/>
        </w:rPr>
        <w:tab/>
        <w:t>Covid-19 in Critically Ill Patients in the Seattle Region — Case Series | NEJM n.d. https://www.nejm.org/doi/full/10.1056/nejmoa2004500# (accessed July 19, 2020).</w:t>
      </w:r>
    </w:p>
    <w:p w14:paraId="0D182DC7"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[28]</w:t>
      </w:r>
      <w:r w:rsidRPr="00CA13B1">
        <w:rPr>
          <w:noProof/>
          <w:lang w:val="en-GB"/>
        </w:rPr>
        <w:tab/>
        <w:t>Auld SC, Caridi-Scheible M, Blum JM, Robichaux C, Kraft C, Jacob JT, et al. ICU and Ventilator Mortality Among Critically Ill Adults With Coronavirus Disease 2019. Crit Care Med 2020;Publish Ah:1–6. https://doi.org/10.1097/ccm.0000000000004457.</w:t>
      </w:r>
    </w:p>
    <w:p w14:paraId="73A0DB2B"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[29]</w:t>
      </w:r>
      <w:r w:rsidRPr="00CA13B1">
        <w:rPr>
          <w:noProof/>
          <w:lang w:val="en-GB"/>
        </w:rPr>
        <w:tab/>
        <w:t>Miri SM, Noorbakhsh F, Mohebbi SR, Ghaemi A. Higher prevalence of asymptomatic or mild COVID‐19 in children, claims and clues. J Med Virol 2020:jmv.26069. https://doi.org/10.1002/jmv.26069.</w:t>
      </w:r>
    </w:p>
    <w:p w14:paraId="7D050371" w14:textId="77777777" w:rsidR="00CA13B1" w:rsidRPr="00CA13B1" w:rsidRDefault="00CA13B1" w:rsidP="00CA13B1">
      <w:pPr>
        <w:widowControl w:val="0"/>
        <w:autoSpaceDE w:val="0"/>
        <w:autoSpaceDN w:val="0"/>
        <w:adjustRightInd w:val="0"/>
        <w:spacing w:line="360" w:lineRule="auto"/>
        <w:ind w:left="640" w:hanging="640"/>
        <w:rPr>
          <w:noProof/>
          <w:lang w:val="en-GB"/>
        </w:rPr>
      </w:pPr>
      <w:r w:rsidRPr="00CA13B1">
        <w:rPr>
          <w:noProof/>
          <w:lang w:val="en-GB"/>
        </w:rPr>
        <w:t>[30]</w:t>
      </w:r>
      <w:r w:rsidRPr="00CA13B1">
        <w:rPr>
          <w:noProof/>
          <w:lang w:val="en-GB"/>
        </w:rPr>
        <w:tab/>
        <w:t xml:space="preserve">Arons MM, Hatfield KM, Reddy SC, Kimball A, James A, Jacobs JR, et al. Presymptomatic SARS-CoV-2 Infections and Transmission in a Skilled Nursing Facility. </w:t>
      </w:r>
      <w:r w:rsidRPr="00CA13B1">
        <w:rPr>
          <w:noProof/>
          <w:lang w:val="en-GB"/>
        </w:rPr>
        <w:lastRenderedPageBreak/>
        <w:t>N Engl J Med 2020. https://doi.org/10.1056/nejmoa2008457.</w:t>
      </w:r>
    </w:p>
    <w:p w14:paraId="44620BF3" w14:textId="77777777" w:rsidR="00CA13B1" w:rsidRPr="00CA13B1" w:rsidRDefault="00CA13B1" w:rsidP="00CA13B1">
      <w:pPr>
        <w:widowControl w:val="0"/>
        <w:autoSpaceDE w:val="0"/>
        <w:autoSpaceDN w:val="0"/>
        <w:adjustRightInd w:val="0"/>
        <w:spacing w:line="360" w:lineRule="auto"/>
        <w:ind w:left="640" w:hanging="640"/>
        <w:rPr>
          <w:noProof/>
        </w:rPr>
      </w:pPr>
      <w:r w:rsidRPr="00CA13B1">
        <w:rPr>
          <w:noProof/>
          <w:lang w:val="en-GB"/>
        </w:rPr>
        <w:t>[31]</w:t>
      </w:r>
      <w:r w:rsidRPr="00CA13B1">
        <w:rPr>
          <w:noProof/>
          <w:lang w:val="en-GB"/>
        </w:rPr>
        <w:tab/>
        <w:t>Tang N, Li D, Wang X, Sun Z. Abnormal coagulation parameters are associated with poor prognosis in patients with novel coronavirus pneumonia. J Thromb Haemost 2020;18:844–7. https://doi.org/10.1111/jth.14768.</w:t>
      </w:r>
    </w:p>
    <w:p w14:paraId="67FA2759" w14:textId="00713389" w:rsidR="00C30B64" w:rsidRPr="00A41AED" w:rsidRDefault="00211B98" w:rsidP="00CA13B1">
      <w:pPr>
        <w:widowControl w:val="0"/>
        <w:autoSpaceDE w:val="0"/>
        <w:autoSpaceDN w:val="0"/>
        <w:adjustRightInd w:val="0"/>
        <w:spacing w:line="360" w:lineRule="auto"/>
        <w:ind w:left="640" w:hanging="640"/>
      </w:pPr>
      <w:r w:rsidRPr="009B79B5">
        <w:fldChar w:fldCharType="end"/>
      </w:r>
    </w:p>
    <w:sectPr w:rsidR="00C30B64" w:rsidRPr="00A41AED" w:rsidSect="00AC097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7C8D" w14:textId="77777777" w:rsidR="00B93C47" w:rsidRDefault="00B93C47" w:rsidP="006B01E9">
      <w:r>
        <w:separator/>
      </w:r>
    </w:p>
  </w:endnote>
  <w:endnote w:type="continuationSeparator" w:id="0">
    <w:p w14:paraId="1CE0B401" w14:textId="77777777" w:rsidR="00B93C47" w:rsidRDefault="00B93C47" w:rsidP="006B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2D53" w14:textId="77777777" w:rsidR="00B93C47" w:rsidRDefault="00B93C47" w:rsidP="006B01E9">
      <w:r>
        <w:separator/>
      </w:r>
    </w:p>
  </w:footnote>
  <w:footnote w:type="continuationSeparator" w:id="0">
    <w:p w14:paraId="55A64F16" w14:textId="77777777" w:rsidR="00B93C47" w:rsidRDefault="00B93C47" w:rsidP="006B01E9">
      <w:r>
        <w:continuationSeparator/>
      </w:r>
    </w:p>
  </w:footnote>
  <w:footnote w:id="1">
    <w:p w14:paraId="6DDAA4E4" w14:textId="31648417" w:rsidR="00C21745" w:rsidRDefault="00C21745" w:rsidP="00C05539">
      <w:pPr>
        <w:pStyle w:val="FootnoteText"/>
        <w:jc w:val="both"/>
      </w:pPr>
      <w:r w:rsidRPr="00E7701E">
        <w:rPr>
          <w:rStyle w:val="FootnoteReference"/>
        </w:rPr>
        <w:footnoteRef/>
      </w:r>
      <w:r>
        <w:t xml:space="preserve">Following an outbreak in the pediatric oncology ward, all patients and caregivers were tested for COVID-19. Six children and one adult (mother of one of the children) were found positive though had no symptoms, and therefore transferred to the designated COVID-19 hospital- Amana Regional Referral hospital. These patients remained asymptomatic after 21 days follow-up.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AFE"/>
    <w:multiLevelType w:val="hybridMultilevel"/>
    <w:tmpl w:val="03D4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228"/>
    <w:multiLevelType w:val="hybridMultilevel"/>
    <w:tmpl w:val="2194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317F"/>
    <w:multiLevelType w:val="hybridMultilevel"/>
    <w:tmpl w:val="2036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2D36"/>
    <w:multiLevelType w:val="hybridMultilevel"/>
    <w:tmpl w:val="716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F09E1"/>
    <w:multiLevelType w:val="hybridMultilevel"/>
    <w:tmpl w:val="602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96F49"/>
    <w:multiLevelType w:val="hybridMultilevel"/>
    <w:tmpl w:val="678C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43F83"/>
    <w:multiLevelType w:val="hybridMultilevel"/>
    <w:tmpl w:val="ACC822A8"/>
    <w:lvl w:ilvl="0" w:tplc="5B78826A">
      <w:start w:val="1"/>
      <w:numFmt w:val="lowerRoman"/>
      <w:lvlText w:val="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514E3"/>
    <w:multiLevelType w:val="hybridMultilevel"/>
    <w:tmpl w:val="8DB6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4773C"/>
    <w:multiLevelType w:val="hybridMultilevel"/>
    <w:tmpl w:val="051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76977"/>
    <w:multiLevelType w:val="hybridMultilevel"/>
    <w:tmpl w:val="B58E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A5587"/>
    <w:multiLevelType w:val="hybridMultilevel"/>
    <w:tmpl w:val="C9D801D2"/>
    <w:lvl w:ilvl="0" w:tplc="5B78826A">
      <w:start w:val="1"/>
      <w:numFmt w:val="lowerRoman"/>
      <w:lvlText w:val="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200AF"/>
    <w:multiLevelType w:val="hybridMultilevel"/>
    <w:tmpl w:val="73BA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E5893"/>
    <w:multiLevelType w:val="hybridMultilevel"/>
    <w:tmpl w:val="9B52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863E5"/>
    <w:multiLevelType w:val="hybridMultilevel"/>
    <w:tmpl w:val="02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C02ED"/>
    <w:multiLevelType w:val="hybridMultilevel"/>
    <w:tmpl w:val="CE2A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169C3"/>
    <w:multiLevelType w:val="hybridMultilevel"/>
    <w:tmpl w:val="6F74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B497B"/>
    <w:multiLevelType w:val="hybridMultilevel"/>
    <w:tmpl w:val="7BA02696"/>
    <w:lvl w:ilvl="0" w:tplc="EFA898F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8218D"/>
    <w:multiLevelType w:val="hybridMultilevel"/>
    <w:tmpl w:val="9BD8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76EB0"/>
    <w:multiLevelType w:val="hybridMultilevel"/>
    <w:tmpl w:val="42C26856"/>
    <w:lvl w:ilvl="0" w:tplc="5B78826A">
      <w:start w:val="1"/>
      <w:numFmt w:val="lowerRoman"/>
      <w:lvlText w:val="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A28C4"/>
    <w:multiLevelType w:val="hybridMultilevel"/>
    <w:tmpl w:val="A8545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5E27DF"/>
    <w:multiLevelType w:val="hybridMultilevel"/>
    <w:tmpl w:val="EDE4D14E"/>
    <w:lvl w:ilvl="0" w:tplc="06843B64">
      <w:start w:val="4"/>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B57C0"/>
    <w:multiLevelType w:val="hybridMultilevel"/>
    <w:tmpl w:val="92A4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0"/>
  </w:num>
  <w:num w:numId="4">
    <w:abstractNumId w:val="0"/>
  </w:num>
  <w:num w:numId="5">
    <w:abstractNumId w:val="14"/>
  </w:num>
  <w:num w:numId="6">
    <w:abstractNumId w:val="8"/>
  </w:num>
  <w:num w:numId="7">
    <w:abstractNumId w:val="20"/>
  </w:num>
  <w:num w:numId="8">
    <w:abstractNumId w:val="11"/>
  </w:num>
  <w:num w:numId="9">
    <w:abstractNumId w:val="21"/>
  </w:num>
  <w:num w:numId="10">
    <w:abstractNumId w:val="17"/>
  </w:num>
  <w:num w:numId="11">
    <w:abstractNumId w:val="1"/>
  </w:num>
  <w:num w:numId="12">
    <w:abstractNumId w:val="9"/>
  </w:num>
  <w:num w:numId="13">
    <w:abstractNumId w:val="3"/>
  </w:num>
  <w:num w:numId="14">
    <w:abstractNumId w:val="2"/>
  </w:num>
  <w:num w:numId="15">
    <w:abstractNumId w:val="13"/>
  </w:num>
  <w:num w:numId="16">
    <w:abstractNumId w:val="4"/>
  </w:num>
  <w:num w:numId="17">
    <w:abstractNumId w:val="16"/>
  </w:num>
  <w:num w:numId="18">
    <w:abstractNumId w:val="5"/>
  </w:num>
  <w:num w:numId="19">
    <w:abstractNumId w:val="15"/>
  </w:num>
  <w:num w:numId="20">
    <w:abstractNumId w:val="1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DF"/>
    <w:rsid w:val="000013EB"/>
    <w:rsid w:val="00001630"/>
    <w:rsid w:val="000020CF"/>
    <w:rsid w:val="00003148"/>
    <w:rsid w:val="000038B5"/>
    <w:rsid w:val="00005CCF"/>
    <w:rsid w:val="000062E3"/>
    <w:rsid w:val="00007382"/>
    <w:rsid w:val="00011C93"/>
    <w:rsid w:val="00017851"/>
    <w:rsid w:val="00021391"/>
    <w:rsid w:val="00023F5A"/>
    <w:rsid w:val="00024767"/>
    <w:rsid w:val="00025C9F"/>
    <w:rsid w:val="00026480"/>
    <w:rsid w:val="000270AF"/>
    <w:rsid w:val="00027335"/>
    <w:rsid w:val="000311BB"/>
    <w:rsid w:val="000327DF"/>
    <w:rsid w:val="000327EB"/>
    <w:rsid w:val="00032E38"/>
    <w:rsid w:val="0003769A"/>
    <w:rsid w:val="000379E0"/>
    <w:rsid w:val="000406E5"/>
    <w:rsid w:val="00041CD9"/>
    <w:rsid w:val="00041D08"/>
    <w:rsid w:val="00042B24"/>
    <w:rsid w:val="00044DC1"/>
    <w:rsid w:val="00045147"/>
    <w:rsid w:val="00046DF8"/>
    <w:rsid w:val="00047563"/>
    <w:rsid w:val="00047926"/>
    <w:rsid w:val="00052F9E"/>
    <w:rsid w:val="00053AFD"/>
    <w:rsid w:val="00054AD8"/>
    <w:rsid w:val="000612C9"/>
    <w:rsid w:val="000623F4"/>
    <w:rsid w:val="00064184"/>
    <w:rsid w:val="00065875"/>
    <w:rsid w:val="000678C9"/>
    <w:rsid w:val="00075F7B"/>
    <w:rsid w:val="0007676D"/>
    <w:rsid w:val="00076DFC"/>
    <w:rsid w:val="00095E0F"/>
    <w:rsid w:val="00096F44"/>
    <w:rsid w:val="00096FE6"/>
    <w:rsid w:val="00097227"/>
    <w:rsid w:val="000A07E9"/>
    <w:rsid w:val="000A08F2"/>
    <w:rsid w:val="000A361D"/>
    <w:rsid w:val="000A3A8B"/>
    <w:rsid w:val="000B1046"/>
    <w:rsid w:val="000B476A"/>
    <w:rsid w:val="000C0F8B"/>
    <w:rsid w:val="000C13F9"/>
    <w:rsid w:val="000C2620"/>
    <w:rsid w:val="000C3A0C"/>
    <w:rsid w:val="000C51A1"/>
    <w:rsid w:val="000C594D"/>
    <w:rsid w:val="000D00E4"/>
    <w:rsid w:val="000D13B8"/>
    <w:rsid w:val="000D25A2"/>
    <w:rsid w:val="000D3DCA"/>
    <w:rsid w:val="000D4ADB"/>
    <w:rsid w:val="000D4C3A"/>
    <w:rsid w:val="000D4CE1"/>
    <w:rsid w:val="000E0808"/>
    <w:rsid w:val="000E0E88"/>
    <w:rsid w:val="000E2C0B"/>
    <w:rsid w:val="000E303B"/>
    <w:rsid w:val="000E4ADA"/>
    <w:rsid w:val="000F014D"/>
    <w:rsid w:val="000F1203"/>
    <w:rsid w:val="000F2D12"/>
    <w:rsid w:val="000F3C4C"/>
    <w:rsid w:val="000F7B07"/>
    <w:rsid w:val="000F7DE2"/>
    <w:rsid w:val="00100B8E"/>
    <w:rsid w:val="0010426E"/>
    <w:rsid w:val="0010511C"/>
    <w:rsid w:val="00107626"/>
    <w:rsid w:val="00110A8D"/>
    <w:rsid w:val="00111AE9"/>
    <w:rsid w:val="00113E53"/>
    <w:rsid w:val="0011618F"/>
    <w:rsid w:val="00120148"/>
    <w:rsid w:val="001208CD"/>
    <w:rsid w:val="00123669"/>
    <w:rsid w:val="001237D2"/>
    <w:rsid w:val="00125016"/>
    <w:rsid w:val="001314C7"/>
    <w:rsid w:val="00131C62"/>
    <w:rsid w:val="00132CAB"/>
    <w:rsid w:val="00133C98"/>
    <w:rsid w:val="00137F62"/>
    <w:rsid w:val="001402C1"/>
    <w:rsid w:val="001424B2"/>
    <w:rsid w:val="00142E57"/>
    <w:rsid w:val="00143B9F"/>
    <w:rsid w:val="0014677D"/>
    <w:rsid w:val="00146996"/>
    <w:rsid w:val="001518E5"/>
    <w:rsid w:val="001530FA"/>
    <w:rsid w:val="00155344"/>
    <w:rsid w:val="001565D8"/>
    <w:rsid w:val="00157196"/>
    <w:rsid w:val="00157313"/>
    <w:rsid w:val="00157633"/>
    <w:rsid w:val="0016034A"/>
    <w:rsid w:val="001612F0"/>
    <w:rsid w:val="0016297B"/>
    <w:rsid w:val="00164500"/>
    <w:rsid w:val="00165602"/>
    <w:rsid w:val="00170E39"/>
    <w:rsid w:val="00173697"/>
    <w:rsid w:val="0017420D"/>
    <w:rsid w:val="001753DF"/>
    <w:rsid w:val="00183561"/>
    <w:rsid w:val="0018445E"/>
    <w:rsid w:val="00185293"/>
    <w:rsid w:val="001852E0"/>
    <w:rsid w:val="00187155"/>
    <w:rsid w:val="00190C71"/>
    <w:rsid w:val="001A2D3C"/>
    <w:rsid w:val="001A4C78"/>
    <w:rsid w:val="001A5518"/>
    <w:rsid w:val="001A703C"/>
    <w:rsid w:val="001A707D"/>
    <w:rsid w:val="001B217D"/>
    <w:rsid w:val="001B2B6E"/>
    <w:rsid w:val="001B433C"/>
    <w:rsid w:val="001B5ACE"/>
    <w:rsid w:val="001B6280"/>
    <w:rsid w:val="001C0319"/>
    <w:rsid w:val="001C5982"/>
    <w:rsid w:val="001C6A9C"/>
    <w:rsid w:val="001C7C2E"/>
    <w:rsid w:val="001D0F17"/>
    <w:rsid w:val="001D11BD"/>
    <w:rsid w:val="001D2C9F"/>
    <w:rsid w:val="001D4325"/>
    <w:rsid w:val="001D751A"/>
    <w:rsid w:val="001E009A"/>
    <w:rsid w:val="001E05E1"/>
    <w:rsid w:val="001E56F2"/>
    <w:rsid w:val="001E5D03"/>
    <w:rsid w:val="001E76AB"/>
    <w:rsid w:val="001E7BF0"/>
    <w:rsid w:val="001F0B78"/>
    <w:rsid w:val="001F0F73"/>
    <w:rsid w:val="001F11C5"/>
    <w:rsid w:val="001F203A"/>
    <w:rsid w:val="001F4393"/>
    <w:rsid w:val="001F6843"/>
    <w:rsid w:val="001F7842"/>
    <w:rsid w:val="00200EF0"/>
    <w:rsid w:val="00207294"/>
    <w:rsid w:val="00207332"/>
    <w:rsid w:val="00210AD5"/>
    <w:rsid w:val="00211B98"/>
    <w:rsid w:val="002121EA"/>
    <w:rsid w:val="00214987"/>
    <w:rsid w:val="002166C8"/>
    <w:rsid w:val="00216E87"/>
    <w:rsid w:val="00220B5C"/>
    <w:rsid w:val="002216C1"/>
    <w:rsid w:val="002217A7"/>
    <w:rsid w:val="002228E1"/>
    <w:rsid w:val="002233A7"/>
    <w:rsid w:val="002240DD"/>
    <w:rsid w:val="00230126"/>
    <w:rsid w:val="0023048B"/>
    <w:rsid w:val="00232285"/>
    <w:rsid w:val="002336A2"/>
    <w:rsid w:val="0023524C"/>
    <w:rsid w:val="00235327"/>
    <w:rsid w:val="002362CB"/>
    <w:rsid w:val="002369AC"/>
    <w:rsid w:val="00236C6B"/>
    <w:rsid w:val="002378F6"/>
    <w:rsid w:val="002412A7"/>
    <w:rsid w:val="00242024"/>
    <w:rsid w:val="002431B4"/>
    <w:rsid w:val="00243EAB"/>
    <w:rsid w:val="0024441B"/>
    <w:rsid w:val="00246ECA"/>
    <w:rsid w:val="00250284"/>
    <w:rsid w:val="00251068"/>
    <w:rsid w:val="0025173E"/>
    <w:rsid w:val="002545BB"/>
    <w:rsid w:val="0025471E"/>
    <w:rsid w:val="00255673"/>
    <w:rsid w:val="002575DE"/>
    <w:rsid w:val="0026086C"/>
    <w:rsid w:val="0026142E"/>
    <w:rsid w:val="00261FC0"/>
    <w:rsid w:val="002630AF"/>
    <w:rsid w:val="002634E2"/>
    <w:rsid w:val="00263F46"/>
    <w:rsid w:val="00263F57"/>
    <w:rsid w:val="002645C3"/>
    <w:rsid w:val="00265664"/>
    <w:rsid w:val="002677D9"/>
    <w:rsid w:val="00267C7E"/>
    <w:rsid w:val="00272241"/>
    <w:rsid w:val="002725F5"/>
    <w:rsid w:val="00275C39"/>
    <w:rsid w:val="0027654C"/>
    <w:rsid w:val="00276A82"/>
    <w:rsid w:val="00277F96"/>
    <w:rsid w:val="0028292F"/>
    <w:rsid w:val="00282EAD"/>
    <w:rsid w:val="00283771"/>
    <w:rsid w:val="002846B1"/>
    <w:rsid w:val="002847B5"/>
    <w:rsid w:val="00284FEA"/>
    <w:rsid w:val="00286E3F"/>
    <w:rsid w:val="002942DF"/>
    <w:rsid w:val="0029517F"/>
    <w:rsid w:val="00297069"/>
    <w:rsid w:val="002A294E"/>
    <w:rsid w:val="002A2BD0"/>
    <w:rsid w:val="002A5794"/>
    <w:rsid w:val="002A65CE"/>
    <w:rsid w:val="002A7F79"/>
    <w:rsid w:val="002B16B7"/>
    <w:rsid w:val="002B346C"/>
    <w:rsid w:val="002B556A"/>
    <w:rsid w:val="002C2003"/>
    <w:rsid w:val="002C60E2"/>
    <w:rsid w:val="002C6E86"/>
    <w:rsid w:val="002C73CB"/>
    <w:rsid w:val="002D1FD3"/>
    <w:rsid w:val="002D75B2"/>
    <w:rsid w:val="002E3778"/>
    <w:rsid w:val="002E3B6C"/>
    <w:rsid w:val="002E4647"/>
    <w:rsid w:val="002E5DB3"/>
    <w:rsid w:val="002E6B0C"/>
    <w:rsid w:val="002E758F"/>
    <w:rsid w:val="002E7E2F"/>
    <w:rsid w:val="002F1DBA"/>
    <w:rsid w:val="0030337F"/>
    <w:rsid w:val="003041C5"/>
    <w:rsid w:val="00305C9B"/>
    <w:rsid w:val="0030642A"/>
    <w:rsid w:val="00307E57"/>
    <w:rsid w:val="00310E5E"/>
    <w:rsid w:val="0031215C"/>
    <w:rsid w:val="003153F6"/>
    <w:rsid w:val="00315DB3"/>
    <w:rsid w:val="0031658B"/>
    <w:rsid w:val="0032145D"/>
    <w:rsid w:val="00321C3C"/>
    <w:rsid w:val="003237EF"/>
    <w:rsid w:val="003239EC"/>
    <w:rsid w:val="003257E9"/>
    <w:rsid w:val="00325961"/>
    <w:rsid w:val="003260E2"/>
    <w:rsid w:val="0032672A"/>
    <w:rsid w:val="00332D8E"/>
    <w:rsid w:val="00335389"/>
    <w:rsid w:val="00336A20"/>
    <w:rsid w:val="003373D2"/>
    <w:rsid w:val="00340F31"/>
    <w:rsid w:val="003413FF"/>
    <w:rsid w:val="0034277B"/>
    <w:rsid w:val="00342E60"/>
    <w:rsid w:val="00344959"/>
    <w:rsid w:val="00345ECB"/>
    <w:rsid w:val="003478BF"/>
    <w:rsid w:val="0035031C"/>
    <w:rsid w:val="00351007"/>
    <w:rsid w:val="00351D56"/>
    <w:rsid w:val="00352522"/>
    <w:rsid w:val="00354BC9"/>
    <w:rsid w:val="00355942"/>
    <w:rsid w:val="00356D4E"/>
    <w:rsid w:val="003611BD"/>
    <w:rsid w:val="00362D23"/>
    <w:rsid w:val="0036304A"/>
    <w:rsid w:val="00365A8B"/>
    <w:rsid w:val="00366F1D"/>
    <w:rsid w:val="003738C9"/>
    <w:rsid w:val="0037475B"/>
    <w:rsid w:val="00380F75"/>
    <w:rsid w:val="003810F1"/>
    <w:rsid w:val="00382590"/>
    <w:rsid w:val="00383502"/>
    <w:rsid w:val="00383CB1"/>
    <w:rsid w:val="00385841"/>
    <w:rsid w:val="00390DBD"/>
    <w:rsid w:val="00393EBC"/>
    <w:rsid w:val="00394BE3"/>
    <w:rsid w:val="00395A53"/>
    <w:rsid w:val="00395B96"/>
    <w:rsid w:val="00396D28"/>
    <w:rsid w:val="003A0B2F"/>
    <w:rsid w:val="003A3443"/>
    <w:rsid w:val="003A34B3"/>
    <w:rsid w:val="003A580B"/>
    <w:rsid w:val="003A5B96"/>
    <w:rsid w:val="003B212E"/>
    <w:rsid w:val="003B3E1B"/>
    <w:rsid w:val="003B4099"/>
    <w:rsid w:val="003B47FA"/>
    <w:rsid w:val="003B49E2"/>
    <w:rsid w:val="003B577C"/>
    <w:rsid w:val="003B7668"/>
    <w:rsid w:val="003C111B"/>
    <w:rsid w:val="003D01EC"/>
    <w:rsid w:val="003D0FB7"/>
    <w:rsid w:val="003D2105"/>
    <w:rsid w:val="003D3CB1"/>
    <w:rsid w:val="003D4838"/>
    <w:rsid w:val="003D6F8B"/>
    <w:rsid w:val="003D7B9B"/>
    <w:rsid w:val="003E71B5"/>
    <w:rsid w:val="003E75D1"/>
    <w:rsid w:val="003F0630"/>
    <w:rsid w:val="003F1D60"/>
    <w:rsid w:val="003F229B"/>
    <w:rsid w:val="003F4748"/>
    <w:rsid w:val="003F4E8D"/>
    <w:rsid w:val="003F78FB"/>
    <w:rsid w:val="00400252"/>
    <w:rsid w:val="00410F05"/>
    <w:rsid w:val="004117B0"/>
    <w:rsid w:val="004122B7"/>
    <w:rsid w:val="00412BA5"/>
    <w:rsid w:val="004134BB"/>
    <w:rsid w:val="00414343"/>
    <w:rsid w:val="00415D24"/>
    <w:rsid w:val="00417058"/>
    <w:rsid w:val="0041778E"/>
    <w:rsid w:val="00420CB6"/>
    <w:rsid w:val="00422477"/>
    <w:rsid w:val="00423D77"/>
    <w:rsid w:val="00426048"/>
    <w:rsid w:val="00436A8C"/>
    <w:rsid w:val="0044271E"/>
    <w:rsid w:val="00442B64"/>
    <w:rsid w:val="00443F94"/>
    <w:rsid w:val="004462AA"/>
    <w:rsid w:val="00446786"/>
    <w:rsid w:val="00447556"/>
    <w:rsid w:val="0044790A"/>
    <w:rsid w:val="0045063D"/>
    <w:rsid w:val="00450797"/>
    <w:rsid w:val="00451F17"/>
    <w:rsid w:val="00451F55"/>
    <w:rsid w:val="00451F9F"/>
    <w:rsid w:val="004521E7"/>
    <w:rsid w:val="0045245A"/>
    <w:rsid w:val="0045564F"/>
    <w:rsid w:val="00456E99"/>
    <w:rsid w:val="00464D85"/>
    <w:rsid w:val="004703AD"/>
    <w:rsid w:val="004703F8"/>
    <w:rsid w:val="00470A43"/>
    <w:rsid w:val="00471026"/>
    <w:rsid w:val="00477484"/>
    <w:rsid w:val="0047785E"/>
    <w:rsid w:val="00477FA6"/>
    <w:rsid w:val="00480418"/>
    <w:rsid w:val="0048172E"/>
    <w:rsid w:val="00482640"/>
    <w:rsid w:val="00483DB6"/>
    <w:rsid w:val="00484A42"/>
    <w:rsid w:val="0048668E"/>
    <w:rsid w:val="00487375"/>
    <w:rsid w:val="004901A4"/>
    <w:rsid w:val="00490C23"/>
    <w:rsid w:val="004928E2"/>
    <w:rsid w:val="00492BB7"/>
    <w:rsid w:val="0049419A"/>
    <w:rsid w:val="004947BE"/>
    <w:rsid w:val="00495BDE"/>
    <w:rsid w:val="00495FA4"/>
    <w:rsid w:val="0049679A"/>
    <w:rsid w:val="00496D72"/>
    <w:rsid w:val="004A02DB"/>
    <w:rsid w:val="004A065E"/>
    <w:rsid w:val="004A2E85"/>
    <w:rsid w:val="004A3C93"/>
    <w:rsid w:val="004A3D90"/>
    <w:rsid w:val="004A5388"/>
    <w:rsid w:val="004A61AB"/>
    <w:rsid w:val="004B02F0"/>
    <w:rsid w:val="004B197A"/>
    <w:rsid w:val="004B33B5"/>
    <w:rsid w:val="004B53EA"/>
    <w:rsid w:val="004B549F"/>
    <w:rsid w:val="004B5F82"/>
    <w:rsid w:val="004B763A"/>
    <w:rsid w:val="004C14A3"/>
    <w:rsid w:val="004C3FE4"/>
    <w:rsid w:val="004C5416"/>
    <w:rsid w:val="004C65EE"/>
    <w:rsid w:val="004C75FB"/>
    <w:rsid w:val="004D302C"/>
    <w:rsid w:val="004D3040"/>
    <w:rsid w:val="004D3E9C"/>
    <w:rsid w:val="004D6142"/>
    <w:rsid w:val="004D6747"/>
    <w:rsid w:val="004D78C6"/>
    <w:rsid w:val="004E0035"/>
    <w:rsid w:val="004E1C4A"/>
    <w:rsid w:val="004E2724"/>
    <w:rsid w:val="004E2E48"/>
    <w:rsid w:val="004E4059"/>
    <w:rsid w:val="004E47BF"/>
    <w:rsid w:val="004E5DFA"/>
    <w:rsid w:val="004E60E9"/>
    <w:rsid w:val="004E6865"/>
    <w:rsid w:val="004E764E"/>
    <w:rsid w:val="004F178C"/>
    <w:rsid w:val="004F380C"/>
    <w:rsid w:val="004F3B27"/>
    <w:rsid w:val="004F5789"/>
    <w:rsid w:val="004F5C7D"/>
    <w:rsid w:val="00500724"/>
    <w:rsid w:val="00500B14"/>
    <w:rsid w:val="0050249E"/>
    <w:rsid w:val="0050251C"/>
    <w:rsid w:val="0050495E"/>
    <w:rsid w:val="005137A5"/>
    <w:rsid w:val="005140C8"/>
    <w:rsid w:val="005161D1"/>
    <w:rsid w:val="005171D7"/>
    <w:rsid w:val="005173A3"/>
    <w:rsid w:val="00520769"/>
    <w:rsid w:val="00521D53"/>
    <w:rsid w:val="00522982"/>
    <w:rsid w:val="00524118"/>
    <w:rsid w:val="00527B0B"/>
    <w:rsid w:val="00530CE1"/>
    <w:rsid w:val="00531980"/>
    <w:rsid w:val="00532D28"/>
    <w:rsid w:val="00534CEA"/>
    <w:rsid w:val="00536CE1"/>
    <w:rsid w:val="00537CCD"/>
    <w:rsid w:val="0054025D"/>
    <w:rsid w:val="0054177E"/>
    <w:rsid w:val="00542647"/>
    <w:rsid w:val="00542925"/>
    <w:rsid w:val="0054557E"/>
    <w:rsid w:val="005511B6"/>
    <w:rsid w:val="00551356"/>
    <w:rsid w:val="00553A92"/>
    <w:rsid w:val="005624B4"/>
    <w:rsid w:val="005630F1"/>
    <w:rsid w:val="00563BFB"/>
    <w:rsid w:val="00566BE5"/>
    <w:rsid w:val="0056718B"/>
    <w:rsid w:val="00570EFB"/>
    <w:rsid w:val="00573E7D"/>
    <w:rsid w:val="005747EC"/>
    <w:rsid w:val="00576AF4"/>
    <w:rsid w:val="0057721E"/>
    <w:rsid w:val="00580A0B"/>
    <w:rsid w:val="005842F3"/>
    <w:rsid w:val="00584623"/>
    <w:rsid w:val="0058505C"/>
    <w:rsid w:val="00585CAA"/>
    <w:rsid w:val="0058760E"/>
    <w:rsid w:val="005876F3"/>
    <w:rsid w:val="00590F12"/>
    <w:rsid w:val="00592F21"/>
    <w:rsid w:val="00594380"/>
    <w:rsid w:val="00597043"/>
    <w:rsid w:val="00597306"/>
    <w:rsid w:val="005A0E77"/>
    <w:rsid w:val="005A2139"/>
    <w:rsid w:val="005A283D"/>
    <w:rsid w:val="005A335D"/>
    <w:rsid w:val="005A44CD"/>
    <w:rsid w:val="005A5E7D"/>
    <w:rsid w:val="005A64CE"/>
    <w:rsid w:val="005B1579"/>
    <w:rsid w:val="005B32E6"/>
    <w:rsid w:val="005B4F94"/>
    <w:rsid w:val="005B6355"/>
    <w:rsid w:val="005C207E"/>
    <w:rsid w:val="005C3C94"/>
    <w:rsid w:val="005C3D3F"/>
    <w:rsid w:val="005C492B"/>
    <w:rsid w:val="005C5B23"/>
    <w:rsid w:val="005C6E30"/>
    <w:rsid w:val="005C79C6"/>
    <w:rsid w:val="005D10B8"/>
    <w:rsid w:val="005D1CD5"/>
    <w:rsid w:val="005D2485"/>
    <w:rsid w:val="005D2CA2"/>
    <w:rsid w:val="005D6552"/>
    <w:rsid w:val="005D6811"/>
    <w:rsid w:val="005E0E07"/>
    <w:rsid w:val="005E10C7"/>
    <w:rsid w:val="005E196E"/>
    <w:rsid w:val="005E1F82"/>
    <w:rsid w:val="005E27CA"/>
    <w:rsid w:val="005E2A98"/>
    <w:rsid w:val="005E4AB5"/>
    <w:rsid w:val="005F19BA"/>
    <w:rsid w:val="005F5748"/>
    <w:rsid w:val="005F748B"/>
    <w:rsid w:val="006045B3"/>
    <w:rsid w:val="006046BA"/>
    <w:rsid w:val="006048CE"/>
    <w:rsid w:val="006049AE"/>
    <w:rsid w:val="00604F49"/>
    <w:rsid w:val="00606BD9"/>
    <w:rsid w:val="006070BC"/>
    <w:rsid w:val="00607E42"/>
    <w:rsid w:val="00611D30"/>
    <w:rsid w:val="006124F2"/>
    <w:rsid w:val="00612D92"/>
    <w:rsid w:val="00613519"/>
    <w:rsid w:val="00615B4F"/>
    <w:rsid w:val="006229C1"/>
    <w:rsid w:val="00624770"/>
    <w:rsid w:val="00624D03"/>
    <w:rsid w:val="006264CC"/>
    <w:rsid w:val="006272CB"/>
    <w:rsid w:val="00627587"/>
    <w:rsid w:val="00627760"/>
    <w:rsid w:val="00630653"/>
    <w:rsid w:val="0063122E"/>
    <w:rsid w:val="006351FD"/>
    <w:rsid w:val="00637785"/>
    <w:rsid w:val="00640871"/>
    <w:rsid w:val="00640FCB"/>
    <w:rsid w:val="006432E7"/>
    <w:rsid w:val="00646ACA"/>
    <w:rsid w:val="00646B65"/>
    <w:rsid w:val="00646CE4"/>
    <w:rsid w:val="00646D58"/>
    <w:rsid w:val="00651CB9"/>
    <w:rsid w:val="00653331"/>
    <w:rsid w:val="00654391"/>
    <w:rsid w:val="00654618"/>
    <w:rsid w:val="00655F5A"/>
    <w:rsid w:val="0066365F"/>
    <w:rsid w:val="00664C0E"/>
    <w:rsid w:val="00665A31"/>
    <w:rsid w:val="0067001C"/>
    <w:rsid w:val="00670EF4"/>
    <w:rsid w:val="00673403"/>
    <w:rsid w:val="00674EAC"/>
    <w:rsid w:val="00677934"/>
    <w:rsid w:val="00682BB4"/>
    <w:rsid w:val="00686651"/>
    <w:rsid w:val="00686940"/>
    <w:rsid w:val="006A0AE7"/>
    <w:rsid w:val="006A1A3F"/>
    <w:rsid w:val="006A2530"/>
    <w:rsid w:val="006A5CC3"/>
    <w:rsid w:val="006A63B6"/>
    <w:rsid w:val="006B01E9"/>
    <w:rsid w:val="006B1826"/>
    <w:rsid w:val="006B1B8F"/>
    <w:rsid w:val="006B599E"/>
    <w:rsid w:val="006B7A95"/>
    <w:rsid w:val="006C06F4"/>
    <w:rsid w:val="006C0C01"/>
    <w:rsid w:val="006C15CB"/>
    <w:rsid w:val="006C17B7"/>
    <w:rsid w:val="006C2BB9"/>
    <w:rsid w:val="006C6B99"/>
    <w:rsid w:val="006C733A"/>
    <w:rsid w:val="006D06C2"/>
    <w:rsid w:val="006D3D34"/>
    <w:rsid w:val="006D5B6F"/>
    <w:rsid w:val="006D5E3E"/>
    <w:rsid w:val="006E11B4"/>
    <w:rsid w:val="006E2137"/>
    <w:rsid w:val="006E6C30"/>
    <w:rsid w:val="006E6FA6"/>
    <w:rsid w:val="006E7139"/>
    <w:rsid w:val="006E7D77"/>
    <w:rsid w:val="006F594D"/>
    <w:rsid w:val="006F643C"/>
    <w:rsid w:val="006F67DB"/>
    <w:rsid w:val="0070248C"/>
    <w:rsid w:val="007025D6"/>
    <w:rsid w:val="0070517D"/>
    <w:rsid w:val="00705B14"/>
    <w:rsid w:val="00711546"/>
    <w:rsid w:val="00711A58"/>
    <w:rsid w:val="00712771"/>
    <w:rsid w:val="00714C97"/>
    <w:rsid w:val="00714CBE"/>
    <w:rsid w:val="007234B2"/>
    <w:rsid w:val="00723CD5"/>
    <w:rsid w:val="0072470D"/>
    <w:rsid w:val="0072582C"/>
    <w:rsid w:val="00725C3B"/>
    <w:rsid w:val="007264F3"/>
    <w:rsid w:val="00730CBF"/>
    <w:rsid w:val="00737034"/>
    <w:rsid w:val="00741A7B"/>
    <w:rsid w:val="00742B92"/>
    <w:rsid w:val="007434C9"/>
    <w:rsid w:val="00744B15"/>
    <w:rsid w:val="00744D3A"/>
    <w:rsid w:val="00747DDB"/>
    <w:rsid w:val="00750274"/>
    <w:rsid w:val="00750977"/>
    <w:rsid w:val="00752077"/>
    <w:rsid w:val="0075482B"/>
    <w:rsid w:val="00762196"/>
    <w:rsid w:val="00763210"/>
    <w:rsid w:val="007634BC"/>
    <w:rsid w:val="00763E29"/>
    <w:rsid w:val="007642B1"/>
    <w:rsid w:val="007652B8"/>
    <w:rsid w:val="0077025F"/>
    <w:rsid w:val="0077303E"/>
    <w:rsid w:val="00775977"/>
    <w:rsid w:val="0078173D"/>
    <w:rsid w:val="00782BD5"/>
    <w:rsid w:val="00783F23"/>
    <w:rsid w:val="00784E56"/>
    <w:rsid w:val="00786709"/>
    <w:rsid w:val="00786BBC"/>
    <w:rsid w:val="00787562"/>
    <w:rsid w:val="007907A4"/>
    <w:rsid w:val="00790B8E"/>
    <w:rsid w:val="00792185"/>
    <w:rsid w:val="007948D8"/>
    <w:rsid w:val="00794913"/>
    <w:rsid w:val="00795D04"/>
    <w:rsid w:val="007971D8"/>
    <w:rsid w:val="007A0375"/>
    <w:rsid w:val="007A16A4"/>
    <w:rsid w:val="007A2E5C"/>
    <w:rsid w:val="007A2FC7"/>
    <w:rsid w:val="007A47F0"/>
    <w:rsid w:val="007A49ED"/>
    <w:rsid w:val="007A4AA2"/>
    <w:rsid w:val="007A53CF"/>
    <w:rsid w:val="007A62B6"/>
    <w:rsid w:val="007A6D36"/>
    <w:rsid w:val="007A799E"/>
    <w:rsid w:val="007B2B23"/>
    <w:rsid w:val="007B5DDF"/>
    <w:rsid w:val="007C0D96"/>
    <w:rsid w:val="007C23EB"/>
    <w:rsid w:val="007C4311"/>
    <w:rsid w:val="007C4329"/>
    <w:rsid w:val="007D0B08"/>
    <w:rsid w:val="007D0D85"/>
    <w:rsid w:val="007D0F13"/>
    <w:rsid w:val="007D1C92"/>
    <w:rsid w:val="007D5737"/>
    <w:rsid w:val="007D71D0"/>
    <w:rsid w:val="007E0A6B"/>
    <w:rsid w:val="007E1C9C"/>
    <w:rsid w:val="007E496C"/>
    <w:rsid w:val="007E4E3B"/>
    <w:rsid w:val="007E50C8"/>
    <w:rsid w:val="007E61F7"/>
    <w:rsid w:val="007F07E6"/>
    <w:rsid w:val="007F40D0"/>
    <w:rsid w:val="00802015"/>
    <w:rsid w:val="008024EE"/>
    <w:rsid w:val="00803B2D"/>
    <w:rsid w:val="00804851"/>
    <w:rsid w:val="00806E2C"/>
    <w:rsid w:val="0081068F"/>
    <w:rsid w:val="00810892"/>
    <w:rsid w:val="00813D4C"/>
    <w:rsid w:val="00817303"/>
    <w:rsid w:val="00817437"/>
    <w:rsid w:val="00817AEE"/>
    <w:rsid w:val="00824388"/>
    <w:rsid w:val="008247F6"/>
    <w:rsid w:val="00827155"/>
    <w:rsid w:val="008272B9"/>
    <w:rsid w:val="0082783A"/>
    <w:rsid w:val="008315FF"/>
    <w:rsid w:val="008343C0"/>
    <w:rsid w:val="008348CA"/>
    <w:rsid w:val="00835463"/>
    <w:rsid w:val="00836D98"/>
    <w:rsid w:val="008377CE"/>
    <w:rsid w:val="00837F6A"/>
    <w:rsid w:val="00840408"/>
    <w:rsid w:val="00841CCF"/>
    <w:rsid w:val="008428FC"/>
    <w:rsid w:val="008439B8"/>
    <w:rsid w:val="00845E5E"/>
    <w:rsid w:val="0084635A"/>
    <w:rsid w:val="00846C48"/>
    <w:rsid w:val="008479BE"/>
    <w:rsid w:val="0085347F"/>
    <w:rsid w:val="008551A0"/>
    <w:rsid w:val="00856D19"/>
    <w:rsid w:val="008579D9"/>
    <w:rsid w:val="008607D1"/>
    <w:rsid w:val="008660C7"/>
    <w:rsid w:val="00866197"/>
    <w:rsid w:val="00866FA4"/>
    <w:rsid w:val="008671AA"/>
    <w:rsid w:val="00870395"/>
    <w:rsid w:val="0087046F"/>
    <w:rsid w:val="008709D3"/>
    <w:rsid w:val="0087392D"/>
    <w:rsid w:val="008739F2"/>
    <w:rsid w:val="00875050"/>
    <w:rsid w:val="00875755"/>
    <w:rsid w:val="00876DE4"/>
    <w:rsid w:val="00877271"/>
    <w:rsid w:val="00880BFC"/>
    <w:rsid w:val="00881035"/>
    <w:rsid w:val="00883EFE"/>
    <w:rsid w:val="00884210"/>
    <w:rsid w:val="00885180"/>
    <w:rsid w:val="00886C5F"/>
    <w:rsid w:val="00892351"/>
    <w:rsid w:val="00892382"/>
    <w:rsid w:val="008935BB"/>
    <w:rsid w:val="008949EF"/>
    <w:rsid w:val="0089662C"/>
    <w:rsid w:val="00897F84"/>
    <w:rsid w:val="008A19F4"/>
    <w:rsid w:val="008A1DDF"/>
    <w:rsid w:val="008A4B12"/>
    <w:rsid w:val="008A5B17"/>
    <w:rsid w:val="008A6EF0"/>
    <w:rsid w:val="008A7D0D"/>
    <w:rsid w:val="008B0168"/>
    <w:rsid w:val="008B1718"/>
    <w:rsid w:val="008B2D77"/>
    <w:rsid w:val="008B36DD"/>
    <w:rsid w:val="008B5E44"/>
    <w:rsid w:val="008B638D"/>
    <w:rsid w:val="008B788A"/>
    <w:rsid w:val="008C12D1"/>
    <w:rsid w:val="008C14AA"/>
    <w:rsid w:val="008C2F6A"/>
    <w:rsid w:val="008C4C60"/>
    <w:rsid w:val="008C70F8"/>
    <w:rsid w:val="008C7B40"/>
    <w:rsid w:val="008D0829"/>
    <w:rsid w:val="008D1F7E"/>
    <w:rsid w:val="008D2F2F"/>
    <w:rsid w:val="008D3173"/>
    <w:rsid w:val="008D5A4D"/>
    <w:rsid w:val="008D5C9F"/>
    <w:rsid w:val="008D67BF"/>
    <w:rsid w:val="008E41B5"/>
    <w:rsid w:val="008E7E29"/>
    <w:rsid w:val="008F00CB"/>
    <w:rsid w:val="008F1208"/>
    <w:rsid w:val="008F25C1"/>
    <w:rsid w:val="0090305D"/>
    <w:rsid w:val="00904FD7"/>
    <w:rsid w:val="00907260"/>
    <w:rsid w:val="00910304"/>
    <w:rsid w:val="00911F64"/>
    <w:rsid w:val="0091289B"/>
    <w:rsid w:val="009143A5"/>
    <w:rsid w:val="009146BF"/>
    <w:rsid w:val="00916A20"/>
    <w:rsid w:val="00916FF2"/>
    <w:rsid w:val="00917655"/>
    <w:rsid w:val="009204B9"/>
    <w:rsid w:val="009210A1"/>
    <w:rsid w:val="009220D2"/>
    <w:rsid w:val="009222C3"/>
    <w:rsid w:val="00924F84"/>
    <w:rsid w:val="00927403"/>
    <w:rsid w:val="00930353"/>
    <w:rsid w:val="00930F47"/>
    <w:rsid w:val="00933651"/>
    <w:rsid w:val="009346EC"/>
    <w:rsid w:val="009364A0"/>
    <w:rsid w:val="00937EF0"/>
    <w:rsid w:val="00941018"/>
    <w:rsid w:val="00941661"/>
    <w:rsid w:val="00941FCD"/>
    <w:rsid w:val="009427FA"/>
    <w:rsid w:val="00942C7B"/>
    <w:rsid w:val="009453DC"/>
    <w:rsid w:val="00945BD5"/>
    <w:rsid w:val="00945F61"/>
    <w:rsid w:val="00946AC3"/>
    <w:rsid w:val="009530B8"/>
    <w:rsid w:val="009530F6"/>
    <w:rsid w:val="00955359"/>
    <w:rsid w:val="009577F0"/>
    <w:rsid w:val="009615C5"/>
    <w:rsid w:val="009616B5"/>
    <w:rsid w:val="0096236A"/>
    <w:rsid w:val="00964337"/>
    <w:rsid w:val="009677D0"/>
    <w:rsid w:val="00970738"/>
    <w:rsid w:val="0097690A"/>
    <w:rsid w:val="00976E51"/>
    <w:rsid w:val="00981791"/>
    <w:rsid w:val="0098208D"/>
    <w:rsid w:val="00982115"/>
    <w:rsid w:val="00982860"/>
    <w:rsid w:val="00983621"/>
    <w:rsid w:val="00985104"/>
    <w:rsid w:val="009854EA"/>
    <w:rsid w:val="009919D5"/>
    <w:rsid w:val="00992643"/>
    <w:rsid w:val="0099689E"/>
    <w:rsid w:val="00996C5E"/>
    <w:rsid w:val="009A329F"/>
    <w:rsid w:val="009A3D29"/>
    <w:rsid w:val="009A4B79"/>
    <w:rsid w:val="009A5742"/>
    <w:rsid w:val="009B1397"/>
    <w:rsid w:val="009B36B0"/>
    <w:rsid w:val="009B3792"/>
    <w:rsid w:val="009B3C5A"/>
    <w:rsid w:val="009B5007"/>
    <w:rsid w:val="009B6647"/>
    <w:rsid w:val="009B79B5"/>
    <w:rsid w:val="009B7B4E"/>
    <w:rsid w:val="009C2365"/>
    <w:rsid w:val="009C2417"/>
    <w:rsid w:val="009C4A0D"/>
    <w:rsid w:val="009C4E37"/>
    <w:rsid w:val="009C5489"/>
    <w:rsid w:val="009C6153"/>
    <w:rsid w:val="009C6A30"/>
    <w:rsid w:val="009C720E"/>
    <w:rsid w:val="009C726E"/>
    <w:rsid w:val="009D39BC"/>
    <w:rsid w:val="009D589F"/>
    <w:rsid w:val="009D6BC0"/>
    <w:rsid w:val="009D7221"/>
    <w:rsid w:val="009E18FA"/>
    <w:rsid w:val="009E4AE5"/>
    <w:rsid w:val="009E6850"/>
    <w:rsid w:val="009E7528"/>
    <w:rsid w:val="009F3153"/>
    <w:rsid w:val="009F5ED5"/>
    <w:rsid w:val="009F605A"/>
    <w:rsid w:val="009F668E"/>
    <w:rsid w:val="00A01792"/>
    <w:rsid w:val="00A027FB"/>
    <w:rsid w:val="00A030B0"/>
    <w:rsid w:val="00A05D29"/>
    <w:rsid w:val="00A0778E"/>
    <w:rsid w:val="00A10205"/>
    <w:rsid w:val="00A10BBE"/>
    <w:rsid w:val="00A11539"/>
    <w:rsid w:val="00A13471"/>
    <w:rsid w:val="00A1465F"/>
    <w:rsid w:val="00A1602A"/>
    <w:rsid w:val="00A17815"/>
    <w:rsid w:val="00A2725E"/>
    <w:rsid w:val="00A30D13"/>
    <w:rsid w:val="00A30D50"/>
    <w:rsid w:val="00A316E3"/>
    <w:rsid w:val="00A31F4C"/>
    <w:rsid w:val="00A346CB"/>
    <w:rsid w:val="00A350FE"/>
    <w:rsid w:val="00A35850"/>
    <w:rsid w:val="00A35B39"/>
    <w:rsid w:val="00A35FD3"/>
    <w:rsid w:val="00A365A9"/>
    <w:rsid w:val="00A41AED"/>
    <w:rsid w:val="00A435CA"/>
    <w:rsid w:val="00A44BB0"/>
    <w:rsid w:val="00A46879"/>
    <w:rsid w:val="00A46F92"/>
    <w:rsid w:val="00A47089"/>
    <w:rsid w:val="00A507B7"/>
    <w:rsid w:val="00A5293F"/>
    <w:rsid w:val="00A54E45"/>
    <w:rsid w:val="00A55102"/>
    <w:rsid w:val="00A56526"/>
    <w:rsid w:val="00A6129C"/>
    <w:rsid w:val="00A62F3C"/>
    <w:rsid w:val="00A63332"/>
    <w:rsid w:val="00A64163"/>
    <w:rsid w:val="00A66B37"/>
    <w:rsid w:val="00A71E59"/>
    <w:rsid w:val="00A7462C"/>
    <w:rsid w:val="00A75E74"/>
    <w:rsid w:val="00A76F47"/>
    <w:rsid w:val="00A821E6"/>
    <w:rsid w:val="00A82A4D"/>
    <w:rsid w:val="00A85622"/>
    <w:rsid w:val="00A85D0D"/>
    <w:rsid w:val="00A8668C"/>
    <w:rsid w:val="00A86B39"/>
    <w:rsid w:val="00A93093"/>
    <w:rsid w:val="00A94153"/>
    <w:rsid w:val="00A9626B"/>
    <w:rsid w:val="00A96607"/>
    <w:rsid w:val="00AA1637"/>
    <w:rsid w:val="00AA43E1"/>
    <w:rsid w:val="00AA5351"/>
    <w:rsid w:val="00AA76BE"/>
    <w:rsid w:val="00AB0E53"/>
    <w:rsid w:val="00AB1C17"/>
    <w:rsid w:val="00AB1C82"/>
    <w:rsid w:val="00AB2CF4"/>
    <w:rsid w:val="00AB3F36"/>
    <w:rsid w:val="00AB5E61"/>
    <w:rsid w:val="00AB5EB7"/>
    <w:rsid w:val="00AB63BE"/>
    <w:rsid w:val="00AC037A"/>
    <w:rsid w:val="00AC0979"/>
    <w:rsid w:val="00AC28C3"/>
    <w:rsid w:val="00AC2976"/>
    <w:rsid w:val="00AC4434"/>
    <w:rsid w:val="00AC4F36"/>
    <w:rsid w:val="00AC7F20"/>
    <w:rsid w:val="00AD0F28"/>
    <w:rsid w:val="00AD3195"/>
    <w:rsid w:val="00AE00AA"/>
    <w:rsid w:val="00AE06DC"/>
    <w:rsid w:val="00AE0F0E"/>
    <w:rsid w:val="00AE14F5"/>
    <w:rsid w:val="00AE486B"/>
    <w:rsid w:val="00AE497B"/>
    <w:rsid w:val="00AE602F"/>
    <w:rsid w:val="00AF10DB"/>
    <w:rsid w:val="00AF12E7"/>
    <w:rsid w:val="00AF2A1C"/>
    <w:rsid w:val="00AF3102"/>
    <w:rsid w:val="00AF4724"/>
    <w:rsid w:val="00AF66F1"/>
    <w:rsid w:val="00AF7AA6"/>
    <w:rsid w:val="00B01809"/>
    <w:rsid w:val="00B02371"/>
    <w:rsid w:val="00B04565"/>
    <w:rsid w:val="00B0683C"/>
    <w:rsid w:val="00B06A93"/>
    <w:rsid w:val="00B07E79"/>
    <w:rsid w:val="00B11AB5"/>
    <w:rsid w:val="00B122CD"/>
    <w:rsid w:val="00B124E6"/>
    <w:rsid w:val="00B12962"/>
    <w:rsid w:val="00B151BB"/>
    <w:rsid w:val="00B17545"/>
    <w:rsid w:val="00B20101"/>
    <w:rsid w:val="00B20649"/>
    <w:rsid w:val="00B23C4C"/>
    <w:rsid w:val="00B24F51"/>
    <w:rsid w:val="00B269E5"/>
    <w:rsid w:val="00B30E6B"/>
    <w:rsid w:val="00B34288"/>
    <w:rsid w:val="00B348C8"/>
    <w:rsid w:val="00B411CD"/>
    <w:rsid w:val="00B412A5"/>
    <w:rsid w:val="00B43571"/>
    <w:rsid w:val="00B43BA4"/>
    <w:rsid w:val="00B43F57"/>
    <w:rsid w:val="00B51A95"/>
    <w:rsid w:val="00B5272F"/>
    <w:rsid w:val="00B54CB4"/>
    <w:rsid w:val="00B55BAD"/>
    <w:rsid w:val="00B56A25"/>
    <w:rsid w:val="00B612A7"/>
    <w:rsid w:val="00B64EB0"/>
    <w:rsid w:val="00B66F13"/>
    <w:rsid w:val="00B674A4"/>
    <w:rsid w:val="00B700F7"/>
    <w:rsid w:val="00B704A0"/>
    <w:rsid w:val="00B71CC1"/>
    <w:rsid w:val="00B728A2"/>
    <w:rsid w:val="00B76917"/>
    <w:rsid w:val="00B7749E"/>
    <w:rsid w:val="00B8171B"/>
    <w:rsid w:val="00B82D82"/>
    <w:rsid w:val="00B8414E"/>
    <w:rsid w:val="00B86FB6"/>
    <w:rsid w:val="00B902CF"/>
    <w:rsid w:val="00B93C47"/>
    <w:rsid w:val="00B93DA7"/>
    <w:rsid w:val="00B9433A"/>
    <w:rsid w:val="00B94C5A"/>
    <w:rsid w:val="00B94D0D"/>
    <w:rsid w:val="00BA5175"/>
    <w:rsid w:val="00BA6B48"/>
    <w:rsid w:val="00BA6C36"/>
    <w:rsid w:val="00BA71F0"/>
    <w:rsid w:val="00BA7623"/>
    <w:rsid w:val="00BA7675"/>
    <w:rsid w:val="00BB05B2"/>
    <w:rsid w:val="00BB15AB"/>
    <w:rsid w:val="00BB5A44"/>
    <w:rsid w:val="00BB5FB4"/>
    <w:rsid w:val="00BB6231"/>
    <w:rsid w:val="00BB7631"/>
    <w:rsid w:val="00BC0556"/>
    <w:rsid w:val="00BC0E53"/>
    <w:rsid w:val="00BC0E86"/>
    <w:rsid w:val="00BC23AC"/>
    <w:rsid w:val="00BC2B2D"/>
    <w:rsid w:val="00BC2E1D"/>
    <w:rsid w:val="00BC5A81"/>
    <w:rsid w:val="00BC63C6"/>
    <w:rsid w:val="00BD0233"/>
    <w:rsid w:val="00BD0902"/>
    <w:rsid w:val="00BD0D31"/>
    <w:rsid w:val="00BD176F"/>
    <w:rsid w:val="00BD1914"/>
    <w:rsid w:val="00BD1DDC"/>
    <w:rsid w:val="00BD1FEE"/>
    <w:rsid w:val="00BD33C0"/>
    <w:rsid w:val="00BD36C7"/>
    <w:rsid w:val="00BD3FCF"/>
    <w:rsid w:val="00BD44AB"/>
    <w:rsid w:val="00BD4671"/>
    <w:rsid w:val="00BD47E8"/>
    <w:rsid w:val="00BD5A7D"/>
    <w:rsid w:val="00BE0426"/>
    <w:rsid w:val="00BE27FE"/>
    <w:rsid w:val="00BE2E2B"/>
    <w:rsid w:val="00BE50BF"/>
    <w:rsid w:val="00BE5727"/>
    <w:rsid w:val="00BE5F02"/>
    <w:rsid w:val="00BE6613"/>
    <w:rsid w:val="00BE7B1F"/>
    <w:rsid w:val="00BE7DF6"/>
    <w:rsid w:val="00BF6F98"/>
    <w:rsid w:val="00BF7012"/>
    <w:rsid w:val="00BF7C53"/>
    <w:rsid w:val="00C0118B"/>
    <w:rsid w:val="00C05539"/>
    <w:rsid w:val="00C07876"/>
    <w:rsid w:val="00C07ECB"/>
    <w:rsid w:val="00C07FD3"/>
    <w:rsid w:val="00C118A3"/>
    <w:rsid w:val="00C1498F"/>
    <w:rsid w:val="00C14E0E"/>
    <w:rsid w:val="00C152A9"/>
    <w:rsid w:val="00C157EA"/>
    <w:rsid w:val="00C165F8"/>
    <w:rsid w:val="00C20452"/>
    <w:rsid w:val="00C21745"/>
    <w:rsid w:val="00C24EE9"/>
    <w:rsid w:val="00C25E60"/>
    <w:rsid w:val="00C26080"/>
    <w:rsid w:val="00C30B64"/>
    <w:rsid w:val="00C30BD3"/>
    <w:rsid w:val="00C32793"/>
    <w:rsid w:val="00C3375C"/>
    <w:rsid w:val="00C33B4C"/>
    <w:rsid w:val="00C348A8"/>
    <w:rsid w:val="00C36384"/>
    <w:rsid w:val="00C3673E"/>
    <w:rsid w:val="00C36C84"/>
    <w:rsid w:val="00C429B3"/>
    <w:rsid w:val="00C43110"/>
    <w:rsid w:val="00C44A64"/>
    <w:rsid w:val="00C4517B"/>
    <w:rsid w:val="00C461B6"/>
    <w:rsid w:val="00C467B4"/>
    <w:rsid w:val="00C51CF3"/>
    <w:rsid w:val="00C5343A"/>
    <w:rsid w:val="00C57D66"/>
    <w:rsid w:val="00C57E80"/>
    <w:rsid w:val="00C61A67"/>
    <w:rsid w:val="00C65BB6"/>
    <w:rsid w:val="00C7140F"/>
    <w:rsid w:val="00C71474"/>
    <w:rsid w:val="00C72FB9"/>
    <w:rsid w:val="00C74789"/>
    <w:rsid w:val="00C779F8"/>
    <w:rsid w:val="00C81E5F"/>
    <w:rsid w:val="00C82A8E"/>
    <w:rsid w:val="00C82FE9"/>
    <w:rsid w:val="00C84497"/>
    <w:rsid w:val="00C84CD9"/>
    <w:rsid w:val="00C85158"/>
    <w:rsid w:val="00C915DF"/>
    <w:rsid w:val="00C920F5"/>
    <w:rsid w:val="00C943C5"/>
    <w:rsid w:val="00C94C4A"/>
    <w:rsid w:val="00C95587"/>
    <w:rsid w:val="00C97C33"/>
    <w:rsid w:val="00CA005A"/>
    <w:rsid w:val="00CA039F"/>
    <w:rsid w:val="00CA0CED"/>
    <w:rsid w:val="00CA13B1"/>
    <w:rsid w:val="00CA1675"/>
    <w:rsid w:val="00CA1EDA"/>
    <w:rsid w:val="00CA298B"/>
    <w:rsid w:val="00CA2FC1"/>
    <w:rsid w:val="00CA671C"/>
    <w:rsid w:val="00CA7EAA"/>
    <w:rsid w:val="00CB0D93"/>
    <w:rsid w:val="00CB13A6"/>
    <w:rsid w:val="00CB2643"/>
    <w:rsid w:val="00CB38F7"/>
    <w:rsid w:val="00CB51C2"/>
    <w:rsid w:val="00CB6FFC"/>
    <w:rsid w:val="00CC0066"/>
    <w:rsid w:val="00CC099E"/>
    <w:rsid w:val="00CC2A9C"/>
    <w:rsid w:val="00CC3673"/>
    <w:rsid w:val="00CC468C"/>
    <w:rsid w:val="00CC685F"/>
    <w:rsid w:val="00CC6C40"/>
    <w:rsid w:val="00CD3A49"/>
    <w:rsid w:val="00CD5565"/>
    <w:rsid w:val="00CE09F8"/>
    <w:rsid w:val="00CE34F0"/>
    <w:rsid w:val="00CE354A"/>
    <w:rsid w:val="00CE647B"/>
    <w:rsid w:val="00CE72CA"/>
    <w:rsid w:val="00CE7327"/>
    <w:rsid w:val="00CF520A"/>
    <w:rsid w:val="00D0119D"/>
    <w:rsid w:val="00D017BE"/>
    <w:rsid w:val="00D01F04"/>
    <w:rsid w:val="00D02EC8"/>
    <w:rsid w:val="00D0464F"/>
    <w:rsid w:val="00D061A5"/>
    <w:rsid w:val="00D11444"/>
    <w:rsid w:val="00D1163E"/>
    <w:rsid w:val="00D11C56"/>
    <w:rsid w:val="00D1242D"/>
    <w:rsid w:val="00D12898"/>
    <w:rsid w:val="00D14C8B"/>
    <w:rsid w:val="00D20654"/>
    <w:rsid w:val="00D27F0B"/>
    <w:rsid w:val="00D3026A"/>
    <w:rsid w:val="00D30B50"/>
    <w:rsid w:val="00D32A8F"/>
    <w:rsid w:val="00D330CA"/>
    <w:rsid w:val="00D3541F"/>
    <w:rsid w:val="00D4418D"/>
    <w:rsid w:val="00D44DFD"/>
    <w:rsid w:val="00D44F2E"/>
    <w:rsid w:val="00D4659F"/>
    <w:rsid w:val="00D47013"/>
    <w:rsid w:val="00D502D5"/>
    <w:rsid w:val="00D50D7B"/>
    <w:rsid w:val="00D50E75"/>
    <w:rsid w:val="00D54967"/>
    <w:rsid w:val="00D55C1B"/>
    <w:rsid w:val="00D55CF5"/>
    <w:rsid w:val="00D60E1E"/>
    <w:rsid w:val="00D6185D"/>
    <w:rsid w:val="00D63E65"/>
    <w:rsid w:val="00D65C9F"/>
    <w:rsid w:val="00D66874"/>
    <w:rsid w:val="00D6722C"/>
    <w:rsid w:val="00D71A57"/>
    <w:rsid w:val="00D72169"/>
    <w:rsid w:val="00D76334"/>
    <w:rsid w:val="00D83E4B"/>
    <w:rsid w:val="00D870F8"/>
    <w:rsid w:val="00D9132F"/>
    <w:rsid w:val="00D92EE1"/>
    <w:rsid w:val="00D943EF"/>
    <w:rsid w:val="00D94F6B"/>
    <w:rsid w:val="00D96B27"/>
    <w:rsid w:val="00DA08DA"/>
    <w:rsid w:val="00DA2B90"/>
    <w:rsid w:val="00DB3F3B"/>
    <w:rsid w:val="00DB4B0C"/>
    <w:rsid w:val="00DB65BE"/>
    <w:rsid w:val="00DC00FD"/>
    <w:rsid w:val="00DC446A"/>
    <w:rsid w:val="00DC4951"/>
    <w:rsid w:val="00DC5634"/>
    <w:rsid w:val="00DC5CCB"/>
    <w:rsid w:val="00DC7F92"/>
    <w:rsid w:val="00DD26EB"/>
    <w:rsid w:val="00DD34FB"/>
    <w:rsid w:val="00DD3686"/>
    <w:rsid w:val="00DD368E"/>
    <w:rsid w:val="00DD4347"/>
    <w:rsid w:val="00DD4B50"/>
    <w:rsid w:val="00DD516A"/>
    <w:rsid w:val="00DD5FFD"/>
    <w:rsid w:val="00DE3AC5"/>
    <w:rsid w:val="00DE4277"/>
    <w:rsid w:val="00DE4451"/>
    <w:rsid w:val="00DE6117"/>
    <w:rsid w:val="00DE7A83"/>
    <w:rsid w:val="00DF4F93"/>
    <w:rsid w:val="00DF58F0"/>
    <w:rsid w:val="00DF61E7"/>
    <w:rsid w:val="00DF652F"/>
    <w:rsid w:val="00DF6E49"/>
    <w:rsid w:val="00DF724F"/>
    <w:rsid w:val="00DF7F51"/>
    <w:rsid w:val="00E041F1"/>
    <w:rsid w:val="00E05165"/>
    <w:rsid w:val="00E054E5"/>
    <w:rsid w:val="00E05895"/>
    <w:rsid w:val="00E10F9F"/>
    <w:rsid w:val="00E112F9"/>
    <w:rsid w:val="00E11F18"/>
    <w:rsid w:val="00E128A8"/>
    <w:rsid w:val="00E1566F"/>
    <w:rsid w:val="00E15D08"/>
    <w:rsid w:val="00E16603"/>
    <w:rsid w:val="00E17895"/>
    <w:rsid w:val="00E2075A"/>
    <w:rsid w:val="00E22514"/>
    <w:rsid w:val="00E226B1"/>
    <w:rsid w:val="00E26326"/>
    <w:rsid w:val="00E2646F"/>
    <w:rsid w:val="00E26934"/>
    <w:rsid w:val="00E300A9"/>
    <w:rsid w:val="00E3120E"/>
    <w:rsid w:val="00E31C53"/>
    <w:rsid w:val="00E327A3"/>
    <w:rsid w:val="00E3305E"/>
    <w:rsid w:val="00E3325E"/>
    <w:rsid w:val="00E33544"/>
    <w:rsid w:val="00E34238"/>
    <w:rsid w:val="00E3459F"/>
    <w:rsid w:val="00E42018"/>
    <w:rsid w:val="00E42100"/>
    <w:rsid w:val="00E4290E"/>
    <w:rsid w:val="00E44308"/>
    <w:rsid w:val="00E45E6D"/>
    <w:rsid w:val="00E46CE3"/>
    <w:rsid w:val="00E51EE7"/>
    <w:rsid w:val="00E52A61"/>
    <w:rsid w:val="00E53B31"/>
    <w:rsid w:val="00E552A7"/>
    <w:rsid w:val="00E57BAE"/>
    <w:rsid w:val="00E62CD2"/>
    <w:rsid w:val="00E6312E"/>
    <w:rsid w:val="00E63994"/>
    <w:rsid w:val="00E64DCF"/>
    <w:rsid w:val="00E65E12"/>
    <w:rsid w:val="00E7057A"/>
    <w:rsid w:val="00E71260"/>
    <w:rsid w:val="00E72000"/>
    <w:rsid w:val="00E72108"/>
    <w:rsid w:val="00E729D0"/>
    <w:rsid w:val="00E74D7B"/>
    <w:rsid w:val="00E75437"/>
    <w:rsid w:val="00E7701E"/>
    <w:rsid w:val="00E771DB"/>
    <w:rsid w:val="00E77E6E"/>
    <w:rsid w:val="00E8174C"/>
    <w:rsid w:val="00E8396F"/>
    <w:rsid w:val="00E8560E"/>
    <w:rsid w:val="00E85925"/>
    <w:rsid w:val="00E87CD5"/>
    <w:rsid w:val="00E90635"/>
    <w:rsid w:val="00E90860"/>
    <w:rsid w:val="00E915B0"/>
    <w:rsid w:val="00E9443A"/>
    <w:rsid w:val="00E96CB7"/>
    <w:rsid w:val="00E97DBD"/>
    <w:rsid w:val="00EA2142"/>
    <w:rsid w:val="00EA231D"/>
    <w:rsid w:val="00EA6685"/>
    <w:rsid w:val="00EA6AE4"/>
    <w:rsid w:val="00EB4FC0"/>
    <w:rsid w:val="00EB67B5"/>
    <w:rsid w:val="00EB71E8"/>
    <w:rsid w:val="00EB7590"/>
    <w:rsid w:val="00EC204C"/>
    <w:rsid w:val="00EC2379"/>
    <w:rsid w:val="00EC2F4B"/>
    <w:rsid w:val="00EC5627"/>
    <w:rsid w:val="00EC6EF6"/>
    <w:rsid w:val="00EC7292"/>
    <w:rsid w:val="00ED0878"/>
    <w:rsid w:val="00ED09B1"/>
    <w:rsid w:val="00ED182C"/>
    <w:rsid w:val="00ED486C"/>
    <w:rsid w:val="00ED717A"/>
    <w:rsid w:val="00EE10A8"/>
    <w:rsid w:val="00EE10E6"/>
    <w:rsid w:val="00EE20FC"/>
    <w:rsid w:val="00EE3596"/>
    <w:rsid w:val="00EE3AAC"/>
    <w:rsid w:val="00EE4B42"/>
    <w:rsid w:val="00EE5D43"/>
    <w:rsid w:val="00EF1D3E"/>
    <w:rsid w:val="00EF3BA1"/>
    <w:rsid w:val="00EF798F"/>
    <w:rsid w:val="00F00247"/>
    <w:rsid w:val="00F00444"/>
    <w:rsid w:val="00F01A0D"/>
    <w:rsid w:val="00F01C97"/>
    <w:rsid w:val="00F01F8D"/>
    <w:rsid w:val="00F029FE"/>
    <w:rsid w:val="00F03FFD"/>
    <w:rsid w:val="00F1359A"/>
    <w:rsid w:val="00F13AC4"/>
    <w:rsid w:val="00F1417F"/>
    <w:rsid w:val="00F1691A"/>
    <w:rsid w:val="00F216ED"/>
    <w:rsid w:val="00F2289C"/>
    <w:rsid w:val="00F24A10"/>
    <w:rsid w:val="00F27FF4"/>
    <w:rsid w:val="00F301D0"/>
    <w:rsid w:val="00F3031D"/>
    <w:rsid w:val="00F30ABA"/>
    <w:rsid w:val="00F345B7"/>
    <w:rsid w:val="00F34886"/>
    <w:rsid w:val="00F3502C"/>
    <w:rsid w:val="00F375B8"/>
    <w:rsid w:val="00F41F5C"/>
    <w:rsid w:val="00F4311D"/>
    <w:rsid w:val="00F44DC4"/>
    <w:rsid w:val="00F45D2E"/>
    <w:rsid w:val="00F46390"/>
    <w:rsid w:val="00F4699C"/>
    <w:rsid w:val="00F47D6E"/>
    <w:rsid w:val="00F51D2F"/>
    <w:rsid w:val="00F52A88"/>
    <w:rsid w:val="00F5797F"/>
    <w:rsid w:val="00F60893"/>
    <w:rsid w:val="00F64518"/>
    <w:rsid w:val="00F65657"/>
    <w:rsid w:val="00F66175"/>
    <w:rsid w:val="00F70AD1"/>
    <w:rsid w:val="00F72593"/>
    <w:rsid w:val="00F7383D"/>
    <w:rsid w:val="00F73E7B"/>
    <w:rsid w:val="00F748E1"/>
    <w:rsid w:val="00F760EF"/>
    <w:rsid w:val="00F76691"/>
    <w:rsid w:val="00F769C0"/>
    <w:rsid w:val="00F80545"/>
    <w:rsid w:val="00F834E2"/>
    <w:rsid w:val="00F857CA"/>
    <w:rsid w:val="00F85DA7"/>
    <w:rsid w:val="00F85E7C"/>
    <w:rsid w:val="00F861A2"/>
    <w:rsid w:val="00F86684"/>
    <w:rsid w:val="00F86CE6"/>
    <w:rsid w:val="00F87C72"/>
    <w:rsid w:val="00F9023E"/>
    <w:rsid w:val="00F90B36"/>
    <w:rsid w:val="00F9139E"/>
    <w:rsid w:val="00F97578"/>
    <w:rsid w:val="00FA4159"/>
    <w:rsid w:val="00FA5828"/>
    <w:rsid w:val="00FA6350"/>
    <w:rsid w:val="00FA6ABA"/>
    <w:rsid w:val="00FA6AD8"/>
    <w:rsid w:val="00FA7222"/>
    <w:rsid w:val="00FB49DE"/>
    <w:rsid w:val="00FB5E7C"/>
    <w:rsid w:val="00FC1883"/>
    <w:rsid w:val="00FC28F0"/>
    <w:rsid w:val="00FC4EF1"/>
    <w:rsid w:val="00FC55AB"/>
    <w:rsid w:val="00FC71CC"/>
    <w:rsid w:val="00FC7A7A"/>
    <w:rsid w:val="00FD02D2"/>
    <w:rsid w:val="00FD1ED7"/>
    <w:rsid w:val="00FD30F4"/>
    <w:rsid w:val="00FD3816"/>
    <w:rsid w:val="00FD5E42"/>
    <w:rsid w:val="00FD74F6"/>
    <w:rsid w:val="00FD773E"/>
    <w:rsid w:val="00FE0A60"/>
    <w:rsid w:val="00FE1164"/>
    <w:rsid w:val="00FE158E"/>
    <w:rsid w:val="00FE16B1"/>
    <w:rsid w:val="00FE478A"/>
    <w:rsid w:val="00FF2986"/>
    <w:rsid w:val="00FF345A"/>
    <w:rsid w:val="00FF53F4"/>
    <w:rsid w:val="00FF6AD5"/>
    <w:rsid w:val="00FF6F8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72B4"/>
  <w15:chartTrackingRefBased/>
  <w15:docId w15:val="{C11C3E1D-412C-4746-B7DF-FE3276B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60"/>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1753DF"/>
    <w:pPr>
      <w:keepNext/>
      <w:pBdr>
        <w:bottom w:val="single" w:sz="12" w:space="1" w:color="0091B2"/>
      </w:pBdr>
      <w:spacing w:line="360" w:lineRule="auto"/>
      <w:jc w:val="both"/>
      <w:outlineLvl w:val="0"/>
    </w:pPr>
    <w:rPr>
      <w:rFonts w:ascii="Segoe UI" w:hAnsi="Segoe UI" w:cs="Calibri"/>
      <w:kern w:val="32"/>
      <w:u w:color="0091B2"/>
      <w:lang w:val="en-US" w:eastAsia="en-US"/>
    </w:rPr>
  </w:style>
  <w:style w:type="paragraph" w:styleId="Heading2">
    <w:name w:val="heading 2"/>
    <w:basedOn w:val="Normal"/>
    <w:next w:val="Normal"/>
    <w:link w:val="Heading2Char"/>
    <w:uiPriority w:val="9"/>
    <w:semiHidden/>
    <w:unhideWhenUsed/>
    <w:qFormat/>
    <w:rsid w:val="001753DF"/>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1753DF"/>
    <w:pPr>
      <w:keepNext/>
      <w:keepLines/>
      <w:spacing w:before="40"/>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DF"/>
    <w:rPr>
      <w:rFonts w:ascii="Segoe UI" w:eastAsia="Times New Roman" w:hAnsi="Segoe UI" w:cs="Calibri"/>
      <w:kern w:val="32"/>
      <w:u w:color="0091B2"/>
    </w:rPr>
  </w:style>
  <w:style w:type="character" w:customStyle="1" w:styleId="Heading2Char">
    <w:name w:val="Heading 2 Char"/>
    <w:basedOn w:val="DefaultParagraphFont"/>
    <w:link w:val="Heading2"/>
    <w:uiPriority w:val="9"/>
    <w:semiHidden/>
    <w:rsid w:val="001753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53DF"/>
    <w:rPr>
      <w:rFonts w:asciiTheme="majorHAnsi" w:eastAsiaTheme="majorEastAsia" w:hAnsiTheme="majorHAnsi" w:cstheme="majorBidi"/>
      <w:color w:val="1F3763" w:themeColor="accent1" w:themeShade="7F"/>
    </w:rPr>
  </w:style>
  <w:style w:type="paragraph" w:styleId="ListParagraph">
    <w:name w:val="List Paragraph"/>
    <w:aliases w:val="MAIN CONTENT"/>
    <w:basedOn w:val="Normal"/>
    <w:uiPriority w:val="34"/>
    <w:qFormat/>
    <w:rsid w:val="001753DF"/>
    <w:pPr>
      <w:ind w:left="720"/>
    </w:pPr>
    <w:rPr>
      <w:lang w:val="en-US" w:eastAsia="en-US"/>
    </w:rPr>
  </w:style>
  <w:style w:type="character" w:styleId="CommentReference">
    <w:name w:val="annotation reference"/>
    <w:rsid w:val="001753DF"/>
    <w:rPr>
      <w:sz w:val="16"/>
      <w:szCs w:val="16"/>
    </w:rPr>
  </w:style>
  <w:style w:type="paragraph" w:styleId="CommentText">
    <w:name w:val="annotation text"/>
    <w:basedOn w:val="Normal"/>
    <w:link w:val="CommentTextChar"/>
    <w:rsid w:val="001753DF"/>
    <w:rPr>
      <w:szCs w:val="20"/>
      <w:lang w:val="en-US" w:eastAsia="en-US"/>
    </w:rPr>
  </w:style>
  <w:style w:type="character" w:customStyle="1" w:styleId="CommentTextChar">
    <w:name w:val="Comment Text Char"/>
    <w:basedOn w:val="DefaultParagraphFont"/>
    <w:link w:val="CommentText"/>
    <w:rsid w:val="001753DF"/>
    <w:rPr>
      <w:rFonts w:ascii="Times New Roman" w:eastAsia="Times New Roman" w:hAnsi="Times New Roman" w:cs="Times New Roman"/>
      <w:szCs w:val="20"/>
    </w:rPr>
  </w:style>
  <w:style w:type="character" w:customStyle="1" w:styleId="s1">
    <w:name w:val="s1"/>
    <w:rsid w:val="001753DF"/>
  </w:style>
  <w:style w:type="paragraph" w:styleId="Caption">
    <w:name w:val="caption"/>
    <w:basedOn w:val="Normal"/>
    <w:next w:val="Normal"/>
    <w:uiPriority w:val="35"/>
    <w:unhideWhenUsed/>
    <w:qFormat/>
    <w:rsid w:val="001753DF"/>
    <w:pPr>
      <w:spacing w:after="160" w:line="259" w:lineRule="auto"/>
    </w:pPr>
    <w:rPr>
      <w:rFonts w:ascii="Calibri" w:eastAsia="Calibri" w:hAnsi="Calibri"/>
      <w:b/>
      <w:bCs/>
      <w:sz w:val="20"/>
      <w:szCs w:val="20"/>
      <w:lang w:val="en-US" w:eastAsia="en-US"/>
    </w:rPr>
  </w:style>
  <w:style w:type="paragraph" w:styleId="Footer">
    <w:name w:val="footer"/>
    <w:basedOn w:val="Normal"/>
    <w:link w:val="FooterChar"/>
    <w:uiPriority w:val="99"/>
    <w:unhideWhenUsed/>
    <w:rsid w:val="001753DF"/>
    <w:pPr>
      <w:tabs>
        <w:tab w:val="center" w:pos="4680"/>
        <w:tab w:val="right" w:pos="9360"/>
      </w:tabs>
    </w:pPr>
    <w:rPr>
      <w:lang w:val="en-US" w:eastAsia="en-US"/>
    </w:rPr>
  </w:style>
  <w:style w:type="character" w:customStyle="1" w:styleId="FooterChar">
    <w:name w:val="Footer Char"/>
    <w:basedOn w:val="DefaultParagraphFont"/>
    <w:link w:val="Footer"/>
    <w:uiPriority w:val="99"/>
    <w:rsid w:val="001753DF"/>
    <w:rPr>
      <w:rFonts w:ascii="Times New Roman" w:eastAsia="Times New Roman" w:hAnsi="Times New Roman" w:cs="Times New Roman"/>
    </w:rPr>
  </w:style>
  <w:style w:type="character" w:styleId="PageNumber">
    <w:name w:val="page number"/>
    <w:basedOn w:val="DefaultParagraphFont"/>
    <w:uiPriority w:val="99"/>
    <w:semiHidden/>
    <w:unhideWhenUsed/>
    <w:rsid w:val="001753DF"/>
  </w:style>
  <w:style w:type="character" w:styleId="LineNumber">
    <w:name w:val="line number"/>
    <w:basedOn w:val="DefaultParagraphFont"/>
    <w:uiPriority w:val="99"/>
    <w:semiHidden/>
    <w:unhideWhenUsed/>
    <w:rsid w:val="001753DF"/>
  </w:style>
  <w:style w:type="character" w:customStyle="1" w:styleId="toptext">
    <w:name w:val="top__text"/>
    <w:basedOn w:val="DefaultParagraphFont"/>
    <w:rsid w:val="001753DF"/>
  </w:style>
  <w:style w:type="character" w:styleId="Strong">
    <w:name w:val="Strong"/>
    <w:basedOn w:val="DefaultParagraphFont"/>
    <w:uiPriority w:val="22"/>
    <w:qFormat/>
    <w:rsid w:val="001753DF"/>
    <w:rPr>
      <w:b/>
      <w:bCs/>
    </w:rPr>
  </w:style>
  <w:style w:type="paragraph" w:styleId="BalloonText">
    <w:name w:val="Balloon Text"/>
    <w:basedOn w:val="Normal"/>
    <w:link w:val="BalloonTextChar"/>
    <w:uiPriority w:val="99"/>
    <w:semiHidden/>
    <w:unhideWhenUsed/>
    <w:rsid w:val="001753DF"/>
    <w:rPr>
      <w:sz w:val="18"/>
      <w:szCs w:val="18"/>
      <w:lang w:val="en-US" w:eastAsia="en-US"/>
    </w:rPr>
  </w:style>
  <w:style w:type="character" w:customStyle="1" w:styleId="BalloonTextChar">
    <w:name w:val="Balloon Text Char"/>
    <w:basedOn w:val="DefaultParagraphFont"/>
    <w:link w:val="BalloonText"/>
    <w:uiPriority w:val="99"/>
    <w:semiHidden/>
    <w:rsid w:val="001753DF"/>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1753DF"/>
    <w:rPr>
      <w:sz w:val="20"/>
      <w:szCs w:val="20"/>
      <w:lang w:val="en-US" w:eastAsia="en-US"/>
    </w:rPr>
  </w:style>
  <w:style w:type="character" w:customStyle="1" w:styleId="FootnoteTextChar">
    <w:name w:val="Footnote Text Char"/>
    <w:basedOn w:val="DefaultParagraphFont"/>
    <w:link w:val="FootnoteText"/>
    <w:uiPriority w:val="99"/>
    <w:semiHidden/>
    <w:rsid w:val="001753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53DF"/>
    <w:rPr>
      <w:vertAlign w:val="superscript"/>
    </w:rPr>
  </w:style>
  <w:style w:type="character" w:styleId="Emphasis">
    <w:name w:val="Emphasis"/>
    <w:basedOn w:val="DefaultParagraphFont"/>
    <w:uiPriority w:val="20"/>
    <w:qFormat/>
    <w:rsid w:val="001753DF"/>
    <w:rPr>
      <w:i/>
      <w:iCs/>
    </w:rPr>
  </w:style>
  <w:style w:type="character" w:styleId="Hyperlink">
    <w:name w:val="Hyperlink"/>
    <w:basedOn w:val="DefaultParagraphFont"/>
    <w:uiPriority w:val="99"/>
    <w:unhideWhenUsed/>
    <w:rsid w:val="001753DF"/>
    <w:rPr>
      <w:color w:val="0563C1" w:themeColor="hyperlink"/>
      <w:u w:val="single"/>
    </w:rPr>
  </w:style>
  <w:style w:type="character" w:customStyle="1" w:styleId="UnresolvedMention1">
    <w:name w:val="Unresolved Mention1"/>
    <w:basedOn w:val="DefaultParagraphFont"/>
    <w:uiPriority w:val="99"/>
    <w:semiHidden/>
    <w:unhideWhenUsed/>
    <w:rsid w:val="001753DF"/>
    <w:rPr>
      <w:color w:val="605E5C"/>
      <w:shd w:val="clear" w:color="auto" w:fill="E1DFDD"/>
    </w:rPr>
  </w:style>
  <w:style w:type="character" w:styleId="FollowedHyperlink">
    <w:name w:val="FollowedHyperlink"/>
    <w:basedOn w:val="DefaultParagraphFont"/>
    <w:uiPriority w:val="99"/>
    <w:semiHidden/>
    <w:unhideWhenUsed/>
    <w:rsid w:val="001753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753DF"/>
    <w:rPr>
      <w:b/>
      <w:bCs/>
      <w:sz w:val="20"/>
    </w:rPr>
  </w:style>
  <w:style w:type="character" w:customStyle="1" w:styleId="CommentSubjectChar">
    <w:name w:val="Comment Subject Char"/>
    <w:basedOn w:val="CommentTextChar"/>
    <w:link w:val="CommentSubject"/>
    <w:uiPriority w:val="99"/>
    <w:semiHidden/>
    <w:rsid w:val="001753DF"/>
    <w:rPr>
      <w:rFonts w:ascii="Times New Roman" w:eastAsia="Times New Roman" w:hAnsi="Times New Roman" w:cs="Times New Roman"/>
      <w:b/>
      <w:bCs/>
      <w:sz w:val="20"/>
      <w:szCs w:val="20"/>
    </w:rPr>
  </w:style>
  <w:style w:type="paragraph" w:styleId="Revision">
    <w:name w:val="Revision"/>
    <w:hidden/>
    <w:uiPriority w:val="99"/>
    <w:semiHidden/>
    <w:rsid w:val="001753DF"/>
    <w:rPr>
      <w:rFonts w:ascii="Times New Roman" w:eastAsia="Times New Roman" w:hAnsi="Times New Roman" w:cs="Times New Roman"/>
    </w:rPr>
  </w:style>
  <w:style w:type="character" w:customStyle="1" w:styleId="ref-lnk">
    <w:name w:val="ref-lnk"/>
    <w:basedOn w:val="DefaultParagraphFont"/>
    <w:rsid w:val="001753DF"/>
  </w:style>
  <w:style w:type="table" w:styleId="TableGrid">
    <w:name w:val="Table Grid"/>
    <w:basedOn w:val="TableNormal"/>
    <w:uiPriority w:val="39"/>
    <w:rsid w:val="001753D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203A"/>
    <w:pPr>
      <w:spacing w:before="100" w:beforeAutospacing="1" w:after="100" w:afterAutospacing="1"/>
    </w:pPr>
    <w:rPr>
      <w:lang w:val="en-GB"/>
    </w:rPr>
  </w:style>
  <w:style w:type="character" w:customStyle="1" w:styleId="e24kjd">
    <w:name w:val="e24kjd"/>
    <w:basedOn w:val="DefaultParagraphFont"/>
    <w:rsid w:val="00AB5EB7"/>
  </w:style>
  <w:style w:type="paragraph" w:styleId="TableofFigures">
    <w:name w:val="table of figures"/>
    <w:basedOn w:val="Normal"/>
    <w:next w:val="Normal"/>
    <w:uiPriority w:val="99"/>
    <w:semiHidden/>
    <w:unhideWhenUsed/>
    <w:rsid w:val="002545BB"/>
    <w:rPr>
      <w:lang w:eastAsia="en-US"/>
    </w:rPr>
  </w:style>
  <w:style w:type="paragraph" w:customStyle="1" w:styleId="body">
    <w:name w:val="body"/>
    <w:basedOn w:val="Normal"/>
    <w:rsid w:val="006E7139"/>
    <w:pPr>
      <w:spacing w:before="100" w:beforeAutospacing="1" w:after="100" w:afterAutospacing="1"/>
    </w:pPr>
    <w:rPr>
      <w:lang w:val="en-US"/>
    </w:rPr>
  </w:style>
  <w:style w:type="character" w:customStyle="1" w:styleId="ColorfulList-Accent1Char">
    <w:name w:val="Colorful List - Accent 1 Char"/>
    <w:aliases w:val="Table/Figure Heading Char,List Paragraph (numbered (a)) Char,Lapis Bulleted List Char,Dot pt Char,F5 List Paragraph Char,List Paragraph1 Char,No Spacing1 Char,List Paragraph Char Char Char Char,Indicator Text Char"/>
    <w:link w:val="ColorfulList-Accent1"/>
    <w:uiPriority w:val="34"/>
    <w:locked/>
    <w:rsid w:val="00395A53"/>
    <w:rPr>
      <w:rFonts w:ascii="Times New Roman" w:hAnsi="Times New Roman"/>
      <w:sz w:val="24"/>
      <w:szCs w:val="24"/>
      <w:lang w:eastAsia="en-US"/>
    </w:rPr>
  </w:style>
  <w:style w:type="table" w:styleId="ColorfulList-Accent1">
    <w:name w:val="Colorful List Accent 1"/>
    <w:basedOn w:val="TableNormal"/>
    <w:link w:val="ColorfulList-Accent1Char"/>
    <w:uiPriority w:val="34"/>
    <w:semiHidden/>
    <w:unhideWhenUsed/>
    <w:rsid w:val="00395A53"/>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B43F57"/>
    <w:rPr>
      <w:color w:val="605E5C"/>
      <w:shd w:val="clear" w:color="auto" w:fill="E1DFDD"/>
    </w:rPr>
  </w:style>
  <w:style w:type="character" w:styleId="EndnoteReference">
    <w:name w:val="endnote reference"/>
    <w:basedOn w:val="DefaultParagraphFont"/>
    <w:uiPriority w:val="99"/>
    <w:semiHidden/>
    <w:unhideWhenUsed/>
    <w:rsid w:val="00E7701E"/>
    <w:rPr>
      <w:vertAlign w:val="superscript"/>
    </w:rPr>
  </w:style>
  <w:style w:type="character" w:styleId="UnresolvedMention">
    <w:name w:val="Unresolved Mention"/>
    <w:basedOn w:val="DefaultParagraphFont"/>
    <w:uiPriority w:val="99"/>
    <w:semiHidden/>
    <w:unhideWhenUsed/>
    <w:rsid w:val="003F1D60"/>
    <w:rPr>
      <w:color w:val="605E5C"/>
      <w:shd w:val="clear" w:color="auto" w:fill="E1DFDD"/>
    </w:rPr>
  </w:style>
  <w:style w:type="paragraph" w:styleId="Header">
    <w:name w:val="header"/>
    <w:basedOn w:val="Normal"/>
    <w:link w:val="HeaderChar"/>
    <w:uiPriority w:val="99"/>
    <w:unhideWhenUsed/>
    <w:rsid w:val="003F1D60"/>
    <w:pPr>
      <w:tabs>
        <w:tab w:val="center" w:pos="4513"/>
        <w:tab w:val="right" w:pos="9026"/>
      </w:tabs>
    </w:pPr>
  </w:style>
  <w:style w:type="character" w:customStyle="1" w:styleId="HeaderChar">
    <w:name w:val="Header Char"/>
    <w:basedOn w:val="DefaultParagraphFont"/>
    <w:link w:val="Header"/>
    <w:uiPriority w:val="99"/>
    <w:rsid w:val="003F1D6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331">
      <w:bodyDiv w:val="1"/>
      <w:marLeft w:val="0"/>
      <w:marRight w:val="0"/>
      <w:marTop w:val="0"/>
      <w:marBottom w:val="0"/>
      <w:divBdr>
        <w:top w:val="none" w:sz="0" w:space="0" w:color="auto"/>
        <w:left w:val="none" w:sz="0" w:space="0" w:color="auto"/>
        <w:bottom w:val="none" w:sz="0" w:space="0" w:color="auto"/>
        <w:right w:val="none" w:sz="0" w:space="0" w:color="auto"/>
      </w:divBdr>
    </w:div>
    <w:div w:id="36470647">
      <w:bodyDiv w:val="1"/>
      <w:marLeft w:val="0"/>
      <w:marRight w:val="0"/>
      <w:marTop w:val="0"/>
      <w:marBottom w:val="0"/>
      <w:divBdr>
        <w:top w:val="none" w:sz="0" w:space="0" w:color="auto"/>
        <w:left w:val="none" w:sz="0" w:space="0" w:color="auto"/>
        <w:bottom w:val="none" w:sz="0" w:space="0" w:color="auto"/>
        <w:right w:val="none" w:sz="0" w:space="0" w:color="auto"/>
      </w:divBdr>
    </w:div>
    <w:div w:id="37553844">
      <w:bodyDiv w:val="1"/>
      <w:marLeft w:val="0"/>
      <w:marRight w:val="0"/>
      <w:marTop w:val="0"/>
      <w:marBottom w:val="0"/>
      <w:divBdr>
        <w:top w:val="none" w:sz="0" w:space="0" w:color="auto"/>
        <w:left w:val="none" w:sz="0" w:space="0" w:color="auto"/>
        <w:bottom w:val="none" w:sz="0" w:space="0" w:color="auto"/>
        <w:right w:val="none" w:sz="0" w:space="0" w:color="auto"/>
      </w:divBdr>
    </w:div>
    <w:div w:id="40059002">
      <w:bodyDiv w:val="1"/>
      <w:marLeft w:val="0"/>
      <w:marRight w:val="0"/>
      <w:marTop w:val="0"/>
      <w:marBottom w:val="0"/>
      <w:divBdr>
        <w:top w:val="none" w:sz="0" w:space="0" w:color="auto"/>
        <w:left w:val="none" w:sz="0" w:space="0" w:color="auto"/>
        <w:bottom w:val="none" w:sz="0" w:space="0" w:color="auto"/>
        <w:right w:val="none" w:sz="0" w:space="0" w:color="auto"/>
      </w:divBdr>
    </w:div>
    <w:div w:id="47539529">
      <w:bodyDiv w:val="1"/>
      <w:marLeft w:val="0"/>
      <w:marRight w:val="0"/>
      <w:marTop w:val="0"/>
      <w:marBottom w:val="0"/>
      <w:divBdr>
        <w:top w:val="none" w:sz="0" w:space="0" w:color="auto"/>
        <w:left w:val="none" w:sz="0" w:space="0" w:color="auto"/>
        <w:bottom w:val="none" w:sz="0" w:space="0" w:color="auto"/>
        <w:right w:val="none" w:sz="0" w:space="0" w:color="auto"/>
      </w:divBdr>
    </w:div>
    <w:div w:id="53237139">
      <w:bodyDiv w:val="1"/>
      <w:marLeft w:val="0"/>
      <w:marRight w:val="0"/>
      <w:marTop w:val="0"/>
      <w:marBottom w:val="0"/>
      <w:divBdr>
        <w:top w:val="none" w:sz="0" w:space="0" w:color="auto"/>
        <w:left w:val="none" w:sz="0" w:space="0" w:color="auto"/>
        <w:bottom w:val="none" w:sz="0" w:space="0" w:color="auto"/>
        <w:right w:val="none" w:sz="0" w:space="0" w:color="auto"/>
      </w:divBdr>
    </w:div>
    <w:div w:id="80612625">
      <w:bodyDiv w:val="1"/>
      <w:marLeft w:val="0"/>
      <w:marRight w:val="0"/>
      <w:marTop w:val="0"/>
      <w:marBottom w:val="0"/>
      <w:divBdr>
        <w:top w:val="none" w:sz="0" w:space="0" w:color="auto"/>
        <w:left w:val="none" w:sz="0" w:space="0" w:color="auto"/>
        <w:bottom w:val="none" w:sz="0" w:space="0" w:color="auto"/>
        <w:right w:val="none" w:sz="0" w:space="0" w:color="auto"/>
      </w:divBdr>
    </w:div>
    <w:div w:id="81605114">
      <w:bodyDiv w:val="1"/>
      <w:marLeft w:val="0"/>
      <w:marRight w:val="0"/>
      <w:marTop w:val="0"/>
      <w:marBottom w:val="0"/>
      <w:divBdr>
        <w:top w:val="none" w:sz="0" w:space="0" w:color="auto"/>
        <w:left w:val="none" w:sz="0" w:space="0" w:color="auto"/>
        <w:bottom w:val="none" w:sz="0" w:space="0" w:color="auto"/>
        <w:right w:val="none" w:sz="0" w:space="0" w:color="auto"/>
      </w:divBdr>
    </w:div>
    <w:div w:id="145512338">
      <w:bodyDiv w:val="1"/>
      <w:marLeft w:val="0"/>
      <w:marRight w:val="0"/>
      <w:marTop w:val="0"/>
      <w:marBottom w:val="0"/>
      <w:divBdr>
        <w:top w:val="none" w:sz="0" w:space="0" w:color="auto"/>
        <w:left w:val="none" w:sz="0" w:space="0" w:color="auto"/>
        <w:bottom w:val="none" w:sz="0" w:space="0" w:color="auto"/>
        <w:right w:val="none" w:sz="0" w:space="0" w:color="auto"/>
      </w:divBdr>
    </w:div>
    <w:div w:id="208759640">
      <w:bodyDiv w:val="1"/>
      <w:marLeft w:val="0"/>
      <w:marRight w:val="0"/>
      <w:marTop w:val="0"/>
      <w:marBottom w:val="0"/>
      <w:divBdr>
        <w:top w:val="none" w:sz="0" w:space="0" w:color="auto"/>
        <w:left w:val="none" w:sz="0" w:space="0" w:color="auto"/>
        <w:bottom w:val="none" w:sz="0" w:space="0" w:color="auto"/>
        <w:right w:val="none" w:sz="0" w:space="0" w:color="auto"/>
      </w:divBdr>
    </w:div>
    <w:div w:id="234441999">
      <w:bodyDiv w:val="1"/>
      <w:marLeft w:val="0"/>
      <w:marRight w:val="0"/>
      <w:marTop w:val="0"/>
      <w:marBottom w:val="0"/>
      <w:divBdr>
        <w:top w:val="none" w:sz="0" w:space="0" w:color="auto"/>
        <w:left w:val="none" w:sz="0" w:space="0" w:color="auto"/>
        <w:bottom w:val="none" w:sz="0" w:space="0" w:color="auto"/>
        <w:right w:val="none" w:sz="0" w:space="0" w:color="auto"/>
      </w:divBdr>
    </w:div>
    <w:div w:id="274212495">
      <w:bodyDiv w:val="1"/>
      <w:marLeft w:val="0"/>
      <w:marRight w:val="0"/>
      <w:marTop w:val="0"/>
      <w:marBottom w:val="0"/>
      <w:divBdr>
        <w:top w:val="none" w:sz="0" w:space="0" w:color="auto"/>
        <w:left w:val="none" w:sz="0" w:space="0" w:color="auto"/>
        <w:bottom w:val="none" w:sz="0" w:space="0" w:color="auto"/>
        <w:right w:val="none" w:sz="0" w:space="0" w:color="auto"/>
      </w:divBdr>
    </w:div>
    <w:div w:id="275724279">
      <w:bodyDiv w:val="1"/>
      <w:marLeft w:val="0"/>
      <w:marRight w:val="0"/>
      <w:marTop w:val="0"/>
      <w:marBottom w:val="0"/>
      <w:divBdr>
        <w:top w:val="none" w:sz="0" w:space="0" w:color="auto"/>
        <w:left w:val="none" w:sz="0" w:space="0" w:color="auto"/>
        <w:bottom w:val="none" w:sz="0" w:space="0" w:color="auto"/>
        <w:right w:val="none" w:sz="0" w:space="0" w:color="auto"/>
      </w:divBdr>
    </w:div>
    <w:div w:id="275987281">
      <w:bodyDiv w:val="1"/>
      <w:marLeft w:val="0"/>
      <w:marRight w:val="0"/>
      <w:marTop w:val="0"/>
      <w:marBottom w:val="0"/>
      <w:divBdr>
        <w:top w:val="none" w:sz="0" w:space="0" w:color="auto"/>
        <w:left w:val="none" w:sz="0" w:space="0" w:color="auto"/>
        <w:bottom w:val="none" w:sz="0" w:space="0" w:color="auto"/>
        <w:right w:val="none" w:sz="0" w:space="0" w:color="auto"/>
      </w:divBdr>
    </w:div>
    <w:div w:id="282081299">
      <w:bodyDiv w:val="1"/>
      <w:marLeft w:val="0"/>
      <w:marRight w:val="0"/>
      <w:marTop w:val="0"/>
      <w:marBottom w:val="0"/>
      <w:divBdr>
        <w:top w:val="none" w:sz="0" w:space="0" w:color="auto"/>
        <w:left w:val="none" w:sz="0" w:space="0" w:color="auto"/>
        <w:bottom w:val="none" w:sz="0" w:space="0" w:color="auto"/>
        <w:right w:val="none" w:sz="0" w:space="0" w:color="auto"/>
      </w:divBdr>
    </w:div>
    <w:div w:id="322855563">
      <w:bodyDiv w:val="1"/>
      <w:marLeft w:val="0"/>
      <w:marRight w:val="0"/>
      <w:marTop w:val="0"/>
      <w:marBottom w:val="0"/>
      <w:divBdr>
        <w:top w:val="none" w:sz="0" w:space="0" w:color="auto"/>
        <w:left w:val="none" w:sz="0" w:space="0" w:color="auto"/>
        <w:bottom w:val="none" w:sz="0" w:space="0" w:color="auto"/>
        <w:right w:val="none" w:sz="0" w:space="0" w:color="auto"/>
      </w:divBdr>
    </w:div>
    <w:div w:id="328559549">
      <w:bodyDiv w:val="1"/>
      <w:marLeft w:val="0"/>
      <w:marRight w:val="0"/>
      <w:marTop w:val="0"/>
      <w:marBottom w:val="0"/>
      <w:divBdr>
        <w:top w:val="none" w:sz="0" w:space="0" w:color="auto"/>
        <w:left w:val="none" w:sz="0" w:space="0" w:color="auto"/>
        <w:bottom w:val="none" w:sz="0" w:space="0" w:color="auto"/>
        <w:right w:val="none" w:sz="0" w:space="0" w:color="auto"/>
      </w:divBdr>
    </w:div>
    <w:div w:id="335159332">
      <w:bodyDiv w:val="1"/>
      <w:marLeft w:val="0"/>
      <w:marRight w:val="0"/>
      <w:marTop w:val="0"/>
      <w:marBottom w:val="0"/>
      <w:divBdr>
        <w:top w:val="none" w:sz="0" w:space="0" w:color="auto"/>
        <w:left w:val="none" w:sz="0" w:space="0" w:color="auto"/>
        <w:bottom w:val="none" w:sz="0" w:space="0" w:color="auto"/>
        <w:right w:val="none" w:sz="0" w:space="0" w:color="auto"/>
      </w:divBdr>
    </w:div>
    <w:div w:id="379596241">
      <w:bodyDiv w:val="1"/>
      <w:marLeft w:val="0"/>
      <w:marRight w:val="0"/>
      <w:marTop w:val="0"/>
      <w:marBottom w:val="0"/>
      <w:divBdr>
        <w:top w:val="none" w:sz="0" w:space="0" w:color="auto"/>
        <w:left w:val="none" w:sz="0" w:space="0" w:color="auto"/>
        <w:bottom w:val="none" w:sz="0" w:space="0" w:color="auto"/>
        <w:right w:val="none" w:sz="0" w:space="0" w:color="auto"/>
      </w:divBdr>
    </w:div>
    <w:div w:id="420755665">
      <w:bodyDiv w:val="1"/>
      <w:marLeft w:val="0"/>
      <w:marRight w:val="0"/>
      <w:marTop w:val="0"/>
      <w:marBottom w:val="0"/>
      <w:divBdr>
        <w:top w:val="none" w:sz="0" w:space="0" w:color="auto"/>
        <w:left w:val="none" w:sz="0" w:space="0" w:color="auto"/>
        <w:bottom w:val="none" w:sz="0" w:space="0" w:color="auto"/>
        <w:right w:val="none" w:sz="0" w:space="0" w:color="auto"/>
      </w:divBdr>
    </w:div>
    <w:div w:id="429934671">
      <w:bodyDiv w:val="1"/>
      <w:marLeft w:val="0"/>
      <w:marRight w:val="0"/>
      <w:marTop w:val="0"/>
      <w:marBottom w:val="0"/>
      <w:divBdr>
        <w:top w:val="none" w:sz="0" w:space="0" w:color="auto"/>
        <w:left w:val="none" w:sz="0" w:space="0" w:color="auto"/>
        <w:bottom w:val="none" w:sz="0" w:space="0" w:color="auto"/>
        <w:right w:val="none" w:sz="0" w:space="0" w:color="auto"/>
      </w:divBdr>
    </w:div>
    <w:div w:id="448745764">
      <w:bodyDiv w:val="1"/>
      <w:marLeft w:val="0"/>
      <w:marRight w:val="0"/>
      <w:marTop w:val="0"/>
      <w:marBottom w:val="0"/>
      <w:divBdr>
        <w:top w:val="none" w:sz="0" w:space="0" w:color="auto"/>
        <w:left w:val="none" w:sz="0" w:space="0" w:color="auto"/>
        <w:bottom w:val="none" w:sz="0" w:space="0" w:color="auto"/>
        <w:right w:val="none" w:sz="0" w:space="0" w:color="auto"/>
      </w:divBdr>
    </w:div>
    <w:div w:id="459610890">
      <w:bodyDiv w:val="1"/>
      <w:marLeft w:val="0"/>
      <w:marRight w:val="0"/>
      <w:marTop w:val="0"/>
      <w:marBottom w:val="0"/>
      <w:divBdr>
        <w:top w:val="none" w:sz="0" w:space="0" w:color="auto"/>
        <w:left w:val="none" w:sz="0" w:space="0" w:color="auto"/>
        <w:bottom w:val="none" w:sz="0" w:space="0" w:color="auto"/>
        <w:right w:val="none" w:sz="0" w:space="0" w:color="auto"/>
      </w:divBdr>
    </w:div>
    <w:div w:id="484054147">
      <w:bodyDiv w:val="1"/>
      <w:marLeft w:val="0"/>
      <w:marRight w:val="0"/>
      <w:marTop w:val="0"/>
      <w:marBottom w:val="0"/>
      <w:divBdr>
        <w:top w:val="none" w:sz="0" w:space="0" w:color="auto"/>
        <w:left w:val="none" w:sz="0" w:space="0" w:color="auto"/>
        <w:bottom w:val="none" w:sz="0" w:space="0" w:color="auto"/>
        <w:right w:val="none" w:sz="0" w:space="0" w:color="auto"/>
      </w:divBdr>
    </w:div>
    <w:div w:id="520047579">
      <w:bodyDiv w:val="1"/>
      <w:marLeft w:val="0"/>
      <w:marRight w:val="0"/>
      <w:marTop w:val="0"/>
      <w:marBottom w:val="0"/>
      <w:divBdr>
        <w:top w:val="none" w:sz="0" w:space="0" w:color="auto"/>
        <w:left w:val="none" w:sz="0" w:space="0" w:color="auto"/>
        <w:bottom w:val="none" w:sz="0" w:space="0" w:color="auto"/>
        <w:right w:val="none" w:sz="0" w:space="0" w:color="auto"/>
      </w:divBdr>
    </w:div>
    <w:div w:id="523204936">
      <w:bodyDiv w:val="1"/>
      <w:marLeft w:val="0"/>
      <w:marRight w:val="0"/>
      <w:marTop w:val="0"/>
      <w:marBottom w:val="0"/>
      <w:divBdr>
        <w:top w:val="none" w:sz="0" w:space="0" w:color="auto"/>
        <w:left w:val="none" w:sz="0" w:space="0" w:color="auto"/>
        <w:bottom w:val="none" w:sz="0" w:space="0" w:color="auto"/>
        <w:right w:val="none" w:sz="0" w:space="0" w:color="auto"/>
      </w:divBdr>
    </w:div>
    <w:div w:id="541868653">
      <w:bodyDiv w:val="1"/>
      <w:marLeft w:val="0"/>
      <w:marRight w:val="0"/>
      <w:marTop w:val="0"/>
      <w:marBottom w:val="0"/>
      <w:divBdr>
        <w:top w:val="none" w:sz="0" w:space="0" w:color="auto"/>
        <w:left w:val="none" w:sz="0" w:space="0" w:color="auto"/>
        <w:bottom w:val="none" w:sz="0" w:space="0" w:color="auto"/>
        <w:right w:val="none" w:sz="0" w:space="0" w:color="auto"/>
      </w:divBdr>
    </w:div>
    <w:div w:id="563375731">
      <w:bodyDiv w:val="1"/>
      <w:marLeft w:val="0"/>
      <w:marRight w:val="0"/>
      <w:marTop w:val="0"/>
      <w:marBottom w:val="0"/>
      <w:divBdr>
        <w:top w:val="none" w:sz="0" w:space="0" w:color="auto"/>
        <w:left w:val="none" w:sz="0" w:space="0" w:color="auto"/>
        <w:bottom w:val="none" w:sz="0" w:space="0" w:color="auto"/>
        <w:right w:val="none" w:sz="0" w:space="0" w:color="auto"/>
      </w:divBdr>
    </w:div>
    <w:div w:id="585724459">
      <w:bodyDiv w:val="1"/>
      <w:marLeft w:val="0"/>
      <w:marRight w:val="0"/>
      <w:marTop w:val="0"/>
      <w:marBottom w:val="0"/>
      <w:divBdr>
        <w:top w:val="none" w:sz="0" w:space="0" w:color="auto"/>
        <w:left w:val="none" w:sz="0" w:space="0" w:color="auto"/>
        <w:bottom w:val="none" w:sz="0" w:space="0" w:color="auto"/>
        <w:right w:val="none" w:sz="0" w:space="0" w:color="auto"/>
      </w:divBdr>
    </w:div>
    <w:div w:id="609237034">
      <w:bodyDiv w:val="1"/>
      <w:marLeft w:val="0"/>
      <w:marRight w:val="0"/>
      <w:marTop w:val="0"/>
      <w:marBottom w:val="0"/>
      <w:divBdr>
        <w:top w:val="none" w:sz="0" w:space="0" w:color="auto"/>
        <w:left w:val="none" w:sz="0" w:space="0" w:color="auto"/>
        <w:bottom w:val="none" w:sz="0" w:space="0" w:color="auto"/>
        <w:right w:val="none" w:sz="0" w:space="0" w:color="auto"/>
      </w:divBdr>
    </w:div>
    <w:div w:id="642924937">
      <w:bodyDiv w:val="1"/>
      <w:marLeft w:val="0"/>
      <w:marRight w:val="0"/>
      <w:marTop w:val="0"/>
      <w:marBottom w:val="0"/>
      <w:divBdr>
        <w:top w:val="none" w:sz="0" w:space="0" w:color="auto"/>
        <w:left w:val="none" w:sz="0" w:space="0" w:color="auto"/>
        <w:bottom w:val="none" w:sz="0" w:space="0" w:color="auto"/>
        <w:right w:val="none" w:sz="0" w:space="0" w:color="auto"/>
      </w:divBdr>
    </w:div>
    <w:div w:id="646710934">
      <w:bodyDiv w:val="1"/>
      <w:marLeft w:val="0"/>
      <w:marRight w:val="0"/>
      <w:marTop w:val="0"/>
      <w:marBottom w:val="0"/>
      <w:divBdr>
        <w:top w:val="none" w:sz="0" w:space="0" w:color="auto"/>
        <w:left w:val="none" w:sz="0" w:space="0" w:color="auto"/>
        <w:bottom w:val="none" w:sz="0" w:space="0" w:color="auto"/>
        <w:right w:val="none" w:sz="0" w:space="0" w:color="auto"/>
      </w:divBdr>
    </w:div>
    <w:div w:id="649165793">
      <w:bodyDiv w:val="1"/>
      <w:marLeft w:val="0"/>
      <w:marRight w:val="0"/>
      <w:marTop w:val="0"/>
      <w:marBottom w:val="0"/>
      <w:divBdr>
        <w:top w:val="none" w:sz="0" w:space="0" w:color="auto"/>
        <w:left w:val="none" w:sz="0" w:space="0" w:color="auto"/>
        <w:bottom w:val="none" w:sz="0" w:space="0" w:color="auto"/>
        <w:right w:val="none" w:sz="0" w:space="0" w:color="auto"/>
      </w:divBdr>
    </w:div>
    <w:div w:id="676886246">
      <w:bodyDiv w:val="1"/>
      <w:marLeft w:val="0"/>
      <w:marRight w:val="0"/>
      <w:marTop w:val="0"/>
      <w:marBottom w:val="0"/>
      <w:divBdr>
        <w:top w:val="none" w:sz="0" w:space="0" w:color="auto"/>
        <w:left w:val="none" w:sz="0" w:space="0" w:color="auto"/>
        <w:bottom w:val="none" w:sz="0" w:space="0" w:color="auto"/>
        <w:right w:val="none" w:sz="0" w:space="0" w:color="auto"/>
      </w:divBdr>
      <w:divsChild>
        <w:div w:id="1125804971">
          <w:marLeft w:val="0"/>
          <w:marRight w:val="0"/>
          <w:marTop w:val="0"/>
          <w:marBottom w:val="0"/>
          <w:divBdr>
            <w:top w:val="none" w:sz="0" w:space="0" w:color="auto"/>
            <w:left w:val="none" w:sz="0" w:space="0" w:color="auto"/>
            <w:bottom w:val="none" w:sz="0" w:space="0" w:color="auto"/>
            <w:right w:val="none" w:sz="0" w:space="0" w:color="auto"/>
          </w:divBdr>
          <w:divsChild>
            <w:div w:id="310988400">
              <w:marLeft w:val="0"/>
              <w:marRight w:val="0"/>
              <w:marTop w:val="0"/>
              <w:marBottom w:val="0"/>
              <w:divBdr>
                <w:top w:val="none" w:sz="0" w:space="0" w:color="auto"/>
                <w:left w:val="none" w:sz="0" w:space="0" w:color="auto"/>
                <w:bottom w:val="none" w:sz="0" w:space="0" w:color="auto"/>
                <w:right w:val="none" w:sz="0" w:space="0" w:color="auto"/>
              </w:divBdr>
              <w:divsChild>
                <w:div w:id="134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3934">
      <w:bodyDiv w:val="1"/>
      <w:marLeft w:val="0"/>
      <w:marRight w:val="0"/>
      <w:marTop w:val="0"/>
      <w:marBottom w:val="0"/>
      <w:divBdr>
        <w:top w:val="none" w:sz="0" w:space="0" w:color="auto"/>
        <w:left w:val="none" w:sz="0" w:space="0" w:color="auto"/>
        <w:bottom w:val="none" w:sz="0" w:space="0" w:color="auto"/>
        <w:right w:val="none" w:sz="0" w:space="0" w:color="auto"/>
      </w:divBdr>
    </w:div>
    <w:div w:id="719551333">
      <w:bodyDiv w:val="1"/>
      <w:marLeft w:val="0"/>
      <w:marRight w:val="0"/>
      <w:marTop w:val="0"/>
      <w:marBottom w:val="0"/>
      <w:divBdr>
        <w:top w:val="none" w:sz="0" w:space="0" w:color="auto"/>
        <w:left w:val="none" w:sz="0" w:space="0" w:color="auto"/>
        <w:bottom w:val="none" w:sz="0" w:space="0" w:color="auto"/>
        <w:right w:val="none" w:sz="0" w:space="0" w:color="auto"/>
      </w:divBdr>
    </w:div>
    <w:div w:id="744298902">
      <w:bodyDiv w:val="1"/>
      <w:marLeft w:val="0"/>
      <w:marRight w:val="0"/>
      <w:marTop w:val="0"/>
      <w:marBottom w:val="0"/>
      <w:divBdr>
        <w:top w:val="none" w:sz="0" w:space="0" w:color="auto"/>
        <w:left w:val="none" w:sz="0" w:space="0" w:color="auto"/>
        <w:bottom w:val="none" w:sz="0" w:space="0" w:color="auto"/>
        <w:right w:val="none" w:sz="0" w:space="0" w:color="auto"/>
      </w:divBdr>
    </w:div>
    <w:div w:id="774373411">
      <w:bodyDiv w:val="1"/>
      <w:marLeft w:val="0"/>
      <w:marRight w:val="0"/>
      <w:marTop w:val="0"/>
      <w:marBottom w:val="0"/>
      <w:divBdr>
        <w:top w:val="none" w:sz="0" w:space="0" w:color="auto"/>
        <w:left w:val="none" w:sz="0" w:space="0" w:color="auto"/>
        <w:bottom w:val="none" w:sz="0" w:space="0" w:color="auto"/>
        <w:right w:val="none" w:sz="0" w:space="0" w:color="auto"/>
      </w:divBdr>
    </w:div>
    <w:div w:id="809445484">
      <w:bodyDiv w:val="1"/>
      <w:marLeft w:val="0"/>
      <w:marRight w:val="0"/>
      <w:marTop w:val="0"/>
      <w:marBottom w:val="0"/>
      <w:divBdr>
        <w:top w:val="none" w:sz="0" w:space="0" w:color="auto"/>
        <w:left w:val="none" w:sz="0" w:space="0" w:color="auto"/>
        <w:bottom w:val="none" w:sz="0" w:space="0" w:color="auto"/>
        <w:right w:val="none" w:sz="0" w:space="0" w:color="auto"/>
      </w:divBdr>
    </w:div>
    <w:div w:id="864561878">
      <w:bodyDiv w:val="1"/>
      <w:marLeft w:val="0"/>
      <w:marRight w:val="0"/>
      <w:marTop w:val="0"/>
      <w:marBottom w:val="0"/>
      <w:divBdr>
        <w:top w:val="none" w:sz="0" w:space="0" w:color="auto"/>
        <w:left w:val="none" w:sz="0" w:space="0" w:color="auto"/>
        <w:bottom w:val="none" w:sz="0" w:space="0" w:color="auto"/>
        <w:right w:val="none" w:sz="0" w:space="0" w:color="auto"/>
      </w:divBdr>
    </w:div>
    <w:div w:id="869033736">
      <w:bodyDiv w:val="1"/>
      <w:marLeft w:val="0"/>
      <w:marRight w:val="0"/>
      <w:marTop w:val="0"/>
      <w:marBottom w:val="0"/>
      <w:divBdr>
        <w:top w:val="none" w:sz="0" w:space="0" w:color="auto"/>
        <w:left w:val="none" w:sz="0" w:space="0" w:color="auto"/>
        <w:bottom w:val="none" w:sz="0" w:space="0" w:color="auto"/>
        <w:right w:val="none" w:sz="0" w:space="0" w:color="auto"/>
      </w:divBdr>
    </w:div>
    <w:div w:id="877350059">
      <w:bodyDiv w:val="1"/>
      <w:marLeft w:val="0"/>
      <w:marRight w:val="0"/>
      <w:marTop w:val="0"/>
      <w:marBottom w:val="0"/>
      <w:divBdr>
        <w:top w:val="none" w:sz="0" w:space="0" w:color="auto"/>
        <w:left w:val="none" w:sz="0" w:space="0" w:color="auto"/>
        <w:bottom w:val="none" w:sz="0" w:space="0" w:color="auto"/>
        <w:right w:val="none" w:sz="0" w:space="0" w:color="auto"/>
      </w:divBdr>
    </w:div>
    <w:div w:id="882521577">
      <w:bodyDiv w:val="1"/>
      <w:marLeft w:val="0"/>
      <w:marRight w:val="0"/>
      <w:marTop w:val="0"/>
      <w:marBottom w:val="0"/>
      <w:divBdr>
        <w:top w:val="none" w:sz="0" w:space="0" w:color="auto"/>
        <w:left w:val="none" w:sz="0" w:space="0" w:color="auto"/>
        <w:bottom w:val="none" w:sz="0" w:space="0" w:color="auto"/>
        <w:right w:val="none" w:sz="0" w:space="0" w:color="auto"/>
      </w:divBdr>
    </w:div>
    <w:div w:id="914361902">
      <w:bodyDiv w:val="1"/>
      <w:marLeft w:val="0"/>
      <w:marRight w:val="0"/>
      <w:marTop w:val="0"/>
      <w:marBottom w:val="0"/>
      <w:divBdr>
        <w:top w:val="none" w:sz="0" w:space="0" w:color="auto"/>
        <w:left w:val="none" w:sz="0" w:space="0" w:color="auto"/>
        <w:bottom w:val="none" w:sz="0" w:space="0" w:color="auto"/>
        <w:right w:val="none" w:sz="0" w:space="0" w:color="auto"/>
      </w:divBdr>
    </w:div>
    <w:div w:id="917910178">
      <w:bodyDiv w:val="1"/>
      <w:marLeft w:val="0"/>
      <w:marRight w:val="0"/>
      <w:marTop w:val="0"/>
      <w:marBottom w:val="0"/>
      <w:divBdr>
        <w:top w:val="none" w:sz="0" w:space="0" w:color="auto"/>
        <w:left w:val="none" w:sz="0" w:space="0" w:color="auto"/>
        <w:bottom w:val="none" w:sz="0" w:space="0" w:color="auto"/>
        <w:right w:val="none" w:sz="0" w:space="0" w:color="auto"/>
      </w:divBdr>
    </w:div>
    <w:div w:id="920480322">
      <w:bodyDiv w:val="1"/>
      <w:marLeft w:val="0"/>
      <w:marRight w:val="0"/>
      <w:marTop w:val="0"/>
      <w:marBottom w:val="0"/>
      <w:divBdr>
        <w:top w:val="none" w:sz="0" w:space="0" w:color="auto"/>
        <w:left w:val="none" w:sz="0" w:space="0" w:color="auto"/>
        <w:bottom w:val="none" w:sz="0" w:space="0" w:color="auto"/>
        <w:right w:val="none" w:sz="0" w:space="0" w:color="auto"/>
      </w:divBdr>
    </w:div>
    <w:div w:id="939948588">
      <w:bodyDiv w:val="1"/>
      <w:marLeft w:val="0"/>
      <w:marRight w:val="0"/>
      <w:marTop w:val="0"/>
      <w:marBottom w:val="0"/>
      <w:divBdr>
        <w:top w:val="none" w:sz="0" w:space="0" w:color="auto"/>
        <w:left w:val="none" w:sz="0" w:space="0" w:color="auto"/>
        <w:bottom w:val="none" w:sz="0" w:space="0" w:color="auto"/>
        <w:right w:val="none" w:sz="0" w:space="0" w:color="auto"/>
      </w:divBdr>
    </w:div>
    <w:div w:id="942421536">
      <w:bodyDiv w:val="1"/>
      <w:marLeft w:val="0"/>
      <w:marRight w:val="0"/>
      <w:marTop w:val="0"/>
      <w:marBottom w:val="0"/>
      <w:divBdr>
        <w:top w:val="none" w:sz="0" w:space="0" w:color="auto"/>
        <w:left w:val="none" w:sz="0" w:space="0" w:color="auto"/>
        <w:bottom w:val="none" w:sz="0" w:space="0" w:color="auto"/>
        <w:right w:val="none" w:sz="0" w:space="0" w:color="auto"/>
      </w:divBdr>
    </w:div>
    <w:div w:id="950669111">
      <w:bodyDiv w:val="1"/>
      <w:marLeft w:val="0"/>
      <w:marRight w:val="0"/>
      <w:marTop w:val="0"/>
      <w:marBottom w:val="0"/>
      <w:divBdr>
        <w:top w:val="none" w:sz="0" w:space="0" w:color="auto"/>
        <w:left w:val="none" w:sz="0" w:space="0" w:color="auto"/>
        <w:bottom w:val="none" w:sz="0" w:space="0" w:color="auto"/>
        <w:right w:val="none" w:sz="0" w:space="0" w:color="auto"/>
      </w:divBdr>
      <w:divsChild>
        <w:div w:id="728192351">
          <w:marLeft w:val="0"/>
          <w:marRight w:val="0"/>
          <w:marTop w:val="0"/>
          <w:marBottom w:val="0"/>
          <w:divBdr>
            <w:top w:val="none" w:sz="0" w:space="0" w:color="auto"/>
            <w:left w:val="none" w:sz="0" w:space="0" w:color="auto"/>
            <w:bottom w:val="none" w:sz="0" w:space="0" w:color="auto"/>
            <w:right w:val="none" w:sz="0" w:space="0" w:color="auto"/>
          </w:divBdr>
          <w:divsChild>
            <w:div w:id="1086223139">
              <w:marLeft w:val="0"/>
              <w:marRight w:val="0"/>
              <w:marTop w:val="0"/>
              <w:marBottom w:val="0"/>
              <w:divBdr>
                <w:top w:val="none" w:sz="0" w:space="0" w:color="auto"/>
                <w:left w:val="none" w:sz="0" w:space="0" w:color="auto"/>
                <w:bottom w:val="none" w:sz="0" w:space="0" w:color="auto"/>
                <w:right w:val="none" w:sz="0" w:space="0" w:color="auto"/>
              </w:divBdr>
              <w:divsChild>
                <w:div w:id="1176920653">
                  <w:marLeft w:val="0"/>
                  <w:marRight w:val="0"/>
                  <w:marTop w:val="0"/>
                  <w:marBottom w:val="0"/>
                  <w:divBdr>
                    <w:top w:val="none" w:sz="0" w:space="0" w:color="auto"/>
                    <w:left w:val="none" w:sz="0" w:space="0" w:color="auto"/>
                    <w:bottom w:val="none" w:sz="0" w:space="0" w:color="auto"/>
                    <w:right w:val="none" w:sz="0" w:space="0" w:color="auto"/>
                  </w:divBdr>
                  <w:divsChild>
                    <w:div w:id="1533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7544">
      <w:bodyDiv w:val="1"/>
      <w:marLeft w:val="0"/>
      <w:marRight w:val="0"/>
      <w:marTop w:val="0"/>
      <w:marBottom w:val="0"/>
      <w:divBdr>
        <w:top w:val="none" w:sz="0" w:space="0" w:color="auto"/>
        <w:left w:val="none" w:sz="0" w:space="0" w:color="auto"/>
        <w:bottom w:val="none" w:sz="0" w:space="0" w:color="auto"/>
        <w:right w:val="none" w:sz="0" w:space="0" w:color="auto"/>
      </w:divBdr>
    </w:div>
    <w:div w:id="966006721">
      <w:bodyDiv w:val="1"/>
      <w:marLeft w:val="0"/>
      <w:marRight w:val="0"/>
      <w:marTop w:val="0"/>
      <w:marBottom w:val="0"/>
      <w:divBdr>
        <w:top w:val="none" w:sz="0" w:space="0" w:color="auto"/>
        <w:left w:val="none" w:sz="0" w:space="0" w:color="auto"/>
        <w:bottom w:val="none" w:sz="0" w:space="0" w:color="auto"/>
        <w:right w:val="none" w:sz="0" w:space="0" w:color="auto"/>
      </w:divBdr>
    </w:div>
    <w:div w:id="989358523">
      <w:bodyDiv w:val="1"/>
      <w:marLeft w:val="0"/>
      <w:marRight w:val="0"/>
      <w:marTop w:val="0"/>
      <w:marBottom w:val="0"/>
      <w:divBdr>
        <w:top w:val="none" w:sz="0" w:space="0" w:color="auto"/>
        <w:left w:val="none" w:sz="0" w:space="0" w:color="auto"/>
        <w:bottom w:val="none" w:sz="0" w:space="0" w:color="auto"/>
        <w:right w:val="none" w:sz="0" w:space="0" w:color="auto"/>
      </w:divBdr>
    </w:div>
    <w:div w:id="1020401548">
      <w:bodyDiv w:val="1"/>
      <w:marLeft w:val="0"/>
      <w:marRight w:val="0"/>
      <w:marTop w:val="0"/>
      <w:marBottom w:val="0"/>
      <w:divBdr>
        <w:top w:val="none" w:sz="0" w:space="0" w:color="auto"/>
        <w:left w:val="none" w:sz="0" w:space="0" w:color="auto"/>
        <w:bottom w:val="none" w:sz="0" w:space="0" w:color="auto"/>
        <w:right w:val="none" w:sz="0" w:space="0" w:color="auto"/>
      </w:divBdr>
    </w:div>
    <w:div w:id="1032144308">
      <w:bodyDiv w:val="1"/>
      <w:marLeft w:val="0"/>
      <w:marRight w:val="0"/>
      <w:marTop w:val="0"/>
      <w:marBottom w:val="0"/>
      <w:divBdr>
        <w:top w:val="none" w:sz="0" w:space="0" w:color="auto"/>
        <w:left w:val="none" w:sz="0" w:space="0" w:color="auto"/>
        <w:bottom w:val="none" w:sz="0" w:space="0" w:color="auto"/>
        <w:right w:val="none" w:sz="0" w:space="0" w:color="auto"/>
      </w:divBdr>
    </w:div>
    <w:div w:id="1032150681">
      <w:bodyDiv w:val="1"/>
      <w:marLeft w:val="0"/>
      <w:marRight w:val="0"/>
      <w:marTop w:val="0"/>
      <w:marBottom w:val="0"/>
      <w:divBdr>
        <w:top w:val="none" w:sz="0" w:space="0" w:color="auto"/>
        <w:left w:val="none" w:sz="0" w:space="0" w:color="auto"/>
        <w:bottom w:val="none" w:sz="0" w:space="0" w:color="auto"/>
        <w:right w:val="none" w:sz="0" w:space="0" w:color="auto"/>
      </w:divBdr>
    </w:div>
    <w:div w:id="1078407914">
      <w:bodyDiv w:val="1"/>
      <w:marLeft w:val="0"/>
      <w:marRight w:val="0"/>
      <w:marTop w:val="0"/>
      <w:marBottom w:val="0"/>
      <w:divBdr>
        <w:top w:val="none" w:sz="0" w:space="0" w:color="auto"/>
        <w:left w:val="none" w:sz="0" w:space="0" w:color="auto"/>
        <w:bottom w:val="none" w:sz="0" w:space="0" w:color="auto"/>
        <w:right w:val="none" w:sz="0" w:space="0" w:color="auto"/>
      </w:divBdr>
    </w:div>
    <w:div w:id="1084061301">
      <w:bodyDiv w:val="1"/>
      <w:marLeft w:val="0"/>
      <w:marRight w:val="0"/>
      <w:marTop w:val="0"/>
      <w:marBottom w:val="0"/>
      <w:divBdr>
        <w:top w:val="none" w:sz="0" w:space="0" w:color="auto"/>
        <w:left w:val="none" w:sz="0" w:space="0" w:color="auto"/>
        <w:bottom w:val="none" w:sz="0" w:space="0" w:color="auto"/>
        <w:right w:val="none" w:sz="0" w:space="0" w:color="auto"/>
      </w:divBdr>
    </w:div>
    <w:div w:id="1093164189">
      <w:bodyDiv w:val="1"/>
      <w:marLeft w:val="0"/>
      <w:marRight w:val="0"/>
      <w:marTop w:val="0"/>
      <w:marBottom w:val="0"/>
      <w:divBdr>
        <w:top w:val="none" w:sz="0" w:space="0" w:color="auto"/>
        <w:left w:val="none" w:sz="0" w:space="0" w:color="auto"/>
        <w:bottom w:val="none" w:sz="0" w:space="0" w:color="auto"/>
        <w:right w:val="none" w:sz="0" w:space="0" w:color="auto"/>
      </w:divBdr>
    </w:div>
    <w:div w:id="1098871262">
      <w:bodyDiv w:val="1"/>
      <w:marLeft w:val="0"/>
      <w:marRight w:val="0"/>
      <w:marTop w:val="0"/>
      <w:marBottom w:val="0"/>
      <w:divBdr>
        <w:top w:val="none" w:sz="0" w:space="0" w:color="auto"/>
        <w:left w:val="none" w:sz="0" w:space="0" w:color="auto"/>
        <w:bottom w:val="none" w:sz="0" w:space="0" w:color="auto"/>
        <w:right w:val="none" w:sz="0" w:space="0" w:color="auto"/>
      </w:divBdr>
    </w:div>
    <w:div w:id="1106846604">
      <w:bodyDiv w:val="1"/>
      <w:marLeft w:val="0"/>
      <w:marRight w:val="0"/>
      <w:marTop w:val="0"/>
      <w:marBottom w:val="0"/>
      <w:divBdr>
        <w:top w:val="none" w:sz="0" w:space="0" w:color="auto"/>
        <w:left w:val="none" w:sz="0" w:space="0" w:color="auto"/>
        <w:bottom w:val="none" w:sz="0" w:space="0" w:color="auto"/>
        <w:right w:val="none" w:sz="0" w:space="0" w:color="auto"/>
      </w:divBdr>
    </w:div>
    <w:div w:id="1124078832">
      <w:bodyDiv w:val="1"/>
      <w:marLeft w:val="0"/>
      <w:marRight w:val="0"/>
      <w:marTop w:val="0"/>
      <w:marBottom w:val="0"/>
      <w:divBdr>
        <w:top w:val="none" w:sz="0" w:space="0" w:color="auto"/>
        <w:left w:val="none" w:sz="0" w:space="0" w:color="auto"/>
        <w:bottom w:val="none" w:sz="0" w:space="0" w:color="auto"/>
        <w:right w:val="none" w:sz="0" w:space="0" w:color="auto"/>
      </w:divBdr>
    </w:div>
    <w:div w:id="1137184774">
      <w:bodyDiv w:val="1"/>
      <w:marLeft w:val="0"/>
      <w:marRight w:val="0"/>
      <w:marTop w:val="0"/>
      <w:marBottom w:val="0"/>
      <w:divBdr>
        <w:top w:val="none" w:sz="0" w:space="0" w:color="auto"/>
        <w:left w:val="none" w:sz="0" w:space="0" w:color="auto"/>
        <w:bottom w:val="none" w:sz="0" w:space="0" w:color="auto"/>
        <w:right w:val="none" w:sz="0" w:space="0" w:color="auto"/>
      </w:divBdr>
    </w:div>
    <w:div w:id="1146780461">
      <w:bodyDiv w:val="1"/>
      <w:marLeft w:val="0"/>
      <w:marRight w:val="0"/>
      <w:marTop w:val="0"/>
      <w:marBottom w:val="0"/>
      <w:divBdr>
        <w:top w:val="none" w:sz="0" w:space="0" w:color="auto"/>
        <w:left w:val="none" w:sz="0" w:space="0" w:color="auto"/>
        <w:bottom w:val="none" w:sz="0" w:space="0" w:color="auto"/>
        <w:right w:val="none" w:sz="0" w:space="0" w:color="auto"/>
      </w:divBdr>
    </w:div>
    <w:div w:id="1172601692">
      <w:bodyDiv w:val="1"/>
      <w:marLeft w:val="0"/>
      <w:marRight w:val="0"/>
      <w:marTop w:val="0"/>
      <w:marBottom w:val="0"/>
      <w:divBdr>
        <w:top w:val="none" w:sz="0" w:space="0" w:color="auto"/>
        <w:left w:val="none" w:sz="0" w:space="0" w:color="auto"/>
        <w:bottom w:val="none" w:sz="0" w:space="0" w:color="auto"/>
        <w:right w:val="none" w:sz="0" w:space="0" w:color="auto"/>
      </w:divBdr>
    </w:div>
    <w:div w:id="1175876137">
      <w:bodyDiv w:val="1"/>
      <w:marLeft w:val="0"/>
      <w:marRight w:val="0"/>
      <w:marTop w:val="0"/>
      <w:marBottom w:val="0"/>
      <w:divBdr>
        <w:top w:val="none" w:sz="0" w:space="0" w:color="auto"/>
        <w:left w:val="none" w:sz="0" w:space="0" w:color="auto"/>
        <w:bottom w:val="none" w:sz="0" w:space="0" w:color="auto"/>
        <w:right w:val="none" w:sz="0" w:space="0" w:color="auto"/>
      </w:divBdr>
    </w:div>
    <w:div w:id="1185366319">
      <w:bodyDiv w:val="1"/>
      <w:marLeft w:val="0"/>
      <w:marRight w:val="0"/>
      <w:marTop w:val="0"/>
      <w:marBottom w:val="0"/>
      <w:divBdr>
        <w:top w:val="none" w:sz="0" w:space="0" w:color="auto"/>
        <w:left w:val="none" w:sz="0" w:space="0" w:color="auto"/>
        <w:bottom w:val="none" w:sz="0" w:space="0" w:color="auto"/>
        <w:right w:val="none" w:sz="0" w:space="0" w:color="auto"/>
      </w:divBdr>
    </w:div>
    <w:div w:id="1209343839">
      <w:bodyDiv w:val="1"/>
      <w:marLeft w:val="0"/>
      <w:marRight w:val="0"/>
      <w:marTop w:val="0"/>
      <w:marBottom w:val="0"/>
      <w:divBdr>
        <w:top w:val="none" w:sz="0" w:space="0" w:color="auto"/>
        <w:left w:val="none" w:sz="0" w:space="0" w:color="auto"/>
        <w:bottom w:val="none" w:sz="0" w:space="0" w:color="auto"/>
        <w:right w:val="none" w:sz="0" w:space="0" w:color="auto"/>
      </w:divBdr>
    </w:div>
    <w:div w:id="1236821267">
      <w:bodyDiv w:val="1"/>
      <w:marLeft w:val="0"/>
      <w:marRight w:val="0"/>
      <w:marTop w:val="0"/>
      <w:marBottom w:val="0"/>
      <w:divBdr>
        <w:top w:val="none" w:sz="0" w:space="0" w:color="auto"/>
        <w:left w:val="none" w:sz="0" w:space="0" w:color="auto"/>
        <w:bottom w:val="none" w:sz="0" w:space="0" w:color="auto"/>
        <w:right w:val="none" w:sz="0" w:space="0" w:color="auto"/>
      </w:divBdr>
    </w:div>
    <w:div w:id="1273782969">
      <w:bodyDiv w:val="1"/>
      <w:marLeft w:val="0"/>
      <w:marRight w:val="0"/>
      <w:marTop w:val="0"/>
      <w:marBottom w:val="0"/>
      <w:divBdr>
        <w:top w:val="none" w:sz="0" w:space="0" w:color="auto"/>
        <w:left w:val="none" w:sz="0" w:space="0" w:color="auto"/>
        <w:bottom w:val="none" w:sz="0" w:space="0" w:color="auto"/>
        <w:right w:val="none" w:sz="0" w:space="0" w:color="auto"/>
      </w:divBdr>
    </w:div>
    <w:div w:id="1292320656">
      <w:bodyDiv w:val="1"/>
      <w:marLeft w:val="0"/>
      <w:marRight w:val="0"/>
      <w:marTop w:val="0"/>
      <w:marBottom w:val="0"/>
      <w:divBdr>
        <w:top w:val="none" w:sz="0" w:space="0" w:color="auto"/>
        <w:left w:val="none" w:sz="0" w:space="0" w:color="auto"/>
        <w:bottom w:val="none" w:sz="0" w:space="0" w:color="auto"/>
        <w:right w:val="none" w:sz="0" w:space="0" w:color="auto"/>
      </w:divBdr>
    </w:div>
    <w:div w:id="1302468306">
      <w:bodyDiv w:val="1"/>
      <w:marLeft w:val="0"/>
      <w:marRight w:val="0"/>
      <w:marTop w:val="0"/>
      <w:marBottom w:val="0"/>
      <w:divBdr>
        <w:top w:val="none" w:sz="0" w:space="0" w:color="auto"/>
        <w:left w:val="none" w:sz="0" w:space="0" w:color="auto"/>
        <w:bottom w:val="none" w:sz="0" w:space="0" w:color="auto"/>
        <w:right w:val="none" w:sz="0" w:space="0" w:color="auto"/>
      </w:divBdr>
    </w:div>
    <w:div w:id="1320694711">
      <w:bodyDiv w:val="1"/>
      <w:marLeft w:val="0"/>
      <w:marRight w:val="0"/>
      <w:marTop w:val="0"/>
      <w:marBottom w:val="0"/>
      <w:divBdr>
        <w:top w:val="none" w:sz="0" w:space="0" w:color="auto"/>
        <w:left w:val="none" w:sz="0" w:space="0" w:color="auto"/>
        <w:bottom w:val="none" w:sz="0" w:space="0" w:color="auto"/>
        <w:right w:val="none" w:sz="0" w:space="0" w:color="auto"/>
      </w:divBdr>
    </w:div>
    <w:div w:id="1339505315">
      <w:bodyDiv w:val="1"/>
      <w:marLeft w:val="0"/>
      <w:marRight w:val="0"/>
      <w:marTop w:val="0"/>
      <w:marBottom w:val="0"/>
      <w:divBdr>
        <w:top w:val="none" w:sz="0" w:space="0" w:color="auto"/>
        <w:left w:val="none" w:sz="0" w:space="0" w:color="auto"/>
        <w:bottom w:val="none" w:sz="0" w:space="0" w:color="auto"/>
        <w:right w:val="none" w:sz="0" w:space="0" w:color="auto"/>
      </w:divBdr>
    </w:div>
    <w:div w:id="1367370194">
      <w:bodyDiv w:val="1"/>
      <w:marLeft w:val="0"/>
      <w:marRight w:val="0"/>
      <w:marTop w:val="0"/>
      <w:marBottom w:val="0"/>
      <w:divBdr>
        <w:top w:val="none" w:sz="0" w:space="0" w:color="auto"/>
        <w:left w:val="none" w:sz="0" w:space="0" w:color="auto"/>
        <w:bottom w:val="none" w:sz="0" w:space="0" w:color="auto"/>
        <w:right w:val="none" w:sz="0" w:space="0" w:color="auto"/>
      </w:divBdr>
    </w:div>
    <w:div w:id="1384520247">
      <w:bodyDiv w:val="1"/>
      <w:marLeft w:val="0"/>
      <w:marRight w:val="0"/>
      <w:marTop w:val="0"/>
      <w:marBottom w:val="0"/>
      <w:divBdr>
        <w:top w:val="none" w:sz="0" w:space="0" w:color="auto"/>
        <w:left w:val="none" w:sz="0" w:space="0" w:color="auto"/>
        <w:bottom w:val="none" w:sz="0" w:space="0" w:color="auto"/>
        <w:right w:val="none" w:sz="0" w:space="0" w:color="auto"/>
      </w:divBdr>
    </w:div>
    <w:div w:id="1401563408">
      <w:bodyDiv w:val="1"/>
      <w:marLeft w:val="0"/>
      <w:marRight w:val="0"/>
      <w:marTop w:val="0"/>
      <w:marBottom w:val="0"/>
      <w:divBdr>
        <w:top w:val="none" w:sz="0" w:space="0" w:color="auto"/>
        <w:left w:val="none" w:sz="0" w:space="0" w:color="auto"/>
        <w:bottom w:val="none" w:sz="0" w:space="0" w:color="auto"/>
        <w:right w:val="none" w:sz="0" w:space="0" w:color="auto"/>
      </w:divBdr>
    </w:div>
    <w:div w:id="1449547106">
      <w:bodyDiv w:val="1"/>
      <w:marLeft w:val="0"/>
      <w:marRight w:val="0"/>
      <w:marTop w:val="0"/>
      <w:marBottom w:val="0"/>
      <w:divBdr>
        <w:top w:val="none" w:sz="0" w:space="0" w:color="auto"/>
        <w:left w:val="none" w:sz="0" w:space="0" w:color="auto"/>
        <w:bottom w:val="none" w:sz="0" w:space="0" w:color="auto"/>
        <w:right w:val="none" w:sz="0" w:space="0" w:color="auto"/>
      </w:divBdr>
    </w:div>
    <w:div w:id="1451437792">
      <w:bodyDiv w:val="1"/>
      <w:marLeft w:val="0"/>
      <w:marRight w:val="0"/>
      <w:marTop w:val="0"/>
      <w:marBottom w:val="0"/>
      <w:divBdr>
        <w:top w:val="none" w:sz="0" w:space="0" w:color="auto"/>
        <w:left w:val="none" w:sz="0" w:space="0" w:color="auto"/>
        <w:bottom w:val="none" w:sz="0" w:space="0" w:color="auto"/>
        <w:right w:val="none" w:sz="0" w:space="0" w:color="auto"/>
      </w:divBdr>
      <w:divsChild>
        <w:div w:id="2010330601">
          <w:marLeft w:val="0"/>
          <w:marRight w:val="0"/>
          <w:marTop w:val="150"/>
          <w:marBottom w:val="270"/>
          <w:divBdr>
            <w:top w:val="none" w:sz="0" w:space="0" w:color="auto"/>
            <w:left w:val="none" w:sz="0" w:space="0" w:color="auto"/>
            <w:bottom w:val="none" w:sz="0" w:space="0" w:color="auto"/>
            <w:right w:val="none" w:sz="0" w:space="0" w:color="auto"/>
          </w:divBdr>
        </w:div>
      </w:divsChild>
    </w:div>
    <w:div w:id="1463385640">
      <w:bodyDiv w:val="1"/>
      <w:marLeft w:val="0"/>
      <w:marRight w:val="0"/>
      <w:marTop w:val="0"/>
      <w:marBottom w:val="0"/>
      <w:divBdr>
        <w:top w:val="none" w:sz="0" w:space="0" w:color="auto"/>
        <w:left w:val="none" w:sz="0" w:space="0" w:color="auto"/>
        <w:bottom w:val="none" w:sz="0" w:space="0" w:color="auto"/>
        <w:right w:val="none" w:sz="0" w:space="0" w:color="auto"/>
      </w:divBdr>
    </w:div>
    <w:div w:id="1468281690">
      <w:bodyDiv w:val="1"/>
      <w:marLeft w:val="0"/>
      <w:marRight w:val="0"/>
      <w:marTop w:val="0"/>
      <w:marBottom w:val="0"/>
      <w:divBdr>
        <w:top w:val="none" w:sz="0" w:space="0" w:color="auto"/>
        <w:left w:val="none" w:sz="0" w:space="0" w:color="auto"/>
        <w:bottom w:val="none" w:sz="0" w:space="0" w:color="auto"/>
        <w:right w:val="none" w:sz="0" w:space="0" w:color="auto"/>
      </w:divBdr>
    </w:div>
    <w:div w:id="1483346324">
      <w:bodyDiv w:val="1"/>
      <w:marLeft w:val="0"/>
      <w:marRight w:val="0"/>
      <w:marTop w:val="0"/>
      <w:marBottom w:val="0"/>
      <w:divBdr>
        <w:top w:val="none" w:sz="0" w:space="0" w:color="auto"/>
        <w:left w:val="none" w:sz="0" w:space="0" w:color="auto"/>
        <w:bottom w:val="none" w:sz="0" w:space="0" w:color="auto"/>
        <w:right w:val="none" w:sz="0" w:space="0" w:color="auto"/>
      </w:divBdr>
    </w:div>
    <w:div w:id="1485507936">
      <w:bodyDiv w:val="1"/>
      <w:marLeft w:val="0"/>
      <w:marRight w:val="0"/>
      <w:marTop w:val="0"/>
      <w:marBottom w:val="0"/>
      <w:divBdr>
        <w:top w:val="none" w:sz="0" w:space="0" w:color="auto"/>
        <w:left w:val="none" w:sz="0" w:space="0" w:color="auto"/>
        <w:bottom w:val="none" w:sz="0" w:space="0" w:color="auto"/>
        <w:right w:val="none" w:sz="0" w:space="0" w:color="auto"/>
      </w:divBdr>
    </w:div>
    <w:div w:id="1494759534">
      <w:bodyDiv w:val="1"/>
      <w:marLeft w:val="0"/>
      <w:marRight w:val="0"/>
      <w:marTop w:val="0"/>
      <w:marBottom w:val="0"/>
      <w:divBdr>
        <w:top w:val="none" w:sz="0" w:space="0" w:color="auto"/>
        <w:left w:val="none" w:sz="0" w:space="0" w:color="auto"/>
        <w:bottom w:val="none" w:sz="0" w:space="0" w:color="auto"/>
        <w:right w:val="none" w:sz="0" w:space="0" w:color="auto"/>
      </w:divBdr>
    </w:div>
    <w:div w:id="1504934555">
      <w:bodyDiv w:val="1"/>
      <w:marLeft w:val="0"/>
      <w:marRight w:val="0"/>
      <w:marTop w:val="0"/>
      <w:marBottom w:val="0"/>
      <w:divBdr>
        <w:top w:val="none" w:sz="0" w:space="0" w:color="auto"/>
        <w:left w:val="none" w:sz="0" w:space="0" w:color="auto"/>
        <w:bottom w:val="none" w:sz="0" w:space="0" w:color="auto"/>
        <w:right w:val="none" w:sz="0" w:space="0" w:color="auto"/>
      </w:divBdr>
    </w:div>
    <w:div w:id="1533181215">
      <w:bodyDiv w:val="1"/>
      <w:marLeft w:val="0"/>
      <w:marRight w:val="0"/>
      <w:marTop w:val="0"/>
      <w:marBottom w:val="0"/>
      <w:divBdr>
        <w:top w:val="none" w:sz="0" w:space="0" w:color="auto"/>
        <w:left w:val="none" w:sz="0" w:space="0" w:color="auto"/>
        <w:bottom w:val="none" w:sz="0" w:space="0" w:color="auto"/>
        <w:right w:val="none" w:sz="0" w:space="0" w:color="auto"/>
      </w:divBdr>
    </w:div>
    <w:div w:id="1535188704">
      <w:bodyDiv w:val="1"/>
      <w:marLeft w:val="0"/>
      <w:marRight w:val="0"/>
      <w:marTop w:val="0"/>
      <w:marBottom w:val="0"/>
      <w:divBdr>
        <w:top w:val="none" w:sz="0" w:space="0" w:color="auto"/>
        <w:left w:val="none" w:sz="0" w:space="0" w:color="auto"/>
        <w:bottom w:val="none" w:sz="0" w:space="0" w:color="auto"/>
        <w:right w:val="none" w:sz="0" w:space="0" w:color="auto"/>
      </w:divBdr>
    </w:div>
    <w:div w:id="1559053240">
      <w:bodyDiv w:val="1"/>
      <w:marLeft w:val="0"/>
      <w:marRight w:val="0"/>
      <w:marTop w:val="0"/>
      <w:marBottom w:val="0"/>
      <w:divBdr>
        <w:top w:val="none" w:sz="0" w:space="0" w:color="auto"/>
        <w:left w:val="none" w:sz="0" w:space="0" w:color="auto"/>
        <w:bottom w:val="none" w:sz="0" w:space="0" w:color="auto"/>
        <w:right w:val="none" w:sz="0" w:space="0" w:color="auto"/>
      </w:divBdr>
    </w:div>
    <w:div w:id="1566986703">
      <w:bodyDiv w:val="1"/>
      <w:marLeft w:val="0"/>
      <w:marRight w:val="0"/>
      <w:marTop w:val="0"/>
      <w:marBottom w:val="0"/>
      <w:divBdr>
        <w:top w:val="none" w:sz="0" w:space="0" w:color="auto"/>
        <w:left w:val="none" w:sz="0" w:space="0" w:color="auto"/>
        <w:bottom w:val="none" w:sz="0" w:space="0" w:color="auto"/>
        <w:right w:val="none" w:sz="0" w:space="0" w:color="auto"/>
      </w:divBdr>
    </w:div>
    <w:div w:id="1575240971">
      <w:bodyDiv w:val="1"/>
      <w:marLeft w:val="0"/>
      <w:marRight w:val="0"/>
      <w:marTop w:val="0"/>
      <w:marBottom w:val="0"/>
      <w:divBdr>
        <w:top w:val="none" w:sz="0" w:space="0" w:color="auto"/>
        <w:left w:val="none" w:sz="0" w:space="0" w:color="auto"/>
        <w:bottom w:val="none" w:sz="0" w:space="0" w:color="auto"/>
        <w:right w:val="none" w:sz="0" w:space="0" w:color="auto"/>
      </w:divBdr>
    </w:div>
    <w:div w:id="1588610767">
      <w:bodyDiv w:val="1"/>
      <w:marLeft w:val="0"/>
      <w:marRight w:val="0"/>
      <w:marTop w:val="0"/>
      <w:marBottom w:val="0"/>
      <w:divBdr>
        <w:top w:val="none" w:sz="0" w:space="0" w:color="auto"/>
        <w:left w:val="none" w:sz="0" w:space="0" w:color="auto"/>
        <w:bottom w:val="none" w:sz="0" w:space="0" w:color="auto"/>
        <w:right w:val="none" w:sz="0" w:space="0" w:color="auto"/>
      </w:divBdr>
    </w:div>
    <w:div w:id="1611157941">
      <w:bodyDiv w:val="1"/>
      <w:marLeft w:val="0"/>
      <w:marRight w:val="0"/>
      <w:marTop w:val="0"/>
      <w:marBottom w:val="0"/>
      <w:divBdr>
        <w:top w:val="none" w:sz="0" w:space="0" w:color="auto"/>
        <w:left w:val="none" w:sz="0" w:space="0" w:color="auto"/>
        <w:bottom w:val="none" w:sz="0" w:space="0" w:color="auto"/>
        <w:right w:val="none" w:sz="0" w:space="0" w:color="auto"/>
      </w:divBdr>
    </w:div>
    <w:div w:id="1615940459">
      <w:bodyDiv w:val="1"/>
      <w:marLeft w:val="0"/>
      <w:marRight w:val="0"/>
      <w:marTop w:val="0"/>
      <w:marBottom w:val="0"/>
      <w:divBdr>
        <w:top w:val="none" w:sz="0" w:space="0" w:color="auto"/>
        <w:left w:val="none" w:sz="0" w:space="0" w:color="auto"/>
        <w:bottom w:val="none" w:sz="0" w:space="0" w:color="auto"/>
        <w:right w:val="none" w:sz="0" w:space="0" w:color="auto"/>
      </w:divBdr>
    </w:div>
    <w:div w:id="1633632213">
      <w:bodyDiv w:val="1"/>
      <w:marLeft w:val="0"/>
      <w:marRight w:val="0"/>
      <w:marTop w:val="0"/>
      <w:marBottom w:val="0"/>
      <w:divBdr>
        <w:top w:val="none" w:sz="0" w:space="0" w:color="auto"/>
        <w:left w:val="none" w:sz="0" w:space="0" w:color="auto"/>
        <w:bottom w:val="none" w:sz="0" w:space="0" w:color="auto"/>
        <w:right w:val="none" w:sz="0" w:space="0" w:color="auto"/>
      </w:divBdr>
    </w:div>
    <w:div w:id="1636107099">
      <w:bodyDiv w:val="1"/>
      <w:marLeft w:val="0"/>
      <w:marRight w:val="0"/>
      <w:marTop w:val="0"/>
      <w:marBottom w:val="0"/>
      <w:divBdr>
        <w:top w:val="none" w:sz="0" w:space="0" w:color="auto"/>
        <w:left w:val="none" w:sz="0" w:space="0" w:color="auto"/>
        <w:bottom w:val="none" w:sz="0" w:space="0" w:color="auto"/>
        <w:right w:val="none" w:sz="0" w:space="0" w:color="auto"/>
      </w:divBdr>
    </w:div>
    <w:div w:id="1658145618">
      <w:bodyDiv w:val="1"/>
      <w:marLeft w:val="0"/>
      <w:marRight w:val="0"/>
      <w:marTop w:val="0"/>
      <w:marBottom w:val="0"/>
      <w:divBdr>
        <w:top w:val="none" w:sz="0" w:space="0" w:color="auto"/>
        <w:left w:val="none" w:sz="0" w:space="0" w:color="auto"/>
        <w:bottom w:val="none" w:sz="0" w:space="0" w:color="auto"/>
        <w:right w:val="none" w:sz="0" w:space="0" w:color="auto"/>
      </w:divBdr>
    </w:div>
    <w:div w:id="1671178611">
      <w:bodyDiv w:val="1"/>
      <w:marLeft w:val="0"/>
      <w:marRight w:val="0"/>
      <w:marTop w:val="0"/>
      <w:marBottom w:val="0"/>
      <w:divBdr>
        <w:top w:val="none" w:sz="0" w:space="0" w:color="auto"/>
        <w:left w:val="none" w:sz="0" w:space="0" w:color="auto"/>
        <w:bottom w:val="none" w:sz="0" w:space="0" w:color="auto"/>
        <w:right w:val="none" w:sz="0" w:space="0" w:color="auto"/>
      </w:divBdr>
    </w:div>
    <w:div w:id="1694960153">
      <w:bodyDiv w:val="1"/>
      <w:marLeft w:val="0"/>
      <w:marRight w:val="0"/>
      <w:marTop w:val="0"/>
      <w:marBottom w:val="0"/>
      <w:divBdr>
        <w:top w:val="none" w:sz="0" w:space="0" w:color="auto"/>
        <w:left w:val="none" w:sz="0" w:space="0" w:color="auto"/>
        <w:bottom w:val="none" w:sz="0" w:space="0" w:color="auto"/>
        <w:right w:val="none" w:sz="0" w:space="0" w:color="auto"/>
      </w:divBdr>
    </w:div>
    <w:div w:id="1716658845">
      <w:bodyDiv w:val="1"/>
      <w:marLeft w:val="0"/>
      <w:marRight w:val="0"/>
      <w:marTop w:val="0"/>
      <w:marBottom w:val="0"/>
      <w:divBdr>
        <w:top w:val="none" w:sz="0" w:space="0" w:color="auto"/>
        <w:left w:val="none" w:sz="0" w:space="0" w:color="auto"/>
        <w:bottom w:val="none" w:sz="0" w:space="0" w:color="auto"/>
        <w:right w:val="none" w:sz="0" w:space="0" w:color="auto"/>
      </w:divBdr>
    </w:div>
    <w:div w:id="1724325539">
      <w:bodyDiv w:val="1"/>
      <w:marLeft w:val="0"/>
      <w:marRight w:val="0"/>
      <w:marTop w:val="0"/>
      <w:marBottom w:val="0"/>
      <w:divBdr>
        <w:top w:val="none" w:sz="0" w:space="0" w:color="auto"/>
        <w:left w:val="none" w:sz="0" w:space="0" w:color="auto"/>
        <w:bottom w:val="none" w:sz="0" w:space="0" w:color="auto"/>
        <w:right w:val="none" w:sz="0" w:space="0" w:color="auto"/>
      </w:divBdr>
    </w:div>
    <w:div w:id="1732264474">
      <w:bodyDiv w:val="1"/>
      <w:marLeft w:val="0"/>
      <w:marRight w:val="0"/>
      <w:marTop w:val="0"/>
      <w:marBottom w:val="0"/>
      <w:divBdr>
        <w:top w:val="none" w:sz="0" w:space="0" w:color="auto"/>
        <w:left w:val="none" w:sz="0" w:space="0" w:color="auto"/>
        <w:bottom w:val="none" w:sz="0" w:space="0" w:color="auto"/>
        <w:right w:val="none" w:sz="0" w:space="0" w:color="auto"/>
      </w:divBdr>
    </w:div>
    <w:div w:id="1739938757">
      <w:bodyDiv w:val="1"/>
      <w:marLeft w:val="0"/>
      <w:marRight w:val="0"/>
      <w:marTop w:val="0"/>
      <w:marBottom w:val="0"/>
      <w:divBdr>
        <w:top w:val="none" w:sz="0" w:space="0" w:color="auto"/>
        <w:left w:val="none" w:sz="0" w:space="0" w:color="auto"/>
        <w:bottom w:val="none" w:sz="0" w:space="0" w:color="auto"/>
        <w:right w:val="none" w:sz="0" w:space="0" w:color="auto"/>
      </w:divBdr>
    </w:div>
    <w:div w:id="1770420392">
      <w:bodyDiv w:val="1"/>
      <w:marLeft w:val="0"/>
      <w:marRight w:val="0"/>
      <w:marTop w:val="0"/>
      <w:marBottom w:val="0"/>
      <w:divBdr>
        <w:top w:val="none" w:sz="0" w:space="0" w:color="auto"/>
        <w:left w:val="none" w:sz="0" w:space="0" w:color="auto"/>
        <w:bottom w:val="none" w:sz="0" w:space="0" w:color="auto"/>
        <w:right w:val="none" w:sz="0" w:space="0" w:color="auto"/>
      </w:divBdr>
    </w:div>
    <w:div w:id="1782993797">
      <w:bodyDiv w:val="1"/>
      <w:marLeft w:val="0"/>
      <w:marRight w:val="0"/>
      <w:marTop w:val="0"/>
      <w:marBottom w:val="0"/>
      <w:divBdr>
        <w:top w:val="none" w:sz="0" w:space="0" w:color="auto"/>
        <w:left w:val="none" w:sz="0" w:space="0" w:color="auto"/>
        <w:bottom w:val="none" w:sz="0" w:space="0" w:color="auto"/>
        <w:right w:val="none" w:sz="0" w:space="0" w:color="auto"/>
      </w:divBdr>
    </w:div>
    <w:div w:id="1790540211">
      <w:bodyDiv w:val="1"/>
      <w:marLeft w:val="0"/>
      <w:marRight w:val="0"/>
      <w:marTop w:val="0"/>
      <w:marBottom w:val="0"/>
      <w:divBdr>
        <w:top w:val="none" w:sz="0" w:space="0" w:color="auto"/>
        <w:left w:val="none" w:sz="0" w:space="0" w:color="auto"/>
        <w:bottom w:val="none" w:sz="0" w:space="0" w:color="auto"/>
        <w:right w:val="none" w:sz="0" w:space="0" w:color="auto"/>
      </w:divBdr>
    </w:div>
    <w:div w:id="1794326239">
      <w:bodyDiv w:val="1"/>
      <w:marLeft w:val="0"/>
      <w:marRight w:val="0"/>
      <w:marTop w:val="0"/>
      <w:marBottom w:val="0"/>
      <w:divBdr>
        <w:top w:val="none" w:sz="0" w:space="0" w:color="auto"/>
        <w:left w:val="none" w:sz="0" w:space="0" w:color="auto"/>
        <w:bottom w:val="none" w:sz="0" w:space="0" w:color="auto"/>
        <w:right w:val="none" w:sz="0" w:space="0" w:color="auto"/>
      </w:divBdr>
    </w:div>
    <w:div w:id="1796097718">
      <w:bodyDiv w:val="1"/>
      <w:marLeft w:val="0"/>
      <w:marRight w:val="0"/>
      <w:marTop w:val="0"/>
      <w:marBottom w:val="0"/>
      <w:divBdr>
        <w:top w:val="none" w:sz="0" w:space="0" w:color="auto"/>
        <w:left w:val="none" w:sz="0" w:space="0" w:color="auto"/>
        <w:bottom w:val="none" w:sz="0" w:space="0" w:color="auto"/>
        <w:right w:val="none" w:sz="0" w:space="0" w:color="auto"/>
      </w:divBdr>
    </w:div>
    <w:div w:id="1801797396">
      <w:bodyDiv w:val="1"/>
      <w:marLeft w:val="0"/>
      <w:marRight w:val="0"/>
      <w:marTop w:val="0"/>
      <w:marBottom w:val="0"/>
      <w:divBdr>
        <w:top w:val="none" w:sz="0" w:space="0" w:color="auto"/>
        <w:left w:val="none" w:sz="0" w:space="0" w:color="auto"/>
        <w:bottom w:val="none" w:sz="0" w:space="0" w:color="auto"/>
        <w:right w:val="none" w:sz="0" w:space="0" w:color="auto"/>
      </w:divBdr>
    </w:div>
    <w:div w:id="1809594151">
      <w:bodyDiv w:val="1"/>
      <w:marLeft w:val="0"/>
      <w:marRight w:val="0"/>
      <w:marTop w:val="0"/>
      <w:marBottom w:val="0"/>
      <w:divBdr>
        <w:top w:val="none" w:sz="0" w:space="0" w:color="auto"/>
        <w:left w:val="none" w:sz="0" w:space="0" w:color="auto"/>
        <w:bottom w:val="none" w:sz="0" w:space="0" w:color="auto"/>
        <w:right w:val="none" w:sz="0" w:space="0" w:color="auto"/>
      </w:divBdr>
    </w:div>
    <w:div w:id="1827352493">
      <w:bodyDiv w:val="1"/>
      <w:marLeft w:val="0"/>
      <w:marRight w:val="0"/>
      <w:marTop w:val="0"/>
      <w:marBottom w:val="0"/>
      <w:divBdr>
        <w:top w:val="none" w:sz="0" w:space="0" w:color="auto"/>
        <w:left w:val="none" w:sz="0" w:space="0" w:color="auto"/>
        <w:bottom w:val="none" w:sz="0" w:space="0" w:color="auto"/>
        <w:right w:val="none" w:sz="0" w:space="0" w:color="auto"/>
      </w:divBdr>
      <w:divsChild>
        <w:div w:id="900600468">
          <w:marLeft w:val="0"/>
          <w:marRight w:val="0"/>
          <w:marTop w:val="0"/>
          <w:marBottom w:val="0"/>
          <w:divBdr>
            <w:top w:val="none" w:sz="0" w:space="0" w:color="auto"/>
            <w:left w:val="none" w:sz="0" w:space="0" w:color="auto"/>
            <w:bottom w:val="none" w:sz="0" w:space="0" w:color="auto"/>
            <w:right w:val="none" w:sz="0" w:space="0" w:color="auto"/>
          </w:divBdr>
        </w:div>
        <w:div w:id="1311205833">
          <w:marLeft w:val="0"/>
          <w:marRight w:val="0"/>
          <w:marTop w:val="0"/>
          <w:marBottom w:val="0"/>
          <w:divBdr>
            <w:top w:val="none" w:sz="0" w:space="0" w:color="auto"/>
            <w:left w:val="none" w:sz="0" w:space="0" w:color="auto"/>
            <w:bottom w:val="none" w:sz="0" w:space="0" w:color="auto"/>
            <w:right w:val="none" w:sz="0" w:space="0" w:color="auto"/>
          </w:divBdr>
        </w:div>
      </w:divsChild>
    </w:div>
    <w:div w:id="1852335897">
      <w:bodyDiv w:val="1"/>
      <w:marLeft w:val="0"/>
      <w:marRight w:val="0"/>
      <w:marTop w:val="0"/>
      <w:marBottom w:val="0"/>
      <w:divBdr>
        <w:top w:val="none" w:sz="0" w:space="0" w:color="auto"/>
        <w:left w:val="none" w:sz="0" w:space="0" w:color="auto"/>
        <w:bottom w:val="none" w:sz="0" w:space="0" w:color="auto"/>
        <w:right w:val="none" w:sz="0" w:space="0" w:color="auto"/>
      </w:divBdr>
    </w:div>
    <w:div w:id="1868592679">
      <w:bodyDiv w:val="1"/>
      <w:marLeft w:val="0"/>
      <w:marRight w:val="0"/>
      <w:marTop w:val="0"/>
      <w:marBottom w:val="0"/>
      <w:divBdr>
        <w:top w:val="none" w:sz="0" w:space="0" w:color="auto"/>
        <w:left w:val="none" w:sz="0" w:space="0" w:color="auto"/>
        <w:bottom w:val="none" w:sz="0" w:space="0" w:color="auto"/>
        <w:right w:val="none" w:sz="0" w:space="0" w:color="auto"/>
      </w:divBdr>
      <w:divsChild>
        <w:div w:id="793790309">
          <w:marLeft w:val="0"/>
          <w:marRight w:val="0"/>
          <w:marTop w:val="0"/>
          <w:marBottom w:val="0"/>
          <w:divBdr>
            <w:top w:val="none" w:sz="0" w:space="0" w:color="auto"/>
            <w:left w:val="none" w:sz="0" w:space="0" w:color="auto"/>
            <w:bottom w:val="none" w:sz="0" w:space="0" w:color="auto"/>
            <w:right w:val="none" w:sz="0" w:space="0" w:color="auto"/>
          </w:divBdr>
        </w:div>
        <w:div w:id="2123449979">
          <w:marLeft w:val="0"/>
          <w:marRight w:val="0"/>
          <w:marTop w:val="0"/>
          <w:marBottom w:val="0"/>
          <w:divBdr>
            <w:top w:val="none" w:sz="0" w:space="0" w:color="auto"/>
            <w:left w:val="none" w:sz="0" w:space="0" w:color="auto"/>
            <w:bottom w:val="none" w:sz="0" w:space="0" w:color="auto"/>
            <w:right w:val="none" w:sz="0" w:space="0" w:color="auto"/>
          </w:divBdr>
        </w:div>
      </w:divsChild>
    </w:div>
    <w:div w:id="1868637570">
      <w:bodyDiv w:val="1"/>
      <w:marLeft w:val="0"/>
      <w:marRight w:val="0"/>
      <w:marTop w:val="0"/>
      <w:marBottom w:val="0"/>
      <w:divBdr>
        <w:top w:val="none" w:sz="0" w:space="0" w:color="auto"/>
        <w:left w:val="none" w:sz="0" w:space="0" w:color="auto"/>
        <w:bottom w:val="none" w:sz="0" w:space="0" w:color="auto"/>
        <w:right w:val="none" w:sz="0" w:space="0" w:color="auto"/>
      </w:divBdr>
    </w:div>
    <w:div w:id="1896505515">
      <w:bodyDiv w:val="1"/>
      <w:marLeft w:val="0"/>
      <w:marRight w:val="0"/>
      <w:marTop w:val="0"/>
      <w:marBottom w:val="0"/>
      <w:divBdr>
        <w:top w:val="none" w:sz="0" w:space="0" w:color="auto"/>
        <w:left w:val="none" w:sz="0" w:space="0" w:color="auto"/>
        <w:bottom w:val="none" w:sz="0" w:space="0" w:color="auto"/>
        <w:right w:val="none" w:sz="0" w:space="0" w:color="auto"/>
      </w:divBdr>
    </w:div>
    <w:div w:id="1914970076">
      <w:bodyDiv w:val="1"/>
      <w:marLeft w:val="0"/>
      <w:marRight w:val="0"/>
      <w:marTop w:val="0"/>
      <w:marBottom w:val="0"/>
      <w:divBdr>
        <w:top w:val="none" w:sz="0" w:space="0" w:color="auto"/>
        <w:left w:val="none" w:sz="0" w:space="0" w:color="auto"/>
        <w:bottom w:val="none" w:sz="0" w:space="0" w:color="auto"/>
        <w:right w:val="none" w:sz="0" w:space="0" w:color="auto"/>
      </w:divBdr>
    </w:div>
    <w:div w:id="1917280706">
      <w:bodyDiv w:val="1"/>
      <w:marLeft w:val="0"/>
      <w:marRight w:val="0"/>
      <w:marTop w:val="0"/>
      <w:marBottom w:val="0"/>
      <w:divBdr>
        <w:top w:val="none" w:sz="0" w:space="0" w:color="auto"/>
        <w:left w:val="none" w:sz="0" w:space="0" w:color="auto"/>
        <w:bottom w:val="none" w:sz="0" w:space="0" w:color="auto"/>
        <w:right w:val="none" w:sz="0" w:space="0" w:color="auto"/>
      </w:divBdr>
    </w:div>
    <w:div w:id="1917590831">
      <w:bodyDiv w:val="1"/>
      <w:marLeft w:val="0"/>
      <w:marRight w:val="0"/>
      <w:marTop w:val="0"/>
      <w:marBottom w:val="0"/>
      <w:divBdr>
        <w:top w:val="none" w:sz="0" w:space="0" w:color="auto"/>
        <w:left w:val="none" w:sz="0" w:space="0" w:color="auto"/>
        <w:bottom w:val="none" w:sz="0" w:space="0" w:color="auto"/>
        <w:right w:val="none" w:sz="0" w:space="0" w:color="auto"/>
      </w:divBdr>
    </w:div>
    <w:div w:id="1958171893">
      <w:bodyDiv w:val="1"/>
      <w:marLeft w:val="0"/>
      <w:marRight w:val="0"/>
      <w:marTop w:val="0"/>
      <w:marBottom w:val="0"/>
      <w:divBdr>
        <w:top w:val="none" w:sz="0" w:space="0" w:color="auto"/>
        <w:left w:val="none" w:sz="0" w:space="0" w:color="auto"/>
        <w:bottom w:val="none" w:sz="0" w:space="0" w:color="auto"/>
        <w:right w:val="none" w:sz="0" w:space="0" w:color="auto"/>
      </w:divBdr>
    </w:div>
    <w:div w:id="1990016756">
      <w:bodyDiv w:val="1"/>
      <w:marLeft w:val="0"/>
      <w:marRight w:val="0"/>
      <w:marTop w:val="0"/>
      <w:marBottom w:val="0"/>
      <w:divBdr>
        <w:top w:val="none" w:sz="0" w:space="0" w:color="auto"/>
        <w:left w:val="none" w:sz="0" w:space="0" w:color="auto"/>
        <w:bottom w:val="none" w:sz="0" w:space="0" w:color="auto"/>
        <w:right w:val="none" w:sz="0" w:space="0" w:color="auto"/>
      </w:divBdr>
    </w:div>
    <w:div w:id="1992564014">
      <w:bodyDiv w:val="1"/>
      <w:marLeft w:val="0"/>
      <w:marRight w:val="0"/>
      <w:marTop w:val="0"/>
      <w:marBottom w:val="0"/>
      <w:divBdr>
        <w:top w:val="none" w:sz="0" w:space="0" w:color="auto"/>
        <w:left w:val="none" w:sz="0" w:space="0" w:color="auto"/>
        <w:bottom w:val="none" w:sz="0" w:space="0" w:color="auto"/>
        <w:right w:val="none" w:sz="0" w:space="0" w:color="auto"/>
      </w:divBdr>
      <w:divsChild>
        <w:div w:id="600839009">
          <w:marLeft w:val="0"/>
          <w:marRight w:val="0"/>
          <w:marTop w:val="0"/>
          <w:marBottom w:val="0"/>
          <w:divBdr>
            <w:top w:val="none" w:sz="0" w:space="0" w:color="auto"/>
            <w:left w:val="none" w:sz="0" w:space="0" w:color="auto"/>
            <w:bottom w:val="none" w:sz="0" w:space="0" w:color="auto"/>
            <w:right w:val="none" w:sz="0" w:space="0" w:color="auto"/>
          </w:divBdr>
        </w:div>
        <w:div w:id="1864053703">
          <w:marLeft w:val="0"/>
          <w:marRight w:val="0"/>
          <w:marTop w:val="0"/>
          <w:marBottom w:val="0"/>
          <w:divBdr>
            <w:top w:val="none" w:sz="0" w:space="0" w:color="auto"/>
            <w:left w:val="none" w:sz="0" w:space="0" w:color="auto"/>
            <w:bottom w:val="none" w:sz="0" w:space="0" w:color="auto"/>
            <w:right w:val="none" w:sz="0" w:space="0" w:color="auto"/>
          </w:divBdr>
        </w:div>
      </w:divsChild>
    </w:div>
    <w:div w:id="2013140784">
      <w:bodyDiv w:val="1"/>
      <w:marLeft w:val="0"/>
      <w:marRight w:val="0"/>
      <w:marTop w:val="0"/>
      <w:marBottom w:val="0"/>
      <w:divBdr>
        <w:top w:val="none" w:sz="0" w:space="0" w:color="auto"/>
        <w:left w:val="none" w:sz="0" w:space="0" w:color="auto"/>
        <w:bottom w:val="none" w:sz="0" w:space="0" w:color="auto"/>
        <w:right w:val="none" w:sz="0" w:space="0" w:color="auto"/>
      </w:divBdr>
    </w:div>
    <w:div w:id="2028095546">
      <w:bodyDiv w:val="1"/>
      <w:marLeft w:val="0"/>
      <w:marRight w:val="0"/>
      <w:marTop w:val="0"/>
      <w:marBottom w:val="0"/>
      <w:divBdr>
        <w:top w:val="none" w:sz="0" w:space="0" w:color="auto"/>
        <w:left w:val="none" w:sz="0" w:space="0" w:color="auto"/>
        <w:bottom w:val="none" w:sz="0" w:space="0" w:color="auto"/>
        <w:right w:val="none" w:sz="0" w:space="0" w:color="auto"/>
      </w:divBdr>
    </w:div>
    <w:div w:id="2053184751">
      <w:bodyDiv w:val="1"/>
      <w:marLeft w:val="0"/>
      <w:marRight w:val="0"/>
      <w:marTop w:val="0"/>
      <w:marBottom w:val="0"/>
      <w:divBdr>
        <w:top w:val="none" w:sz="0" w:space="0" w:color="auto"/>
        <w:left w:val="none" w:sz="0" w:space="0" w:color="auto"/>
        <w:bottom w:val="none" w:sz="0" w:space="0" w:color="auto"/>
        <w:right w:val="none" w:sz="0" w:space="0" w:color="auto"/>
      </w:divBdr>
    </w:div>
    <w:div w:id="2072146704">
      <w:bodyDiv w:val="1"/>
      <w:marLeft w:val="0"/>
      <w:marRight w:val="0"/>
      <w:marTop w:val="0"/>
      <w:marBottom w:val="0"/>
      <w:divBdr>
        <w:top w:val="none" w:sz="0" w:space="0" w:color="auto"/>
        <w:left w:val="none" w:sz="0" w:space="0" w:color="auto"/>
        <w:bottom w:val="none" w:sz="0" w:space="0" w:color="auto"/>
        <w:right w:val="none" w:sz="0" w:space="0" w:color="auto"/>
      </w:divBdr>
    </w:div>
    <w:div w:id="2099859180">
      <w:bodyDiv w:val="1"/>
      <w:marLeft w:val="0"/>
      <w:marRight w:val="0"/>
      <w:marTop w:val="0"/>
      <w:marBottom w:val="0"/>
      <w:divBdr>
        <w:top w:val="none" w:sz="0" w:space="0" w:color="auto"/>
        <w:left w:val="none" w:sz="0" w:space="0" w:color="auto"/>
        <w:bottom w:val="none" w:sz="0" w:space="0" w:color="auto"/>
        <w:right w:val="none" w:sz="0" w:space="0" w:color="auto"/>
      </w:divBdr>
    </w:div>
    <w:div w:id="2107801077">
      <w:bodyDiv w:val="1"/>
      <w:marLeft w:val="0"/>
      <w:marRight w:val="0"/>
      <w:marTop w:val="0"/>
      <w:marBottom w:val="0"/>
      <w:divBdr>
        <w:top w:val="none" w:sz="0" w:space="0" w:color="auto"/>
        <w:left w:val="none" w:sz="0" w:space="0" w:color="auto"/>
        <w:bottom w:val="none" w:sz="0" w:space="0" w:color="auto"/>
        <w:right w:val="none" w:sz="0" w:space="0" w:color="auto"/>
      </w:divBdr>
    </w:div>
    <w:div w:id="2115592371">
      <w:bodyDiv w:val="1"/>
      <w:marLeft w:val="0"/>
      <w:marRight w:val="0"/>
      <w:marTop w:val="0"/>
      <w:marBottom w:val="0"/>
      <w:divBdr>
        <w:top w:val="none" w:sz="0" w:space="0" w:color="auto"/>
        <w:left w:val="none" w:sz="0" w:space="0" w:color="auto"/>
        <w:bottom w:val="none" w:sz="0" w:space="0" w:color="auto"/>
        <w:right w:val="none" w:sz="0" w:space="0" w:color="auto"/>
      </w:divBdr>
    </w:div>
    <w:div w:id="2129811544">
      <w:bodyDiv w:val="1"/>
      <w:marLeft w:val="0"/>
      <w:marRight w:val="0"/>
      <w:marTop w:val="0"/>
      <w:marBottom w:val="0"/>
      <w:divBdr>
        <w:top w:val="none" w:sz="0" w:space="0" w:color="auto"/>
        <w:left w:val="none" w:sz="0" w:space="0" w:color="auto"/>
        <w:bottom w:val="none" w:sz="0" w:space="0" w:color="auto"/>
        <w:right w:val="none" w:sz="0" w:space="0" w:color="auto"/>
      </w:divBdr>
    </w:div>
    <w:div w:id="21326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dnicho@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ora-id.net/" TargetMode="External"/><Relationship Id="rId4" Type="http://schemas.openxmlformats.org/officeDocument/2006/relationships/settings" Target="settings.xml"/><Relationship Id="rId9" Type="http://schemas.openxmlformats.org/officeDocument/2006/relationships/hyperlink" Target="https://www.who.int/go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1990F3-A2D2-7543-9533-CDFC86D3DAB6}">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F30D-6B9D-DA40-833A-206FADE5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40093</Words>
  <Characters>228536</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Sayoki Mfinanga</cp:lastModifiedBy>
  <cp:revision>2</cp:revision>
  <dcterms:created xsi:type="dcterms:W3CDTF">2021-08-30T11:34:00Z</dcterms:created>
  <dcterms:modified xsi:type="dcterms:W3CDTF">2021-08-30T11:34:00Z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8fbde7fb-ea75-33d1-92fc-0d8ccb738a60</vt:lpwstr>
  </property>
  <property fmtid="{D5CDD505-2E9C-101B-9397-08002B2CF9AE}" pid="4" name="Mendeley Citation Style_1">
    <vt:lpwstr>http://www.zotero.org/styles/elsevier-vancouver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http://www.zotero.org/styles/elsevier-vancouver</vt:lpwstr>
  </property>
  <property fmtid="{D5CDD505-2E9C-101B-9397-08002B2CF9AE}" pid="12" name="Mendeley Recent Style Name 3_1">
    <vt:lpwstr>Elsevier - Vancouver</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http://www.zotero.org/styles/nature-publishing-group-vancouver</vt:lpwstr>
  </property>
  <property fmtid="{D5CDD505-2E9C-101B-9397-08002B2CF9AE}" pid="22" name="Mendeley Recent Style Name 8_1">
    <vt:lpwstr>Nature Publishing Group -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_documentId">
    <vt:lpwstr>documentId_2275</vt:lpwstr>
  </property>
  <property fmtid="{D5CDD505-2E9C-101B-9397-08002B2CF9AE}" pid="26" name="grammarly_documentContext">
    <vt:lpwstr>{"goals":[],"domain":"general","emotions":[],"dialect":"american"}</vt:lpwstr>
  </property>
</Properties>
</file>