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5C589" w14:textId="0FE95A99" w:rsidR="006664B7" w:rsidRPr="006664B7" w:rsidRDefault="006664B7" w:rsidP="006664B7">
      <w:pPr>
        <w:autoSpaceDE w:val="0"/>
        <w:autoSpaceDN w:val="0"/>
        <w:adjustRightInd w:val="0"/>
        <w:spacing w:line="480" w:lineRule="auto"/>
        <w:jc w:val="both"/>
        <w:rPr>
          <w:b/>
          <w:bCs/>
          <w:lang w:val="en-GB" w:bidi="hi-IN"/>
        </w:rPr>
      </w:pPr>
      <w:r w:rsidRPr="006664B7">
        <w:rPr>
          <w:b/>
          <w:bCs/>
          <w:lang w:val="en-GB" w:bidi="hi-IN"/>
        </w:rPr>
        <w:t>Abstract</w:t>
      </w:r>
    </w:p>
    <w:p w14:paraId="0E51D171" w14:textId="04801B12" w:rsidR="00EA79B6" w:rsidRPr="006664B7" w:rsidRDefault="00EA79B6" w:rsidP="00EA79B6">
      <w:pPr>
        <w:autoSpaceDE w:val="0"/>
        <w:autoSpaceDN w:val="0"/>
        <w:adjustRightInd w:val="0"/>
        <w:spacing w:line="480" w:lineRule="auto"/>
        <w:jc w:val="both"/>
        <w:rPr>
          <w:lang w:val="en-GB" w:bidi="hi-IN"/>
        </w:rPr>
      </w:pPr>
      <w:r w:rsidRPr="006664B7">
        <w:rPr>
          <w:lang w:val="en-GB" w:bidi="hi-IN"/>
        </w:rPr>
        <w:t xml:space="preserve">Title: </w:t>
      </w:r>
      <w:bookmarkStart w:id="0" w:name="_GoBack"/>
      <w:r>
        <w:rPr>
          <w:lang w:val="en-GB" w:bidi="hi-IN"/>
        </w:rPr>
        <w:t xml:space="preserve">Limits and Opportunities to </w:t>
      </w:r>
      <w:r w:rsidRPr="00A1122D">
        <w:t>Community Health Worker</w:t>
      </w:r>
      <w:r>
        <w:t xml:space="preserve"> Empowerment: </w:t>
      </w:r>
      <w:r w:rsidRPr="00A1122D">
        <w:t xml:space="preserve"> </w:t>
      </w:r>
      <w:r>
        <w:t>A multi-country comparative study</w:t>
      </w:r>
      <w:bookmarkEnd w:id="0"/>
      <w:r w:rsidRPr="006664B7">
        <w:rPr>
          <w:lang w:val="en-GB" w:bidi="hi-IN"/>
        </w:rPr>
        <w:t>.</w:t>
      </w:r>
    </w:p>
    <w:p w14:paraId="73DC9405" w14:textId="77777777" w:rsidR="00EA79B6" w:rsidRPr="006664B7" w:rsidRDefault="00EA79B6" w:rsidP="00EA79B6">
      <w:pPr>
        <w:autoSpaceDE w:val="0"/>
        <w:autoSpaceDN w:val="0"/>
        <w:adjustRightInd w:val="0"/>
        <w:spacing w:line="480" w:lineRule="auto"/>
        <w:jc w:val="both"/>
        <w:rPr>
          <w:lang w:val="en-GB" w:bidi="hi-IN"/>
        </w:rPr>
      </w:pPr>
      <w:r w:rsidRPr="006664B7">
        <w:rPr>
          <w:lang w:val="en-GB" w:bidi="hi-IN"/>
        </w:rPr>
        <w:t xml:space="preserve">Background: </w:t>
      </w:r>
      <w:r>
        <w:rPr>
          <w:lang w:val="en-GB" w:bidi="hi-IN"/>
        </w:rPr>
        <w:t xml:space="preserve">In LMICs, </w:t>
      </w:r>
      <w:r w:rsidRPr="006664B7">
        <w:rPr>
          <w:lang w:val="en-GB" w:bidi="hi-IN"/>
        </w:rPr>
        <w:t>Community Health Workers (CHW)  increasingly</w:t>
      </w:r>
      <w:r>
        <w:rPr>
          <w:lang w:val="en-GB" w:bidi="hi-IN"/>
        </w:rPr>
        <w:t xml:space="preserve"> play health promotion related roles</w:t>
      </w:r>
      <w:r w:rsidRPr="006664B7">
        <w:rPr>
          <w:lang w:val="en-GB" w:bidi="hi-IN"/>
        </w:rPr>
        <w:t xml:space="preserve">  </w:t>
      </w:r>
      <w:r>
        <w:rPr>
          <w:lang w:val="en-GB" w:bidi="hi-IN"/>
        </w:rPr>
        <w:t>involving</w:t>
      </w:r>
      <w:r w:rsidRPr="006664B7">
        <w:rPr>
          <w:lang w:val="en-GB" w:bidi="hi-IN"/>
        </w:rPr>
        <w:t xml:space="preserve"> ‘Empowerment of communities’. </w:t>
      </w:r>
      <w:r>
        <w:rPr>
          <w:lang w:val="en-GB" w:bidi="hi-IN"/>
        </w:rPr>
        <w:t>T</w:t>
      </w:r>
      <w:r w:rsidRPr="006664B7">
        <w:rPr>
          <w:lang w:val="en-GB" w:bidi="hi-IN"/>
        </w:rPr>
        <w:t xml:space="preserve">o be able to empower the communities they serve, we argue, it is essential that </w:t>
      </w:r>
      <w:r>
        <w:rPr>
          <w:lang w:val="en-GB" w:bidi="hi-IN"/>
        </w:rPr>
        <w:t>CHWs</w:t>
      </w:r>
      <w:r w:rsidRPr="006664B7">
        <w:rPr>
          <w:lang w:val="en-GB" w:bidi="hi-IN"/>
        </w:rPr>
        <w:t xml:space="preserve"> themselves be, and feel, empowered. We present here a critique of how </w:t>
      </w:r>
      <w:r>
        <w:rPr>
          <w:lang w:val="en-GB" w:bidi="hi-IN"/>
        </w:rPr>
        <w:t xml:space="preserve">diverse </w:t>
      </w:r>
      <w:r w:rsidRPr="006664B7">
        <w:rPr>
          <w:lang w:val="en-GB" w:bidi="hi-IN"/>
        </w:rPr>
        <w:t>national CHW program</w:t>
      </w:r>
      <w:r>
        <w:rPr>
          <w:lang w:val="en-GB" w:bidi="hi-IN"/>
        </w:rPr>
        <w:t>s</w:t>
      </w:r>
      <w:r w:rsidRPr="006664B7">
        <w:rPr>
          <w:lang w:val="en-GB" w:bidi="hi-IN"/>
        </w:rPr>
        <w:t xml:space="preserve"> affect CHW’s empowerment experience. </w:t>
      </w:r>
    </w:p>
    <w:p w14:paraId="702777F4" w14:textId="1BEC580B" w:rsidR="00EA79B6" w:rsidRPr="006664B7" w:rsidRDefault="00EA79B6" w:rsidP="00EA79B6">
      <w:pPr>
        <w:autoSpaceDE w:val="0"/>
        <w:autoSpaceDN w:val="0"/>
        <w:adjustRightInd w:val="0"/>
        <w:spacing w:line="480" w:lineRule="auto"/>
        <w:jc w:val="both"/>
        <w:rPr>
          <w:lang w:val="en-GB" w:bidi="hi-IN"/>
        </w:rPr>
      </w:pPr>
      <w:r w:rsidRPr="006664B7">
        <w:rPr>
          <w:lang w:val="en-GB" w:bidi="hi-IN"/>
        </w:rPr>
        <w:t>Methods: We present an analysis of findings from a systematic review of literature on CHW programs in LMICs and 6 country case studies (Bangladesh</w:t>
      </w:r>
      <w:r>
        <w:rPr>
          <w:lang w:val="en-GB" w:bidi="hi-IN"/>
        </w:rPr>
        <w:t>,</w:t>
      </w:r>
      <w:r w:rsidRPr="006664B7">
        <w:rPr>
          <w:lang w:val="en-GB" w:bidi="hi-IN"/>
        </w:rPr>
        <w:t xml:space="preserve"> Ethiopia, Indonesia, </w:t>
      </w:r>
      <w:r>
        <w:rPr>
          <w:lang w:val="en-GB" w:bidi="hi-IN"/>
        </w:rPr>
        <w:t xml:space="preserve">Kenya, </w:t>
      </w:r>
      <w:r w:rsidRPr="006664B7">
        <w:rPr>
          <w:lang w:val="en-GB" w:bidi="hi-IN"/>
        </w:rPr>
        <w:t xml:space="preserve">Malawi, Mozambique). </w:t>
      </w:r>
      <w:r w:rsidRPr="00503F2E">
        <w:rPr>
          <w:lang w:val="en-GB" w:bidi="hi-IN"/>
        </w:rPr>
        <w:t xml:space="preserve">Lee &amp; Koh’s </w:t>
      </w:r>
      <w:r>
        <w:rPr>
          <w:lang w:val="en-GB" w:bidi="hi-IN"/>
        </w:rPr>
        <w:t>analytical framework</w:t>
      </w:r>
      <w:r w:rsidRPr="00503F2E">
        <w:rPr>
          <w:lang w:val="en-GB" w:bidi="hi-IN"/>
        </w:rPr>
        <w:t xml:space="preserve"> </w:t>
      </w:r>
      <w:r>
        <w:rPr>
          <w:lang w:val="en-GB" w:bidi="hi-IN"/>
        </w:rPr>
        <w:t>(</w:t>
      </w:r>
      <w:r w:rsidRPr="00503F2E">
        <w:rPr>
          <w:lang w:val="en-GB" w:bidi="hi-IN"/>
        </w:rPr>
        <w:t>4 dimensions of</w:t>
      </w:r>
      <w:r>
        <w:rPr>
          <w:lang w:val="en-GB" w:bidi="hi-IN"/>
        </w:rPr>
        <w:t xml:space="preserve"> empowerment:</w:t>
      </w:r>
      <w:r w:rsidRPr="00503F2E">
        <w:rPr>
          <w:lang w:val="en-GB" w:bidi="hi-IN"/>
        </w:rPr>
        <w:t xml:space="preserve"> meaningfulness, competence, self-determination and impact</w:t>
      </w:r>
      <w:r>
        <w:rPr>
          <w:lang w:val="en-GB" w:bidi="hi-IN"/>
        </w:rPr>
        <w:t>), is used</w:t>
      </w:r>
      <w:r w:rsidRPr="00503F2E">
        <w:rPr>
          <w:lang w:val="en-GB" w:bidi="hi-IN"/>
        </w:rPr>
        <w:t>.</w:t>
      </w:r>
      <w:r>
        <w:rPr>
          <w:lang w:val="en-GB" w:bidi="hi-IN"/>
        </w:rPr>
        <w:t xml:space="preserve"> </w:t>
      </w:r>
    </w:p>
    <w:p w14:paraId="3531BA76" w14:textId="3E8ACB9E" w:rsidR="00EA79B6" w:rsidRPr="006664B7" w:rsidRDefault="00EA79B6" w:rsidP="00EA79B6">
      <w:pPr>
        <w:autoSpaceDE w:val="0"/>
        <w:autoSpaceDN w:val="0"/>
        <w:adjustRightInd w:val="0"/>
        <w:spacing w:line="480" w:lineRule="auto"/>
        <w:jc w:val="both"/>
        <w:rPr>
          <w:lang w:val="en-GB" w:bidi="hi-IN"/>
        </w:rPr>
      </w:pPr>
      <w:r w:rsidRPr="006664B7">
        <w:rPr>
          <w:lang w:val="en-GB" w:bidi="hi-IN"/>
        </w:rPr>
        <w:t>Results: CHW programs</w:t>
      </w:r>
      <w:r>
        <w:rPr>
          <w:lang w:val="en-GB" w:bidi="hi-IN"/>
        </w:rPr>
        <w:t xml:space="preserve"> empower</w:t>
      </w:r>
      <w:r w:rsidRPr="006664B7">
        <w:rPr>
          <w:lang w:val="en-GB" w:bidi="hi-IN"/>
        </w:rPr>
        <w:t xml:space="preserve"> CHWs</w:t>
      </w:r>
      <w:r>
        <w:rPr>
          <w:lang w:val="en-GB" w:bidi="hi-IN"/>
        </w:rPr>
        <w:t xml:space="preserve"> by</w:t>
      </w:r>
      <w:r w:rsidRPr="006664B7">
        <w:rPr>
          <w:lang w:val="en-GB" w:bidi="hi-IN"/>
        </w:rPr>
        <w:t xml:space="preserve"> providing CHWs</w:t>
      </w:r>
      <w:r>
        <w:rPr>
          <w:lang w:val="en-GB" w:bidi="hi-IN"/>
        </w:rPr>
        <w:t>,</w:t>
      </w:r>
      <w:r w:rsidRPr="006664B7">
        <w:rPr>
          <w:lang w:val="en-GB" w:bidi="hi-IN"/>
        </w:rPr>
        <w:t xml:space="preserve"> access to privileged medical knowledge, </w:t>
      </w:r>
      <w:r>
        <w:rPr>
          <w:lang w:val="en-GB" w:bidi="hi-IN"/>
        </w:rPr>
        <w:t>linking</w:t>
      </w:r>
      <w:r w:rsidRPr="006664B7">
        <w:rPr>
          <w:lang w:val="en-GB" w:bidi="hi-IN"/>
        </w:rPr>
        <w:t xml:space="preserve"> CHWs </w:t>
      </w:r>
      <w:r>
        <w:rPr>
          <w:lang w:val="en-GB" w:bidi="hi-IN"/>
        </w:rPr>
        <w:t>to</w:t>
      </w:r>
      <w:r w:rsidRPr="006664B7">
        <w:rPr>
          <w:lang w:val="en-GB" w:bidi="hi-IN"/>
        </w:rPr>
        <w:t xml:space="preserve"> the formal health system, </w:t>
      </w:r>
      <w:r>
        <w:rPr>
          <w:lang w:val="en-GB" w:bidi="hi-IN"/>
        </w:rPr>
        <w:t>and providing them an</w:t>
      </w:r>
      <w:r w:rsidRPr="006664B7">
        <w:rPr>
          <w:lang w:val="en-GB" w:bidi="hi-IN"/>
        </w:rPr>
        <w:t xml:space="preserve"> opportunity to do meaningful and impactful work. </w:t>
      </w:r>
      <w:r>
        <w:rPr>
          <w:lang w:val="en-GB" w:bidi="hi-IN"/>
        </w:rPr>
        <w:t xml:space="preserve">However, </w:t>
      </w:r>
      <w:r w:rsidRPr="006664B7">
        <w:rPr>
          <w:lang w:val="en-GB" w:bidi="hi-IN"/>
        </w:rPr>
        <w:t>the</w:t>
      </w:r>
      <w:r>
        <w:rPr>
          <w:lang w:val="en-GB" w:bidi="hi-IN"/>
        </w:rPr>
        <w:t>se</w:t>
      </w:r>
      <w:r w:rsidRPr="006664B7">
        <w:rPr>
          <w:lang w:val="en-GB" w:bidi="hi-IN"/>
        </w:rPr>
        <w:t xml:space="preserve"> empowering influences are constantly frustrated by - the sense of lack/absence of control over one’s work environment, and the feelings of being unsupported, unappreciated, </w:t>
      </w:r>
      <w:r>
        <w:rPr>
          <w:lang w:val="en-GB" w:bidi="hi-IN"/>
        </w:rPr>
        <w:t xml:space="preserve">and </w:t>
      </w:r>
      <w:r w:rsidRPr="006664B7">
        <w:rPr>
          <w:lang w:val="en-GB" w:bidi="hi-IN"/>
        </w:rPr>
        <w:t>undervalued</w:t>
      </w:r>
      <w:r>
        <w:rPr>
          <w:lang w:val="en-GB" w:bidi="hi-IN"/>
        </w:rPr>
        <w:t xml:space="preserve">. </w:t>
      </w:r>
      <w:r w:rsidRPr="006664B7">
        <w:rPr>
          <w:lang w:val="en-GB" w:bidi="hi-IN"/>
        </w:rPr>
        <w:t xml:space="preserve">CHWs expressed feelings of powerlessness, and frustrations about how organisational processual and relational arrangements hindered them from achieving the desired impact. </w:t>
      </w:r>
    </w:p>
    <w:p w14:paraId="4FCB0D38" w14:textId="77777777" w:rsidR="00EA79B6" w:rsidRPr="006664B7" w:rsidRDefault="00EA79B6" w:rsidP="00EA79B6">
      <w:pPr>
        <w:autoSpaceDE w:val="0"/>
        <w:autoSpaceDN w:val="0"/>
        <w:adjustRightInd w:val="0"/>
        <w:spacing w:line="480" w:lineRule="auto"/>
        <w:jc w:val="both"/>
        <w:rPr>
          <w:lang w:val="en-GB" w:bidi="hi-IN"/>
        </w:rPr>
      </w:pPr>
      <w:r w:rsidRPr="006664B7">
        <w:rPr>
          <w:lang w:val="en-GB" w:bidi="hi-IN"/>
        </w:rPr>
        <w:t xml:space="preserve"> Conclusion</w:t>
      </w:r>
      <w:r>
        <w:rPr>
          <w:lang w:val="en-GB" w:bidi="hi-IN"/>
        </w:rPr>
        <w:t>s</w:t>
      </w:r>
      <w:r w:rsidRPr="006664B7">
        <w:rPr>
          <w:lang w:val="en-GB" w:bidi="hi-IN"/>
        </w:rPr>
        <w:t xml:space="preserve">: While increasingly the onus is on CHWs and CHW programs to solve the problem of health access, attention </w:t>
      </w:r>
      <w:r>
        <w:rPr>
          <w:lang w:val="en-GB" w:bidi="hi-IN"/>
        </w:rPr>
        <w:t>should be</w:t>
      </w:r>
      <w:r w:rsidRPr="006664B7">
        <w:rPr>
          <w:lang w:val="en-GB" w:bidi="hi-IN"/>
        </w:rPr>
        <w:t xml:space="preserve"> given to the experiences of CHWs themselves. CHW programs need to move beyond a</w:t>
      </w:r>
      <w:r>
        <w:rPr>
          <w:lang w:val="en-GB" w:bidi="hi-IN"/>
        </w:rPr>
        <w:t>n</w:t>
      </w:r>
      <w:r w:rsidRPr="006664B7">
        <w:rPr>
          <w:lang w:val="en-GB" w:bidi="hi-IN"/>
        </w:rPr>
        <w:t xml:space="preserve"> instrumentalist approach to CHWs</w:t>
      </w:r>
      <w:r>
        <w:rPr>
          <w:lang w:val="en-GB" w:bidi="hi-IN"/>
        </w:rPr>
        <w:t>,  and</w:t>
      </w:r>
      <w:r w:rsidRPr="006664B7">
        <w:rPr>
          <w:lang w:val="en-GB" w:bidi="hi-IN"/>
        </w:rPr>
        <w:t xml:space="preserve"> take a developmental and empowerment perspective when engaging with CHWs. CHW programs </w:t>
      </w:r>
      <w:r>
        <w:rPr>
          <w:lang w:val="en-GB" w:bidi="hi-IN"/>
        </w:rPr>
        <w:t>should</w:t>
      </w:r>
      <w:r w:rsidRPr="006664B7">
        <w:rPr>
          <w:lang w:val="en-GB" w:bidi="hi-IN"/>
        </w:rPr>
        <w:t xml:space="preserve"> systematically identify disempowering organisational arrangements and take steps to remedy these. Doing so w</w:t>
      </w:r>
      <w:r>
        <w:rPr>
          <w:lang w:val="en-GB" w:bidi="hi-IN"/>
        </w:rPr>
        <w:t>ill</w:t>
      </w:r>
      <w:r w:rsidRPr="006664B7">
        <w:rPr>
          <w:lang w:val="en-GB" w:bidi="hi-IN"/>
        </w:rPr>
        <w:t xml:space="preserve"> not only improve CHW </w:t>
      </w:r>
      <w:r w:rsidRPr="006664B7">
        <w:rPr>
          <w:lang w:val="en-GB" w:bidi="hi-IN"/>
        </w:rPr>
        <w:lastRenderedPageBreak/>
        <w:t>performance, it w</w:t>
      </w:r>
      <w:r>
        <w:rPr>
          <w:lang w:val="en-GB" w:bidi="hi-IN"/>
        </w:rPr>
        <w:t>ill</w:t>
      </w:r>
      <w:r w:rsidRPr="006664B7">
        <w:rPr>
          <w:lang w:val="en-GB" w:bidi="hi-IN"/>
        </w:rPr>
        <w:t xml:space="preserve"> pave the way for CHWs to meet their potential as agents of social change, beyond perhaps their role as health promoters.</w:t>
      </w:r>
    </w:p>
    <w:p w14:paraId="2C9F6966" w14:textId="3BC6FAB4" w:rsidR="006664B7" w:rsidRDefault="00EA79B6" w:rsidP="00EA79B6">
      <w:pPr>
        <w:autoSpaceDE w:val="0"/>
        <w:autoSpaceDN w:val="0"/>
        <w:adjustRightInd w:val="0"/>
        <w:spacing w:line="480" w:lineRule="auto"/>
        <w:jc w:val="both"/>
        <w:rPr>
          <w:b/>
          <w:bCs/>
        </w:rPr>
      </w:pPr>
      <w:r w:rsidRPr="006664B7">
        <w:rPr>
          <w:b/>
          <w:bCs/>
          <w:lang w:val="en-GB" w:bidi="hi-IN"/>
        </w:rPr>
        <w:t>Keywords:</w:t>
      </w:r>
      <w:r>
        <w:rPr>
          <w:b/>
          <w:bCs/>
        </w:rPr>
        <w:t xml:space="preserve"> </w:t>
      </w:r>
      <w:r w:rsidRPr="006664B7">
        <w:rPr>
          <w:lang w:val="en-GB" w:bidi="hi-IN"/>
        </w:rPr>
        <w:t>Community Health Workers; Empowerment; Performance; Agents of social change</w:t>
      </w:r>
      <w:r w:rsidR="006664B7">
        <w:rPr>
          <w:b/>
          <w:bCs/>
        </w:rPr>
        <w:br w:type="page"/>
      </w:r>
    </w:p>
    <w:p w14:paraId="131A3009" w14:textId="6B08B74D" w:rsidR="00A1122D" w:rsidRPr="00A1122D" w:rsidRDefault="00A1122D" w:rsidP="00DE632A">
      <w:r w:rsidRPr="00A1122D">
        <w:rPr>
          <w:b/>
          <w:bCs/>
        </w:rPr>
        <w:lastRenderedPageBreak/>
        <w:t>Title:</w:t>
      </w:r>
      <w:r w:rsidR="0090016D" w:rsidRPr="0090016D">
        <w:t xml:space="preserve"> </w:t>
      </w:r>
      <w:r w:rsidR="00061268">
        <w:rPr>
          <w:lang w:val="en-GB" w:bidi="hi-IN"/>
        </w:rPr>
        <w:t xml:space="preserve">Limits and Opportunities to </w:t>
      </w:r>
      <w:r w:rsidR="00061268" w:rsidRPr="00A1122D">
        <w:t>Community Health Worker</w:t>
      </w:r>
      <w:r w:rsidR="00061268">
        <w:t xml:space="preserve"> Empowerment: </w:t>
      </w:r>
      <w:r w:rsidR="00061268" w:rsidRPr="00A1122D">
        <w:t xml:space="preserve"> </w:t>
      </w:r>
      <w:r w:rsidR="00061268">
        <w:t>A multi-country comparative study</w:t>
      </w:r>
      <w:r w:rsidR="00061268" w:rsidRPr="006664B7">
        <w:rPr>
          <w:lang w:val="en-GB" w:bidi="hi-IN"/>
        </w:rPr>
        <w:t>.</w:t>
      </w:r>
    </w:p>
    <w:p w14:paraId="6EB19159" w14:textId="77777777" w:rsidR="00A1122D" w:rsidRPr="00A1122D" w:rsidRDefault="00A1122D" w:rsidP="009B6504">
      <w:pPr>
        <w:spacing w:line="480" w:lineRule="auto"/>
      </w:pPr>
    </w:p>
    <w:p w14:paraId="7983EAF5" w14:textId="36ECE699" w:rsidR="00A1122D" w:rsidRPr="00A1122D" w:rsidRDefault="00A1122D" w:rsidP="009B6504">
      <w:pPr>
        <w:spacing w:line="480" w:lineRule="auto"/>
        <w:jc w:val="both"/>
        <w:rPr>
          <w:b/>
          <w:bCs/>
        </w:rPr>
      </w:pPr>
      <w:r w:rsidRPr="00A1122D">
        <w:rPr>
          <w:b/>
          <w:bCs/>
        </w:rPr>
        <w:t>Introduction</w:t>
      </w:r>
    </w:p>
    <w:p w14:paraId="4140E561" w14:textId="3160004B" w:rsidR="00A1122D" w:rsidRDefault="00A1122D" w:rsidP="009B6504">
      <w:pPr>
        <w:autoSpaceDE w:val="0"/>
        <w:autoSpaceDN w:val="0"/>
        <w:adjustRightInd w:val="0"/>
        <w:spacing w:line="480" w:lineRule="auto"/>
        <w:jc w:val="both"/>
        <w:rPr>
          <w:lang w:val="en-GB" w:bidi="hi-IN"/>
        </w:rPr>
      </w:pPr>
      <w:r w:rsidRPr="00A1122D">
        <w:rPr>
          <w:lang w:val="en-GB" w:bidi="hi-IN"/>
        </w:rPr>
        <w:t>Community health workers (CHWs) are well established as major actors in promoting healthy behaviours and extending the reach of health systems in low and middle income countries (LMICs). CHWs are well positioned to deliver promotive</w:t>
      </w:r>
      <w:r w:rsidR="00D97657">
        <w:rPr>
          <w:lang w:val="en-GB" w:bidi="hi-IN"/>
        </w:rPr>
        <w:t>,</w:t>
      </w:r>
      <w:r w:rsidRPr="00A1122D">
        <w:rPr>
          <w:lang w:val="en-GB" w:bidi="hi-IN"/>
        </w:rPr>
        <w:t xml:space="preserve"> preventive </w:t>
      </w:r>
      <w:r w:rsidR="00D97657">
        <w:rPr>
          <w:lang w:val="en-GB" w:bidi="hi-IN"/>
        </w:rPr>
        <w:t>and some</w:t>
      </w:r>
      <w:r w:rsidR="00100099">
        <w:rPr>
          <w:lang w:val="en-GB" w:bidi="hi-IN"/>
        </w:rPr>
        <w:t xml:space="preserve"> </w:t>
      </w:r>
      <w:r w:rsidR="00D97657">
        <w:rPr>
          <w:lang w:val="en-GB" w:bidi="hi-IN"/>
        </w:rPr>
        <w:t xml:space="preserve">curative </w:t>
      </w:r>
      <w:r w:rsidRPr="00A1122D">
        <w:rPr>
          <w:lang w:val="en-GB" w:bidi="hi-IN"/>
        </w:rPr>
        <w:t>health services to communities while working in partnership with other frontline health workers</w:t>
      </w:r>
      <w:r w:rsidR="00C81ED1">
        <w:rPr>
          <w:lang w:val="en-GB" w:bidi="hi-IN"/>
        </w:rPr>
        <w:t xml:space="preserve"> (1,</w:t>
      </w:r>
      <w:r w:rsidR="009E5A9F">
        <w:rPr>
          <w:lang w:val="en-GB" w:bidi="hi-IN"/>
        </w:rPr>
        <w:t>2,3</w:t>
      </w:r>
      <w:r w:rsidR="001F3A27">
        <w:rPr>
          <w:lang w:val="en-GB" w:bidi="hi-IN"/>
        </w:rPr>
        <w:t>)</w:t>
      </w:r>
      <w:r w:rsidRPr="00A1122D">
        <w:rPr>
          <w:lang w:val="en-GB" w:bidi="hi-IN"/>
        </w:rPr>
        <w:t>. This becomes particularly relevant given the massive shortage of health workers in LMICs, estimated by World Health Organisation at aroun</w:t>
      </w:r>
      <w:r w:rsidR="009E5A9F">
        <w:rPr>
          <w:lang w:val="en-GB" w:bidi="hi-IN"/>
        </w:rPr>
        <w:t>d 4.25 million workers (4</w:t>
      </w:r>
      <w:r w:rsidRPr="00A1122D">
        <w:rPr>
          <w:lang w:val="en-GB" w:bidi="hi-IN"/>
        </w:rPr>
        <w:t xml:space="preserve">), the inequitable distribution of health workers within countries, and the need to accelerate progress in working towards universal health coverage </w:t>
      </w:r>
      <w:r w:rsidR="007D7A23">
        <w:rPr>
          <w:lang w:val="en-GB" w:bidi="hi-IN"/>
        </w:rPr>
        <w:t xml:space="preserve">(UHC) </w:t>
      </w:r>
      <w:r w:rsidRPr="00A1122D">
        <w:rPr>
          <w:lang w:val="en-GB" w:bidi="hi-IN"/>
        </w:rPr>
        <w:t xml:space="preserve">and the achievement of the proposed sustainable development goals </w:t>
      </w:r>
      <w:r w:rsidR="009E5A9F">
        <w:rPr>
          <w:lang w:val="en-GB" w:bidi="hi-IN"/>
        </w:rPr>
        <w:t>for beyond 2015 (5</w:t>
      </w:r>
      <w:r w:rsidRPr="00A1122D">
        <w:rPr>
          <w:lang w:val="en-GB" w:bidi="hi-IN"/>
        </w:rPr>
        <w:t>)</w:t>
      </w:r>
      <w:r w:rsidR="009E5A9F">
        <w:rPr>
          <w:lang w:val="en-GB" w:bidi="hi-IN"/>
        </w:rPr>
        <w:t>. According to Perry et al (1</w:t>
      </w:r>
      <w:r w:rsidRPr="00A1122D">
        <w:rPr>
          <w:lang w:val="en-GB" w:bidi="hi-IN"/>
        </w:rPr>
        <w:t>), more than 5 million CHWs are active globally and recent reviews of evidence on the subject point to both the effectiveness and importance of CHWs in providing services</w:t>
      </w:r>
      <w:r w:rsidR="00755D49">
        <w:rPr>
          <w:lang w:val="en-GB" w:bidi="hi-IN"/>
        </w:rPr>
        <w:t xml:space="preserve"> to communities </w:t>
      </w:r>
      <w:r w:rsidR="009E5A9F">
        <w:rPr>
          <w:lang w:val="en-GB" w:bidi="hi-IN"/>
        </w:rPr>
        <w:t>(6</w:t>
      </w:r>
      <w:r w:rsidR="00581959">
        <w:rPr>
          <w:lang w:val="en-GB" w:bidi="hi-IN"/>
        </w:rPr>
        <w:t>,</w:t>
      </w:r>
      <w:r w:rsidR="009E5A9F">
        <w:rPr>
          <w:lang w:val="en-GB" w:bidi="hi-IN"/>
        </w:rPr>
        <w:t>7</w:t>
      </w:r>
      <w:r w:rsidR="00581959">
        <w:rPr>
          <w:lang w:val="en-GB" w:bidi="hi-IN"/>
        </w:rPr>
        <w:t>,</w:t>
      </w:r>
      <w:r w:rsidR="009E5A9F">
        <w:rPr>
          <w:lang w:val="en-GB" w:bidi="hi-IN"/>
        </w:rPr>
        <w:t>8</w:t>
      </w:r>
      <w:r w:rsidRPr="00A1122D">
        <w:rPr>
          <w:lang w:val="en-GB" w:bidi="hi-IN"/>
        </w:rPr>
        <w:t xml:space="preserve">). </w:t>
      </w:r>
    </w:p>
    <w:p w14:paraId="6AEA400A" w14:textId="77777777" w:rsidR="00A14440" w:rsidRPr="00ED30EF" w:rsidRDefault="00A14440" w:rsidP="009B6504">
      <w:pPr>
        <w:autoSpaceDE w:val="0"/>
        <w:autoSpaceDN w:val="0"/>
        <w:adjustRightInd w:val="0"/>
        <w:spacing w:line="480" w:lineRule="auto"/>
        <w:jc w:val="both"/>
        <w:rPr>
          <w:lang w:bidi="hi-IN"/>
        </w:rPr>
      </w:pPr>
    </w:p>
    <w:p w14:paraId="0301C8BA" w14:textId="2602EC1B" w:rsidR="00A1122D" w:rsidRPr="00A1122D" w:rsidRDefault="00A22076" w:rsidP="00DE632A">
      <w:pPr>
        <w:autoSpaceDE w:val="0"/>
        <w:autoSpaceDN w:val="0"/>
        <w:adjustRightInd w:val="0"/>
        <w:spacing w:line="480" w:lineRule="auto"/>
        <w:jc w:val="both"/>
        <w:rPr>
          <w:lang w:bidi="hi-IN"/>
        </w:rPr>
      </w:pPr>
      <w:r w:rsidRPr="00A1122D">
        <w:rPr>
          <w:lang w:val="en-GB" w:bidi="hi-IN"/>
        </w:rPr>
        <w:t>Community health workers, in many countries, hail from modest social, economic, educational backgrounds, and are often women</w:t>
      </w:r>
      <w:r w:rsidR="00E04939">
        <w:rPr>
          <w:lang w:val="en-GB" w:bidi="hi-IN"/>
        </w:rPr>
        <w:t xml:space="preserve"> (9,10,11)</w:t>
      </w:r>
      <w:r w:rsidRPr="00A1122D">
        <w:rPr>
          <w:lang w:val="en-GB" w:bidi="hi-IN"/>
        </w:rPr>
        <w:t>.</w:t>
      </w:r>
      <w:r>
        <w:rPr>
          <w:lang w:val="en-GB" w:bidi="hi-IN"/>
        </w:rPr>
        <w:t xml:space="preserve"> </w:t>
      </w:r>
      <w:r w:rsidR="00E04939">
        <w:rPr>
          <w:lang w:val="en-GB" w:bidi="hi-IN"/>
        </w:rPr>
        <w:t>In most LMICs CHWs</w:t>
      </w:r>
      <w:r w:rsidRPr="00A1122D">
        <w:rPr>
          <w:lang w:val="en-GB" w:bidi="hi-IN"/>
        </w:rPr>
        <w:t xml:space="preserve"> are the lowest level cadre of health workers</w:t>
      </w:r>
      <w:r w:rsidR="00A14440">
        <w:rPr>
          <w:lang w:val="en-GB" w:bidi="hi-IN"/>
        </w:rPr>
        <w:t xml:space="preserve"> </w:t>
      </w:r>
      <w:r>
        <w:rPr>
          <w:lang w:val="en-GB" w:bidi="hi-IN"/>
        </w:rPr>
        <w:t xml:space="preserve">and they </w:t>
      </w:r>
      <w:r w:rsidR="00A1122D" w:rsidRPr="00A1122D">
        <w:rPr>
          <w:lang w:val="en-GB" w:bidi="hi-IN"/>
        </w:rPr>
        <w:t xml:space="preserve">constitute a </w:t>
      </w:r>
      <w:r w:rsidR="00581959">
        <w:rPr>
          <w:lang w:val="en-GB" w:bidi="hi-IN"/>
        </w:rPr>
        <w:t>diverse group of health workers</w:t>
      </w:r>
      <w:r w:rsidR="00A1122D" w:rsidRPr="00A1122D">
        <w:rPr>
          <w:lang w:val="en-GB" w:bidi="hi-IN"/>
        </w:rPr>
        <w:t xml:space="preserve"> who work primarily outside of health facilities, and close to the communities they serve</w:t>
      </w:r>
      <w:r w:rsidR="00A14440">
        <w:rPr>
          <w:lang w:val="en-GB" w:bidi="hi-IN"/>
        </w:rPr>
        <w:t xml:space="preserve"> (2, 6, 8)</w:t>
      </w:r>
      <w:r w:rsidR="00A1122D" w:rsidRPr="00A1122D">
        <w:rPr>
          <w:lang w:val="en-GB" w:bidi="hi-IN"/>
        </w:rPr>
        <w:t xml:space="preserve">. </w:t>
      </w:r>
      <w:r w:rsidR="00DF3A4E">
        <w:rPr>
          <w:lang w:val="en-GB" w:bidi="hi-IN"/>
        </w:rPr>
        <w:t>In LMIC settings, CHW provide</w:t>
      </w:r>
      <w:r w:rsidR="00DF3A4E" w:rsidRPr="00DF3A4E">
        <w:rPr>
          <w:lang w:val="en-GB" w:bidi="hi-IN"/>
        </w:rPr>
        <w:t xml:space="preserve"> a wide range of services, ranging from provision of safe delivery, </w:t>
      </w:r>
      <w:r w:rsidR="00FF3283" w:rsidRPr="00DF3A4E">
        <w:rPr>
          <w:lang w:val="en-GB" w:bidi="hi-IN"/>
        </w:rPr>
        <w:t>counselling</w:t>
      </w:r>
      <w:r w:rsidR="00DF3A4E" w:rsidRPr="00DF3A4E">
        <w:rPr>
          <w:lang w:val="en-GB" w:bidi="hi-IN"/>
        </w:rPr>
        <w:t xml:space="preserve"> on breast-feeding, management of uncompl</w:t>
      </w:r>
      <w:r w:rsidR="00DF3A4E">
        <w:rPr>
          <w:lang w:val="en-GB" w:bidi="hi-IN"/>
        </w:rPr>
        <w:t xml:space="preserve">icated childhood illnesses, health education and promotion </w:t>
      </w:r>
      <w:r w:rsidR="00DF3A4E" w:rsidRPr="00DF3A4E">
        <w:rPr>
          <w:lang w:val="en-GB" w:bidi="hi-IN"/>
        </w:rPr>
        <w:t>on malaria, TB, HIV/AIDs, STDs and NCDs</w:t>
      </w:r>
      <w:r w:rsidR="00DF3A4E">
        <w:rPr>
          <w:lang w:val="en-GB" w:bidi="hi-IN"/>
        </w:rPr>
        <w:t xml:space="preserve">, facilitating access to services, </w:t>
      </w:r>
      <w:r w:rsidR="00DF3A4E" w:rsidRPr="00DF3A4E">
        <w:rPr>
          <w:lang w:val="en-GB" w:bidi="hi-IN"/>
        </w:rPr>
        <w:t xml:space="preserve">and </w:t>
      </w:r>
      <w:r w:rsidR="00DF3A4E">
        <w:rPr>
          <w:lang w:val="en-GB" w:bidi="hi-IN"/>
        </w:rPr>
        <w:t xml:space="preserve">at places also supporting </w:t>
      </w:r>
      <w:r w:rsidR="00DF3A4E" w:rsidRPr="00DF3A4E">
        <w:rPr>
          <w:lang w:val="en-GB" w:bidi="hi-IN"/>
        </w:rPr>
        <w:t xml:space="preserve">rehabilitation </w:t>
      </w:r>
      <w:r w:rsidR="00DF3A4E">
        <w:rPr>
          <w:lang w:val="en-GB" w:bidi="hi-IN"/>
        </w:rPr>
        <w:t>services (2</w:t>
      </w:r>
      <w:r w:rsidR="00A14440">
        <w:rPr>
          <w:lang w:val="en-GB" w:bidi="hi-IN"/>
        </w:rPr>
        <w:t>, 6, 8</w:t>
      </w:r>
      <w:r w:rsidR="00DF3A4E">
        <w:rPr>
          <w:lang w:val="en-GB" w:bidi="hi-IN"/>
        </w:rPr>
        <w:t>).</w:t>
      </w:r>
      <w:r w:rsidR="00DF3A4E" w:rsidRPr="00DF3A4E">
        <w:rPr>
          <w:lang w:val="en-GB" w:bidi="hi-IN"/>
        </w:rPr>
        <w:t xml:space="preserve"> </w:t>
      </w:r>
      <w:r w:rsidR="00FF3283">
        <w:rPr>
          <w:lang w:val="en-GB" w:bidi="hi-IN"/>
        </w:rPr>
        <w:t>Similarly</w:t>
      </w:r>
      <w:r w:rsidR="00A1122D" w:rsidRPr="00A1122D">
        <w:rPr>
          <w:lang w:val="en-GB" w:bidi="hi-IN"/>
        </w:rPr>
        <w:t xml:space="preserve"> CHWs</w:t>
      </w:r>
      <w:r w:rsidR="00FF3283">
        <w:rPr>
          <w:lang w:val="en-GB" w:bidi="hi-IN"/>
        </w:rPr>
        <w:t>’</w:t>
      </w:r>
      <w:r w:rsidR="00A1122D" w:rsidRPr="00A1122D">
        <w:rPr>
          <w:lang w:val="en-GB" w:bidi="hi-IN"/>
        </w:rPr>
        <w:t xml:space="preserve"> roles</w:t>
      </w:r>
      <w:r w:rsidR="00FF3283">
        <w:rPr>
          <w:lang w:val="en-GB" w:bidi="hi-IN"/>
        </w:rPr>
        <w:t xml:space="preserve"> </w:t>
      </w:r>
      <w:r w:rsidR="00A1122D" w:rsidRPr="00A1122D">
        <w:rPr>
          <w:lang w:val="en-GB" w:bidi="hi-IN"/>
        </w:rPr>
        <w:t>vary</w:t>
      </w:r>
      <w:r w:rsidR="00FF3283">
        <w:rPr>
          <w:lang w:val="en-GB" w:bidi="hi-IN"/>
        </w:rPr>
        <w:t xml:space="preserve"> across countries -</w:t>
      </w:r>
      <w:r w:rsidR="00656DC1">
        <w:rPr>
          <w:lang w:val="en-GB" w:bidi="hi-IN"/>
        </w:rPr>
        <w:t xml:space="preserve"> </w:t>
      </w:r>
      <w:r w:rsidR="00FF3283">
        <w:rPr>
          <w:lang w:val="en-GB" w:bidi="hi-IN"/>
        </w:rPr>
        <w:t xml:space="preserve">extension worker, a health promotor and educator, a facilitator, community mobiliser, first line care provider, and sometimes counsellor and advisor. Irrespective of the LMIC context, </w:t>
      </w:r>
      <w:r w:rsidR="00A1122D" w:rsidRPr="00A1122D">
        <w:rPr>
          <w:lang w:val="en-GB" w:bidi="hi-IN"/>
        </w:rPr>
        <w:lastRenderedPageBreak/>
        <w:t>a common feature is the centrality of ‘</w:t>
      </w:r>
      <w:r w:rsidR="001F3A27">
        <w:rPr>
          <w:lang w:val="en-GB" w:bidi="hi-IN"/>
        </w:rPr>
        <w:t>health promotion</w:t>
      </w:r>
      <w:r w:rsidR="00A1122D" w:rsidRPr="00A1122D">
        <w:rPr>
          <w:lang w:val="en-GB" w:bidi="hi-IN"/>
        </w:rPr>
        <w:t xml:space="preserve">’ related activities in </w:t>
      </w:r>
      <w:r w:rsidR="002212EE">
        <w:rPr>
          <w:lang w:val="en-GB" w:bidi="hi-IN"/>
        </w:rPr>
        <w:t>CHW’s</w:t>
      </w:r>
      <w:r w:rsidR="00A1122D" w:rsidRPr="00A1122D">
        <w:rPr>
          <w:lang w:val="en-GB" w:bidi="hi-IN"/>
        </w:rPr>
        <w:t xml:space="preserve"> work. La</w:t>
      </w:r>
      <w:r w:rsidR="009E5A9F">
        <w:rPr>
          <w:lang w:val="en-GB" w:bidi="hi-IN"/>
        </w:rPr>
        <w:t>bonte &amp; Laverack (</w:t>
      </w:r>
      <w:r w:rsidR="006E34E1">
        <w:rPr>
          <w:lang w:val="en-GB" w:bidi="hi-IN"/>
        </w:rPr>
        <w:t>p 29</w:t>
      </w:r>
      <w:r w:rsidR="001F3A27">
        <w:rPr>
          <w:lang w:val="en-GB" w:bidi="hi-IN"/>
        </w:rPr>
        <w:t>) define health promotion</w:t>
      </w:r>
      <w:r w:rsidR="00A1122D" w:rsidRPr="00A1122D">
        <w:rPr>
          <w:lang w:val="en-GB" w:bidi="hi-IN"/>
        </w:rPr>
        <w:t xml:space="preserve"> as “an empowering practice aimed at social change”</w:t>
      </w:r>
      <w:r w:rsidR="009E5A9F">
        <w:rPr>
          <w:lang w:val="en-GB" w:bidi="hi-IN"/>
        </w:rPr>
        <w:t xml:space="preserve"> (</w:t>
      </w:r>
      <w:r w:rsidR="00E04939">
        <w:rPr>
          <w:lang w:val="en-GB" w:bidi="hi-IN"/>
        </w:rPr>
        <w:t>12</w:t>
      </w:r>
      <w:r w:rsidR="009E5A9F">
        <w:rPr>
          <w:lang w:val="en-GB" w:bidi="hi-IN"/>
        </w:rPr>
        <w:t>). According to Rootman e</w:t>
      </w:r>
      <w:r w:rsidR="002212EE">
        <w:rPr>
          <w:lang w:val="en-GB" w:bidi="hi-IN"/>
        </w:rPr>
        <w:t>t</w:t>
      </w:r>
      <w:r w:rsidR="009E5A9F">
        <w:rPr>
          <w:lang w:val="en-GB" w:bidi="hi-IN"/>
        </w:rPr>
        <w:t xml:space="preserve"> al (p 530), t</w:t>
      </w:r>
      <w:r w:rsidR="00A1122D" w:rsidRPr="00A1122D">
        <w:rPr>
          <w:lang w:val="en-GB" w:bidi="hi-IN"/>
        </w:rPr>
        <w:t xml:space="preserve">he core of </w:t>
      </w:r>
      <w:r w:rsidR="007E5B83">
        <w:rPr>
          <w:lang w:val="en-GB" w:bidi="hi-IN"/>
        </w:rPr>
        <w:t>h</w:t>
      </w:r>
      <w:r w:rsidR="001F3A27">
        <w:rPr>
          <w:lang w:val="en-GB" w:bidi="hi-IN"/>
        </w:rPr>
        <w:t>ealth promotion</w:t>
      </w:r>
      <w:r w:rsidR="00A1122D" w:rsidRPr="00A1122D">
        <w:rPr>
          <w:lang w:val="en-GB" w:bidi="hi-IN"/>
        </w:rPr>
        <w:t xml:space="preserve"> practice is “</w:t>
      </w:r>
      <w:r w:rsidR="001F3A27">
        <w:rPr>
          <w:lang w:val="en-GB" w:bidi="hi-IN"/>
        </w:rPr>
        <w:t>empowerment</w:t>
      </w:r>
      <w:r w:rsidR="00A1122D" w:rsidRPr="00A1122D">
        <w:rPr>
          <w:lang w:val="en-GB" w:bidi="hi-IN"/>
        </w:rPr>
        <w:t>: enhancing capacities of individuals and communities to exercise control over the determinant</w:t>
      </w:r>
      <w:r w:rsidR="009E5A9F">
        <w:rPr>
          <w:lang w:val="en-GB" w:bidi="hi-IN"/>
        </w:rPr>
        <w:t>s of health”  (1</w:t>
      </w:r>
      <w:r w:rsidR="00E04939">
        <w:rPr>
          <w:lang w:val="en-GB" w:bidi="hi-IN"/>
        </w:rPr>
        <w:t>3</w:t>
      </w:r>
      <w:r w:rsidR="009E5A9F">
        <w:rPr>
          <w:lang w:val="en-GB" w:bidi="hi-IN"/>
        </w:rPr>
        <w:t>)</w:t>
      </w:r>
      <w:r w:rsidR="00A1122D" w:rsidRPr="00A1122D">
        <w:rPr>
          <w:lang w:val="en-GB" w:bidi="hi-IN"/>
        </w:rPr>
        <w:t>. Indeed, as the</w:t>
      </w:r>
      <w:r w:rsidR="00A1122D" w:rsidRPr="00A1122D">
        <w:rPr>
          <w:bCs/>
          <w:lang w:val="en-GB" w:bidi="hi-IN"/>
        </w:rPr>
        <w:t xml:space="preserve"> recent systematic review of the global experience of </w:t>
      </w:r>
      <w:r w:rsidR="001F3A27">
        <w:rPr>
          <w:bCs/>
          <w:lang w:val="en-GB" w:bidi="hi-IN"/>
        </w:rPr>
        <w:t>CHWs</w:t>
      </w:r>
      <w:r w:rsidR="008768FB">
        <w:rPr>
          <w:bCs/>
          <w:lang w:val="en-GB" w:bidi="hi-IN"/>
        </w:rPr>
        <w:t xml:space="preserve"> </w:t>
      </w:r>
      <w:r w:rsidR="00A1122D" w:rsidRPr="00A1122D">
        <w:rPr>
          <w:bCs/>
          <w:lang w:val="en-GB" w:bidi="hi-IN"/>
        </w:rPr>
        <w:t xml:space="preserve">shows, </w:t>
      </w:r>
      <w:r w:rsidR="00A1122D" w:rsidRPr="00A1122D">
        <w:rPr>
          <w:lang w:val="en-GB" w:bidi="hi-IN"/>
        </w:rPr>
        <w:t xml:space="preserve"> </w:t>
      </w:r>
      <w:r w:rsidR="001F3A27">
        <w:rPr>
          <w:lang w:val="en-GB" w:bidi="hi-IN"/>
        </w:rPr>
        <w:t>‘empowerment</w:t>
      </w:r>
      <w:r w:rsidR="00A1122D" w:rsidRPr="00A1122D">
        <w:rPr>
          <w:lang w:val="en-GB" w:bidi="hi-IN"/>
        </w:rPr>
        <w:t xml:space="preserve"> of communities’</w:t>
      </w:r>
      <w:r w:rsidR="00A1122D" w:rsidRPr="00A1122D">
        <w:rPr>
          <w:lang w:bidi="hi-IN"/>
        </w:rPr>
        <w:t xml:space="preserve"> is a </w:t>
      </w:r>
      <w:r w:rsidR="006E34E1">
        <w:rPr>
          <w:lang w:bidi="hi-IN"/>
        </w:rPr>
        <w:t>noti</w:t>
      </w:r>
      <w:r w:rsidR="00A1122D" w:rsidRPr="00A1122D">
        <w:rPr>
          <w:lang w:bidi="hi-IN"/>
        </w:rPr>
        <w:t xml:space="preserve">on </w:t>
      </w:r>
      <w:r w:rsidR="006E34E1">
        <w:rPr>
          <w:lang w:bidi="hi-IN"/>
        </w:rPr>
        <w:t>that is well established</w:t>
      </w:r>
      <w:r w:rsidR="00A1122D" w:rsidRPr="00A1122D">
        <w:rPr>
          <w:lang w:bidi="hi-IN"/>
        </w:rPr>
        <w:t xml:space="preserve"> in CHW policies and programs globally, and many, if not all CHW programs have an explicit </w:t>
      </w:r>
      <w:r w:rsidR="001F3A27">
        <w:rPr>
          <w:lang w:bidi="hi-IN"/>
        </w:rPr>
        <w:t>or implicit commitment to the ‘empowerment</w:t>
      </w:r>
      <w:r w:rsidR="00A1122D" w:rsidRPr="00A1122D">
        <w:rPr>
          <w:lang w:bidi="hi-IN"/>
        </w:rPr>
        <w:t xml:space="preserve"> of beneficiary communities’</w:t>
      </w:r>
      <w:r w:rsidR="009E5A9F">
        <w:rPr>
          <w:lang w:bidi="hi-IN"/>
        </w:rPr>
        <w:t xml:space="preserve"> (2</w:t>
      </w:r>
      <w:r w:rsidR="007D7A23">
        <w:rPr>
          <w:lang w:bidi="hi-IN"/>
        </w:rPr>
        <w:t>)</w:t>
      </w:r>
      <w:r w:rsidR="00A1122D" w:rsidRPr="00A1122D">
        <w:rPr>
          <w:lang w:bidi="hi-IN"/>
        </w:rPr>
        <w:t xml:space="preserve">. </w:t>
      </w:r>
    </w:p>
    <w:p w14:paraId="767E4B61" w14:textId="77777777" w:rsidR="00A1122D" w:rsidRPr="00A1122D" w:rsidRDefault="00A1122D" w:rsidP="009B6504">
      <w:pPr>
        <w:spacing w:line="480" w:lineRule="auto"/>
        <w:jc w:val="both"/>
        <w:rPr>
          <w:lang w:bidi="hi-IN"/>
        </w:rPr>
      </w:pPr>
    </w:p>
    <w:p w14:paraId="661EB0D7" w14:textId="66015EF6" w:rsidR="00A1122D" w:rsidRPr="00A1122D" w:rsidRDefault="00656DC1" w:rsidP="009B6504">
      <w:pPr>
        <w:spacing w:line="480" w:lineRule="auto"/>
        <w:jc w:val="both"/>
        <w:rPr>
          <w:lang w:bidi="hi-IN"/>
        </w:rPr>
      </w:pPr>
      <w:r>
        <w:rPr>
          <w:lang w:bidi="hi-IN"/>
        </w:rPr>
        <w:t>F</w:t>
      </w:r>
      <w:r w:rsidR="00A1122D" w:rsidRPr="00A1122D">
        <w:rPr>
          <w:lang w:bidi="hi-IN"/>
        </w:rPr>
        <w:t xml:space="preserve">or CHWs to be able to function as </w:t>
      </w:r>
      <w:r w:rsidR="007D7A23">
        <w:rPr>
          <w:lang w:bidi="hi-IN"/>
        </w:rPr>
        <w:t>h</w:t>
      </w:r>
      <w:r w:rsidR="001F3A27">
        <w:rPr>
          <w:lang w:bidi="hi-IN"/>
        </w:rPr>
        <w:t>ealth promotion</w:t>
      </w:r>
      <w:r w:rsidR="00A1122D" w:rsidRPr="00A1122D">
        <w:rPr>
          <w:lang w:bidi="hi-IN"/>
        </w:rPr>
        <w:t xml:space="preserve"> practitioners, and to be able to empower the citizens and communities they serve, we argue, it is essential that they themselves be, and feel, empowered. </w:t>
      </w:r>
      <w:r w:rsidR="009E5A9F">
        <w:rPr>
          <w:lang w:val="en-GB" w:bidi="hi-IN"/>
        </w:rPr>
        <w:t>Tulenko  et al (</w:t>
      </w:r>
      <w:r w:rsidR="00755D49">
        <w:rPr>
          <w:lang w:val="en-GB" w:bidi="hi-IN"/>
        </w:rPr>
        <w:t>p 847</w:t>
      </w:r>
      <w:r w:rsidR="00A1122D" w:rsidRPr="00A1122D">
        <w:rPr>
          <w:lang w:val="en-GB" w:bidi="hi-IN"/>
        </w:rPr>
        <w:t xml:space="preserve">) concur and contend that “In moving towards </w:t>
      </w:r>
      <w:r w:rsidR="00A1122D" w:rsidRPr="00986FD9">
        <w:rPr>
          <w:lang w:val="en-GB" w:bidi="hi-IN"/>
        </w:rPr>
        <w:t>UHC</w:t>
      </w:r>
      <w:r w:rsidR="00A1122D" w:rsidRPr="00A1122D">
        <w:rPr>
          <w:lang w:val="en-GB" w:bidi="hi-IN"/>
        </w:rPr>
        <w:t>, much can be gained by investing in building CHWs' skills and supporting them as valued members of the health team”</w:t>
      </w:r>
      <w:r w:rsidR="0071578D">
        <w:rPr>
          <w:lang w:val="en-GB" w:bidi="hi-IN"/>
        </w:rPr>
        <w:t xml:space="preserve"> (1</w:t>
      </w:r>
      <w:r w:rsidR="00E04939">
        <w:rPr>
          <w:lang w:val="en-GB" w:bidi="hi-IN"/>
        </w:rPr>
        <w:t>4</w:t>
      </w:r>
      <w:r w:rsidR="0071578D">
        <w:rPr>
          <w:lang w:val="en-GB" w:bidi="hi-IN"/>
        </w:rPr>
        <w:t>)</w:t>
      </w:r>
      <w:r w:rsidR="00A1122D" w:rsidRPr="00A1122D">
        <w:rPr>
          <w:lang w:val="en-GB" w:bidi="hi-IN"/>
        </w:rPr>
        <w:t xml:space="preserve">. </w:t>
      </w:r>
      <w:r w:rsidR="00A22076">
        <w:rPr>
          <w:lang w:val="en-GB" w:bidi="hi-IN"/>
        </w:rPr>
        <w:t xml:space="preserve">Few have </w:t>
      </w:r>
      <w:r w:rsidR="007B419C">
        <w:rPr>
          <w:lang w:val="en-GB" w:bidi="hi-IN"/>
        </w:rPr>
        <w:t>explored</w:t>
      </w:r>
      <w:r w:rsidR="00A22076">
        <w:rPr>
          <w:lang w:val="en-GB" w:bidi="hi-IN"/>
        </w:rPr>
        <w:t xml:space="preserve"> the </w:t>
      </w:r>
      <w:r>
        <w:rPr>
          <w:lang w:val="en-GB" w:bidi="hi-IN"/>
        </w:rPr>
        <w:t>subject</w:t>
      </w:r>
      <w:r w:rsidR="00A22076">
        <w:rPr>
          <w:lang w:val="en-GB" w:bidi="hi-IN"/>
        </w:rPr>
        <w:t xml:space="preserve"> of e</w:t>
      </w:r>
      <w:r w:rsidR="001F3A27">
        <w:rPr>
          <w:lang w:val="en-GB" w:bidi="hi-IN"/>
        </w:rPr>
        <w:t>mpowerment</w:t>
      </w:r>
      <w:r w:rsidR="00A1122D" w:rsidRPr="00A1122D">
        <w:rPr>
          <w:lang w:val="en-GB" w:bidi="hi-IN"/>
        </w:rPr>
        <w:t xml:space="preserve"> of CHWs</w:t>
      </w:r>
      <w:r w:rsidR="00277BCC">
        <w:rPr>
          <w:lang w:val="en-GB" w:bidi="hi-IN"/>
        </w:rPr>
        <w:t xml:space="preserve"> (15,16)</w:t>
      </w:r>
      <w:r w:rsidR="00A22076">
        <w:rPr>
          <w:lang w:val="en-GB" w:bidi="hi-IN"/>
        </w:rPr>
        <w:t>; t</w:t>
      </w:r>
      <w:r w:rsidR="007D7A23">
        <w:rPr>
          <w:lang w:val="en-GB" w:bidi="hi-IN"/>
        </w:rPr>
        <w:t xml:space="preserve">his study aims to </w:t>
      </w:r>
      <w:r w:rsidR="00A22076">
        <w:rPr>
          <w:lang w:val="en-GB" w:bidi="hi-IN"/>
        </w:rPr>
        <w:t>contribute to this body of knowledge.</w:t>
      </w:r>
      <w:r w:rsidR="009B0C5A">
        <w:rPr>
          <w:lang w:val="en-GB" w:bidi="hi-IN"/>
        </w:rPr>
        <w:t xml:space="preserve"> </w:t>
      </w:r>
      <w:r w:rsidR="00A22076">
        <w:rPr>
          <w:lang w:val="en-GB" w:bidi="hi-IN"/>
        </w:rPr>
        <w:t>W</w:t>
      </w:r>
      <w:r w:rsidR="009B0C5A">
        <w:rPr>
          <w:lang w:val="en-GB" w:bidi="hi-IN"/>
        </w:rPr>
        <w:t>e examine the ‘empowerment experience’ of CHWs</w:t>
      </w:r>
      <w:r w:rsidR="005B6286">
        <w:rPr>
          <w:lang w:val="en-GB" w:bidi="hi-IN"/>
        </w:rPr>
        <w:t xml:space="preserve"> as part of the REACHOUT study </w:t>
      </w:r>
      <w:r>
        <w:rPr>
          <w:lang w:val="en-GB" w:bidi="hi-IN"/>
        </w:rPr>
        <w:t>which is</w:t>
      </w:r>
      <w:r w:rsidR="005B6286">
        <w:rPr>
          <w:lang w:val="en-GB" w:bidi="hi-IN"/>
        </w:rPr>
        <w:t xml:space="preserve"> being conducted in Ethiopia, Malawi, Mozambique, Kenya, Bangladesh and Indonesia;</w:t>
      </w:r>
      <w:r w:rsidR="009B0C5A">
        <w:rPr>
          <w:lang w:val="en-GB" w:bidi="hi-IN"/>
        </w:rPr>
        <w:t xml:space="preserve"> </w:t>
      </w:r>
      <w:r w:rsidR="005B6286">
        <w:rPr>
          <w:lang w:val="en-GB" w:bidi="hi-IN"/>
        </w:rPr>
        <w:t>we</w:t>
      </w:r>
      <w:r w:rsidR="009B0C5A">
        <w:rPr>
          <w:lang w:val="en-GB" w:bidi="hi-IN"/>
        </w:rPr>
        <w:t xml:space="preserve"> critically analyse what facilitates or hinders this experience</w:t>
      </w:r>
      <w:r w:rsidR="007D7A23">
        <w:rPr>
          <w:lang w:val="en-GB" w:bidi="hi-IN"/>
        </w:rPr>
        <w:t xml:space="preserve">. </w:t>
      </w:r>
      <w:r w:rsidR="00A1122D" w:rsidRPr="00A1122D">
        <w:rPr>
          <w:lang w:val="en-GB" w:bidi="hi-IN"/>
        </w:rPr>
        <w:t xml:space="preserve"> </w:t>
      </w:r>
    </w:p>
    <w:p w14:paraId="620188A4" w14:textId="77777777" w:rsidR="009B6504" w:rsidRDefault="009B6504" w:rsidP="009B6504">
      <w:pPr>
        <w:spacing w:line="480" w:lineRule="auto"/>
        <w:jc w:val="both"/>
        <w:rPr>
          <w:b/>
          <w:bCs/>
          <w:lang w:bidi="hi-IN"/>
        </w:rPr>
      </w:pPr>
    </w:p>
    <w:p w14:paraId="46A615B1" w14:textId="2E3D9FA6" w:rsidR="00A1122D" w:rsidRDefault="00A1122D" w:rsidP="009B6504">
      <w:pPr>
        <w:spacing w:line="480" w:lineRule="auto"/>
        <w:jc w:val="both"/>
        <w:rPr>
          <w:b/>
          <w:bCs/>
          <w:lang w:bidi="hi-IN"/>
        </w:rPr>
      </w:pPr>
      <w:r w:rsidRPr="00A1122D">
        <w:rPr>
          <w:b/>
          <w:bCs/>
          <w:lang w:bidi="hi-IN"/>
        </w:rPr>
        <w:t>Method</w:t>
      </w:r>
      <w:r w:rsidR="00110134">
        <w:rPr>
          <w:b/>
          <w:bCs/>
          <w:lang w:bidi="hi-IN"/>
        </w:rPr>
        <w:t>ology</w:t>
      </w:r>
    </w:p>
    <w:p w14:paraId="7CE6001B" w14:textId="263444A8" w:rsidR="00110134" w:rsidRDefault="00110134" w:rsidP="009B6504">
      <w:pPr>
        <w:autoSpaceDE w:val="0"/>
        <w:autoSpaceDN w:val="0"/>
        <w:adjustRightInd w:val="0"/>
        <w:spacing w:line="480" w:lineRule="auto"/>
        <w:jc w:val="both"/>
        <w:rPr>
          <w:lang w:val="en-GB" w:bidi="hi-IN"/>
        </w:rPr>
      </w:pPr>
      <w:r>
        <w:rPr>
          <w:lang w:val="en-GB" w:bidi="hi-IN"/>
        </w:rPr>
        <w:t>Two complementary</w:t>
      </w:r>
      <w:r w:rsidRPr="00A1122D">
        <w:rPr>
          <w:lang w:val="en-GB" w:bidi="hi-IN"/>
        </w:rPr>
        <w:t xml:space="preserve"> persp</w:t>
      </w:r>
      <w:r w:rsidR="00581959">
        <w:rPr>
          <w:lang w:val="en-GB" w:bidi="hi-IN"/>
        </w:rPr>
        <w:t>ectives have been</w:t>
      </w:r>
      <w:r w:rsidRPr="00A1122D">
        <w:rPr>
          <w:lang w:val="en-GB" w:bidi="hi-IN"/>
        </w:rPr>
        <w:t xml:space="preserve"> used to study and understand employee/worker </w:t>
      </w:r>
      <w:r>
        <w:rPr>
          <w:lang w:val="en-GB" w:bidi="hi-IN"/>
        </w:rPr>
        <w:t>empowerment</w:t>
      </w:r>
      <w:r w:rsidRPr="00A1122D">
        <w:rPr>
          <w:lang w:val="en-GB" w:bidi="hi-IN"/>
        </w:rPr>
        <w:t xml:space="preserve">: the social-structural perspective and the psychological perspective. The ‘social-structural perspective’ emphasizes the importance of social, economic, political and organizational structures and arrangements and how they affect or condition the employee’s state of </w:t>
      </w:r>
      <w:r>
        <w:rPr>
          <w:lang w:val="en-GB" w:bidi="hi-IN"/>
        </w:rPr>
        <w:t>empowerment</w:t>
      </w:r>
      <w:r w:rsidRPr="00A1122D">
        <w:rPr>
          <w:lang w:val="en-GB" w:bidi="hi-IN"/>
        </w:rPr>
        <w:t xml:space="preserve"> </w:t>
      </w:r>
      <w:r w:rsidRPr="00A1122D">
        <w:rPr>
          <w:lang w:val="en-GB" w:bidi="hi-IN"/>
        </w:rPr>
        <w:lastRenderedPageBreak/>
        <w:t xml:space="preserve">(or powerlessness). It refers to policies, practices and relations that involve sharing decision-making power between </w:t>
      </w:r>
      <w:r w:rsidR="0071578D">
        <w:rPr>
          <w:lang w:val="en-GB" w:bidi="hi-IN"/>
        </w:rPr>
        <w:t>managers and workers (1</w:t>
      </w:r>
      <w:r w:rsidR="00277BCC">
        <w:rPr>
          <w:lang w:val="en-GB" w:bidi="hi-IN"/>
        </w:rPr>
        <w:t>7</w:t>
      </w:r>
      <w:r w:rsidRPr="00A1122D">
        <w:rPr>
          <w:lang w:val="en-GB" w:bidi="hi-IN"/>
        </w:rPr>
        <w:t xml:space="preserve">, </w:t>
      </w:r>
      <w:r w:rsidR="0071578D">
        <w:rPr>
          <w:lang w:val="en-GB" w:bidi="hi-IN"/>
        </w:rPr>
        <w:t>1</w:t>
      </w:r>
      <w:r w:rsidR="00277BCC">
        <w:rPr>
          <w:lang w:val="en-GB" w:bidi="hi-IN"/>
        </w:rPr>
        <w:t>8</w:t>
      </w:r>
      <w:r w:rsidRPr="00A1122D">
        <w:rPr>
          <w:lang w:val="en-GB" w:bidi="hi-IN"/>
        </w:rPr>
        <w:t>). In the ‘psychological perspective’ the emphasis is on employee’s perceptions and experiences, on the employee’s perceptions and beliefs of power, competence, control and self-efficacy (</w:t>
      </w:r>
      <w:r w:rsidR="00486A3E">
        <w:rPr>
          <w:lang w:val="en-GB" w:bidi="hi-IN"/>
        </w:rPr>
        <w:t>1</w:t>
      </w:r>
      <w:r w:rsidR="00277BCC">
        <w:rPr>
          <w:lang w:val="en-GB" w:bidi="hi-IN"/>
        </w:rPr>
        <w:t>9</w:t>
      </w:r>
      <w:r w:rsidR="002C5417">
        <w:rPr>
          <w:lang w:val="en-GB" w:bidi="hi-IN"/>
        </w:rPr>
        <w:t>,</w:t>
      </w:r>
      <w:r w:rsidR="00277BCC">
        <w:rPr>
          <w:lang w:val="en-GB" w:bidi="hi-IN"/>
        </w:rPr>
        <w:t>20</w:t>
      </w:r>
      <w:r w:rsidRPr="00A1122D">
        <w:rPr>
          <w:lang w:val="en-GB" w:bidi="hi-IN"/>
        </w:rPr>
        <w:t>,</w:t>
      </w:r>
      <w:r w:rsidR="00277BCC">
        <w:rPr>
          <w:lang w:val="en-GB" w:bidi="hi-IN"/>
        </w:rPr>
        <w:t>2</w:t>
      </w:r>
      <w:r w:rsidR="00486A3E">
        <w:rPr>
          <w:lang w:val="en-GB" w:bidi="hi-IN"/>
        </w:rPr>
        <w:t>1</w:t>
      </w:r>
      <w:r w:rsidRPr="00A1122D">
        <w:rPr>
          <w:lang w:val="en-GB" w:bidi="hi-IN"/>
        </w:rPr>
        <w:t xml:space="preserve">). The psychological perspective thus builds on the social-structural perspective and conceptualises the social-structural arrangements as powers that </w:t>
      </w:r>
      <w:r w:rsidR="00E319D6">
        <w:rPr>
          <w:lang w:val="en-GB" w:bidi="hi-IN"/>
        </w:rPr>
        <w:t>shape</w:t>
      </w:r>
      <w:r w:rsidRPr="00A1122D">
        <w:rPr>
          <w:lang w:val="en-GB" w:bidi="hi-IN"/>
        </w:rPr>
        <w:t xml:space="preserve"> the individual’s experience of </w:t>
      </w:r>
      <w:r>
        <w:rPr>
          <w:lang w:val="en-GB" w:bidi="hi-IN"/>
        </w:rPr>
        <w:t>empowerment</w:t>
      </w:r>
      <w:r w:rsidR="00486A3E">
        <w:rPr>
          <w:lang w:val="en-GB" w:bidi="hi-IN"/>
        </w:rPr>
        <w:t>. Lee &amp; Koh (</w:t>
      </w:r>
      <w:r w:rsidR="00277BCC">
        <w:rPr>
          <w:lang w:val="en-GB" w:bidi="hi-IN"/>
        </w:rPr>
        <w:t>21</w:t>
      </w:r>
      <w:r w:rsidRPr="00A1122D">
        <w:rPr>
          <w:lang w:val="en-GB" w:bidi="hi-IN"/>
        </w:rPr>
        <w:t>)</w:t>
      </w:r>
      <w:r w:rsidR="00656DC1">
        <w:rPr>
          <w:lang w:val="en-GB" w:bidi="hi-IN"/>
        </w:rPr>
        <w:t xml:space="preserve">, drawing upon </w:t>
      </w:r>
      <w:r w:rsidR="00656DC1" w:rsidRPr="00A1122D">
        <w:rPr>
          <w:lang w:val="en-GB" w:bidi="hi-IN"/>
        </w:rPr>
        <w:t>Thomas &amp; Velthouse</w:t>
      </w:r>
      <w:r w:rsidR="00656DC1">
        <w:rPr>
          <w:lang w:val="en-GB" w:bidi="hi-IN"/>
        </w:rPr>
        <w:t>’s (19</w:t>
      </w:r>
      <w:r w:rsidR="00656DC1" w:rsidRPr="00A1122D">
        <w:rPr>
          <w:lang w:val="en-GB" w:bidi="hi-IN"/>
        </w:rPr>
        <w:t>) original work</w:t>
      </w:r>
      <w:r w:rsidR="00656DC1">
        <w:rPr>
          <w:lang w:val="en-GB" w:bidi="hi-IN"/>
        </w:rPr>
        <w:t>,</w:t>
      </w:r>
      <w:r w:rsidRPr="00A1122D">
        <w:rPr>
          <w:lang w:val="en-GB" w:bidi="hi-IN"/>
        </w:rPr>
        <w:t xml:space="preserve"> use this understanding as the basis to define employee </w:t>
      </w:r>
      <w:r>
        <w:rPr>
          <w:lang w:val="en-GB" w:bidi="hi-IN"/>
        </w:rPr>
        <w:t>empowerment</w:t>
      </w:r>
      <w:r w:rsidRPr="00A1122D">
        <w:rPr>
          <w:lang w:val="en-GB" w:bidi="hi-IN"/>
        </w:rPr>
        <w:t xml:space="preserve"> as “the psychological state of a subordinate perceiving four dimensions of meaningfulness, competence, impact,</w:t>
      </w:r>
      <w:r w:rsidR="00771436">
        <w:rPr>
          <w:lang w:val="en-GB" w:bidi="hi-IN"/>
        </w:rPr>
        <w:t xml:space="preserve"> and self-determination,</w:t>
      </w:r>
      <w:r w:rsidRPr="00A1122D">
        <w:rPr>
          <w:lang w:val="en-GB" w:bidi="hi-IN"/>
        </w:rPr>
        <w:t xml:space="preserve"> which are affected by empowering behaviours of the supervisor (and other structures)”.</w:t>
      </w:r>
      <w:r w:rsidR="00771436">
        <w:rPr>
          <w:lang w:val="en-GB" w:bidi="hi-IN"/>
        </w:rPr>
        <w:t xml:space="preserve"> </w:t>
      </w:r>
    </w:p>
    <w:p w14:paraId="6D77F270" w14:textId="77777777" w:rsidR="00B3776A" w:rsidRDefault="00B3776A" w:rsidP="009B6504">
      <w:pPr>
        <w:autoSpaceDE w:val="0"/>
        <w:autoSpaceDN w:val="0"/>
        <w:adjustRightInd w:val="0"/>
        <w:spacing w:line="480" w:lineRule="auto"/>
        <w:jc w:val="both"/>
        <w:rPr>
          <w:lang w:val="en-GB" w:bidi="hi-IN"/>
        </w:rPr>
      </w:pPr>
    </w:p>
    <w:p w14:paraId="6BAAD310" w14:textId="2AF64D83" w:rsidR="00B3776A" w:rsidRPr="00A1122D" w:rsidRDefault="00B3776A" w:rsidP="009B6504">
      <w:pPr>
        <w:autoSpaceDE w:val="0"/>
        <w:autoSpaceDN w:val="0"/>
        <w:spacing w:line="480" w:lineRule="auto"/>
        <w:jc w:val="both"/>
        <w:rPr>
          <w:lang w:val="en-GB" w:bidi="hi-IN"/>
        </w:rPr>
      </w:pPr>
      <w:r w:rsidRPr="00A1122D">
        <w:rPr>
          <w:lang w:val="en-GB" w:bidi="hi-IN"/>
        </w:rPr>
        <w:t>According to them ‘meaningfulness’ refers to the meaning ascribed to</w:t>
      </w:r>
      <w:r w:rsidR="00E319D6">
        <w:rPr>
          <w:lang w:val="en-GB" w:bidi="hi-IN"/>
        </w:rPr>
        <w:t>,</w:t>
      </w:r>
      <w:r w:rsidRPr="00A1122D">
        <w:rPr>
          <w:lang w:val="en-GB" w:bidi="hi-IN"/>
        </w:rPr>
        <w:t xml:space="preserve"> or the value of a task goal or purpose</w:t>
      </w:r>
      <w:r w:rsidR="00E319D6">
        <w:rPr>
          <w:lang w:val="en-GB" w:bidi="hi-IN"/>
        </w:rPr>
        <w:t>,</w:t>
      </w:r>
      <w:r w:rsidRPr="00A1122D">
        <w:rPr>
          <w:lang w:val="en-GB" w:bidi="hi-IN"/>
        </w:rPr>
        <w:t xml:space="preserve"> judged in relation to an individual’s own ideals or standards. ‘Competence’ is an individual’s belief in his/her capability to perform activities ski</w:t>
      </w:r>
      <w:r w:rsidR="00486A3E">
        <w:rPr>
          <w:lang w:val="en-GB" w:bidi="hi-IN"/>
        </w:rPr>
        <w:t xml:space="preserve">lfully. </w:t>
      </w:r>
      <w:r w:rsidR="00771436" w:rsidRPr="00A1122D">
        <w:rPr>
          <w:lang w:val="en-GB" w:bidi="hi-IN"/>
        </w:rPr>
        <w:t>‘</w:t>
      </w:r>
      <w:r w:rsidR="00771436">
        <w:rPr>
          <w:lang w:val="en-GB" w:bidi="hi-IN"/>
        </w:rPr>
        <w:t>I</w:t>
      </w:r>
      <w:r w:rsidR="00771436" w:rsidRPr="00A1122D">
        <w:rPr>
          <w:lang w:val="en-GB" w:bidi="hi-IN"/>
        </w:rPr>
        <w:t xml:space="preserve">mpact’ refers to the perception of the degree to which an individual thinks he/she can influence certain outcomes at work. </w:t>
      </w:r>
      <w:r w:rsidR="00486A3E">
        <w:rPr>
          <w:lang w:val="en-GB" w:bidi="hi-IN"/>
        </w:rPr>
        <w:t>Thomas &amp; Velthouse (1</w:t>
      </w:r>
      <w:r w:rsidR="00277BCC">
        <w:rPr>
          <w:lang w:val="en-GB" w:bidi="hi-IN"/>
        </w:rPr>
        <w:t>9</w:t>
      </w:r>
      <w:r w:rsidRPr="00A1122D">
        <w:rPr>
          <w:lang w:val="en-GB" w:bidi="hi-IN"/>
        </w:rPr>
        <w:t>) originally used the term ‘</w:t>
      </w:r>
      <w:r w:rsidR="00BB2911">
        <w:rPr>
          <w:lang w:val="en-GB" w:bidi="hi-IN"/>
        </w:rPr>
        <w:t>c</w:t>
      </w:r>
      <w:r w:rsidRPr="00A1122D">
        <w:rPr>
          <w:lang w:val="en-GB" w:bidi="hi-IN"/>
        </w:rPr>
        <w:t>hoice’ in preference over ‘</w:t>
      </w:r>
      <w:r w:rsidR="00893F07">
        <w:rPr>
          <w:lang w:val="en-GB" w:bidi="hi-IN"/>
        </w:rPr>
        <w:t>s</w:t>
      </w:r>
      <w:r w:rsidRPr="00A1122D">
        <w:rPr>
          <w:lang w:val="en-GB" w:bidi="hi-IN"/>
        </w:rPr>
        <w:t>elf-determination’ and this referred to whether a person perceived his/her behaviour as being self-determined, and of his/her own choice – we also choose to use the term ‘choice’ fo</w:t>
      </w:r>
      <w:r w:rsidR="00581959">
        <w:rPr>
          <w:lang w:val="en-GB" w:bidi="hi-IN"/>
        </w:rPr>
        <w:t>r the purpose of this study</w:t>
      </w:r>
      <w:r w:rsidR="003B29C2">
        <w:rPr>
          <w:lang w:val="en-GB" w:bidi="hi-IN"/>
        </w:rPr>
        <w:t xml:space="preserve">. We do so with the understanding that </w:t>
      </w:r>
      <w:r w:rsidR="003B29C2" w:rsidRPr="003B29C2">
        <w:rPr>
          <w:lang w:val="en-GB" w:bidi="hi-IN"/>
        </w:rPr>
        <w:t>the locus of causality can be either invested in the person or be in the external environment</w:t>
      </w:r>
      <w:r w:rsidR="00771436">
        <w:rPr>
          <w:lang w:val="en-GB" w:bidi="hi-IN"/>
        </w:rPr>
        <w:t xml:space="preserve">. </w:t>
      </w:r>
    </w:p>
    <w:p w14:paraId="1E9EFBE7" w14:textId="77777777" w:rsidR="00110134" w:rsidRPr="00A1122D" w:rsidRDefault="00110134" w:rsidP="009B6504">
      <w:pPr>
        <w:autoSpaceDE w:val="0"/>
        <w:autoSpaceDN w:val="0"/>
        <w:adjustRightInd w:val="0"/>
        <w:spacing w:line="480" w:lineRule="auto"/>
        <w:jc w:val="both"/>
        <w:rPr>
          <w:color w:val="000000"/>
          <w:sz w:val="23"/>
          <w:szCs w:val="23"/>
        </w:rPr>
      </w:pPr>
      <w:r w:rsidRPr="00A1122D">
        <w:rPr>
          <w:color w:val="000000"/>
          <w:sz w:val="23"/>
          <w:szCs w:val="23"/>
        </w:rPr>
        <w:t xml:space="preserve"> </w:t>
      </w:r>
    </w:p>
    <w:p w14:paraId="54329C91" w14:textId="0C2E399C" w:rsidR="00110134" w:rsidRPr="00A1122D" w:rsidRDefault="00B3776A" w:rsidP="009B6504">
      <w:pPr>
        <w:spacing w:line="480" w:lineRule="auto"/>
        <w:jc w:val="both"/>
      </w:pPr>
      <w:r>
        <w:rPr>
          <w:lang w:val="en-GB" w:bidi="hi-IN"/>
        </w:rPr>
        <w:t xml:space="preserve">Using Lee &amp; Koh’s </w:t>
      </w:r>
      <w:r w:rsidR="00486A3E">
        <w:rPr>
          <w:lang w:val="en-GB" w:bidi="hi-IN"/>
        </w:rPr>
        <w:t>(</w:t>
      </w:r>
      <w:r w:rsidR="00277BCC">
        <w:rPr>
          <w:lang w:val="en-GB" w:bidi="hi-IN"/>
        </w:rPr>
        <w:t>2</w:t>
      </w:r>
      <w:r w:rsidR="00486A3E">
        <w:rPr>
          <w:lang w:val="en-GB" w:bidi="hi-IN"/>
        </w:rPr>
        <w:t xml:space="preserve">1) </w:t>
      </w:r>
      <w:r w:rsidR="00110134">
        <w:rPr>
          <w:lang w:val="en-GB" w:bidi="hi-IN"/>
        </w:rPr>
        <w:t>conceptual framework w</w:t>
      </w:r>
      <w:r w:rsidR="00110134" w:rsidRPr="00A1122D">
        <w:rPr>
          <w:lang w:val="en-GB" w:bidi="hi-IN"/>
        </w:rPr>
        <w:t>e a</w:t>
      </w:r>
      <w:r w:rsidR="00110134">
        <w:rPr>
          <w:lang w:val="en-GB" w:bidi="hi-IN"/>
        </w:rPr>
        <w:t>nalyse</w:t>
      </w:r>
      <w:r w:rsidR="00110134" w:rsidRPr="00A1122D">
        <w:rPr>
          <w:lang w:val="en-GB" w:bidi="hi-IN"/>
        </w:rPr>
        <w:t xml:space="preserve"> how program design and implementation processes, in different </w:t>
      </w:r>
      <w:r w:rsidR="00581959">
        <w:rPr>
          <w:lang w:val="en-GB" w:bidi="hi-IN"/>
        </w:rPr>
        <w:t xml:space="preserve">LMIC </w:t>
      </w:r>
      <w:r w:rsidR="00110134" w:rsidRPr="00A1122D">
        <w:rPr>
          <w:lang w:val="en-GB" w:bidi="hi-IN"/>
        </w:rPr>
        <w:t xml:space="preserve">contexts, facilitate or constrain the </w:t>
      </w:r>
      <w:r w:rsidR="00110134">
        <w:rPr>
          <w:lang w:val="en-GB" w:bidi="hi-IN"/>
        </w:rPr>
        <w:t>empowerment experience</w:t>
      </w:r>
      <w:r w:rsidR="00110134" w:rsidRPr="00A1122D">
        <w:rPr>
          <w:lang w:val="en-GB" w:bidi="hi-IN"/>
        </w:rPr>
        <w:t xml:space="preserve"> of CHWs.</w:t>
      </w:r>
      <w:r w:rsidR="00110134" w:rsidRPr="00A1122D">
        <w:rPr>
          <w:lang w:bidi="hi-IN"/>
        </w:rPr>
        <w:t xml:space="preserve"> </w:t>
      </w:r>
      <w:r w:rsidR="00893F07">
        <w:rPr>
          <w:lang w:bidi="hi-IN"/>
        </w:rPr>
        <w:t>Literature</w:t>
      </w:r>
      <w:r w:rsidR="00110134" w:rsidRPr="00A1122D">
        <w:rPr>
          <w:lang w:bidi="hi-IN"/>
        </w:rPr>
        <w:t xml:space="preserve"> </w:t>
      </w:r>
      <w:r w:rsidR="00893F07">
        <w:rPr>
          <w:lang w:bidi="hi-IN"/>
        </w:rPr>
        <w:t>from</w:t>
      </w:r>
      <w:r w:rsidR="00110134" w:rsidRPr="00A1122D">
        <w:rPr>
          <w:lang w:bidi="hi-IN"/>
        </w:rPr>
        <w:t xml:space="preserve"> organizational and management studies shows the benefits of </w:t>
      </w:r>
      <w:r w:rsidR="00110134">
        <w:rPr>
          <w:lang w:bidi="hi-IN"/>
        </w:rPr>
        <w:t>empowerment</w:t>
      </w:r>
      <w:r w:rsidR="00110134" w:rsidRPr="00A1122D">
        <w:rPr>
          <w:lang w:bidi="hi-IN"/>
        </w:rPr>
        <w:t xml:space="preserve"> of workers to the organizations they work </w:t>
      </w:r>
      <w:r w:rsidR="00110134" w:rsidRPr="00A1122D">
        <w:rPr>
          <w:lang w:bidi="hi-IN"/>
        </w:rPr>
        <w:lastRenderedPageBreak/>
        <w:t>for and for workers themselves (</w:t>
      </w:r>
      <w:r w:rsidR="00277BCC">
        <w:rPr>
          <w:lang w:bidi="hi-IN"/>
        </w:rPr>
        <w:t>22,23,24</w:t>
      </w:r>
      <w:r w:rsidR="00486A3E">
        <w:rPr>
          <w:lang w:bidi="hi-IN"/>
        </w:rPr>
        <w:t>)</w:t>
      </w:r>
      <w:r w:rsidR="00110134" w:rsidRPr="00A1122D">
        <w:rPr>
          <w:lang w:bidi="hi-IN"/>
        </w:rPr>
        <w:t>. We reflect upon</w:t>
      </w:r>
      <w:r w:rsidR="00121331">
        <w:rPr>
          <w:lang w:bidi="hi-IN"/>
        </w:rPr>
        <w:t xml:space="preserve"> the limits of and</w:t>
      </w:r>
      <w:r w:rsidR="00110134" w:rsidRPr="00A1122D">
        <w:rPr>
          <w:lang w:bidi="hi-IN"/>
        </w:rPr>
        <w:t xml:space="preserve"> opportunities for improving CHW programs s</w:t>
      </w:r>
      <w:r w:rsidR="00893F07">
        <w:rPr>
          <w:lang w:bidi="hi-IN"/>
        </w:rPr>
        <w:t>o</w:t>
      </w:r>
      <w:r w:rsidR="00110134" w:rsidRPr="00A1122D">
        <w:rPr>
          <w:lang w:bidi="hi-IN"/>
        </w:rPr>
        <w:t xml:space="preserve"> that CHWs are empowered, perform better, are enabled to</w:t>
      </w:r>
      <w:r w:rsidR="00121331">
        <w:rPr>
          <w:lang w:bidi="hi-IN"/>
        </w:rPr>
        <w:t xml:space="preserve"> serve and</w:t>
      </w:r>
      <w:r w:rsidR="00110134" w:rsidRPr="00A1122D">
        <w:rPr>
          <w:lang w:bidi="hi-IN"/>
        </w:rPr>
        <w:t xml:space="preserve"> empower the</w:t>
      </w:r>
      <w:r w:rsidR="00121331">
        <w:rPr>
          <w:lang w:bidi="hi-IN"/>
        </w:rPr>
        <w:t>ir</w:t>
      </w:r>
      <w:r w:rsidR="00110134" w:rsidRPr="00A1122D">
        <w:rPr>
          <w:lang w:bidi="hi-IN"/>
        </w:rPr>
        <w:t xml:space="preserve"> communities</w:t>
      </w:r>
      <w:r w:rsidR="00121331">
        <w:rPr>
          <w:lang w:bidi="hi-IN"/>
        </w:rPr>
        <w:t>, better</w:t>
      </w:r>
      <w:r w:rsidR="00110134" w:rsidRPr="00A1122D">
        <w:t xml:space="preserve">.  </w:t>
      </w:r>
    </w:p>
    <w:p w14:paraId="34AD43BD" w14:textId="77777777" w:rsidR="00110134" w:rsidRPr="00A1122D" w:rsidRDefault="00110134" w:rsidP="009B6504">
      <w:pPr>
        <w:spacing w:line="480" w:lineRule="auto"/>
        <w:jc w:val="both"/>
        <w:rPr>
          <w:lang w:bidi="hi-IN"/>
        </w:rPr>
      </w:pPr>
    </w:p>
    <w:p w14:paraId="111498ED" w14:textId="0B9C0ACE" w:rsidR="00A1122D" w:rsidRDefault="00110134" w:rsidP="009B6504">
      <w:pPr>
        <w:autoSpaceDE w:val="0"/>
        <w:autoSpaceDN w:val="0"/>
        <w:adjustRightInd w:val="0"/>
        <w:spacing w:line="480" w:lineRule="auto"/>
        <w:jc w:val="both"/>
        <w:rPr>
          <w:lang w:val="en-GB" w:bidi="hi-IN"/>
        </w:rPr>
      </w:pPr>
      <w:r>
        <w:rPr>
          <w:lang w:bidi="hi-IN"/>
        </w:rPr>
        <w:t xml:space="preserve">Our analysis </w:t>
      </w:r>
      <w:r w:rsidR="00A1122D" w:rsidRPr="00A1122D">
        <w:rPr>
          <w:lang w:bidi="hi-IN"/>
        </w:rPr>
        <w:t xml:space="preserve">is based on findings from Phase 1 of the five year REACHOUT project which explores factors influencing the performance of </w:t>
      </w:r>
      <w:r w:rsidR="00611CA7">
        <w:rPr>
          <w:lang w:bidi="hi-IN"/>
        </w:rPr>
        <w:t xml:space="preserve">CHWs </w:t>
      </w:r>
      <w:r w:rsidR="00A1122D" w:rsidRPr="00A1122D">
        <w:rPr>
          <w:lang w:bidi="hi-IN"/>
        </w:rPr>
        <w:t xml:space="preserve">globally, and in Bangladesh, Ethiopia, Indonesia, Kenya, Malawi and Mozambique, in particular. The REACHOUT study scope is broader than just CHWs; </w:t>
      </w:r>
      <w:r w:rsidR="00893F07">
        <w:rPr>
          <w:lang w:bidi="hi-IN"/>
        </w:rPr>
        <w:t xml:space="preserve">as </w:t>
      </w:r>
      <w:r w:rsidR="00A1122D" w:rsidRPr="00A1122D">
        <w:rPr>
          <w:lang w:bidi="hi-IN"/>
        </w:rPr>
        <w:t xml:space="preserve">the study </w:t>
      </w:r>
      <w:r w:rsidR="00893F07">
        <w:rPr>
          <w:lang w:bidi="hi-IN"/>
        </w:rPr>
        <w:t>participants</w:t>
      </w:r>
      <w:r w:rsidR="00A1122D" w:rsidRPr="00A1122D">
        <w:rPr>
          <w:lang w:bidi="hi-IN"/>
        </w:rPr>
        <w:t xml:space="preserve"> are a wide range of care providers, all with one common characteristic – their proximity to the communities they serve. </w:t>
      </w:r>
      <w:r w:rsidR="00A1122D" w:rsidRPr="00804081">
        <w:rPr>
          <w:lang w:bidi="hi-IN"/>
        </w:rPr>
        <w:t>Phase 1 of</w:t>
      </w:r>
      <w:r w:rsidR="00A1122D" w:rsidRPr="00A1122D">
        <w:rPr>
          <w:lang w:bidi="hi-IN"/>
        </w:rPr>
        <w:t xml:space="preserve"> the REACHOUT project involved a review of the international literature </w:t>
      </w:r>
      <w:r w:rsidR="00581959" w:rsidRPr="00A1122D">
        <w:rPr>
          <w:lang w:bidi="hi-IN"/>
        </w:rPr>
        <w:t>on the subje</w:t>
      </w:r>
      <w:r w:rsidR="00581959">
        <w:rPr>
          <w:lang w:bidi="hi-IN"/>
        </w:rPr>
        <w:t xml:space="preserve">ct </w:t>
      </w:r>
      <w:r w:rsidR="00A1122D" w:rsidRPr="00A1122D">
        <w:rPr>
          <w:lang w:bidi="hi-IN"/>
        </w:rPr>
        <w:t>(1</w:t>
      </w:r>
      <w:r w:rsidR="00BB2911">
        <w:rPr>
          <w:lang w:bidi="hi-IN"/>
        </w:rPr>
        <w:t>50</w:t>
      </w:r>
      <w:r w:rsidR="00A1122D" w:rsidRPr="00A1122D">
        <w:rPr>
          <w:lang w:bidi="hi-IN"/>
        </w:rPr>
        <w:t xml:space="preserve"> studies</w:t>
      </w:r>
      <w:r w:rsidR="00BB2911">
        <w:rPr>
          <w:lang w:bidi="hi-IN"/>
        </w:rPr>
        <w:t xml:space="preserve"> and</w:t>
      </w:r>
      <w:r w:rsidR="00A1122D" w:rsidRPr="00A1122D">
        <w:rPr>
          <w:lang w:bidi="hi-IN"/>
        </w:rPr>
        <w:t xml:space="preserve"> </w:t>
      </w:r>
      <w:r w:rsidR="00BB2911">
        <w:rPr>
          <w:lang w:bidi="hi-IN"/>
        </w:rPr>
        <w:t>46</w:t>
      </w:r>
      <w:r w:rsidR="00A1122D" w:rsidRPr="00A1122D">
        <w:rPr>
          <w:lang w:bidi="hi-IN"/>
        </w:rPr>
        <w:t xml:space="preserve"> reviews</w:t>
      </w:r>
      <w:r w:rsidR="0058464D">
        <w:rPr>
          <w:lang w:bidi="hi-IN"/>
        </w:rPr>
        <w:t>)</w:t>
      </w:r>
      <w:r w:rsidR="00A1122D" w:rsidRPr="00A1122D">
        <w:rPr>
          <w:lang w:bidi="hi-IN"/>
        </w:rPr>
        <w:t xml:space="preserve"> </w:t>
      </w:r>
      <w:r w:rsidR="00486A3E">
        <w:rPr>
          <w:lang w:bidi="hi-IN"/>
        </w:rPr>
        <w:t>(6</w:t>
      </w:r>
      <w:r w:rsidR="00A1122D" w:rsidRPr="00A1122D">
        <w:rPr>
          <w:lang w:bidi="hi-IN"/>
        </w:rPr>
        <w:t>), six reviews of country level literature on the su</w:t>
      </w:r>
      <w:r w:rsidR="0058464D">
        <w:rPr>
          <w:lang w:bidi="hi-IN"/>
        </w:rPr>
        <w:t>bject in the REACHOUT countries,</w:t>
      </w:r>
      <w:r w:rsidR="00A1122D" w:rsidRPr="00A1122D">
        <w:rPr>
          <w:lang w:bidi="hi-IN"/>
        </w:rPr>
        <w:t xml:space="preserve"> and, </w:t>
      </w:r>
      <w:r w:rsidR="00BB2911">
        <w:rPr>
          <w:lang w:val="en-GB" w:bidi="hi-IN"/>
        </w:rPr>
        <w:t>six</w:t>
      </w:r>
      <w:r w:rsidR="00A1122D" w:rsidRPr="00A1122D">
        <w:rPr>
          <w:lang w:val="en-GB" w:bidi="hi-IN"/>
        </w:rPr>
        <w:t xml:space="preserve"> country level qualitative context analysis that explored a range of CHW related</w:t>
      </w:r>
      <w:r w:rsidR="0055651A">
        <w:rPr>
          <w:lang w:val="en-GB" w:bidi="hi-IN"/>
        </w:rPr>
        <w:t xml:space="preserve"> issues</w:t>
      </w:r>
      <w:r w:rsidR="0058464D">
        <w:rPr>
          <w:lang w:val="en-GB" w:bidi="hi-IN"/>
        </w:rPr>
        <w:t>. These literature reviews and qualitative studies were done over 2013-2014</w:t>
      </w:r>
      <w:r w:rsidR="0055651A">
        <w:rPr>
          <w:lang w:val="en-GB" w:bidi="hi-IN"/>
        </w:rPr>
        <w:t xml:space="preserve">. </w:t>
      </w:r>
      <w:r w:rsidR="00804081">
        <w:rPr>
          <w:lang w:val="en-GB" w:bidi="hi-IN"/>
        </w:rPr>
        <w:t>Phase 2 is currently ongoing and involves action research cycles to test interventions developed based on findings from Phase 1.</w:t>
      </w:r>
      <w:r w:rsidR="003C0404">
        <w:rPr>
          <w:lang w:val="en-GB" w:bidi="hi-IN"/>
        </w:rPr>
        <w:t xml:space="preserve"> Overall ethical approval was received from Ethics Committees at KIT Royal Tropical Institute, Amsterdam; country level approvals were received from Ethics Committees in each of the six study countries.</w:t>
      </w:r>
    </w:p>
    <w:p w14:paraId="51840813" w14:textId="77777777" w:rsidR="0055651A" w:rsidRDefault="0055651A" w:rsidP="009B6504">
      <w:pPr>
        <w:autoSpaceDE w:val="0"/>
        <w:autoSpaceDN w:val="0"/>
        <w:adjustRightInd w:val="0"/>
        <w:spacing w:line="480" w:lineRule="auto"/>
        <w:jc w:val="both"/>
        <w:rPr>
          <w:lang w:val="en-GB" w:bidi="hi-IN"/>
        </w:rPr>
      </w:pPr>
    </w:p>
    <w:p w14:paraId="596A0CCD" w14:textId="2B548755" w:rsidR="00183CE6" w:rsidRDefault="00644C03" w:rsidP="009B6504">
      <w:pPr>
        <w:autoSpaceDE w:val="0"/>
        <w:autoSpaceDN w:val="0"/>
        <w:adjustRightInd w:val="0"/>
        <w:spacing w:line="480" w:lineRule="auto"/>
        <w:jc w:val="both"/>
        <w:rPr>
          <w:lang w:val="en-GB" w:bidi="hi-IN"/>
        </w:rPr>
      </w:pPr>
      <w:r>
        <w:rPr>
          <w:lang w:val="en-GB" w:bidi="hi-IN"/>
        </w:rPr>
        <w:t>Based on the</w:t>
      </w:r>
      <w:r w:rsidR="004047A6">
        <w:rPr>
          <w:lang w:val="en-GB" w:bidi="hi-IN"/>
        </w:rPr>
        <w:t xml:space="preserve"> review</w:t>
      </w:r>
      <w:r>
        <w:rPr>
          <w:lang w:val="en-GB" w:bidi="hi-IN"/>
        </w:rPr>
        <w:t>s of literature, including</w:t>
      </w:r>
      <w:r w:rsidR="004047A6">
        <w:rPr>
          <w:lang w:val="en-GB" w:bidi="hi-IN"/>
        </w:rPr>
        <w:t xml:space="preserve"> of </w:t>
      </w:r>
      <w:r>
        <w:rPr>
          <w:lang w:val="en-GB" w:bidi="hi-IN"/>
        </w:rPr>
        <w:t xml:space="preserve">different </w:t>
      </w:r>
      <w:r w:rsidR="004047A6">
        <w:rPr>
          <w:lang w:val="en-GB" w:bidi="hi-IN"/>
        </w:rPr>
        <w:t xml:space="preserve">frameworks examining the performance of a variety of close to community care providers, </w:t>
      </w:r>
      <w:r w:rsidR="001D5723">
        <w:rPr>
          <w:lang w:val="en-GB" w:bidi="hi-IN"/>
        </w:rPr>
        <w:t xml:space="preserve">a </w:t>
      </w:r>
      <w:r w:rsidR="004047A6">
        <w:rPr>
          <w:lang w:val="en-GB" w:bidi="hi-IN"/>
        </w:rPr>
        <w:t>common conceptual framework</w:t>
      </w:r>
      <w:r w:rsidR="00D75C27">
        <w:rPr>
          <w:lang w:val="en-GB" w:bidi="hi-IN"/>
        </w:rPr>
        <w:t xml:space="preserve"> (6) </w:t>
      </w:r>
      <w:r w:rsidR="001D5723">
        <w:rPr>
          <w:lang w:val="en-GB" w:bidi="hi-IN"/>
        </w:rPr>
        <w:t xml:space="preserve">was developed </w:t>
      </w:r>
      <w:r w:rsidR="004047A6">
        <w:rPr>
          <w:lang w:val="en-GB" w:bidi="hi-IN"/>
        </w:rPr>
        <w:t xml:space="preserve">to guide the </w:t>
      </w:r>
      <w:r w:rsidR="00A955A3">
        <w:rPr>
          <w:lang w:val="en-GB" w:bidi="hi-IN"/>
        </w:rPr>
        <w:t>six</w:t>
      </w:r>
      <w:r w:rsidR="004047A6">
        <w:rPr>
          <w:lang w:val="en-GB" w:bidi="hi-IN"/>
        </w:rPr>
        <w:t xml:space="preserve"> </w:t>
      </w:r>
      <w:r>
        <w:rPr>
          <w:lang w:val="en-GB" w:bidi="hi-IN"/>
        </w:rPr>
        <w:t>country level qualitative context analyses</w:t>
      </w:r>
      <w:r w:rsidR="004047A6">
        <w:rPr>
          <w:lang w:val="en-GB" w:bidi="hi-IN"/>
        </w:rPr>
        <w:t xml:space="preserve">. </w:t>
      </w:r>
      <w:r w:rsidR="001D5723">
        <w:rPr>
          <w:lang w:val="en-GB" w:bidi="hi-IN"/>
        </w:rPr>
        <w:t>T</w:t>
      </w:r>
      <w:r w:rsidR="004047A6" w:rsidRPr="004047A6">
        <w:rPr>
          <w:lang w:val="en-GB" w:bidi="hi-IN"/>
        </w:rPr>
        <w:t>he</w:t>
      </w:r>
      <w:r w:rsidR="001D5723">
        <w:rPr>
          <w:lang w:val="en-GB" w:bidi="hi-IN"/>
        </w:rPr>
        <w:t xml:space="preserve"> framework </w:t>
      </w:r>
      <w:r>
        <w:rPr>
          <w:lang w:val="en-GB" w:bidi="hi-IN"/>
        </w:rPr>
        <w:t xml:space="preserve">formed the basis of common topic guides for </w:t>
      </w:r>
      <w:r w:rsidR="00A955A3">
        <w:rPr>
          <w:lang w:val="en-GB" w:bidi="hi-IN"/>
        </w:rPr>
        <w:t xml:space="preserve">in-depth </w:t>
      </w:r>
      <w:r>
        <w:rPr>
          <w:lang w:val="en-GB" w:bidi="hi-IN"/>
        </w:rPr>
        <w:t xml:space="preserve">interviews and </w:t>
      </w:r>
      <w:r w:rsidR="00A955A3">
        <w:rPr>
          <w:lang w:val="en-GB" w:bidi="hi-IN"/>
        </w:rPr>
        <w:t>focus group discussions (</w:t>
      </w:r>
      <w:r>
        <w:rPr>
          <w:lang w:val="en-GB" w:bidi="hi-IN"/>
        </w:rPr>
        <w:t>FGDs</w:t>
      </w:r>
      <w:r w:rsidR="00804081">
        <w:rPr>
          <w:lang w:val="en-GB" w:bidi="hi-IN"/>
        </w:rPr>
        <w:t>)</w:t>
      </w:r>
      <w:r w:rsidR="00AD47D2">
        <w:rPr>
          <w:lang w:val="en-GB" w:bidi="hi-IN"/>
        </w:rPr>
        <w:t>;</w:t>
      </w:r>
      <w:r>
        <w:rPr>
          <w:lang w:val="en-GB" w:bidi="hi-IN"/>
        </w:rPr>
        <w:t xml:space="preserve"> </w:t>
      </w:r>
      <w:r w:rsidR="00AD47D2">
        <w:rPr>
          <w:lang w:val="en-GB" w:bidi="hi-IN"/>
        </w:rPr>
        <w:t>it provided a shared frame</w:t>
      </w:r>
      <w:r w:rsidR="001D5723">
        <w:rPr>
          <w:lang w:val="en-GB" w:bidi="hi-IN"/>
        </w:rPr>
        <w:t xml:space="preserve"> for the </w:t>
      </w:r>
      <w:r w:rsidR="00A955A3">
        <w:rPr>
          <w:lang w:val="en-GB" w:bidi="hi-IN"/>
        </w:rPr>
        <w:t>six</w:t>
      </w:r>
      <w:r w:rsidR="001D5723">
        <w:rPr>
          <w:lang w:val="en-GB" w:bidi="hi-IN"/>
        </w:rPr>
        <w:t xml:space="preserve"> country teams to explore </w:t>
      </w:r>
      <w:r w:rsidR="004047A6" w:rsidRPr="004047A6">
        <w:rPr>
          <w:lang w:val="en-GB" w:bidi="hi-IN"/>
        </w:rPr>
        <w:t>factors that</w:t>
      </w:r>
      <w:r w:rsidR="001D5723">
        <w:rPr>
          <w:lang w:val="en-GB" w:bidi="hi-IN"/>
        </w:rPr>
        <w:t xml:space="preserve"> enabled or hindered the performance of CHWs. </w:t>
      </w:r>
      <w:r>
        <w:rPr>
          <w:lang w:val="en-GB" w:bidi="hi-IN"/>
        </w:rPr>
        <w:t>Tog</w:t>
      </w:r>
      <w:r w:rsidRPr="00A1122D">
        <w:rPr>
          <w:lang w:val="en-GB" w:bidi="hi-IN"/>
        </w:rPr>
        <w:t>ether</w:t>
      </w:r>
      <w:r>
        <w:rPr>
          <w:lang w:val="en-GB" w:bidi="hi-IN"/>
        </w:rPr>
        <w:t xml:space="preserve"> the </w:t>
      </w:r>
      <w:r w:rsidR="00A955A3">
        <w:rPr>
          <w:lang w:val="en-GB" w:bidi="hi-IN"/>
        </w:rPr>
        <w:t>six</w:t>
      </w:r>
      <w:r>
        <w:rPr>
          <w:lang w:val="en-GB" w:bidi="hi-IN"/>
        </w:rPr>
        <w:t xml:space="preserve"> country level</w:t>
      </w:r>
      <w:r w:rsidRPr="00A1122D">
        <w:rPr>
          <w:lang w:val="en-GB" w:bidi="hi-IN"/>
        </w:rPr>
        <w:t xml:space="preserve"> qualitative context analysis involved </w:t>
      </w:r>
      <w:r w:rsidR="00384A06">
        <w:rPr>
          <w:lang w:val="en-GB" w:bidi="hi-IN"/>
        </w:rPr>
        <w:t>250</w:t>
      </w:r>
      <w:r w:rsidRPr="00A1122D">
        <w:rPr>
          <w:lang w:val="en-GB" w:bidi="hi-IN"/>
        </w:rPr>
        <w:t xml:space="preserve"> interviews and </w:t>
      </w:r>
      <w:r w:rsidR="004F4FB3">
        <w:rPr>
          <w:lang w:val="en-GB" w:bidi="hi-IN"/>
        </w:rPr>
        <w:t>65</w:t>
      </w:r>
      <w:r w:rsidRPr="00A1122D">
        <w:rPr>
          <w:lang w:val="en-GB" w:bidi="hi-IN"/>
        </w:rPr>
        <w:t xml:space="preserve"> </w:t>
      </w:r>
      <w:r w:rsidR="00A955A3">
        <w:rPr>
          <w:lang w:val="en-GB" w:bidi="hi-IN"/>
        </w:rPr>
        <w:t>FGDs</w:t>
      </w:r>
      <w:r w:rsidRPr="00A1122D">
        <w:rPr>
          <w:lang w:val="en-GB" w:bidi="hi-IN"/>
        </w:rPr>
        <w:t xml:space="preserve">; hereafter we </w:t>
      </w:r>
      <w:r w:rsidR="007A07F0">
        <w:rPr>
          <w:lang w:val="en-GB" w:bidi="hi-IN"/>
        </w:rPr>
        <w:t xml:space="preserve">collectively </w:t>
      </w:r>
      <w:r w:rsidRPr="00A1122D">
        <w:rPr>
          <w:lang w:val="en-GB" w:bidi="hi-IN"/>
        </w:rPr>
        <w:t>refer to these as REACHOUT country case studies</w:t>
      </w:r>
      <w:r w:rsidR="007A07F0">
        <w:rPr>
          <w:lang w:val="en-GB" w:bidi="hi-IN"/>
        </w:rPr>
        <w:t xml:space="preserve"> </w:t>
      </w:r>
      <w:r w:rsidR="007A07F0" w:rsidRPr="00A1122D">
        <w:rPr>
          <w:lang w:val="en-GB" w:bidi="hi-IN"/>
        </w:rPr>
        <w:lastRenderedPageBreak/>
        <w:t>(</w:t>
      </w:r>
      <w:r w:rsidR="00277BCC">
        <w:rPr>
          <w:lang w:val="en-GB" w:bidi="hi-IN"/>
        </w:rPr>
        <w:t>25, 26, 27, 28, 29, 30)</w:t>
      </w:r>
      <w:r w:rsidRPr="00A1122D">
        <w:rPr>
          <w:lang w:val="en-GB" w:bidi="hi-IN"/>
        </w:rPr>
        <w:t>.</w:t>
      </w:r>
      <w:r>
        <w:rPr>
          <w:lang w:val="en-GB" w:bidi="hi-IN"/>
        </w:rPr>
        <w:t xml:space="preserve"> The respondents, across the </w:t>
      </w:r>
      <w:r w:rsidR="00A955A3">
        <w:rPr>
          <w:lang w:val="en-GB" w:bidi="hi-IN"/>
        </w:rPr>
        <w:t>six</w:t>
      </w:r>
      <w:r w:rsidRPr="00A1122D">
        <w:rPr>
          <w:lang w:val="en-GB" w:bidi="hi-IN"/>
        </w:rPr>
        <w:t xml:space="preserve"> study countries, included: </w:t>
      </w:r>
      <w:r>
        <w:rPr>
          <w:lang w:val="en-GB" w:bidi="hi-IN"/>
        </w:rPr>
        <w:t>CHWs</w:t>
      </w:r>
      <w:r w:rsidRPr="00A1122D">
        <w:rPr>
          <w:lang w:val="en-GB" w:bidi="hi-IN"/>
        </w:rPr>
        <w:t xml:space="preserve">, CHW </w:t>
      </w:r>
      <w:r>
        <w:rPr>
          <w:lang w:val="en-GB" w:bidi="hi-IN"/>
        </w:rPr>
        <w:t>supervisors, h</w:t>
      </w:r>
      <w:r w:rsidRPr="00A1122D">
        <w:rPr>
          <w:lang w:val="en-GB" w:bidi="hi-IN"/>
        </w:rPr>
        <w:t xml:space="preserve">ealthcare </w:t>
      </w:r>
      <w:r>
        <w:rPr>
          <w:lang w:val="en-GB" w:bidi="hi-IN"/>
        </w:rPr>
        <w:t>s</w:t>
      </w:r>
      <w:r w:rsidRPr="00A1122D">
        <w:rPr>
          <w:lang w:val="en-GB" w:bidi="hi-IN"/>
        </w:rPr>
        <w:t xml:space="preserve">ervice managers, </w:t>
      </w:r>
      <w:r>
        <w:rPr>
          <w:lang w:val="en-GB" w:bidi="hi-IN"/>
        </w:rPr>
        <w:t>formal care p</w:t>
      </w:r>
      <w:r w:rsidRPr="00A1122D">
        <w:rPr>
          <w:lang w:val="en-GB" w:bidi="hi-IN"/>
        </w:rPr>
        <w:t xml:space="preserve">roviders, </w:t>
      </w:r>
      <w:r>
        <w:rPr>
          <w:lang w:val="en-GB" w:bidi="hi-IN"/>
        </w:rPr>
        <w:t>citizens – men and w</w:t>
      </w:r>
      <w:r w:rsidRPr="00A1122D">
        <w:rPr>
          <w:lang w:val="en-GB" w:bidi="hi-IN"/>
        </w:rPr>
        <w:t xml:space="preserve">omen. Details of sampling and recruitment are summarised in </w:t>
      </w:r>
      <w:r w:rsidR="00581959">
        <w:rPr>
          <w:lang w:val="en-GB" w:bidi="hi-IN"/>
        </w:rPr>
        <w:t>Table</w:t>
      </w:r>
      <w:r w:rsidRPr="00A1122D">
        <w:rPr>
          <w:lang w:val="en-GB" w:bidi="hi-IN"/>
        </w:rPr>
        <w:t xml:space="preserve"> 1 and ar</w:t>
      </w:r>
      <w:r w:rsidR="00AF28B7">
        <w:rPr>
          <w:lang w:val="en-GB" w:bidi="hi-IN"/>
        </w:rPr>
        <w:t xml:space="preserve">e presented in detail in the </w:t>
      </w:r>
      <w:r w:rsidR="00A955A3">
        <w:rPr>
          <w:lang w:val="en-GB" w:bidi="hi-IN"/>
        </w:rPr>
        <w:t>six</w:t>
      </w:r>
      <w:r w:rsidR="00AF28B7">
        <w:rPr>
          <w:lang w:val="en-GB" w:bidi="hi-IN"/>
        </w:rPr>
        <w:t xml:space="preserve"> REACHOUT country case study</w:t>
      </w:r>
      <w:r w:rsidRPr="00A1122D">
        <w:rPr>
          <w:lang w:val="en-GB" w:bidi="hi-IN"/>
        </w:rPr>
        <w:t xml:space="preserve"> </w:t>
      </w:r>
      <w:r w:rsidR="00AF28B7">
        <w:rPr>
          <w:lang w:val="en-GB" w:bidi="hi-IN"/>
        </w:rPr>
        <w:t>reports</w:t>
      </w:r>
      <w:r w:rsidRPr="00A1122D">
        <w:rPr>
          <w:lang w:val="en-GB" w:bidi="hi-IN"/>
        </w:rPr>
        <w:t>.</w:t>
      </w:r>
      <w:r>
        <w:rPr>
          <w:lang w:val="en-GB" w:bidi="hi-IN"/>
        </w:rPr>
        <w:t xml:space="preserve"> </w:t>
      </w:r>
    </w:p>
    <w:p w14:paraId="520D430A" w14:textId="77777777" w:rsidR="007A02D1" w:rsidRDefault="007A02D1" w:rsidP="009B6504">
      <w:pPr>
        <w:autoSpaceDE w:val="0"/>
        <w:autoSpaceDN w:val="0"/>
        <w:adjustRightInd w:val="0"/>
        <w:spacing w:line="480" w:lineRule="auto"/>
        <w:jc w:val="both"/>
        <w:rPr>
          <w:lang w:val="en-GB" w:bidi="hi-IN"/>
        </w:rPr>
      </w:pPr>
    </w:p>
    <w:p w14:paraId="34E2C53F" w14:textId="77777777" w:rsidR="009B6504" w:rsidRPr="009B6504" w:rsidRDefault="009B6504" w:rsidP="009B6504">
      <w:pPr>
        <w:spacing w:line="276" w:lineRule="auto"/>
        <w:rPr>
          <w:rFonts w:ascii="Calibri" w:eastAsia="Calibri" w:hAnsi="Calibri" w:cs="Calibri"/>
          <w:sz w:val="22"/>
          <w:szCs w:val="22"/>
          <w:lang w:val="en-GB"/>
        </w:rPr>
      </w:pPr>
      <w:r w:rsidRPr="009B6504">
        <w:rPr>
          <w:rFonts w:ascii="Calibri" w:eastAsia="Calibri" w:hAnsi="Calibri" w:cs="Calibri"/>
          <w:sz w:val="22"/>
          <w:szCs w:val="22"/>
          <w:lang w:val="en-GB"/>
        </w:rPr>
        <w:t>Table 1. Interviews and focus group discussions conducted per country, by informant type</w:t>
      </w:r>
    </w:p>
    <w:tbl>
      <w:tblPr>
        <w:tblStyle w:val="TableGrid"/>
        <w:tblW w:w="9819" w:type="dxa"/>
        <w:tblInd w:w="-459" w:type="dxa"/>
        <w:tblLook w:val="04A0" w:firstRow="1" w:lastRow="0" w:firstColumn="1" w:lastColumn="0" w:noHBand="0" w:noVBand="1"/>
      </w:tblPr>
      <w:tblGrid>
        <w:gridCol w:w="694"/>
        <w:gridCol w:w="1693"/>
        <w:gridCol w:w="1371"/>
        <w:gridCol w:w="1488"/>
        <w:gridCol w:w="1512"/>
        <w:gridCol w:w="1498"/>
        <w:gridCol w:w="1563"/>
      </w:tblGrid>
      <w:tr w:rsidR="009B6504" w:rsidRPr="009B6504" w14:paraId="0F2E84CA" w14:textId="77777777" w:rsidTr="003B29C2">
        <w:tc>
          <w:tcPr>
            <w:tcW w:w="694" w:type="dxa"/>
          </w:tcPr>
          <w:p w14:paraId="7AB5D4AE" w14:textId="77777777" w:rsidR="009B6504" w:rsidRPr="009B6504" w:rsidRDefault="009B6504" w:rsidP="009B6504">
            <w:pPr>
              <w:rPr>
                <w:rFonts w:ascii="Calibri" w:hAnsi="Calibri" w:cs="Calibri"/>
                <w:sz w:val="18"/>
                <w:szCs w:val="18"/>
                <w:lang w:val="en-GB"/>
              </w:rPr>
            </w:pPr>
          </w:p>
        </w:tc>
        <w:tc>
          <w:tcPr>
            <w:tcW w:w="1693" w:type="dxa"/>
          </w:tcPr>
          <w:p w14:paraId="2CAD0C66"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Ethiopia</w:t>
            </w:r>
          </w:p>
        </w:tc>
        <w:tc>
          <w:tcPr>
            <w:tcW w:w="1371" w:type="dxa"/>
          </w:tcPr>
          <w:p w14:paraId="05C18232"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Kenya</w:t>
            </w:r>
          </w:p>
        </w:tc>
        <w:tc>
          <w:tcPr>
            <w:tcW w:w="1488" w:type="dxa"/>
          </w:tcPr>
          <w:p w14:paraId="6BAC632C"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Malawi</w:t>
            </w:r>
          </w:p>
        </w:tc>
        <w:tc>
          <w:tcPr>
            <w:tcW w:w="1512" w:type="dxa"/>
          </w:tcPr>
          <w:p w14:paraId="4F6572DD"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Mozambique</w:t>
            </w:r>
          </w:p>
        </w:tc>
        <w:tc>
          <w:tcPr>
            <w:tcW w:w="1498" w:type="dxa"/>
          </w:tcPr>
          <w:p w14:paraId="01F46713"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Bangladesh</w:t>
            </w:r>
          </w:p>
        </w:tc>
        <w:tc>
          <w:tcPr>
            <w:tcW w:w="1563" w:type="dxa"/>
          </w:tcPr>
          <w:p w14:paraId="1822EEC4" w14:textId="77777777" w:rsidR="009B6504" w:rsidRPr="009B6504" w:rsidRDefault="009B6504" w:rsidP="009B6504">
            <w:pPr>
              <w:rPr>
                <w:rFonts w:ascii="Calibri" w:hAnsi="Calibri" w:cs="Calibri"/>
                <w:b/>
                <w:iCs/>
                <w:sz w:val="18"/>
                <w:szCs w:val="18"/>
                <w:lang w:val="id-ID"/>
              </w:rPr>
            </w:pPr>
            <w:r w:rsidRPr="009B6504">
              <w:rPr>
                <w:rFonts w:ascii="Calibri" w:hAnsi="Calibri" w:cs="Calibri"/>
                <w:b/>
                <w:iCs/>
                <w:sz w:val="18"/>
                <w:szCs w:val="18"/>
                <w:lang w:val="id-ID"/>
              </w:rPr>
              <w:t>Indonesia</w:t>
            </w:r>
          </w:p>
        </w:tc>
      </w:tr>
      <w:tr w:rsidR="009B6504" w:rsidRPr="009B6504" w14:paraId="193D497A" w14:textId="77777777" w:rsidTr="009B6504">
        <w:tc>
          <w:tcPr>
            <w:tcW w:w="9819" w:type="dxa"/>
            <w:gridSpan w:val="7"/>
            <w:shd w:val="clear" w:color="auto" w:fill="D9D9D9"/>
          </w:tcPr>
          <w:p w14:paraId="06A8EA9D" w14:textId="77777777" w:rsidR="009B6504" w:rsidRPr="009B6504" w:rsidRDefault="009B6504" w:rsidP="009B6504">
            <w:pPr>
              <w:rPr>
                <w:rFonts w:ascii="Calibri" w:hAnsi="Calibri" w:cs="Calibri"/>
                <w:b/>
                <w:iCs/>
                <w:sz w:val="18"/>
                <w:szCs w:val="18"/>
              </w:rPr>
            </w:pPr>
            <w:r w:rsidRPr="009B6504">
              <w:rPr>
                <w:rFonts w:ascii="Calibri" w:hAnsi="Calibri" w:cs="Calibri"/>
                <w:b/>
                <w:iCs/>
                <w:sz w:val="18"/>
                <w:szCs w:val="18"/>
              </w:rPr>
              <w:t>CHWs</w:t>
            </w:r>
          </w:p>
        </w:tc>
      </w:tr>
      <w:tr w:rsidR="009B6504" w:rsidRPr="009B6504" w14:paraId="44350FBA" w14:textId="77777777" w:rsidTr="003B29C2">
        <w:tc>
          <w:tcPr>
            <w:tcW w:w="694" w:type="dxa"/>
          </w:tcPr>
          <w:p w14:paraId="5F3888E3"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FGDs</w:t>
            </w:r>
          </w:p>
        </w:tc>
        <w:tc>
          <w:tcPr>
            <w:tcW w:w="1693" w:type="dxa"/>
          </w:tcPr>
          <w:p w14:paraId="16E855D1"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HEWs - 6</w:t>
            </w:r>
          </w:p>
        </w:tc>
        <w:tc>
          <w:tcPr>
            <w:tcW w:w="1371" w:type="dxa"/>
          </w:tcPr>
          <w:p w14:paraId="6A30F53C"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CHWs - 6</w:t>
            </w:r>
          </w:p>
        </w:tc>
        <w:tc>
          <w:tcPr>
            <w:tcW w:w="1488" w:type="dxa"/>
          </w:tcPr>
          <w:p w14:paraId="733CF57B"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HSAs - 3</w:t>
            </w:r>
          </w:p>
        </w:tc>
        <w:tc>
          <w:tcPr>
            <w:tcW w:w="1512" w:type="dxa"/>
          </w:tcPr>
          <w:p w14:paraId="04A2651A" w14:textId="77777777" w:rsidR="009B6504" w:rsidRPr="009B6504" w:rsidRDefault="009B6504" w:rsidP="009B6504">
            <w:pPr>
              <w:rPr>
                <w:rFonts w:ascii="Calibri" w:hAnsi="Calibri" w:cs="Calibri"/>
                <w:sz w:val="18"/>
                <w:szCs w:val="18"/>
                <w:lang w:val="en-GB"/>
              </w:rPr>
            </w:pPr>
          </w:p>
        </w:tc>
        <w:tc>
          <w:tcPr>
            <w:tcW w:w="1498" w:type="dxa"/>
          </w:tcPr>
          <w:p w14:paraId="650D3BD5" w14:textId="77777777" w:rsidR="009B6504" w:rsidRPr="009B6504" w:rsidRDefault="009B6504" w:rsidP="009B6504">
            <w:pPr>
              <w:rPr>
                <w:rFonts w:ascii="Calibri" w:hAnsi="Calibri" w:cs="Calibri"/>
                <w:sz w:val="18"/>
                <w:szCs w:val="18"/>
                <w:lang w:val="en-GB"/>
              </w:rPr>
            </w:pPr>
          </w:p>
        </w:tc>
        <w:tc>
          <w:tcPr>
            <w:tcW w:w="1563" w:type="dxa"/>
          </w:tcPr>
          <w:p w14:paraId="47BD4CB8" w14:textId="77777777" w:rsidR="009B6504" w:rsidRPr="009B6504" w:rsidRDefault="009B6504" w:rsidP="009B6504">
            <w:pPr>
              <w:rPr>
                <w:rFonts w:ascii="Calibri" w:hAnsi="Calibri"/>
                <w:lang w:val="en-GB"/>
              </w:rPr>
            </w:pPr>
            <w:r w:rsidRPr="009B6504">
              <w:rPr>
                <w:rFonts w:ascii="Calibri" w:hAnsi="Calibri" w:cs="Calibri"/>
                <w:sz w:val="18"/>
                <w:szCs w:val="18"/>
                <w:lang w:val="id-ID"/>
              </w:rPr>
              <w:t xml:space="preserve">Village Midwives and </w:t>
            </w:r>
            <w:r w:rsidRPr="009B6504">
              <w:rPr>
                <w:rFonts w:ascii="Calibri" w:hAnsi="Calibri" w:cs="Calibri"/>
                <w:sz w:val="18"/>
                <w:szCs w:val="18"/>
              </w:rPr>
              <w:t>Village Nurse</w:t>
            </w:r>
            <w:r w:rsidRPr="009B6504">
              <w:rPr>
                <w:rFonts w:ascii="Calibri" w:hAnsi="Calibri" w:cs="Calibri"/>
                <w:sz w:val="18"/>
                <w:szCs w:val="18"/>
                <w:lang w:val="id-ID"/>
              </w:rPr>
              <w:t xml:space="preserve"> - 3</w:t>
            </w:r>
          </w:p>
        </w:tc>
      </w:tr>
      <w:tr w:rsidR="009B6504" w:rsidRPr="009B6504" w14:paraId="498E2680" w14:textId="77777777" w:rsidTr="003B29C2">
        <w:tc>
          <w:tcPr>
            <w:tcW w:w="694" w:type="dxa"/>
          </w:tcPr>
          <w:p w14:paraId="42A92717"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SSIs</w:t>
            </w:r>
          </w:p>
        </w:tc>
        <w:tc>
          <w:tcPr>
            <w:tcW w:w="1693" w:type="dxa"/>
          </w:tcPr>
          <w:p w14:paraId="6E4D72FF"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HEWs - 12</w:t>
            </w:r>
          </w:p>
        </w:tc>
        <w:tc>
          <w:tcPr>
            <w:tcW w:w="1371" w:type="dxa"/>
          </w:tcPr>
          <w:p w14:paraId="2C419214" w14:textId="77777777" w:rsidR="009B6504" w:rsidRPr="009B6504" w:rsidRDefault="009B6504" w:rsidP="009B6504">
            <w:pPr>
              <w:rPr>
                <w:rFonts w:ascii="Calibri" w:hAnsi="Calibri" w:cs="Calibri"/>
                <w:sz w:val="18"/>
                <w:szCs w:val="18"/>
                <w:lang w:val="en-GB"/>
              </w:rPr>
            </w:pPr>
          </w:p>
        </w:tc>
        <w:tc>
          <w:tcPr>
            <w:tcW w:w="1488" w:type="dxa"/>
          </w:tcPr>
          <w:p w14:paraId="6A8DE367"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HSAs - 8</w:t>
            </w:r>
          </w:p>
        </w:tc>
        <w:tc>
          <w:tcPr>
            <w:tcW w:w="1512" w:type="dxa"/>
          </w:tcPr>
          <w:p w14:paraId="6059D3F6"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APEs - 18</w:t>
            </w:r>
          </w:p>
        </w:tc>
        <w:tc>
          <w:tcPr>
            <w:tcW w:w="1498" w:type="dxa"/>
          </w:tcPr>
          <w:p w14:paraId="712573A2"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 xml:space="preserve">Formal CTCPs - 8  </w:t>
            </w:r>
          </w:p>
          <w:p w14:paraId="44D203F0"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Informal CTCPs -16</w:t>
            </w:r>
          </w:p>
          <w:p w14:paraId="47EDF237" w14:textId="77777777" w:rsidR="009B6504" w:rsidRPr="009B6504" w:rsidRDefault="009B6504" w:rsidP="009B6504">
            <w:pPr>
              <w:rPr>
                <w:rFonts w:ascii="Calibri" w:hAnsi="Calibri" w:cs="Calibri"/>
                <w:sz w:val="18"/>
                <w:szCs w:val="18"/>
                <w:lang w:val="en-GB"/>
              </w:rPr>
            </w:pPr>
          </w:p>
        </w:tc>
        <w:tc>
          <w:tcPr>
            <w:tcW w:w="1563" w:type="dxa"/>
          </w:tcPr>
          <w:p w14:paraId="0E7214A1" w14:textId="77777777" w:rsidR="009B6504" w:rsidRPr="009B6504" w:rsidRDefault="009B6504" w:rsidP="009B6504">
            <w:pPr>
              <w:rPr>
                <w:rFonts w:ascii="Calibri" w:hAnsi="Calibri"/>
                <w:lang w:val="en-GB"/>
              </w:rPr>
            </w:pPr>
            <w:r w:rsidRPr="009B6504">
              <w:rPr>
                <w:rFonts w:ascii="Calibri" w:hAnsi="Calibri" w:cs="Calibri"/>
                <w:sz w:val="18"/>
                <w:szCs w:val="18"/>
                <w:lang w:val="id-ID"/>
              </w:rPr>
              <w:t xml:space="preserve">Village Midwife &amp; </w:t>
            </w:r>
            <w:r w:rsidRPr="009B6504">
              <w:rPr>
                <w:rFonts w:ascii="Calibri" w:hAnsi="Calibri" w:cs="Calibri"/>
                <w:sz w:val="18"/>
                <w:szCs w:val="18"/>
              </w:rPr>
              <w:t>Village Nurse</w:t>
            </w:r>
            <w:r w:rsidRPr="009B6504">
              <w:rPr>
                <w:rFonts w:ascii="Calibri" w:hAnsi="Calibri" w:cs="Calibri"/>
                <w:sz w:val="18"/>
                <w:szCs w:val="18"/>
                <w:lang w:val="id-ID"/>
              </w:rPr>
              <w:t xml:space="preserve"> - 44</w:t>
            </w:r>
          </w:p>
        </w:tc>
      </w:tr>
      <w:tr w:rsidR="009B6504" w:rsidRPr="009B6504" w14:paraId="43BBF799" w14:textId="77777777" w:rsidTr="009B6504">
        <w:tc>
          <w:tcPr>
            <w:tcW w:w="9819" w:type="dxa"/>
            <w:gridSpan w:val="7"/>
            <w:shd w:val="clear" w:color="auto" w:fill="D9D9D9"/>
          </w:tcPr>
          <w:p w14:paraId="6D67D750" w14:textId="77777777" w:rsidR="009B6504" w:rsidRPr="009B6504" w:rsidRDefault="009B6504" w:rsidP="009B6504">
            <w:pPr>
              <w:rPr>
                <w:rFonts w:ascii="Calibri" w:hAnsi="Calibri" w:cs="Calibri"/>
                <w:sz w:val="18"/>
                <w:szCs w:val="18"/>
                <w:lang w:val="id-ID"/>
              </w:rPr>
            </w:pPr>
            <w:r w:rsidRPr="009B6504">
              <w:rPr>
                <w:rFonts w:ascii="Calibri" w:hAnsi="Calibri" w:cs="Calibri"/>
                <w:b/>
                <w:sz w:val="18"/>
                <w:szCs w:val="18"/>
                <w:lang w:val="en-GB"/>
              </w:rPr>
              <w:t>CHW supervisors, managers, key informants</w:t>
            </w:r>
          </w:p>
        </w:tc>
      </w:tr>
      <w:tr w:rsidR="009B6504" w:rsidRPr="009B6504" w14:paraId="0C1D1423" w14:textId="77777777" w:rsidTr="003B29C2">
        <w:tc>
          <w:tcPr>
            <w:tcW w:w="694" w:type="dxa"/>
          </w:tcPr>
          <w:p w14:paraId="1D1672D7"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SSIs</w:t>
            </w:r>
          </w:p>
        </w:tc>
        <w:tc>
          <w:tcPr>
            <w:tcW w:w="1693" w:type="dxa"/>
          </w:tcPr>
          <w:p w14:paraId="014055CF" w14:textId="77777777" w:rsidR="009B6504" w:rsidRPr="009B6504" w:rsidRDefault="009B6504" w:rsidP="009B6504">
            <w:pPr>
              <w:rPr>
                <w:rFonts w:ascii="Calibri" w:hAnsi="Calibri" w:cs="Calibri"/>
                <w:sz w:val="18"/>
                <w:szCs w:val="18"/>
                <w:lang w:val="en-GB"/>
              </w:rPr>
            </w:pPr>
            <w:r w:rsidRPr="009B6504">
              <w:rPr>
                <w:rFonts w:ascii="Calibri" w:hAnsi="Calibri" w:cs="Calibri"/>
                <w:iCs/>
                <w:sz w:val="18"/>
                <w:szCs w:val="18"/>
                <w:lang w:val="en-GB"/>
              </w:rPr>
              <w:t xml:space="preserve">Kebele </w:t>
            </w:r>
            <w:r w:rsidRPr="009B6504">
              <w:rPr>
                <w:rFonts w:ascii="Calibri" w:hAnsi="Calibri" w:cs="Calibri"/>
                <w:sz w:val="18"/>
                <w:szCs w:val="18"/>
                <w:lang w:val="en-GB"/>
              </w:rPr>
              <w:t>administrator - 3</w:t>
            </w:r>
          </w:p>
          <w:p w14:paraId="1C28A66A"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Health centre in charge - 3</w:t>
            </w:r>
          </w:p>
          <w:p w14:paraId="5E84FD89"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delivery case team leaders - 3</w:t>
            </w:r>
          </w:p>
          <w:p w14:paraId="2EFF4B9F"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HEP coordinators - 3</w:t>
            </w:r>
          </w:p>
          <w:p w14:paraId="1304E2A3"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Regional HEP coordinator - 1</w:t>
            </w:r>
          </w:p>
          <w:p w14:paraId="3D7752D1"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Zonal HEP coordinator - 1</w:t>
            </w:r>
          </w:p>
        </w:tc>
        <w:tc>
          <w:tcPr>
            <w:tcW w:w="1371" w:type="dxa"/>
          </w:tcPr>
          <w:p w14:paraId="25B10055"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CHEWs - 16</w:t>
            </w:r>
          </w:p>
          <w:p w14:paraId="12667FA5"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SCHMT members - 3</w:t>
            </w:r>
          </w:p>
          <w:p w14:paraId="013B8A5A"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Facility in-charges - 4</w:t>
            </w:r>
          </w:p>
          <w:p w14:paraId="64375504"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National level policy makers - 4</w:t>
            </w:r>
          </w:p>
          <w:p w14:paraId="39C56EBE" w14:textId="77777777" w:rsidR="009B6504" w:rsidRPr="009B6504" w:rsidRDefault="009B6504" w:rsidP="009B6504">
            <w:pPr>
              <w:rPr>
                <w:rFonts w:ascii="Calibri" w:hAnsi="Calibri" w:cs="Calibri"/>
                <w:sz w:val="18"/>
                <w:szCs w:val="18"/>
                <w:lang w:val="en-GB"/>
              </w:rPr>
            </w:pPr>
          </w:p>
        </w:tc>
        <w:tc>
          <w:tcPr>
            <w:tcW w:w="1488" w:type="dxa"/>
          </w:tcPr>
          <w:p w14:paraId="663650BA"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District level staff - 13</w:t>
            </w:r>
          </w:p>
          <w:p w14:paraId="4CC3EA61"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health centre in charges - 2</w:t>
            </w:r>
          </w:p>
          <w:p w14:paraId="130359EB"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NGO staff - 9</w:t>
            </w:r>
          </w:p>
        </w:tc>
        <w:tc>
          <w:tcPr>
            <w:tcW w:w="1512" w:type="dxa"/>
          </w:tcPr>
          <w:p w14:paraId="029D3536"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Health facility supervisors - 3</w:t>
            </w:r>
          </w:p>
          <w:p w14:paraId="640F0BDE"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District supervisors - 2</w:t>
            </w:r>
          </w:p>
        </w:tc>
        <w:tc>
          <w:tcPr>
            <w:tcW w:w="1498" w:type="dxa"/>
          </w:tcPr>
          <w:p w14:paraId="304726C8"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 xml:space="preserve"> Paramedic -2,</w:t>
            </w:r>
          </w:p>
          <w:p w14:paraId="34A79D0D"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Clinic Manger -2,</w:t>
            </w:r>
          </w:p>
          <w:p w14:paraId="1D40BFC3"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Counsellor - 2,</w:t>
            </w:r>
          </w:p>
          <w:p w14:paraId="58094C9E"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Nurse - 1,</w:t>
            </w:r>
          </w:p>
          <w:p w14:paraId="77CD2CC0"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Program officer -1</w:t>
            </w:r>
          </w:p>
        </w:tc>
        <w:tc>
          <w:tcPr>
            <w:tcW w:w="1563" w:type="dxa"/>
          </w:tcPr>
          <w:p w14:paraId="153ABC69" w14:textId="77777777" w:rsidR="009B6504" w:rsidRPr="009B6504" w:rsidRDefault="009B6504" w:rsidP="009B6504">
            <w:pPr>
              <w:rPr>
                <w:rFonts w:ascii="Calibri" w:hAnsi="Calibri" w:cs="Calibri"/>
                <w:iCs/>
                <w:sz w:val="18"/>
                <w:szCs w:val="18"/>
                <w:lang w:val="id-ID"/>
              </w:rPr>
            </w:pPr>
            <w:r w:rsidRPr="009B6504">
              <w:rPr>
                <w:rFonts w:ascii="Calibri" w:hAnsi="Calibri" w:cs="Calibri"/>
                <w:iCs/>
                <w:sz w:val="18"/>
                <w:szCs w:val="18"/>
                <w:lang w:val="id-ID"/>
              </w:rPr>
              <w:t>Head of PHC</w:t>
            </w:r>
            <w:r w:rsidRPr="009B6504">
              <w:rPr>
                <w:rFonts w:ascii="Calibri" w:hAnsi="Calibri" w:cs="Calibri"/>
                <w:iCs/>
                <w:sz w:val="18"/>
                <w:szCs w:val="18"/>
              </w:rPr>
              <w:t xml:space="preserve"> or Puskesmas</w:t>
            </w:r>
            <w:r w:rsidRPr="009B6504">
              <w:rPr>
                <w:rFonts w:ascii="Calibri" w:hAnsi="Calibri" w:cs="Calibri"/>
                <w:iCs/>
                <w:sz w:val="18"/>
                <w:szCs w:val="18"/>
                <w:lang w:val="id-ID"/>
              </w:rPr>
              <w:t xml:space="preserve"> - 4</w:t>
            </w:r>
          </w:p>
          <w:p w14:paraId="095AC8F6" w14:textId="77777777" w:rsidR="009B6504" w:rsidRPr="009B6504" w:rsidRDefault="009B6504" w:rsidP="009B6504">
            <w:pPr>
              <w:rPr>
                <w:rFonts w:ascii="Calibri" w:hAnsi="Calibri" w:cs="Calibri"/>
                <w:iCs/>
                <w:sz w:val="18"/>
                <w:szCs w:val="18"/>
                <w:lang w:val="id-ID"/>
              </w:rPr>
            </w:pPr>
          </w:p>
          <w:p w14:paraId="7ADC3D69" w14:textId="77777777" w:rsidR="009B6504" w:rsidRPr="009B6504" w:rsidRDefault="009B6504" w:rsidP="009B6504">
            <w:pPr>
              <w:rPr>
                <w:rFonts w:ascii="Calibri" w:hAnsi="Calibri" w:cs="Calibri"/>
                <w:iCs/>
                <w:sz w:val="18"/>
                <w:szCs w:val="18"/>
                <w:lang w:val="id-ID"/>
              </w:rPr>
            </w:pPr>
            <w:r w:rsidRPr="009B6504">
              <w:rPr>
                <w:rFonts w:ascii="Calibri" w:hAnsi="Calibri" w:cs="Calibri"/>
                <w:iCs/>
                <w:sz w:val="18"/>
                <w:szCs w:val="18"/>
                <w:lang w:val="id-ID"/>
              </w:rPr>
              <w:t>Midwife coordinator - 2</w:t>
            </w:r>
          </w:p>
          <w:p w14:paraId="6E2CE040" w14:textId="77777777" w:rsidR="009B6504" w:rsidRPr="009B6504" w:rsidRDefault="009B6504" w:rsidP="009B6504">
            <w:pPr>
              <w:rPr>
                <w:rFonts w:ascii="Calibri" w:hAnsi="Calibri" w:cs="Calibri"/>
                <w:iCs/>
                <w:sz w:val="18"/>
                <w:szCs w:val="18"/>
                <w:lang w:val="id-ID"/>
              </w:rPr>
            </w:pPr>
          </w:p>
          <w:p w14:paraId="4AA3E1DF" w14:textId="77777777" w:rsidR="009B6504" w:rsidRPr="009B6504" w:rsidRDefault="009B6504" w:rsidP="009B6504">
            <w:pPr>
              <w:rPr>
                <w:rFonts w:ascii="Calibri" w:hAnsi="Calibri" w:cs="Calibri"/>
                <w:iCs/>
                <w:sz w:val="18"/>
                <w:szCs w:val="18"/>
                <w:lang w:val="id-ID"/>
              </w:rPr>
            </w:pPr>
            <w:r w:rsidRPr="009B6504">
              <w:rPr>
                <w:rFonts w:ascii="Calibri" w:hAnsi="Calibri" w:cs="Calibri"/>
                <w:iCs/>
                <w:sz w:val="18"/>
                <w:szCs w:val="18"/>
                <w:lang w:val="id-ID"/>
              </w:rPr>
              <w:t>Head of district MCH section - 2</w:t>
            </w:r>
          </w:p>
        </w:tc>
      </w:tr>
      <w:tr w:rsidR="009B6504" w:rsidRPr="009B6504" w14:paraId="01BBE05D" w14:textId="77777777" w:rsidTr="009B6504">
        <w:tc>
          <w:tcPr>
            <w:tcW w:w="9819" w:type="dxa"/>
            <w:gridSpan w:val="7"/>
            <w:shd w:val="clear" w:color="auto" w:fill="D9D9D9"/>
          </w:tcPr>
          <w:p w14:paraId="529A3A50" w14:textId="77777777" w:rsidR="009B6504" w:rsidRPr="009B6504" w:rsidRDefault="009B6504" w:rsidP="009B6504">
            <w:pPr>
              <w:rPr>
                <w:rFonts w:ascii="Calibri" w:hAnsi="Calibri" w:cs="Calibri"/>
                <w:iCs/>
                <w:sz w:val="18"/>
                <w:szCs w:val="18"/>
                <w:lang w:val="id-ID"/>
              </w:rPr>
            </w:pPr>
            <w:r w:rsidRPr="009B6504">
              <w:rPr>
                <w:rFonts w:ascii="Calibri" w:hAnsi="Calibri" w:cs="Calibri"/>
                <w:b/>
                <w:sz w:val="18"/>
                <w:szCs w:val="18"/>
                <w:lang w:val="en-GB"/>
              </w:rPr>
              <w:t>Community members</w:t>
            </w:r>
          </w:p>
        </w:tc>
      </w:tr>
      <w:tr w:rsidR="009B6504" w:rsidRPr="009B6504" w14:paraId="764CFD8E" w14:textId="77777777" w:rsidTr="003B29C2">
        <w:tc>
          <w:tcPr>
            <w:tcW w:w="694" w:type="dxa"/>
          </w:tcPr>
          <w:p w14:paraId="1F9B0656"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FGDs</w:t>
            </w:r>
          </w:p>
        </w:tc>
        <w:tc>
          <w:tcPr>
            <w:tcW w:w="1693" w:type="dxa"/>
          </w:tcPr>
          <w:p w14:paraId="194ECDB7"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Women - 6</w:t>
            </w:r>
          </w:p>
          <w:p w14:paraId="7F369FFF"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Men - 2</w:t>
            </w:r>
          </w:p>
        </w:tc>
        <w:tc>
          <w:tcPr>
            <w:tcW w:w="1371" w:type="dxa"/>
          </w:tcPr>
          <w:p w14:paraId="6DA4F484"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Community members - 4</w:t>
            </w:r>
          </w:p>
        </w:tc>
        <w:tc>
          <w:tcPr>
            <w:tcW w:w="1488" w:type="dxa"/>
          </w:tcPr>
          <w:p w14:paraId="6C4567F5"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Women - 7</w:t>
            </w:r>
          </w:p>
          <w:p w14:paraId="3DB21385"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Volunteers - 6</w:t>
            </w:r>
          </w:p>
        </w:tc>
        <w:tc>
          <w:tcPr>
            <w:tcW w:w="1512" w:type="dxa"/>
          </w:tcPr>
          <w:p w14:paraId="73A3B659"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Mothers - 8</w:t>
            </w:r>
          </w:p>
        </w:tc>
        <w:tc>
          <w:tcPr>
            <w:tcW w:w="1498" w:type="dxa"/>
          </w:tcPr>
          <w:p w14:paraId="6A9756C9"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Married women -8,</w:t>
            </w:r>
          </w:p>
          <w:p w14:paraId="4AE950EF"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Married  men-4</w:t>
            </w:r>
          </w:p>
        </w:tc>
        <w:tc>
          <w:tcPr>
            <w:tcW w:w="1563" w:type="dxa"/>
          </w:tcPr>
          <w:p w14:paraId="73D2BA96" w14:textId="77777777" w:rsidR="009B6504" w:rsidRPr="009B6504" w:rsidRDefault="009B6504" w:rsidP="009B6504">
            <w:pPr>
              <w:rPr>
                <w:rFonts w:ascii="Calibri" w:hAnsi="Calibri" w:cs="Calibri"/>
                <w:iCs/>
                <w:sz w:val="18"/>
                <w:szCs w:val="18"/>
              </w:rPr>
            </w:pPr>
            <w:r w:rsidRPr="009B6504">
              <w:rPr>
                <w:rFonts w:ascii="Calibri" w:hAnsi="Calibri" w:cs="Calibri"/>
                <w:iCs/>
                <w:sz w:val="18"/>
                <w:szCs w:val="18"/>
              </w:rPr>
              <w:t>Men - 2</w:t>
            </w:r>
          </w:p>
        </w:tc>
      </w:tr>
      <w:tr w:rsidR="009B6504" w:rsidRPr="009B6504" w14:paraId="3679D454" w14:textId="77777777" w:rsidTr="003B29C2">
        <w:tc>
          <w:tcPr>
            <w:tcW w:w="694" w:type="dxa"/>
          </w:tcPr>
          <w:p w14:paraId="02A8348A" w14:textId="77777777" w:rsidR="009B6504" w:rsidRPr="009B6504" w:rsidRDefault="009B6504" w:rsidP="009B6504">
            <w:pPr>
              <w:rPr>
                <w:rFonts w:ascii="Calibri" w:hAnsi="Calibri" w:cs="Calibri"/>
                <w:b/>
                <w:sz w:val="18"/>
                <w:szCs w:val="18"/>
                <w:lang w:val="en-GB"/>
              </w:rPr>
            </w:pPr>
            <w:r w:rsidRPr="009B6504">
              <w:rPr>
                <w:rFonts w:ascii="Calibri" w:hAnsi="Calibri" w:cs="Calibri"/>
                <w:b/>
                <w:sz w:val="18"/>
                <w:szCs w:val="18"/>
                <w:lang w:val="en-GB"/>
              </w:rPr>
              <w:t>SSIs</w:t>
            </w:r>
          </w:p>
        </w:tc>
        <w:tc>
          <w:tcPr>
            <w:tcW w:w="1693" w:type="dxa"/>
          </w:tcPr>
          <w:p w14:paraId="09F440AB"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Mothers - 12</w:t>
            </w:r>
          </w:p>
          <w:p w14:paraId="7A618BE1" w14:textId="77777777" w:rsidR="009B6504" w:rsidRPr="009B6504" w:rsidRDefault="009B6504" w:rsidP="009B6504">
            <w:pPr>
              <w:tabs>
                <w:tab w:val="right" w:pos="2010"/>
              </w:tabs>
              <w:rPr>
                <w:rFonts w:ascii="Calibri" w:hAnsi="Calibri" w:cs="Calibri"/>
                <w:sz w:val="18"/>
                <w:szCs w:val="18"/>
                <w:lang w:val="en-GB"/>
              </w:rPr>
            </w:pPr>
            <w:r w:rsidRPr="009B6504">
              <w:rPr>
                <w:rFonts w:ascii="Calibri" w:hAnsi="Calibri" w:cs="Calibri"/>
                <w:sz w:val="18"/>
                <w:szCs w:val="18"/>
                <w:lang w:val="en-GB"/>
              </w:rPr>
              <w:t>TBAs - 6</w:t>
            </w:r>
            <w:r w:rsidRPr="009B6504">
              <w:rPr>
                <w:rFonts w:ascii="Calibri" w:hAnsi="Calibri" w:cs="Calibri"/>
                <w:sz w:val="18"/>
                <w:szCs w:val="18"/>
                <w:lang w:val="en-GB"/>
              </w:rPr>
              <w:tab/>
            </w:r>
          </w:p>
        </w:tc>
        <w:tc>
          <w:tcPr>
            <w:tcW w:w="1371" w:type="dxa"/>
          </w:tcPr>
          <w:p w14:paraId="0B402A92"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Community members - 10</w:t>
            </w:r>
          </w:p>
        </w:tc>
        <w:tc>
          <w:tcPr>
            <w:tcW w:w="1488" w:type="dxa"/>
          </w:tcPr>
          <w:p w14:paraId="37ADE6B3"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Mothers - 1</w:t>
            </w:r>
          </w:p>
          <w:p w14:paraId="25783BB1"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TBAs - 6</w:t>
            </w:r>
          </w:p>
          <w:p w14:paraId="1096C6E7"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Traditional leaders - 3</w:t>
            </w:r>
          </w:p>
          <w:p w14:paraId="035937FB"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Volunteers - 2</w:t>
            </w:r>
          </w:p>
        </w:tc>
        <w:tc>
          <w:tcPr>
            <w:tcW w:w="1512" w:type="dxa"/>
          </w:tcPr>
          <w:p w14:paraId="10C5442B"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Community leaders - 6</w:t>
            </w:r>
          </w:p>
        </w:tc>
        <w:tc>
          <w:tcPr>
            <w:tcW w:w="1498" w:type="dxa"/>
          </w:tcPr>
          <w:p w14:paraId="7AD4F0FF" w14:textId="77777777" w:rsidR="009B6504" w:rsidRPr="009B6504" w:rsidRDefault="009B6504" w:rsidP="009B6504">
            <w:pPr>
              <w:rPr>
                <w:rFonts w:ascii="Calibri" w:hAnsi="Calibri" w:cs="Calibri"/>
                <w:sz w:val="18"/>
                <w:szCs w:val="18"/>
                <w:lang w:val="en-GB"/>
              </w:rPr>
            </w:pPr>
          </w:p>
        </w:tc>
        <w:tc>
          <w:tcPr>
            <w:tcW w:w="1563" w:type="dxa"/>
          </w:tcPr>
          <w:p w14:paraId="562E5C7F"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Mothers - 39</w:t>
            </w:r>
          </w:p>
          <w:p w14:paraId="4B9F69B3" w14:textId="77777777" w:rsidR="009B6504" w:rsidRPr="009B6504" w:rsidRDefault="009B6504" w:rsidP="009B6504">
            <w:pPr>
              <w:rPr>
                <w:rFonts w:ascii="Calibri" w:hAnsi="Calibri" w:cs="Calibri"/>
                <w:sz w:val="18"/>
                <w:szCs w:val="18"/>
                <w:lang w:val="en-GB"/>
              </w:rPr>
            </w:pPr>
          </w:p>
          <w:p w14:paraId="3DA6D1A4" w14:textId="77777777" w:rsidR="009B6504" w:rsidRPr="009B6504" w:rsidRDefault="009B6504" w:rsidP="009B6504">
            <w:pPr>
              <w:rPr>
                <w:rFonts w:ascii="Calibri" w:hAnsi="Calibri" w:cs="Calibri"/>
                <w:sz w:val="18"/>
                <w:szCs w:val="18"/>
                <w:lang w:val="en-GB"/>
              </w:rPr>
            </w:pPr>
            <w:r w:rsidRPr="009B6504">
              <w:rPr>
                <w:rFonts w:ascii="Calibri" w:hAnsi="Calibri" w:cs="Calibri"/>
                <w:sz w:val="18"/>
                <w:szCs w:val="18"/>
                <w:lang w:val="en-GB"/>
              </w:rPr>
              <w:t>TBAs - 8</w:t>
            </w:r>
          </w:p>
          <w:p w14:paraId="43C563B5" w14:textId="77777777" w:rsidR="009B6504" w:rsidRPr="009B6504" w:rsidRDefault="009B6504" w:rsidP="009B6504">
            <w:pPr>
              <w:rPr>
                <w:rFonts w:ascii="Calibri" w:hAnsi="Calibri" w:cs="Calibri"/>
                <w:sz w:val="18"/>
                <w:szCs w:val="18"/>
                <w:lang w:val="en-GB"/>
              </w:rPr>
            </w:pPr>
          </w:p>
          <w:p w14:paraId="068EFC83" w14:textId="77777777" w:rsidR="009B6504" w:rsidRPr="009B6504" w:rsidRDefault="009B6504" w:rsidP="009B6504">
            <w:pPr>
              <w:rPr>
                <w:rFonts w:ascii="Calibri" w:hAnsi="Calibri" w:cs="Calibri"/>
                <w:iCs/>
                <w:sz w:val="18"/>
                <w:szCs w:val="18"/>
                <w:lang w:val="en-GB"/>
              </w:rPr>
            </w:pPr>
            <w:r w:rsidRPr="009B6504">
              <w:rPr>
                <w:rFonts w:ascii="Calibri" w:hAnsi="Calibri" w:cs="Calibri"/>
                <w:sz w:val="18"/>
                <w:szCs w:val="18"/>
                <w:lang w:val="en-GB"/>
              </w:rPr>
              <w:t>Head of village &amp; head of PKK - 17</w:t>
            </w:r>
          </w:p>
        </w:tc>
      </w:tr>
    </w:tbl>
    <w:p w14:paraId="7AD370D4" w14:textId="697FCF4F" w:rsidR="009B6504" w:rsidRPr="009B6504" w:rsidRDefault="009B6504" w:rsidP="009B6504">
      <w:pPr>
        <w:spacing w:line="276" w:lineRule="auto"/>
        <w:rPr>
          <w:rFonts w:ascii="Calibri" w:eastAsia="Calibri" w:hAnsi="Calibri" w:cs="Calibri"/>
          <w:sz w:val="18"/>
          <w:szCs w:val="18"/>
          <w:lang w:val="en-GB"/>
        </w:rPr>
      </w:pPr>
      <w:r w:rsidRPr="009B6504">
        <w:rPr>
          <w:rFonts w:ascii="Calibri" w:eastAsia="Calibri" w:hAnsi="Calibri" w:cs="Calibri"/>
          <w:sz w:val="18"/>
          <w:szCs w:val="18"/>
          <w:lang w:val="en-GB"/>
        </w:rPr>
        <w:t>APE = Agentes Polivalentes Elementares; CHEW = community health extension worker; CHW = community health worker; FGD = focus group discussion; HEP = health extension programme; HEW = health extension worker; HSA = health surveillance assistant; SSI = semi-structured interview; NGO = non-governmental organization; SCHMT = sub-county health management team; TBA = traditional birth attendant; CTCP= close –to- community providers, FWV = family welfare volunteer; FWA= family welfare assistant; TTBA= trained traditional birth attendance; TBA = traditional birth attendance; PKK = Refers to the ‘family welfare movement’ – an Indonesian women’s organization; Kader = Village Health Volunteer in Indonesia; Puskesmas = sub-district community health centre.</w:t>
      </w:r>
    </w:p>
    <w:p w14:paraId="1C9C7ED0" w14:textId="77777777" w:rsidR="009B6504" w:rsidRPr="009B6504" w:rsidRDefault="009B6504" w:rsidP="009B6504">
      <w:pPr>
        <w:spacing w:after="200" w:line="276" w:lineRule="auto"/>
        <w:rPr>
          <w:rFonts w:ascii="Calibri" w:eastAsia="Calibri" w:hAnsi="Calibri" w:cs="Vrinda"/>
          <w:sz w:val="22"/>
          <w:szCs w:val="22"/>
          <w:lang w:val="en-GB"/>
        </w:rPr>
      </w:pPr>
    </w:p>
    <w:p w14:paraId="72B5CDCD" w14:textId="7D4C17E4" w:rsidR="001D5723" w:rsidRPr="00A1122D" w:rsidRDefault="00644C03" w:rsidP="009B6504">
      <w:pPr>
        <w:autoSpaceDE w:val="0"/>
        <w:autoSpaceDN w:val="0"/>
        <w:adjustRightInd w:val="0"/>
        <w:spacing w:line="480" w:lineRule="auto"/>
        <w:jc w:val="both"/>
        <w:rPr>
          <w:lang w:val="en-GB" w:bidi="hi-IN"/>
        </w:rPr>
      </w:pPr>
      <w:r>
        <w:rPr>
          <w:lang w:val="en-GB" w:bidi="hi-IN"/>
        </w:rPr>
        <w:t xml:space="preserve">The data gathered </w:t>
      </w:r>
      <w:r w:rsidR="00183CE6">
        <w:rPr>
          <w:lang w:val="en-GB" w:bidi="hi-IN"/>
        </w:rPr>
        <w:t xml:space="preserve">during Phase 1 </w:t>
      </w:r>
      <w:r w:rsidR="001D5723" w:rsidRPr="00A1122D">
        <w:rPr>
          <w:lang w:val="en-GB" w:bidi="hi-IN"/>
        </w:rPr>
        <w:t xml:space="preserve">was interrogated from a variety of perspectives, including, as is the case in this paper, a human </w:t>
      </w:r>
      <w:r w:rsidR="00581959">
        <w:rPr>
          <w:lang w:val="en-GB" w:bidi="hi-IN"/>
        </w:rPr>
        <w:t>resource management and worker</w:t>
      </w:r>
      <w:r w:rsidR="001D5723" w:rsidRPr="00A1122D">
        <w:rPr>
          <w:lang w:val="en-GB" w:bidi="hi-IN"/>
        </w:rPr>
        <w:t xml:space="preserve"> </w:t>
      </w:r>
      <w:r w:rsidR="001D5723">
        <w:rPr>
          <w:lang w:val="en-GB" w:bidi="hi-IN"/>
        </w:rPr>
        <w:lastRenderedPageBreak/>
        <w:t xml:space="preserve">empowerment perspective. </w:t>
      </w:r>
      <w:r>
        <w:rPr>
          <w:lang w:val="en-GB" w:bidi="hi-IN"/>
        </w:rPr>
        <w:t>For this paper, w</w:t>
      </w:r>
      <w:r w:rsidR="001D5723">
        <w:rPr>
          <w:lang w:val="en-GB" w:bidi="hi-IN"/>
        </w:rPr>
        <w:t>e</w:t>
      </w:r>
      <w:r>
        <w:rPr>
          <w:lang w:val="en-GB" w:bidi="hi-IN"/>
        </w:rPr>
        <w:t xml:space="preserve"> initially</w:t>
      </w:r>
      <w:r w:rsidR="001D5723">
        <w:rPr>
          <w:lang w:val="en-GB" w:bidi="hi-IN"/>
        </w:rPr>
        <w:t xml:space="preserve"> analys</w:t>
      </w:r>
      <w:r w:rsidR="00183CE6">
        <w:rPr>
          <w:lang w:val="en-GB" w:bidi="hi-IN"/>
        </w:rPr>
        <w:t>ed</w:t>
      </w:r>
      <w:r w:rsidR="001D5723">
        <w:rPr>
          <w:lang w:val="en-GB" w:bidi="hi-IN"/>
        </w:rPr>
        <w:t xml:space="preserve"> the </w:t>
      </w:r>
      <w:r w:rsidR="00A955A3">
        <w:rPr>
          <w:lang w:val="en-GB" w:bidi="hi-IN"/>
        </w:rPr>
        <w:t>six</w:t>
      </w:r>
      <w:r w:rsidR="001D5723">
        <w:rPr>
          <w:lang w:val="en-GB" w:bidi="hi-IN"/>
        </w:rPr>
        <w:t xml:space="preserve"> country </w:t>
      </w:r>
      <w:r>
        <w:rPr>
          <w:lang w:val="en-GB" w:bidi="hi-IN"/>
        </w:rPr>
        <w:t xml:space="preserve">case study reports; to further clarify and </w:t>
      </w:r>
      <w:r w:rsidR="00AD47D2">
        <w:rPr>
          <w:lang w:val="en-GB" w:bidi="hi-IN"/>
        </w:rPr>
        <w:t xml:space="preserve">elucidate </w:t>
      </w:r>
      <w:r>
        <w:rPr>
          <w:lang w:val="en-GB" w:bidi="hi-IN"/>
        </w:rPr>
        <w:t xml:space="preserve">the themes that emerged from this </w:t>
      </w:r>
      <w:r w:rsidR="00183CE6">
        <w:rPr>
          <w:lang w:val="en-GB" w:bidi="hi-IN"/>
        </w:rPr>
        <w:t xml:space="preserve">initial </w:t>
      </w:r>
      <w:r>
        <w:rPr>
          <w:lang w:val="en-GB" w:bidi="hi-IN"/>
        </w:rPr>
        <w:t xml:space="preserve">analysis, we </w:t>
      </w:r>
      <w:r w:rsidR="001D5723">
        <w:rPr>
          <w:lang w:val="en-GB" w:bidi="hi-IN"/>
        </w:rPr>
        <w:t xml:space="preserve">ran queries on </w:t>
      </w:r>
      <w:r w:rsidR="001D5723" w:rsidRPr="00A1122D">
        <w:rPr>
          <w:lang w:val="en-GB" w:bidi="hi-IN"/>
        </w:rPr>
        <w:t>the primary data (in the NVivo 10 files</w:t>
      </w:r>
      <w:r>
        <w:rPr>
          <w:lang w:val="en-GB" w:bidi="hi-IN"/>
        </w:rPr>
        <w:t>)</w:t>
      </w:r>
      <w:r w:rsidR="001D5723" w:rsidRPr="00A1122D">
        <w:rPr>
          <w:lang w:val="en-GB" w:bidi="hi-IN"/>
        </w:rPr>
        <w:t>.</w:t>
      </w:r>
      <w:r w:rsidR="001D5723">
        <w:rPr>
          <w:lang w:val="en-GB" w:bidi="hi-IN"/>
        </w:rPr>
        <w:t xml:space="preserve"> </w:t>
      </w:r>
    </w:p>
    <w:p w14:paraId="519B0D52" w14:textId="505DDB52" w:rsidR="00A1122D" w:rsidRPr="00A1122D" w:rsidRDefault="00A1122D" w:rsidP="009B6504">
      <w:pPr>
        <w:autoSpaceDE w:val="0"/>
        <w:autoSpaceDN w:val="0"/>
        <w:adjustRightInd w:val="0"/>
        <w:spacing w:line="480" w:lineRule="auto"/>
        <w:jc w:val="both"/>
        <w:rPr>
          <w:lang w:val="en-GB" w:bidi="hi-IN"/>
        </w:rPr>
      </w:pPr>
    </w:p>
    <w:p w14:paraId="445AE23F" w14:textId="77777777" w:rsidR="00A1122D" w:rsidRPr="00A1122D" w:rsidRDefault="00A1122D" w:rsidP="009B6504">
      <w:pPr>
        <w:tabs>
          <w:tab w:val="center" w:pos="4320"/>
        </w:tabs>
        <w:spacing w:line="480" w:lineRule="auto"/>
        <w:jc w:val="both"/>
        <w:rPr>
          <w:b/>
          <w:bCs/>
          <w:lang w:val="en-GB" w:bidi="hi-IN"/>
        </w:rPr>
      </w:pPr>
      <w:r w:rsidRPr="00A1122D">
        <w:rPr>
          <w:b/>
          <w:bCs/>
          <w:lang w:val="en-GB" w:bidi="hi-IN"/>
        </w:rPr>
        <w:t>Findings</w:t>
      </w:r>
    </w:p>
    <w:p w14:paraId="6DA67475" w14:textId="77777777" w:rsidR="00A1122D" w:rsidRPr="00A1122D" w:rsidRDefault="00A1122D" w:rsidP="009B6504">
      <w:pPr>
        <w:tabs>
          <w:tab w:val="center" w:pos="4320"/>
        </w:tabs>
        <w:spacing w:line="480" w:lineRule="auto"/>
        <w:jc w:val="both"/>
        <w:rPr>
          <w:b/>
          <w:bCs/>
          <w:lang w:val="en-GB" w:bidi="hi-IN"/>
        </w:rPr>
      </w:pPr>
    </w:p>
    <w:p w14:paraId="53F96DBE" w14:textId="5B76C960" w:rsidR="007A02D1" w:rsidRPr="00A1122D" w:rsidRDefault="00A1122D" w:rsidP="007A02D1">
      <w:pPr>
        <w:autoSpaceDE w:val="0"/>
        <w:autoSpaceDN w:val="0"/>
        <w:adjustRightInd w:val="0"/>
        <w:spacing w:line="480" w:lineRule="auto"/>
        <w:jc w:val="both"/>
        <w:rPr>
          <w:lang w:val="en-GB" w:bidi="hi-IN"/>
        </w:rPr>
      </w:pPr>
      <w:r w:rsidRPr="00A1122D">
        <w:rPr>
          <w:lang w:val="en-GB" w:bidi="hi-IN"/>
        </w:rPr>
        <w:t xml:space="preserve">This </w:t>
      </w:r>
      <w:r w:rsidR="00A22076">
        <w:rPr>
          <w:lang w:val="en-GB" w:bidi="hi-IN"/>
        </w:rPr>
        <w:t>section presents</w:t>
      </w:r>
      <w:r w:rsidRPr="00A1122D">
        <w:rPr>
          <w:lang w:val="en-GB" w:bidi="hi-IN"/>
        </w:rPr>
        <w:t xml:space="preserve"> </w:t>
      </w:r>
      <w:r w:rsidR="007A02D1">
        <w:rPr>
          <w:lang w:val="en-GB" w:bidi="hi-IN"/>
        </w:rPr>
        <w:t xml:space="preserve">an analysis of </w:t>
      </w:r>
      <w:r w:rsidR="007A02D1" w:rsidRPr="00A1122D">
        <w:rPr>
          <w:lang w:val="en-GB" w:bidi="hi-IN"/>
        </w:rPr>
        <w:t>how</w:t>
      </w:r>
      <w:r w:rsidR="007A02D1">
        <w:rPr>
          <w:lang w:val="en-GB" w:bidi="hi-IN"/>
        </w:rPr>
        <w:t>, in the six REACHOUT study countries,</w:t>
      </w:r>
      <w:r w:rsidR="007A02D1" w:rsidRPr="00A1122D">
        <w:rPr>
          <w:lang w:val="en-GB" w:bidi="hi-IN"/>
        </w:rPr>
        <w:t xml:space="preserve"> program design choices and implementation processes</w:t>
      </w:r>
      <w:r w:rsidR="007A02D1">
        <w:rPr>
          <w:lang w:val="en-GB" w:bidi="hi-IN"/>
        </w:rPr>
        <w:t xml:space="preserve">, facilitated or constrained CHW’s experience of the </w:t>
      </w:r>
      <w:r w:rsidR="007A02D1" w:rsidRPr="00A1122D">
        <w:rPr>
          <w:lang w:val="en-GB" w:bidi="hi-IN"/>
        </w:rPr>
        <w:t xml:space="preserve">four dimensions of </w:t>
      </w:r>
      <w:r w:rsidR="007A02D1">
        <w:rPr>
          <w:lang w:val="en-GB" w:bidi="hi-IN"/>
        </w:rPr>
        <w:t xml:space="preserve">employee empowerment: </w:t>
      </w:r>
      <w:r w:rsidR="007A02D1" w:rsidRPr="00A1122D">
        <w:rPr>
          <w:lang w:val="en-GB" w:bidi="hi-IN"/>
        </w:rPr>
        <w:t xml:space="preserve">meaningfulness, competence, </w:t>
      </w:r>
      <w:r w:rsidR="007A02D1">
        <w:rPr>
          <w:lang w:val="en-GB" w:bidi="hi-IN"/>
        </w:rPr>
        <w:t>choice</w:t>
      </w:r>
      <w:r w:rsidR="007A02D1" w:rsidRPr="00A1122D">
        <w:rPr>
          <w:lang w:val="en-GB" w:bidi="hi-IN"/>
        </w:rPr>
        <w:t xml:space="preserve"> and impact</w:t>
      </w:r>
      <w:r w:rsidR="007A02D1">
        <w:rPr>
          <w:lang w:val="en-GB" w:bidi="hi-IN"/>
        </w:rPr>
        <w:t>.</w:t>
      </w:r>
    </w:p>
    <w:p w14:paraId="25CEAA16" w14:textId="22446F47" w:rsidR="00A1122D" w:rsidRPr="00A1122D" w:rsidRDefault="00A1122D" w:rsidP="009B6504">
      <w:pPr>
        <w:tabs>
          <w:tab w:val="center" w:pos="4320"/>
        </w:tabs>
        <w:spacing w:line="480" w:lineRule="auto"/>
        <w:jc w:val="both"/>
        <w:rPr>
          <w:lang w:val="en-GB" w:bidi="hi-IN"/>
        </w:rPr>
      </w:pPr>
    </w:p>
    <w:p w14:paraId="400D3EE5" w14:textId="037C626A" w:rsidR="00A1122D" w:rsidRPr="00A1122D" w:rsidRDefault="00A1122D" w:rsidP="009B6504">
      <w:pPr>
        <w:tabs>
          <w:tab w:val="center" w:pos="4320"/>
        </w:tabs>
        <w:spacing w:line="480" w:lineRule="auto"/>
        <w:jc w:val="both"/>
        <w:rPr>
          <w:b/>
          <w:bCs/>
          <w:lang w:val="en-GB" w:bidi="hi-IN"/>
        </w:rPr>
      </w:pPr>
      <w:r w:rsidRPr="00A1122D">
        <w:rPr>
          <w:b/>
          <w:bCs/>
          <w:lang w:bidi="hi-IN"/>
        </w:rPr>
        <w:t xml:space="preserve">CHWs views on the </w:t>
      </w:r>
      <w:r w:rsidRPr="00A1122D">
        <w:rPr>
          <w:b/>
          <w:bCs/>
          <w:lang w:val="en-GB" w:bidi="hi-IN"/>
        </w:rPr>
        <w:t>‘</w:t>
      </w:r>
      <w:r w:rsidR="00EC5E1E">
        <w:rPr>
          <w:b/>
          <w:bCs/>
          <w:lang w:val="en-GB" w:bidi="hi-IN"/>
        </w:rPr>
        <w:t>me</w:t>
      </w:r>
      <w:r w:rsidRPr="00A1122D">
        <w:rPr>
          <w:b/>
          <w:bCs/>
          <w:lang w:val="en-GB" w:bidi="hi-IN"/>
        </w:rPr>
        <w:t>aningfulness’ of their work</w:t>
      </w:r>
    </w:p>
    <w:p w14:paraId="0F2546DB" w14:textId="200BC5DB" w:rsidR="00632C76" w:rsidRDefault="00A1122D" w:rsidP="009B6504">
      <w:pPr>
        <w:tabs>
          <w:tab w:val="center" w:pos="4320"/>
        </w:tabs>
        <w:spacing w:line="480" w:lineRule="auto"/>
        <w:jc w:val="both"/>
        <w:rPr>
          <w:lang w:bidi="hi-IN"/>
        </w:rPr>
      </w:pPr>
      <w:r w:rsidRPr="00A1122D">
        <w:rPr>
          <w:lang w:bidi="hi-IN"/>
        </w:rPr>
        <w:t>‘Meaningfulness’ refers to the meaning ascribed to or the value of a task goal or purpose judged in relation to an individual’s own ideals or standards. This refers to a congruence between the work, the role and an individual’s beliefs, values and behaviors. Both, the literature (</w:t>
      </w:r>
      <w:r w:rsidR="005D3396">
        <w:rPr>
          <w:lang w:bidi="hi-IN"/>
        </w:rPr>
        <w:t>7, 8,  31,</w:t>
      </w:r>
      <w:r w:rsidR="00277BCC">
        <w:rPr>
          <w:lang w:bidi="hi-IN"/>
        </w:rPr>
        <w:t xml:space="preserve"> 32, 33,</w:t>
      </w:r>
      <w:r w:rsidR="005D3396">
        <w:rPr>
          <w:lang w:bidi="hi-IN"/>
        </w:rPr>
        <w:t xml:space="preserve"> </w:t>
      </w:r>
      <w:r w:rsidR="006512C6">
        <w:rPr>
          <w:lang w:val="en-GB" w:bidi="hi-IN"/>
        </w:rPr>
        <w:t>34</w:t>
      </w:r>
      <w:r w:rsidRPr="00A1122D">
        <w:rPr>
          <w:lang w:val="en-GB" w:bidi="hi-IN"/>
        </w:rPr>
        <w:t>,</w:t>
      </w:r>
      <w:r w:rsidR="005D3396">
        <w:rPr>
          <w:lang w:val="en-GB" w:bidi="hi-IN"/>
        </w:rPr>
        <w:t xml:space="preserve"> 35</w:t>
      </w:r>
      <w:r w:rsidR="00EC5E1E">
        <w:rPr>
          <w:lang w:bidi="hi-IN"/>
        </w:rPr>
        <w:t xml:space="preserve">) and the </w:t>
      </w:r>
      <w:r w:rsidR="00B22CF2">
        <w:rPr>
          <w:lang w:bidi="hi-IN"/>
        </w:rPr>
        <w:t>six</w:t>
      </w:r>
      <w:r w:rsidRPr="00A1122D">
        <w:rPr>
          <w:lang w:bidi="hi-IN"/>
        </w:rPr>
        <w:t xml:space="preserve"> REACHOUT country case studies</w:t>
      </w:r>
      <w:r w:rsidR="006512C6">
        <w:rPr>
          <w:lang w:bidi="hi-IN"/>
        </w:rPr>
        <w:t xml:space="preserve"> (</w:t>
      </w:r>
      <w:r w:rsidR="00697824">
        <w:rPr>
          <w:lang w:bidi="hi-IN"/>
        </w:rPr>
        <w:t>25-30</w:t>
      </w:r>
      <w:r w:rsidR="006512C6">
        <w:rPr>
          <w:lang w:bidi="hi-IN"/>
        </w:rPr>
        <w:t>)</w:t>
      </w:r>
      <w:r w:rsidRPr="00A1122D">
        <w:rPr>
          <w:lang w:bidi="hi-IN"/>
        </w:rPr>
        <w:t xml:space="preserve"> point out that some form of meaning in their work is a dominant source of feelings of </w:t>
      </w:r>
      <w:r w:rsidR="001F3A27">
        <w:rPr>
          <w:lang w:bidi="hi-IN"/>
        </w:rPr>
        <w:t>empowerment</w:t>
      </w:r>
      <w:r w:rsidRPr="00A1122D">
        <w:rPr>
          <w:lang w:bidi="hi-IN"/>
        </w:rPr>
        <w:t xml:space="preserve"> for CHWs across the world. What is ‘meaningful’, and what makes it ‘meaningful’ is derived from of a variety of things – and relates to a combination of the nature of work that CHWs do, the roles that they are now ascribed, the tasks that their society privileges, past personal experiences, and religion. </w:t>
      </w:r>
    </w:p>
    <w:p w14:paraId="5ED441B5" w14:textId="77777777" w:rsidR="00632C76" w:rsidRDefault="00632C76" w:rsidP="009B6504">
      <w:pPr>
        <w:tabs>
          <w:tab w:val="center" w:pos="4320"/>
        </w:tabs>
        <w:spacing w:line="480" w:lineRule="auto"/>
        <w:jc w:val="both"/>
        <w:rPr>
          <w:lang w:bidi="hi-IN"/>
        </w:rPr>
      </w:pPr>
    </w:p>
    <w:p w14:paraId="5C27B743" w14:textId="630D02DF" w:rsidR="00A1122D" w:rsidRPr="00A1122D" w:rsidRDefault="007034F1" w:rsidP="009B6504">
      <w:pPr>
        <w:tabs>
          <w:tab w:val="center" w:pos="4320"/>
        </w:tabs>
        <w:spacing w:line="480" w:lineRule="auto"/>
        <w:jc w:val="both"/>
        <w:rPr>
          <w:lang w:bidi="hi-IN"/>
        </w:rPr>
      </w:pPr>
      <w:r>
        <w:rPr>
          <w:lang w:bidi="hi-IN"/>
        </w:rPr>
        <w:t>A</w:t>
      </w:r>
      <w:r w:rsidR="007A02D1">
        <w:rPr>
          <w:lang w:bidi="hi-IN"/>
        </w:rPr>
        <w:t xml:space="preserve">s the following quotes from CHWs in Indonesia, Kenya, Malawi, illustrate, </w:t>
      </w:r>
      <w:r w:rsidR="00A1122D" w:rsidRPr="00A1122D">
        <w:rPr>
          <w:lang w:bidi="hi-IN"/>
        </w:rPr>
        <w:t>CHWs feel empowered as a result of them being viewed and identified by their communities, as being associated with the formal medical and health system, a highly privileged professional system</w:t>
      </w:r>
      <w:r w:rsidR="007A02D1">
        <w:rPr>
          <w:lang w:bidi="hi-IN"/>
        </w:rPr>
        <w:t xml:space="preserve"> in these countries, and generally across the world.</w:t>
      </w:r>
    </w:p>
    <w:p w14:paraId="7AAE702F" w14:textId="77777777" w:rsidR="00A1122D" w:rsidRPr="00A1122D" w:rsidRDefault="00A1122D" w:rsidP="009B6504">
      <w:pPr>
        <w:tabs>
          <w:tab w:val="center" w:pos="4320"/>
        </w:tabs>
        <w:spacing w:line="480" w:lineRule="auto"/>
        <w:jc w:val="both"/>
        <w:rPr>
          <w:lang w:bidi="hi-IN"/>
        </w:rPr>
      </w:pPr>
    </w:p>
    <w:p w14:paraId="1112BC07" w14:textId="77777777" w:rsidR="00A1122D" w:rsidRPr="00A1122D" w:rsidRDefault="00A1122D" w:rsidP="009B6504">
      <w:pPr>
        <w:tabs>
          <w:tab w:val="center" w:pos="4320"/>
        </w:tabs>
        <w:spacing w:line="480" w:lineRule="auto"/>
        <w:jc w:val="both"/>
        <w:rPr>
          <w:lang w:bidi="hi-IN"/>
        </w:rPr>
      </w:pPr>
      <w:r w:rsidRPr="00A1122D">
        <w:rPr>
          <w:i/>
          <w:iCs/>
          <w:lang w:bidi="hi-IN"/>
        </w:rPr>
        <w:t xml:space="preserve">“If you’re a midwife, it looks good. I like seeing people using </w:t>
      </w:r>
      <w:r w:rsidRPr="00A1122D">
        <w:rPr>
          <w:i/>
          <w:iCs/>
          <w:lang w:val="id-ID" w:bidi="hi-IN"/>
        </w:rPr>
        <w:t>w</w:t>
      </w:r>
      <w:r w:rsidRPr="00A1122D">
        <w:rPr>
          <w:i/>
          <w:iCs/>
          <w:lang w:bidi="hi-IN"/>
        </w:rPr>
        <w:t>hite clothes. It’s nice, cool...</w:t>
      </w:r>
      <w:r w:rsidRPr="00A1122D">
        <w:rPr>
          <w:lang w:bidi="hi-IN"/>
        </w:rPr>
        <w:t>” (Indonesia Case Study – Community Midwife)</w:t>
      </w:r>
    </w:p>
    <w:p w14:paraId="16C42340" w14:textId="77777777" w:rsidR="00A1122D" w:rsidRPr="00A1122D" w:rsidRDefault="00A1122D" w:rsidP="009B6504">
      <w:pPr>
        <w:tabs>
          <w:tab w:val="center" w:pos="4320"/>
        </w:tabs>
        <w:spacing w:line="480" w:lineRule="auto"/>
        <w:jc w:val="both"/>
        <w:rPr>
          <w:lang w:bidi="hi-IN"/>
        </w:rPr>
      </w:pPr>
    </w:p>
    <w:p w14:paraId="0CA0E7E9" w14:textId="77777777" w:rsidR="00A1122D" w:rsidRPr="00A1122D" w:rsidRDefault="00A1122D" w:rsidP="009B6504">
      <w:pPr>
        <w:tabs>
          <w:tab w:val="center" w:pos="4320"/>
        </w:tabs>
        <w:spacing w:line="480" w:lineRule="auto"/>
        <w:jc w:val="both"/>
        <w:rPr>
          <w:lang w:bidi="hi-IN"/>
        </w:rPr>
      </w:pPr>
      <w:r w:rsidRPr="00A1122D">
        <w:rPr>
          <w:i/>
          <w:iCs/>
          <w:lang w:bidi="hi-IN"/>
        </w:rPr>
        <w:t xml:space="preserve">“It motivates you … even the households will see you and say "my doctor is here" they start calling you doctor” </w:t>
      </w:r>
      <w:r w:rsidRPr="00A1122D">
        <w:rPr>
          <w:lang w:bidi="hi-IN"/>
        </w:rPr>
        <w:t>(Kenya Case Study - CHW)</w:t>
      </w:r>
    </w:p>
    <w:p w14:paraId="191FCE0B" w14:textId="77777777" w:rsidR="00A1122D" w:rsidRPr="00A1122D" w:rsidRDefault="00A1122D" w:rsidP="009B6504">
      <w:pPr>
        <w:tabs>
          <w:tab w:val="center" w:pos="4320"/>
        </w:tabs>
        <w:spacing w:line="480" w:lineRule="auto"/>
        <w:jc w:val="both"/>
        <w:rPr>
          <w:lang w:bidi="hi-IN"/>
        </w:rPr>
      </w:pPr>
    </w:p>
    <w:p w14:paraId="74303085" w14:textId="77777777" w:rsidR="00A1122D" w:rsidRPr="00A1122D" w:rsidRDefault="00A1122D" w:rsidP="009B6504">
      <w:pPr>
        <w:tabs>
          <w:tab w:val="center" w:pos="4320"/>
        </w:tabs>
        <w:spacing w:line="480" w:lineRule="auto"/>
        <w:jc w:val="both"/>
        <w:rPr>
          <w:lang w:val="en-GB" w:bidi="hi-IN"/>
        </w:rPr>
      </w:pPr>
      <w:r w:rsidRPr="00A1122D">
        <w:rPr>
          <w:i/>
          <w:iCs/>
          <w:lang w:bidi="hi-IN"/>
        </w:rPr>
        <w:t xml:space="preserve">“ … the uniforms we wear are our identity. People in the village or at the clinic identify us easily because of the uniform … </w:t>
      </w:r>
      <w:r w:rsidRPr="00A1122D">
        <w:rPr>
          <w:lang w:bidi="hi-IN"/>
        </w:rPr>
        <w:t>“(Malawi Case Study - CHW)</w:t>
      </w:r>
    </w:p>
    <w:p w14:paraId="77C244D1" w14:textId="77777777" w:rsidR="00A1122D" w:rsidRPr="00A1122D" w:rsidRDefault="00A1122D" w:rsidP="009B6504">
      <w:pPr>
        <w:tabs>
          <w:tab w:val="center" w:pos="4320"/>
        </w:tabs>
        <w:spacing w:line="480" w:lineRule="auto"/>
        <w:jc w:val="both"/>
        <w:rPr>
          <w:lang w:bidi="hi-IN"/>
        </w:rPr>
      </w:pPr>
      <w:r w:rsidRPr="00A1122D">
        <w:rPr>
          <w:lang w:bidi="hi-IN"/>
        </w:rPr>
        <w:t xml:space="preserve"> </w:t>
      </w:r>
    </w:p>
    <w:p w14:paraId="72D6F258" w14:textId="70B41A8A" w:rsidR="00A1122D" w:rsidRPr="00A1122D" w:rsidRDefault="00A1122D" w:rsidP="009B6504">
      <w:pPr>
        <w:tabs>
          <w:tab w:val="center" w:pos="4320"/>
        </w:tabs>
        <w:spacing w:line="480" w:lineRule="auto"/>
        <w:jc w:val="both"/>
        <w:rPr>
          <w:lang w:bidi="hi-IN"/>
        </w:rPr>
      </w:pPr>
      <w:r w:rsidRPr="00A1122D">
        <w:rPr>
          <w:lang w:bidi="hi-IN"/>
        </w:rPr>
        <w:t xml:space="preserve">Similarly, </w:t>
      </w:r>
      <w:r w:rsidR="001E0D6B">
        <w:rPr>
          <w:lang w:bidi="hi-IN"/>
        </w:rPr>
        <w:t xml:space="preserve">being </w:t>
      </w:r>
      <w:r w:rsidRPr="00A1122D">
        <w:rPr>
          <w:lang w:bidi="hi-IN"/>
        </w:rPr>
        <w:t xml:space="preserve"> able to serve their communities, in times of their need</w:t>
      </w:r>
      <w:r w:rsidR="00E15936">
        <w:rPr>
          <w:lang w:bidi="hi-IN"/>
        </w:rPr>
        <w:t xml:space="preserve"> and being appreciated for it</w:t>
      </w:r>
      <w:r w:rsidRPr="00A1122D">
        <w:rPr>
          <w:lang w:bidi="hi-IN"/>
        </w:rPr>
        <w:t>,</w:t>
      </w:r>
      <w:r w:rsidR="001E0D6B">
        <w:rPr>
          <w:lang w:bidi="hi-IN"/>
        </w:rPr>
        <w:t xml:space="preserve"> was something that CHWs </w:t>
      </w:r>
      <w:r w:rsidR="00193ED6">
        <w:rPr>
          <w:lang w:bidi="hi-IN"/>
        </w:rPr>
        <w:t xml:space="preserve">attached great importance and meaning to; as the quotes from Kenya </w:t>
      </w:r>
      <w:r w:rsidR="0098023D">
        <w:rPr>
          <w:lang w:bidi="hi-IN"/>
        </w:rPr>
        <w:t xml:space="preserve">and Indonesia </w:t>
      </w:r>
      <w:r w:rsidR="00193ED6">
        <w:rPr>
          <w:lang w:bidi="hi-IN"/>
        </w:rPr>
        <w:t xml:space="preserve">illustrate, </w:t>
      </w:r>
      <w:r w:rsidR="007A02D1">
        <w:rPr>
          <w:lang w:bidi="hi-IN"/>
        </w:rPr>
        <w:t xml:space="preserve">being a </w:t>
      </w:r>
      <w:r w:rsidR="00193ED6">
        <w:rPr>
          <w:lang w:bidi="hi-IN"/>
        </w:rPr>
        <w:t>CHW</w:t>
      </w:r>
      <w:r w:rsidR="007A02D1">
        <w:rPr>
          <w:lang w:bidi="hi-IN"/>
        </w:rPr>
        <w:t xml:space="preserve"> - the</w:t>
      </w:r>
      <w:r w:rsidR="00193ED6">
        <w:rPr>
          <w:lang w:bidi="hi-IN"/>
        </w:rPr>
        <w:t xml:space="preserve"> tasks </w:t>
      </w:r>
      <w:r w:rsidR="007A02D1">
        <w:rPr>
          <w:lang w:bidi="hi-IN"/>
        </w:rPr>
        <w:t>and</w:t>
      </w:r>
      <w:r w:rsidR="00193ED6">
        <w:rPr>
          <w:lang w:bidi="hi-IN"/>
        </w:rPr>
        <w:t xml:space="preserve"> roles</w:t>
      </w:r>
      <w:r w:rsidR="007A02D1">
        <w:rPr>
          <w:lang w:bidi="hi-IN"/>
        </w:rPr>
        <w:t xml:space="preserve"> it entails,</w:t>
      </w:r>
      <w:r w:rsidR="00193ED6">
        <w:rPr>
          <w:lang w:bidi="hi-IN"/>
        </w:rPr>
        <w:t xml:space="preserve"> allow</w:t>
      </w:r>
      <w:r w:rsidR="007A02D1">
        <w:rPr>
          <w:lang w:bidi="hi-IN"/>
        </w:rPr>
        <w:t>s</w:t>
      </w:r>
      <w:r w:rsidR="00193ED6">
        <w:rPr>
          <w:lang w:bidi="hi-IN"/>
        </w:rPr>
        <w:t xml:space="preserve"> them to </w:t>
      </w:r>
      <w:r w:rsidR="00193ED6" w:rsidRPr="00193ED6">
        <w:rPr>
          <w:lang w:bidi="hi-IN"/>
        </w:rPr>
        <w:t xml:space="preserve"> </w:t>
      </w:r>
      <w:r w:rsidR="00193ED6">
        <w:rPr>
          <w:lang w:bidi="hi-IN"/>
        </w:rPr>
        <w:t xml:space="preserve">fulfil their dreams, and their ‘calling’. </w:t>
      </w:r>
      <w:r w:rsidR="007034F1">
        <w:rPr>
          <w:lang w:bidi="hi-IN"/>
        </w:rPr>
        <w:t>:</w:t>
      </w:r>
    </w:p>
    <w:p w14:paraId="3B1C13E1" w14:textId="77777777" w:rsidR="00A1122D" w:rsidRPr="00A1122D" w:rsidRDefault="00A1122D" w:rsidP="009B6504">
      <w:pPr>
        <w:tabs>
          <w:tab w:val="center" w:pos="4320"/>
        </w:tabs>
        <w:spacing w:line="480" w:lineRule="auto"/>
      </w:pPr>
    </w:p>
    <w:p w14:paraId="6DAC3751" w14:textId="77777777" w:rsidR="00A1122D" w:rsidRPr="00A1122D" w:rsidRDefault="00A1122D" w:rsidP="009B6504">
      <w:pPr>
        <w:tabs>
          <w:tab w:val="center" w:pos="4320"/>
        </w:tabs>
        <w:spacing w:line="480" w:lineRule="auto"/>
        <w:rPr>
          <w:lang w:bidi="hi-IN"/>
        </w:rPr>
      </w:pPr>
      <w:r w:rsidRPr="00A1122D">
        <w:rPr>
          <w:i/>
          <w:iCs/>
        </w:rPr>
        <w:t xml:space="preserve">“[I] saw that it was a ‘calling’ and I accepted and I was once helped and I want to return the favor” </w:t>
      </w:r>
      <w:r w:rsidRPr="00A1122D">
        <w:rPr>
          <w:lang w:bidi="hi-IN"/>
        </w:rPr>
        <w:t>(Kenya Case Study - CHW)</w:t>
      </w:r>
    </w:p>
    <w:p w14:paraId="02D305D5" w14:textId="77777777" w:rsidR="00A1122D" w:rsidRPr="00A1122D" w:rsidRDefault="00A1122D" w:rsidP="009B6504">
      <w:pPr>
        <w:tabs>
          <w:tab w:val="center" w:pos="4320"/>
        </w:tabs>
        <w:spacing w:line="480" w:lineRule="auto"/>
        <w:rPr>
          <w:lang w:bidi="hi-IN"/>
        </w:rPr>
      </w:pPr>
    </w:p>
    <w:p w14:paraId="749362F7" w14:textId="171B1C59" w:rsidR="00A1122D" w:rsidRDefault="00A1122D" w:rsidP="009B6504">
      <w:pPr>
        <w:autoSpaceDE w:val="0"/>
        <w:autoSpaceDN w:val="0"/>
        <w:adjustRightInd w:val="0"/>
        <w:spacing w:line="480" w:lineRule="auto"/>
        <w:rPr>
          <w:lang w:bidi="hi-IN"/>
        </w:rPr>
      </w:pPr>
      <w:r w:rsidRPr="00A1122D">
        <w:rPr>
          <w:i/>
          <w:iCs/>
        </w:rPr>
        <w:t xml:space="preserve">“Since in primary school I always have a dream to help people. So I became a midwife. I like to serve the people around me.” </w:t>
      </w:r>
      <w:r w:rsidRPr="00A1122D">
        <w:rPr>
          <w:lang w:bidi="hi-IN"/>
        </w:rPr>
        <w:t>(Indonesia Case Study – Village Midwife)</w:t>
      </w:r>
    </w:p>
    <w:p w14:paraId="6DF6A2F3" w14:textId="77777777" w:rsidR="007A02D1" w:rsidRPr="00A1122D" w:rsidRDefault="007A02D1" w:rsidP="009B6504">
      <w:pPr>
        <w:autoSpaceDE w:val="0"/>
        <w:autoSpaceDN w:val="0"/>
        <w:adjustRightInd w:val="0"/>
        <w:spacing w:line="480" w:lineRule="auto"/>
        <w:rPr>
          <w:lang w:bidi="hi-IN"/>
        </w:rPr>
      </w:pPr>
    </w:p>
    <w:p w14:paraId="446D3BEE" w14:textId="486B0716" w:rsidR="007A02D1" w:rsidRDefault="009F59E2" w:rsidP="00DE632A">
      <w:pPr>
        <w:autoSpaceDE w:val="0"/>
        <w:autoSpaceDN w:val="0"/>
        <w:adjustRightInd w:val="0"/>
        <w:spacing w:line="480" w:lineRule="auto"/>
        <w:jc w:val="both"/>
        <w:rPr>
          <w:lang w:bidi="hi-IN"/>
        </w:rPr>
      </w:pPr>
      <w:r>
        <w:rPr>
          <w:lang w:bidi="hi-IN"/>
        </w:rPr>
        <w:t>For many CHWs,</w:t>
      </w:r>
      <w:r w:rsidR="0098023D">
        <w:rPr>
          <w:lang w:bidi="hi-IN"/>
        </w:rPr>
        <w:t xml:space="preserve"> the opportunity to make a difference to the lives of their peo</w:t>
      </w:r>
      <w:r w:rsidR="00E15936">
        <w:rPr>
          <w:lang w:bidi="hi-IN"/>
        </w:rPr>
        <w:t xml:space="preserve">ple, including </w:t>
      </w:r>
      <w:r>
        <w:rPr>
          <w:lang w:bidi="hi-IN"/>
        </w:rPr>
        <w:t xml:space="preserve">through </w:t>
      </w:r>
      <w:r w:rsidR="00E15936">
        <w:rPr>
          <w:lang w:bidi="hi-IN"/>
        </w:rPr>
        <w:t>saving lives,</w:t>
      </w:r>
      <w:r w:rsidR="0098023D">
        <w:rPr>
          <w:lang w:bidi="hi-IN"/>
        </w:rPr>
        <w:t xml:space="preserve"> the </w:t>
      </w:r>
      <w:r w:rsidR="00E15936">
        <w:rPr>
          <w:lang w:bidi="hi-IN"/>
        </w:rPr>
        <w:t xml:space="preserve">gratitude they </w:t>
      </w:r>
      <w:r>
        <w:rPr>
          <w:lang w:bidi="hi-IN"/>
        </w:rPr>
        <w:t>receive</w:t>
      </w:r>
      <w:r w:rsidR="0098023D">
        <w:rPr>
          <w:lang w:bidi="hi-IN"/>
        </w:rPr>
        <w:t xml:space="preserve"> for doing so, </w:t>
      </w:r>
      <w:r w:rsidR="00E15936">
        <w:rPr>
          <w:lang w:bidi="hi-IN"/>
        </w:rPr>
        <w:t xml:space="preserve">and being trusted, </w:t>
      </w:r>
      <w:r w:rsidR="0098023D">
        <w:rPr>
          <w:lang w:bidi="hi-IN"/>
        </w:rPr>
        <w:t>gives value and meaning to their work - makes their work</w:t>
      </w:r>
      <w:r w:rsidR="00837CDD">
        <w:rPr>
          <w:lang w:bidi="hi-IN"/>
        </w:rPr>
        <w:t>, as this CHW</w:t>
      </w:r>
      <w:r w:rsidR="0098023D">
        <w:rPr>
          <w:lang w:bidi="hi-IN"/>
        </w:rPr>
        <w:t xml:space="preserve"> from Ethiopia says, </w:t>
      </w:r>
      <w:r w:rsidR="00632C76">
        <w:rPr>
          <w:lang w:bidi="hi-IN"/>
        </w:rPr>
        <w:t xml:space="preserve">“great”. </w:t>
      </w:r>
    </w:p>
    <w:p w14:paraId="3CEBE271" w14:textId="77777777" w:rsidR="007A02D1" w:rsidRPr="00A1122D" w:rsidRDefault="007A02D1" w:rsidP="00DE632A">
      <w:pPr>
        <w:autoSpaceDE w:val="0"/>
        <w:autoSpaceDN w:val="0"/>
        <w:adjustRightInd w:val="0"/>
        <w:spacing w:line="480" w:lineRule="auto"/>
        <w:jc w:val="both"/>
        <w:rPr>
          <w:lang w:bidi="hi-IN"/>
        </w:rPr>
      </w:pPr>
    </w:p>
    <w:p w14:paraId="5B4200B5" w14:textId="061B48C5" w:rsidR="00A1122D" w:rsidRDefault="00A1122D" w:rsidP="00DE632A">
      <w:pPr>
        <w:tabs>
          <w:tab w:val="center" w:pos="4320"/>
        </w:tabs>
        <w:spacing w:line="480" w:lineRule="auto"/>
        <w:jc w:val="both"/>
        <w:rPr>
          <w:lang w:bidi="hi-IN"/>
        </w:rPr>
      </w:pPr>
      <w:r w:rsidRPr="00A1122D">
        <w:rPr>
          <w:i/>
          <w:iCs/>
        </w:rPr>
        <w:lastRenderedPageBreak/>
        <w:t xml:space="preserve">"When I see the result I feel happy, and the community also thanks us after we saved their life: </w:t>
      </w:r>
      <w:r w:rsidR="00B22CF2">
        <w:rPr>
          <w:i/>
          <w:iCs/>
        </w:rPr>
        <w:t>h</w:t>
      </w:r>
      <w:r w:rsidRPr="00A1122D">
        <w:rPr>
          <w:i/>
          <w:iCs/>
        </w:rPr>
        <w:t xml:space="preserve">ealth extension workers are doing a great job. Health extension work is great …." </w:t>
      </w:r>
      <w:r w:rsidRPr="00A1122D">
        <w:rPr>
          <w:lang w:bidi="hi-IN"/>
        </w:rPr>
        <w:t>(Ethiopia Case Study - CHW)</w:t>
      </w:r>
    </w:p>
    <w:p w14:paraId="443543EE" w14:textId="77777777" w:rsidR="007A02D1" w:rsidRDefault="007A02D1" w:rsidP="00DE632A">
      <w:pPr>
        <w:tabs>
          <w:tab w:val="center" w:pos="4320"/>
        </w:tabs>
        <w:spacing w:line="480" w:lineRule="auto"/>
        <w:jc w:val="both"/>
        <w:rPr>
          <w:lang w:bidi="hi-IN"/>
        </w:rPr>
      </w:pPr>
    </w:p>
    <w:p w14:paraId="2D537C15" w14:textId="14B659BE" w:rsidR="00E15936" w:rsidRPr="00DE632A" w:rsidRDefault="00E15936" w:rsidP="00DE632A">
      <w:pPr>
        <w:tabs>
          <w:tab w:val="center" w:pos="4320"/>
        </w:tabs>
        <w:spacing w:line="480" w:lineRule="auto"/>
        <w:jc w:val="both"/>
        <w:rPr>
          <w:i/>
          <w:iCs/>
          <w:lang w:bidi="hi-IN"/>
        </w:rPr>
      </w:pPr>
      <w:r>
        <w:rPr>
          <w:i/>
          <w:iCs/>
          <w:lang w:bidi="hi-IN"/>
        </w:rPr>
        <w:t>“</w:t>
      </w:r>
      <w:r w:rsidRPr="00DE632A">
        <w:rPr>
          <w:i/>
          <w:iCs/>
          <w:lang w:bidi="hi-IN"/>
        </w:rPr>
        <w:t>From my job, I feel happy by attending delivery. They trust us and we are attending delivery at day as well as night. In addition, they are using vaccination; they are giving birth with space.</w:t>
      </w:r>
      <w:r>
        <w:rPr>
          <w:i/>
          <w:iCs/>
          <w:lang w:bidi="hi-IN"/>
        </w:rPr>
        <w:t xml:space="preserve">” </w:t>
      </w:r>
      <w:r w:rsidRPr="00A1122D">
        <w:rPr>
          <w:lang w:bidi="hi-IN"/>
        </w:rPr>
        <w:t>(Ethiopia Case Study - CHW)</w:t>
      </w:r>
    </w:p>
    <w:p w14:paraId="15F0C796" w14:textId="77777777" w:rsidR="00E15936" w:rsidRDefault="00E15936" w:rsidP="00DE632A">
      <w:pPr>
        <w:autoSpaceDE w:val="0"/>
        <w:autoSpaceDN w:val="0"/>
        <w:adjustRightInd w:val="0"/>
        <w:spacing w:line="480" w:lineRule="auto"/>
        <w:jc w:val="both"/>
        <w:rPr>
          <w:lang w:bidi="hi-IN"/>
        </w:rPr>
      </w:pPr>
    </w:p>
    <w:p w14:paraId="64DB147B" w14:textId="4879C03D" w:rsidR="0098023D" w:rsidRDefault="0098023D" w:rsidP="00DE632A">
      <w:pPr>
        <w:autoSpaceDE w:val="0"/>
        <w:autoSpaceDN w:val="0"/>
        <w:adjustRightInd w:val="0"/>
        <w:spacing w:line="480" w:lineRule="auto"/>
        <w:jc w:val="both"/>
        <w:rPr>
          <w:lang w:bidi="hi-IN"/>
        </w:rPr>
      </w:pPr>
      <w:r>
        <w:rPr>
          <w:lang w:bidi="hi-IN"/>
        </w:rPr>
        <w:t xml:space="preserve">For some, working as a CHW allows opportunities to channel </w:t>
      </w:r>
      <w:r w:rsidRPr="0098023D">
        <w:rPr>
          <w:lang w:bidi="hi-IN"/>
        </w:rPr>
        <w:t>the</w:t>
      </w:r>
      <w:r w:rsidR="00491A35">
        <w:rPr>
          <w:lang w:bidi="hi-IN"/>
        </w:rPr>
        <w:t>ir values</w:t>
      </w:r>
      <w:r>
        <w:rPr>
          <w:lang w:bidi="hi-IN"/>
        </w:rPr>
        <w:t xml:space="preserve"> and beliefs into concrete actions. For many, as the</w:t>
      </w:r>
      <w:r w:rsidR="00837CDD">
        <w:rPr>
          <w:lang w:bidi="hi-IN"/>
        </w:rPr>
        <w:t>se</w:t>
      </w:r>
      <w:r>
        <w:rPr>
          <w:lang w:bidi="hi-IN"/>
        </w:rPr>
        <w:t xml:space="preserve"> CHW</w:t>
      </w:r>
      <w:r w:rsidR="00837CDD">
        <w:rPr>
          <w:lang w:bidi="hi-IN"/>
        </w:rPr>
        <w:t>s from Mozambique and Bangladesh say</w:t>
      </w:r>
      <w:r>
        <w:rPr>
          <w:lang w:bidi="hi-IN"/>
        </w:rPr>
        <w:t>, this work allows them to achieve in its fullness</w:t>
      </w:r>
      <w:r w:rsidR="00491A35">
        <w:rPr>
          <w:lang w:bidi="hi-IN"/>
        </w:rPr>
        <w:t>,</w:t>
      </w:r>
      <w:r>
        <w:rPr>
          <w:lang w:bidi="hi-IN"/>
        </w:rPr>
        <w:t xml:space="preserve"> what Lee &amp; Koh (21) define as meaningfulness “</w:t>
      </w:r>
      <w:r w:rsidRPr="0098023D">
        <w:rPr>
          <w:lang w:bidi="hi-IN"/>
        </w:rPr>
        <w:t>congruence between the requirements of a work role and an individual’s beliefs, values and behaviours</w:t>
      </w:r>
      <w:r>
        <w:rPr>
          <w:lang w:bidi="hi-IN"/>
        </w:rPr>
        <w:t xml:space="preserve">”. </w:t>
      </w:r>
    </w:p>
    <w:p w14:paraId="075F66D4" w14:textId="77777777" w:rsidR="007A02D1" w:rsidRPr="00A1122D" w:rsidRDefault="007A02D1" w:rsidP="00DE632A">
      <w:pPr>
        <w:autoSpaceDE w:val="0"/>
        <w:autoSpaceDN w:val="0"/>
        <w:adjustRightInd w:val="0"/>
        <w:spacing w:line="480" w:lineRule="auto"/>
        <w:jc w:val="both"/>
        <w:rPr>
          <w:lang w:bidi="hi-IN"/>
        </w:rPr>
      </w:pPr>
    </w:p>
    <w:p w14:paraId="483A7059" w14:textId="77777777" w:rsidR="00A1122D" w:rsidRPr="00A1122D" w:rsidRDefault="00A1122D" w:rsidP="009B6504">
      <w:pPr>
        <w:tabs>
          <w:tab w:val="center" w:pos="4320"/>
        </w:tabs>
        <w:spacing w:line="480" w:lineRule="auto"/>
        <w:rPr>
          <w:lang w:bidi="hi-IN"/>
        </w:rPr>
      </w:pPr>
      <w:r w:rsidRPr="00A1122D">
        <w:rPr>
          <w:i/>
          <w:iCs/>
        </w:rPr>
        <w:t xml:space="preserve">“.. it is our duty to motivate a newly married girl to take a method (family planning) and show the right path …” </w:t>
      </w:r>
      <w:r w:rsidRPr="00A1122D">
        <w:rPr>
          <w:lang w:bidi="hi-IN"/>
        </w:rPr>
        <w:t>(Bangladesh Case Study - CHW)</w:t>
      </w:r>
    </w:p>
    <w:p w14:paraId="04F4E14D" w14:textId="77777777" w:rsidR="00A1122D" w:rsidRPr="00A1122D" w:rsidRDefault="00A1122D" w:rsidP="009B6504">
      <w:pPr>
        <w:tabs>
          <w:tab w:val="center" w:pos="4320"/>
        </w:tabs>
        <w:spacing w:line="480" w:lineRule="auto"/>
        <w:rPr>
          <w:lang w:bidi="hi-IN"/>
        </w:rPr>
      </w:pPr>
    </w:p>
    <w:p w14:paraId="4173E7B7" w14:textId="77777777" w:rsidR="00A1122D" w:rsidRPr="00A1122D" w:rsidRDefault="00A1122D" w:rsidP="009B6504">
      <w:pPr>
        <w:tabs>
          <w:tab w:val="center" w:pos="4320"/>
        </w:tabs>
        <w:spacing w:line="480" w:lineRule="auto"/>
        <w:rPr>
          <w:i/>
          <w:iCs/>
        </w:rPr>
      </w:pPr>
      <w:r w:rsidRPr="00A1122D">
        <w:rPr>
          <w:i/>
          <w:iCs/>
        </w:rPr>
        <w:t>“Working for health is equal to a pastor who works for God, works for the people and for God, is a complete work. ... It is not because of the money that people go to work in health.” (</w:t>
      </w:r>
      <w:r w:rsidRPr="00A1122D">
        <w:rPr>
          <w:iCs/>
        </w:rPr>
        <w:t>Mozambique</w:t>
      </w:r>
      <w:r w:rsidRPr="00A1122D">
        <w:rPr>
          <w:i/>
          <w:iCs/>
        </w:rPr>
        <w:t xml:space="preserve"> </w:t>
      </w:r>
      <w:r w:rsidRPr="00A1122D">
        <w:rPr>
          <w:iCs/>
          <w:lang w:val="id-ID"/>
        </w:rPr>
        <w:t xml:space="preserve">Case Study </w:t>
      </w:r>
      <w:r w:rsidRPr="00A1122D">
        <w:rPr>
          <w:i/>
          <w:iCs/>
        </w:rPr>
        <w:t>– CHW)</w:t>
      </w:r>
    </w:p>
    <w:p w14:paraId="762F6C56" w14:textId="03CEF4AC" w:rsidR="007A02D1" w:rsidRDefault="00491A35" w:rsidP="009B6504">
      <w:pPr>
        <w:autoSpaceDE w:val="0"/>
        <w:autoSpaceDN w:val="0"/>
        <w:adjustRightInd w:val="0"/>
        <w:spacing w:line="480" w:lineRule="auto"/>
        <w:jc w:val="both"/>
        <w:rPr>
          <w:b/>
          <w:bCs/>
          <w:lang w:bidi="hi-IN"/>
        </w:rPr>
      </w:pPr>
      <w:r>
        <w:rPr>
          <w:lang w:bidi="hi-IN"/>
        </w:rPr>
        <w:t>These findings mirror our experiences in this field generally;</w:t>
      </w:r>
      <w:r w:rsidR="0057054F">
        <w:rPr>
          <w:lang w:bidi="hi-IN"/>
        </w:rPr>
        <w:t xml:space="preserve"> that for most CHWs, the work they do also carries a deeper meaning; for </w:t>
      </w:r>
      <w:r>
        <w:rPr>
          <w:lang w:bidi="hi-IN"/>
        </w:rPr>
        <w:t>many</w:t>
      </w:r>
      <w:r w:rsidR="0057054F">
        <w:rPr>
          <w:lang w:bidi="hi-IN"/>
        </w:rPr>
        <w:t xml:space="preserve"> it is an opportunity for self-actualization, for some a means to reify their faith and humanity, and for others </w:t>
      </w:r>
      <w:r>
        <w:rPr>
          <w:lang w:bidi="hi-IN"/>
        </w:rPr>
        <w:t>a means to even define their identities.</w:t>
      </w:r>
      <w:r w:rsidR="0057054F">
        <w:rPr>
          <w:lang w:bidi="hi-IN"/>
        </w:rPr>
        <w:t xml:space="preserve">  </w:t>
      </w:r>
    </w:p>
    <w:p w14:paraId="1A1A7C4D" w14:textId="77777777" w:rsidR="00DE632A" w:rsidRDefault="00DE632A" w:rsidP="009B6504">
      <w:pPr>
        <w:autoSpaceDE w:val="0"/>
        <w:autoSpaceDN w:val="0"/>
        <w:adjustRightInd w:val="0"/>
        <w:spacing w:line="480" w:lineRule="auto"/>
        <w:jc w:val="both"/>
        <w:rPr>
          <w:b/>
          <w:bCs/>
          <w:lang w:val="en-GB" w:bidi="hi-IN"/>
        </w:rPr>
      </w:pPr>
    </w:p>
    <w:p w14:paraId="42064D7A" w14:textId="77777777" w:rsidR="00AF485F" w:rsidRPr="00A1122D" w:rsidRDefault="00AF485F" w:rsidP="009B6504">
      <w:pPr>
        <w:autoSpaceDE w:val="0"/>
        <w:autoSpaceDN w:val="0"/>
        <w:adjustRightInd w:val="0"/>
        <w:spacing w:line="480" w:lineRule="auto"/>
        <w:jc w:val="both"/>
        <w:rPr>
          <w:b/>
          <w:bCs/>
          <w:lang w:bidi="hi-IN"/>
        </w:rPr>
      </w:pPr>
      <w:r w:rsidRPr="00A1122D">
        <w:rPr>
          <w:b/>
          <w:bCs/>
          <w:lang w:val="en-GB" w:bidi="hi-IN"/>
        </w:rPr>
        <w:t>The power of newly gained ‘competence’</w:t>
      </w:r>
    </w:p>
    <w:p w14:paraId="069E3589" w14:textId="0F0E59DC" w:rsidR="00AF485F" w:rsidRPr="00A1122D" w:rsidRDefault="00AF485F" w:rsidP="009B6504">
      <w:pPr>
        <w:tabs>
          <w:tab w:val="center" w:pos="4320"/>
        </w:tabs>
        <w:spacing w:line="480" w:lineRule="auto"/>
        <w:jc w:val="both"/>
        <w:rPr>
          <w:lang w:val="en-GB" w:bidi="hi-IN"/>
        </w:rPr>
      </w:pPr>
      <w:r w:rsidRPr="00A1122D">
        <w:rPr>
          <w:lang w:val="en-GB" w:bidi="hi-IN"/>
        </w:rPr>
        <w:lastRenderedPageBreak/>
        <w:t>Competence refers to an individual’s belief in his/her capability to perform task activities skilfully (</w:t>
      </w:r>
      <w:r w:rsidR="00697824">
        <w:rPr>
          <w:lang w:val="en-GB" w:bidi="hi-IN"/>
        </w:rPr>
        <w:t>21</w:t>
      </w:r>
      <w:r w:rsidRPr="00A1122D">
        <w:rPr>
          <w:lang w:val="en-GB" w:bidi="hi-IN"/>
        </w:rPr>
        <w:t>). This refers to agency, beliefs, personal enactive mastery of tasks or self-efficacy (</w:t>
      </w:r>
      <w:r w:rsidR="00697824">
        <w:rPr>
          <w:lang w:val="en-GB" w:bidi="hi-IN"/>
        </w:rPr>
        <w:t>21</w:t>
      </w:r>
      <w:r w:rsidRPr="00A1122D">
        <w:rPr>
          <w:lang w:val="en-GB" w:bidi="hi-IN"/>
        </w:rPr>
        <w:t>). Our analysis of the literature revealed that almost all CHW program designs involve competence-based training of CHWs on specific tasks targeted at specific situations, supplemented by practice sessions and on-job mentoring</w:t>
      </w:r>
      <w:r w:rsidR="00B22CF2">
        <w:rPr>
          <w:lang w:val="en-GB" w:bidi="hi-IN"/>
        </w:rPr>
        <w:t xml:space="preserve"> </w:t>
      </w:r>
      <w:r w:rsidR="00B22CF2" w:rsidRPr="00A1122D">
        <w:rPr>
          <w:lang w:val="en-GB" w:bidi="hi-IN"/>
        </w:rPr>
        <w:t>(</w:t>
      </w:r>
      <w:r w:rsidR="006F3343">
        <w:rPr>
          <w:lang w:val="en-GB" w:bidi="hi-IN"/>
        </w:rPr>
        <w:t>6,9,32,36</w:t>
      </w:r>
      <w:r w:rsidR="00C740B2">
        <w:rPr>
          <w:lang w:val="en-GB" w:bidi="hi-IN"/>
        </w:rPr>
        <w:t>)</w:t>
      </w:r>
      <w:r w:rsidRPr="00A1122D">
        <w:rPr>
          <w:lang w:val="en-GB" w:bidi="hi-IN"/>
        </w:rPr>
        <w:t>. The literature shows that CHWs universally value these, and often express desires to gain more knowledge and skills (</w:t>
      </w:r>
      <w:r w:rsidR="006F3343">
        <w:rPr>
          <w:lang w:val="en-GB" w:bidi="hi-IN"/>
        </w:rPr>
        <w:t>6,9,32,36</w:t>
      </w:r>
      <w:r w:rsidR="00697824">
        <w:rPr>
          <w:lang w:val="en-GB" w:bidi="hi-IN"/>
        </w:rPr>
        <w:t>)</w:t>
      </w:r>
      <w:r w:rsidRPr="00A1122D">
        <w:rPr>
          <w:lang w:val="en-GB" w:bidi="hi-IN"/>
        </w:rPr>
        <w:t xml:space="preserve">. </w:t>
      </w:r>
      <w:r w:rsidR="007034F1" w:rsidRPr="007034F1">
        <w:rPr>
          <w:lang w:val="en-GB" w:bidi="hi-IN"/>
        </w:rPr>
        <w:t xml:space="preserve"> </w:t>
      </w:r>
      <w:r w:rsidR="007034F1" w:rsidRPr="00A1122D">
        <w:rPr>
          <w:lang w:val="en-GB" w:bidi="hi-IN"/>
        </w:rPr>
        <w:t xml:space="preserve">This, as </w:t>
      </w:r>
      <w:r w:rsidR="00491A35">
        <w:rPr>
          <w:lang w:val="en-GB" w:bidi="hi-IN"/>
        </w:rPr>
        <w:t>illustrated by the</w:t>
      </w:r>
      <w:r w:rsidR="007034F1">
        <w:rPr>
          <w:lang w:val="en-GB" w:bidi="hi-IN"/>
        </w:rPr>
        <w:t xml:space="preserve"> </w:t>
      </w:r>
      <w:r w:rsidR="007034F1" w:rsidRPr="00A1122D">
        <w:rPr>
          <w:lang w:val="en-GB" w:bidi="hi-IN"/>
        </w:rPr>
        <w:t xml:space="preserve">quotes below, </w:t>
      </w:r>
      <w:r w:rsidR="007034F1">
        <w:rPr>
          <w:lang w:val="en-GB" w:bidi="hi-IN"/>
        </w:rPr>
        <w:t xml:space="preserve">together </w:t>
      </w:r>
      <w:r w:rsidR="007034F1" w:rsidRPr="00A1122D">
        <w:rPr>
          <w:lang w:val="en-GB" w:bidi="hi-IN"/>
        </w:rPr>
        <w:t xml:space="preserve">with the difference that </w:t>
      </w:r>
      <w:r w:rsidR="00090555">
        <w:rPr>
          <w:lang w:val="en-GB" w:bidi="hi-IN"/>
        </w:rPr>
        <w:t>CHWS</w:t>
      </w:r>
      <w:r w:rsidR="007034F1" w:rsidRPr="00A1122D">
        <w:rPr>
          <w:lang w:val="en-GB" w:bidi="hi-IN"/>
        </w:rPr>
        <w:t xml:space="preserve"> can make in wielding th</w:t>
      </w:r>
      <w:r w:rsidR="00090555">
        <w:rPr>
          <w:lang w:val="en-GB" w:bidi="hi-IN"/>
        </w:rPr>
        <w:t>is</w:t>
      </w:r>
      <w:r w:rsidR="007034F1" w:rsidRPr="00A1122D">
        <w:rPr>
          <w:lang w:val="en-GB" w:bidi="hi-IN"/>
        </w:rPr>
        <w:t xml:space="preserve"> knowledge and skills, and the consequent meaning it adds to their lives, makes these newly gained competencies an important driver of the </w:t>
      </w:r>
      <w:r w:rsidR="007034F1">
        <w:rPr>
          <w:lang w:val="en-GB" w:bidi="hi-IN"/>
        </w:rPr>
        <w:t>empowerment</w:t>
      </w:r>
      <w:r w:rsidR="007034F1" w:rsidRPr="00A1122D">
        <w:rPr>
          <w:lang w:val="en-GB" w:bidi="hi-IN"/>
        </w:rPr>
        <w:t xml:space="preserve"> experience for the CHWs.</w:t>
      </w:r>
    </w:p>
    <w:p w14:paraId="7E786F81" w14:textId="77777777" w:rsidR="00AF485F" w:rsidRPr="00A1122D" w:rsidRDefault="00AF485F" w:rsidP="009B6504">
      <w:pPr>
        <w:tabs>
          <w:tab w:val="center" w:pos="4320"/>
        </w:tabs>
        <w:spacing w:line="480" w:lineRule="auto"/>
        <w:jc w:val="both"/>
        <w:rPr>
          <w:lang w:val="en-GB" w:bidi="hi-IN"/>
        </w:rPr>
      </w:pPr>
    </w:p>
    <w:p w14:paraId="6D5AA48B" w14:textId="77777777" w:rsidR="00AF485F" w:rsidRPr="00A1122D" w:rsidRDefault="00AF485F" w:rsidP="009B6504">
      <w:pPr>
        <w:tabs>
          <w:tab w:val="center" w:pos="4320"/>
        </w:tabs>
        <w:spacing w:line="480" w:lineRule="auto"/>
        <w:jc w:val="both"/>
        <w:rPr>
          <w:lang w:val="en-GB" w:bidi="hi-IN"/>
        </w:rPr>
      </w:pPr>
      <w:r w:rsidRPr="00A1122D">
        <w:rPr>
          <w:i/>
          <w:iCs/>
          <w:lang w:val="en-GB" w:bidi="hi-IN"/>
        </w:rPr>
        <w:t xml:space="preserve">“This [training] has really helped [me make] my community be healthy and free of disease” </w:t>
      </w:r>
      <w:r w:rsidRPr="00A1122D">
        <w:rPr>
          <w:lang w:val="en-GB" w:bidi="hi-IN"/>
        </w:rPr>
        <w:t>(Kenya Case Study - CHW)</w:t>
      </w:r>
    </w:p>
    <w:p w14:paraId="49674BED" w14:textId="77777777" w:rsidR="00AF485F" w:rsidRPr="00A1122D" w:rsidRDefault="00AF485F" w:rsidP="009B6504">
      <w:pPr>
        <w:tabs>
          <w:tab w:val="center" w:pos="4320"/>
        </w:tabs>
        <w:spacing w:line="480" w:lineRule="auto"/>
        <w:jc w:val="both"/>
        <w:rPr>
          <w:lang w:val="en-GB" w:bidi="hi-IN"/>
        </w:rPr>
      </w:pPr>
    </w:p>
    <w:p w14:paraId="1AD89E70" w14:textId="77E88B1A" w:rsidR="00AF485F" w:rsidRPr="00A1122D" w:rsidRDefault="00AF485F" w:rsidP="009B6504">
      <w:pPr>
        <w:tabs>
          <w:tab w:val="center" w:pos="4320"/>
        </w:tabs>
        <w:spacing w:line="480" w:lineRule="auto"/>
        <w:jc w:val="both"/>
        <w:rPr>
          <w:lang w:val="en-GB" w:bidi="hi-IN"/>
        </w:rPr>
      </w:pPr>
      <w:r w:rsidRPr="00A1122D">
        <w:rPr>
          <w:i/>
          <w:iCs/>
        </w:rPr>
        <w:t>“It would be good to give us more training courses and increase the medicines. Giving us new skills to treat other diseases</w:t>
      </w:r>
      <w:r w:rsidR="00B22CF2">
        <w:rPr>
          <w:i/>
          <w:iCs/>
        </w:rPr>
        <w:t>,</w:t>
      </w:r>
      <w:r w:rsidRPr="00A1122D">
        <w:rPr>
          <w:i/>
          <w:iCs/>
        </w:rPr>
        <w:t xml:space="preserve"> because there are things that is missing here in the community…” </w:t>
      </w:r>
      <w:r w:rsidRPr="00A1122D">
        <w:rPr>
          <w:lang w:val="en-GB" w:bidi="hi-IN"/>
        </w:rPr>
        <w:t>(Mozambique Case Study - CHW)</w:t>
      </w:r>
    </w:p>
    <w:p w14:paraId="0342F247" w14:textId="77777777" w:rsidR="00AF485F" w:rsidRPr="00A1122D" w:rsidRDefault="00AF485F" w:rsidP="009B6504">
      <w:pPr>
        <w:tabs>
          <w:tab w:val="center" w:pos="4320"/>
        </w:tabs>
        <w:spacing w:line="480" w:lineRule="auto"/>
        <w:jc w:val="both"/>
        <w:rPr>
          <w:lang w:val="en-GB" w:bidi="hi-IN"/>
        </w:rPr>
      </w:pPr>
    </w:p>
    <w:p w14:paraId="43CDF8E4" w14:textId="4D74C56C" w:rsidR="00AF485F" w:rsidRDefault="00AF485F" w:rsidP="009B6504">
      <w:pPr>
        <w:tabs>
          <w:tab w:val="center" w:pos="4320"/>
        </w:tabs>
        <w:spacing w:line="480" w:lineRule="auto"/>
        <w:jc w:val="both"/>
        <w:rPr>
          <w:b/>
          <w:bCs/>
        </w:rPr>
      </w:pPr>
      <w:r w:rsidRPr="00A1122D">
        <w:rPr>
          <w:lang w:val="en-GB" w:bidi="hi-IN"/>
        </w:rPr>
        <w:t xml:space="preserve">In our analysis </w:t>
      </w:r>
      <w:r w:rsidR="000042FC">
        <w:rPr>
          <w:lang w:val="en-GB" w:bidi="hi-IN"/>
        </w:rPr>
        <w:t>we recognised Kane et al’s (3</w:t>
      </w:r>
      <w:r w:rsidR="00090B3F">
        <w:rPr>
          <w:lang w:val="en-GB" w:bidi="hi-IN"/>
        </w:rPr>
        <w:t>2</w:t>
      </w:r>
      <w:r w:rsidRPr="00A1122D">
        <w:rPr>
          <w:lang w:val="en-GB" w:bidi="hi-IN"/>
        </w:rPr>
        <w:t>) conclusions on the matter - the knowledge based training aspects of CHW program</w:t>
      </w:r>
      <w:r w:rsidR="000F1C04">
        <w:rPr>
          <w:lang w:val="en-GB" w:bidi="hi-IN"/>
        </w:rPr>
        <w:t>me</w:t>
      </w:r>
      <w:r w:rsidR="00B22CF2">
        <w:rPr>
          <w:lang w:val="en-GB" w:bidi="hi-IN"/>
        </w:rPr>
        <w:t>s</w:t>
      </w:r>
      <w:r w:rsidRPr="00A1122D">
        <w:rPr>
          <w:lang w:val="en-GB" w:bidi="hi-IN"/>
        </w:rPr>
        <w:t xml:space="preserve"> provid</w:t>
      </w:r>
      <w:r w:rsidR="00B22CF2">
        <w:rPr>
          <w:lang w:val="en-GB" w:bidi="hi-IN"/>
        </w:rPr>
        <w:t>e</w:t>
      </w:r>
      <w:r w:rsidRPr="00A1122D">
        <w:rPr>
          <w:lang w:val="en-GB" w:bidi="hi-IN"/>
        </w:rPr>
        <w:t xml:space="preserve"> access to new, specialised, and socially privileged knowledge,</w:t>
      </w:r>
      <w:r w:rsidR="00B22CF2">
        <w:rPr>
          <w:lang w:val="en-GB" w:bidi="hi-IN"/>
        </w:rPr>
        <w:t xml:space="preserve"> and thereby</w:t>
      </w:r>
      <w:r w:rsidRPr="00A1122D">
        <w:rPr>
          <w:lang w:val="en-GB" w:bidi="hi-IN"/>
        </w:rPr>
        <w:t xml:space="preserve"> trigger a sense of self-efficacy amongst CHWs.</w:t>
      </w:r>
      <w:r w:rsidRPr="00A1122D">
        <w:rPr>
          <w:lang w:bidi="hi-IN"/>
        </w:rPr>
        <w:t>These findings are also consistent with recent empirical</w:t>
      </w:r>
      <w:r w:rsidR="000042FC">
        <w:rPr>
          <w:lang w:bidi="hi-IN"/>
        </w:rPr>
        <w:t xml:space="preserve"> work by Nandi &amp; Schneider (3</w:t>
      </w:r>
      <w:r w:rsidR="006F3343">
        <w:rPr>
          <w:lang w:bidi="hi-IN"/>
        </w:rPr>
        <w:t>8</w:t>
      </w:r>
      <w:r w:rsidR="000042FC">
        <w:rPr>
          <w:lang w:bidi="hi-IN"/>
        </w:rPr>
        <w:t>), Bhatia (</w:t>
      </w:r>
      <w:r w:rsidR="00C740B2">
        <w:rPr>
          <w:lang w:bidi="hi-IN"/>
        </w:rPr>
        <w:t>11</w:t>
      </w:r>
      <w:r w:rsidR="000042FC">
        <w:rPr>
          <w:lang w:bidi="hi-IN"/>
        </w:rPr>
        <w:t>), Ingram et al (3</w:t>
      </w:r>
      <w:r w:rsidR="006F3343">
        <w:rPr>
          <w:lang w:bidi="hi-IN"/>
        </w:rPr>
        <w:t>9</w:t>
      </w:r>
      <w:r w:rsidR="000042FC">
        <w:rPr>
          <w:lang w:bidi="hi-IN"/>
        </w:rPr>
        <w:t>), and Becker et al (</w:t>
      </w:r>
      <w:r w:rsidR="006F3343">
        <w:rPr>
          <w:lang w:bidi="hi-IN"/>
        </w:rPr>
        <w:t>40</w:t>
      </w:r>
      <w:r w:rsidRPr="00A1122D">
        <w:rPr>
          <w:lang w:bidi="hi-IN"/>
        </w:rPr>
        <w:t xml:space="preserve">). </w:t>
      </w:r>
      <w:r w:rsidR="00ED5657">
        <w:rPr>
          <w:lang w:bidi="hi-IN"/>
        </w:rPr>
        <w:t xml:space="preserve">It is however worth noting that the knowledge and competence that CHWs value the most tend to be related to curative tasks. </w:t>
      </w:r>
      <w:r w:rsidR="00F54BC5">
        <w:rPr>
          <w:lang w:bidi="hi-IN"/>
        </w:rPr>
        <w:t>T</w:t>
      </w:r>
      <w:r w:rsidR="00ED5657">
        <w:rPr>
          <w:lang w:bidi="hi-IN"/>
        </w:rPr>
        <w:t xml:space="preserve">he next section also shows how it is through the </w:t>
      </w:r>
      <w:r w:rsidR="00ED5657">
        <w:rPr>
          <w:lang w:bidi="hi-IN"/>
        </w:rPr>
        <w:lastRenderedPageBreak/>
        <w:t xml:space="preserve">application of curative knowledge and competencies CHWs are able to see a clear </w:t>
      </w:r>
      <w:r w:rsidR="00B01F0E">
        <w:rPr>
          <w:lang w:bidi="hi-IN"/>
        </w:rPr>
        <w:t xml:space="preserve">impact </w:t>
      </w:r>
      <w:r w:rsidR="00B359BF">
        <w:rPr>
          <w:lang w:bidi="hi-IN"/>
        </w:rPr>
        <w:t>of their work, and feel empowered.</w:t>
      </w:r>
    </w:p>
    <w:p w14:paraId="4FD2146D" w14:textId="77777777" w:rsidR="00AF485F" w:rsidRDefault="00AF485F" w:rsidP="009B6504">
      <w:pPr>
        <w:tabs>
          <w:tab w:val="center" w:pos="4320"/>
        </w:tabs>
        <w:spacing w:line="480" w:lineRule="auto"/>
        <w:rPr>
          <w:b/>
          <w:bCs/>
        </w:rPr>
      </w:pPr>
    </w:p>
    <w:p w14:paraId="43D4AF80" w14:textId="47AC7E92" w:rsidR="00A1122D" w:rsidRPr="00A1122D" w:rsidRDefault="00A1122D" w:rsidP="009B6504">
      <w:pPr>
        <w:tabs>
          <w:tab w:val="center" w:pos="4320"/>
        </w:tabs>
        <w:spacing w:line="480" w:lineRule="auto"/>
        <w:rPr>
          <w:b/>
          <w:bCs/>
        </w:rPr>
      </w:pPr>
      <w:r w:rsidRPr="00A1122D">
        <w:rPr>
          <w:b/>
          <w:bCs/>
        </w:rPr>
        <w:t xml:space="preserve">Clear and present </w:t>
      </w:r>
      <w:r w:rsidR="007B419C">
        <w:rPr>
          <w:b/>
          <w:bCs/>
        </w:rPr>
        <w:t>‘</w:t>
      </w:r>
      <w:r w:rsidRPr="00A1122D">
        <w:rPr>
          <w:b/>
          <w:bCs/>
        </w:rPr>
        <w:t>impact</w:t>
      </w:r>
      <w:r w:rsidR="007B419C">
        <w:rPr>
          <w:b/>
          <w:bCs/>
        </w:rPr>
        <w:t>’</w:t>
      </w:r>
      <w:r w:rsidRPr="00A1122D">
        <w:rPr>
          <w:b/>
          <w:bCs/>
        </w:rPr>
        <w:t xml:space="preserve"> of their work</w:t>
      </w:r>
    </w:p>
    <w:p w14:paraId="482B0B51" w14:textId="4318EAD1" w:rsidR="006F3343" w:rsidRDefault="00A1122D" w:rsidP="009B6504">
      <w:pPr>
        <w:autoSpaceDE w:val="0"/>
        <w:autoSpaceDN w:val="0"/>
        <w:adjustRightInd w:val="0"/>
        <w:spacing w:line="480" w:lineRule="auto"/>
        <w:jc w:val="both"/>
        <w:rPr>
          <w:lang w:bidi="hi-IN"/>
        </w:rPr>
      </w:pPr>
      <w:r w:rsidRPr="00A1122D">
        <w:rPr>
          <w:lang w:bidi="hi-IN"/>
        </w:rPr>
        <w:t xml:space="preserve">Impact refers to the perceptions of the degree to which an individual can influence strategic, administrative or operating </w:t>
      </w:r>
      <w:r w:rsidR="001C38C3">
        <w:rPr>
          <w:lang w:bidi="hi-IN"/>
        </w:rPr>
        <w:t>outcomes at work (</w:t>
      </w:r>
      <w:r w:rsidR="00C740B2">
        <w:rPr>
          <w:lang w:bidi="hi-IN"/>
        </w:rPr>
        <w:t>21</w:t>
      </w:r>
      <w:r w:rsidRPr="00A1122D">
        <w:rPr>
          <w:lang w:bidi="hi-IN"/>
        </w:rPr>
        <w:t xml:space="preserve">). </w:t>
      </w:r>
      <w:r w:rsidR="00090B3F">
        <w:rPr>
          <w:lang w:bidi="hi-IN"/>
        </w:rPr>
        <w:t>T</w:t>
      </w:r>
      <w:r w:rsidRPr="00A1122D">
        <w:rPr>
          <w:lang w:bidi="hi-IN"/>
        </w:rPr>
        <w:t xml:space="preserve">he literature consistently points out that CHWs across the board believe that they make a major impact </w:t>
      </w:r>
      <w:r w:rsidR="00030233">
        <w:rPr>
          <w:lang w:bidi="hi-IN"/>
        </w:rPr>
        <w:t xml:space="preserve">on the lives of the people in their communities,  through helping protect the health of their people, through supporting their people to make right and healthy decisions, and through saving lives,  </w:t>
      </w:r>
      <w:r w:rsidR="00030233" w:rsidRPr="00A1122D">
        <w:rPr>
          <w:lang w:bidi="hi-IN"/>
        </w:rPr>
        <w:t>(</w:t>
      </w:r>
      <w:r w:rsidR="00030233">
        <w:rPr>
          <w:lang w:val="en-GB" w:bidi="hi-IN"/>
        </w:rPr>
        <w:t>6</w:t>
      </w:r>
      <w:r w:rsidR="00030233" w:rsidRPr="00A1122D">
        <w:rPr>
          <w:lang w:val="en-GB" w:bidi="hi-IN"/>
        </w:rPr>
        <w:t xml:space="preserve">,  </w:t>
      </w:r>
      <w:r w:rsidR="00030233">
        <w:rPr>
          <w:lang w:val="en-GB" w:bidi="hi-IN"/>
        </w:rPr>
        <w:t>8, 31, 32, 33</w:t>
      </w:r>
      <w:r w:rsidR="00030233" w:rsidRPr="00A1122D">
        <w:rPr>
          <w:lang w:bidi="hi-IN"/>
        </w:rPr>
        <w:t>)</w:t>
      </w:r>
      <w:r w:rsidRPr="00A1122D">
        <w:rPr>
          <w:lang w:bidi="hi-IN"/>
        </w:rPr>
        <w:t xml:space="preserve">. </w:t>
      </w:r>
    </w:p>
    <w:p w14:paraId="366D6FF1" w14:textId="2DF52EE4" w:rsidR="006C72FC" w:rsidRDefault="006C72FC" w:rsidP="009B6504">
      <w:pPr>
        <w:autoSpaceDE w:val="0"/>
        <w:autoSpaceDN w:val="0"/>
        <w:adjustRightInd w:val="0"/>
        <w:spacing w:line="480" w:lineRule="auto"/>
        <w:jc w:val="both"/>
        <w:rPr>
          <w:lang w:bidi="hi-IN"/>
        </w:rPr>
      </w:pPr>
    </w:p>
    <w:p w14:paraId="051E66E8" w14:textId="466F63A8" w:rsidR="00B359BF" w:rsidRDefault="00716A23" w:rsidP="009B6504">
      <w:pPr>
        <w:autoSpaceDE w:val="0"/>
        <w:autoSpaceDN w:val="0"/>
        <w:adjustRightInd w:val="0"/>
        <w:spacing w:line="480" w:lineRule="auto"/>
        <w:jc w:val="both"/>
        <w:rPr>
          <w:lang w:bidi="hi-IN"/>
        </w:rPr>
      </w:pPr>
      <w:r>
        <w:rPr>
          <w:lang w:bidi="hi-IN"/>
        </w:rPr>
        <w:t>As the following quotes highlight,</w:t>
      </w:r>
      <w:r w:rsidR="00A1122D" w:rsidRPr="00A1122D">
        <w:rPr>
          <w:lang w:bidi="hi-IN"/>
        </w:rPr>
        <w:t xml:space="preserve"> being able to</w:t>
      </w:r>
      <w:r w:rsidR="006C72FC">
        <w:rPr>
          <w:lang w:bidi="hi-IN"/>
        </w:rPr>
        <w:t xml:space="preserve"> serve their people in their time of need, and particularly being able to help save lives, gives CHWs a sense of doing impactful work.</w:t>
      </w:r>
    </w:p>
    <w:p w14:paraId="0963288E" w14:textId="0DE9E465" w:rsidR="009F59E2" w:rsidRPr="00A1122D" w:rsidRDefault="000F1C04" w:rsidP="009B6504">
      <w:pPr>
        <w:autoSpaceDE w:val="0"/>
        <w:autoSpaceDN w:val="0"/>
        <w:adjustRightInd w:val="0"/>
        <w:spacing w:line="480" w:lineRule="auto"/>
        <w:jc w:val="both"/>
        <w:rPr>
          <w:lang w:bidi="hi-IN"/>
        </w:rPr>
      </w:pPr>
      <w:r>
        <w:rPr>
          <w:lang w:bidi="hi-IN"/>
        </w:rPr>
        <w:t xml:space="preserve"> </w:t>
      </w:r>
    </w:p>
    <w:p w14:paraId="5B1F46DC" w14:textId="54328B19" w:rsidR="00A1122D" w:rsidRDefault="00E15936" w:rsidP="009B6504">
      <w:pPr>
        <w:autoSpaceDE w:val="0"/>
        <w:autoSpaceDN w:val="0"/>
        <w:adjustRightInd w:val="0"/>
        <w:spacing w:line="480" w:lineRule="auto"/>
        <w:jc w:val="both"/>
        <w:rPr>
          <w:i/>
          <w:iCs/>
          <w:lang w:bidi="hi-IN"/>
        </w:rPr>
      </w:pPr>
      <w:r w:rsidRPr="00E15936">
        <w:rPr>
          <w:i/>
          <w:iCs/>
          <w:lang w:bidi="hi-IN"/>
        </w:rPr>
        <w:t>"The most interesting thing is saving the life of women and children. I feel happy when one mother calls me at her delivery. Previously, I was attending delivery at their home, now I am attending in the health post since the bed is available</w:t>
      </w:r>
      <w:r>
        <w:rPr>
          <w:i/>
          <w:iCs/>
          <w:lang w:bidi="hi-IN"/>
        </w:rPr>
        <w:t>…</w:t>
      </w:r>
      <w:r w:rsidRPr="00E15936">
        <w:rPr>
          <w:i/>
          <w:iCs/>
          <w:lang w:bidi="hi-IN"/>
        </w:rPr>
        <w:t>."</w:t>
      </w:r>
      <w:r w:rsidRPr="00E15936" w:rsidDel="00E15936">
        <w:rPr>
          <w:i/>
          <w:iCs/>
          <w:lang w:bidi="hi-IN"/>
        </w:rPr>
        <w:t xml:space="preserve"> </w:t>
      </w:r>
      <w:r w:rsidR="00A1122D" w:rsidRPr="00A1122D">
        <w:rPr>
          <w:lang w:bidi="hi-IN"/>
        </w:rPr>
        <w:t>(Ethiopia Case Study - CHW)</w:t>
      </w:r>
      <w:r w:rsidR="00A1122D" w:rsidRPr="00A1122D">
        <w:rPr>
          <w:i/>
          <w:iCs/>
          <w:lang w:bidi="hi-IN"/>
        </w:rPr>
        <w:t xml:space="preserve"> </w:t>
      </w:r>
    </w:p>
    <w:p w14:paraId="4C19BD92" w14:textId="77777777" w:rsidR="006F3343" w:rsidRDefault="006F3343" w:rsidP="009B6504">
      <w:pPr>
        <w:autoSpaceDE w:val="0"/>
        <w:autoSpaceDN w:val="0"/>
        <w:adjustRightInd w:val="0"/>
        <w:spacing w:line="480" w:lineRule="auto"/>
        <w:jc w:val="both"/>
        <w:rPr>
          <w:i/>
          <w:iCs/>
          <w:lang w:bidi="hi-IN"/>
        </w:rPr>
      </w:pPr>
    </w:p>
    <w:p w14:paraId="6B5D7CD5" w14:textId="3A4F08A9" w:rsidR="005A67B3" w:rsidRDefault="00016BF4" w:rsidP="00016BF4">
      <w:pPr>
        <w:autoSpaceDE w:val="0"/>
        <w:autoSpaceDN w:val="0"/>
        <w:adjustRightInd w:val="0"/>
        <w:spacing w:line="480" w:lineRule="auto"/>
        <w:jc w:val="both"/>
        <w:rPr>
          <w:lang w:val="en-GB" w:bidi="hi-IN"/>
        </w:rPr>
      </w:pPr>
      <w:r w:rsidRPr="00DE632A">
        <w:rPr>
          <w:i/>
          <w:iCs/>
          <w:lang w:val="en-GB" w:bidi="hi-IN"/>
        </w:rPr>
        <w:t>“The village clinics are also helping children a lot, when the get sick, they easily access drugs and we have helped in saving a number of lives for these children.”</w:t>
      </w:r>
      <w:r w:rsidR="005A67B3" w:rsidRPr="00DE632A">
        <w:rPr>
          <w:i/>
          <w:iCs/>
          <w:lang w:val="en-GB" w:bidi="hi-IN"/>
        </w:rPr>
        <w:t>(</w:t>
      </w:r>
      <w:r w:rsidR="005A67B3">
        <w:rPr>
          <w:lang w:val="en-GB" w:bidi="hi-IN"/>
        </w:rPr>
        <w:t>Kenya Case Study – CHW)</w:t>
      </w:r>
    </w:p>
    <w:p w14:paraId="4EC96BBE" w14:textId="77777777" w:rsidR="005A67B3" w:rsidRPr="00DE632A" w:rsidRDefault="005A67B3" w:rsidP="00016BF4">
      <w:pPr>
        <w:autoSpaceDE w:val="0"/>
        <w:autoSpaceDN w:val="0"/>
        <w:adjustRightInd w:val="0"/>
        <w:spacing w:line="480" w:lineRule="auto"/>
        <w:jc w:val="both"/>
        <w:rPr>
          <w:i/>
          <w:iCs/>
          <w:lang w:val="en-GB" w:bidi="hi-IN"/>
        </w:rPr>
      </w:pPr>
    </w:p>
    <w:p w14:paraId="04E4883F" w14:textId="15D0BA5B" w:rsidR="005A67B3" w:rsidRPr="00A1122D" w:rsidRDefault="005A67B3" w:rsidP="00016BF4">
      <w:pPr>
        <w:autoSpaceDE w:val="0"/>
        <w:autoSpaceDN w:val="0"/>
        <w:adjustRightInd w:val="0"/>
        <w:spacing w:line="480" w:lineRule="auto"/>
        <w:jc w:val="both"/>
        <w:rPr>
          <w:lang w:val="en-GB" w:bidi="hi-IN"/>
        </w:rPr>
      </w:pPr>
      <w:r w:rsidRPr="00DE632A">
        <w:rPr>
          <w:i/>
          <w:iCs/>
          <w:lang w:val="en-GB" w:bidi="hi-IN"/>
        </w:rPr>
        <w:t xml:space="preserve">“I do work with Mai Khanda in so many programs. For example, the safe motherhood programme …this group do some follow ups on pregnant women. To ensure that </w:t>
      </w:r>
      <w:r w:rsidRPr="00DE632A">
        <w:rPr>
          <w:i/>
          <w:iCs/>
          <w:lang w:val="en-GB" w:bidi="hi-IN"/>
        </w:rPr>
        <w:lastRenderedPageBreak/>
        <w:t>pregnant women attend antenatal and that pregnant women give birth at the hospital to save the life of the mother and the baby.”</w:t>
      </w:r>
      <w:r>
        <w:rPr>
          <w:lang w:val="en-GB" w:bidi="hi-IN"/>
        </w:rPr>
        <w:t xml:space="preserve"> (Malawi Case Study – CHW)</w:t>
      </w:r>
    </w:p>
    <w:p w14:paraId="12DB6837" w14:textId="77777777" w:rsidR="006C72FC" w:rsidRDefault="006C72FC" w:rsidP="009B6504">
      <w:pPr>
        <w:autoSpaceDE w:val="0"/>
        <w:autoSpaceDN w:val="0"/>
        <w:adjustRightInd w:val="0"/>
        <w:spacing w:line="480" w:lineRule="auto"/>
        <w:jc w:val="both"/>
        <w:rPr>
          <w:lang w:val="en-GB" w:bidi="hi-IN"/>
        </w:rPr>
      </w:pPr>
    </w:p>
    <w:p w14:paraId="59EE5710" w14:textId="7B109D90" w:rsidR="00A1122D" w:rsidRDefault="006C72FC" w:rsidP="009B6504">
      <w:pPr>
        <w:autoSpaceDE w:val="0"/>
        <w:autoSpaceDN w:val="0"/>
        <w:adjustRightInd w:val="0"/>
        <w:spacing w:line="480" w:lineRule="auto"/>
        <w:jc w:val="both"/>
        <w:rPr>
          <w:lang w:bidi="hi-IN"/>
        </w:rPr>
      </w:pPr>
      <w:r>
        <w:rPr>
          <w:lang w:val="en-GB" w:bidi="hi-IN"/>
        </w:rPr>
        <w:t>Some</w:t>
      </w:r>
      <w:r>
        <w:rPr>
          <w:lang w:bidi="hi-IN"/>
        </w:rPr>
        <w:t xml:space="preserve"> CHWs saw themselves as making an impact in terms of being able to guide their people to make the right decisions through sharing their newly acquired knowledge; others</w:t>
      </w:r>
      <w:r w:rsidR="001A5CBA">
        <w:rPr>
          <w:lang w:bidi="hi-IN"/>
        </w:rPr>
        <w:t>, as the quote from a CHW in Malawi illustrates,</w:t>
      </w:r>
      <w:r>
        <w:rPr>
          <w:lang w:bidi="hi-IN"/>
        </w:rPr>
        <w:t xml:space="preserve"> saw the impact </w:t>
      </w:r>
      <w:r w:rsidR="002D5717">
        <w:rPr>
          <w:lang w:bidi="hi-IN"/>
        </w:rPr>
        <w:t xml:space="preserve">of their work </w:t>
      </w:r>
      <w:r>
        <w:rPr>
          <w:lang w:bidi="hi-IN"/>
        </w:rPr>
        <w:t xml:space="preserve">at an even higher level </w:t>
      </w:r>
      <w:r w:rsidR="002D5717">
        <w:rPr>
          <w:lang w:bidi="hi-IN"/>
        </w:rPr>
        <w:t>–</w:t>
      </w:r>
      <w:r>
        <w:rPr>
          <w:lang w:bidi="hi-IN"/>
        </w:rPr>
        <w:t xml:space="preserve"> </w:t>
      </w:r>
      <w:r w:rsidR="002D5717">
        <w:rPr>
          <w:lang w:bidi="hi-IN"/>
        </w:rPr>
        <w:t>as a contribution to building a healthier, better society.</w:t>
      </w:r>
    </w:p>
    <w:p w14:paraId="38ED6E25" w14:textId="77777777" w:rsidR="006F3343" w:rsidRPr="00A1122D" w:rsidRDefault="006F3343" w:rsidP="009B6504">
      <w:pPr>
        <w:autoSpaceDE w:val="0"/>
        <w:autoSpaceDN w:val="0"/>
        <w:adjustRightInd w:val="0"/>
        <w:spacing w:line="480" w:lineRule="auto"/>
        <w:jc w:val="both"/>
        <w:rPr>
          <w:lang w:bidi="hi-IN"/>
        </w:rPr>
      </w:pPr>
    </w:p>
    <w:p w14:paraId="278EE54B" w14:textId="77777777" w:rsidR="00A1122D" w:rsidRPr="00A1122D" w:rsidRDefault="00A1122D" w:rsidP="009B6504">
      <w:pPr>
        <w:autoSpaceDE w:val="0"/>
        <w:autoSpaceDN w:val="0"/>
        <w:adjustRightInd w:val="0"/>
        <w:spacing w:line="480" w:lineRule="auto"/>
        <w:jc w:val="both"/>
        <w:rPr>
          <w:lang w:bidi="hi-IN"/>
        </w:rPr>
      </w:pPr>
      <w:r w:rsidRPr="00A1122D">
        <w:rPr>
          <w:lang w:bidi="hi-IN"/>
        </w:rPr>
        <w:t>“</w:t>
      </w:r>
      <w:r w:rsidRPr="00A1122D">
        <w:rPr>
          <w:i/>
          <w:iCs/>
          <w:lang w:bidi="hi-IN"/>
        </w:rPr>
        <w:t xml:space="preserve">I feel happy because, first, I have so many friends, so much knowledge. …I didn’t know about immunization, I didn’t know about BCG. Now, I know about that … I have more knowledge, so I share my experience with friends, give them advice …” </w:t>
      </w:r>
      <w:r w:rsidRPr="00A1122D">
        <w:rPr>
          <w:lang w:bidi="hi-IN"/>
        </w:rPr>
        <w:t>(Indonesia Case Study – Village Midwife)</w:t>
      </w:r>
    </w:p>
    <w:p w14:paraId="16C375A8" w14:textId="77777777" w:rsidR="00A1122D" w:rsidRPr="00A1122D" w:rsidRDefault="00A1122D" w:rsidP="009B6504">
      <w:pPr>
        <w:autoSpaceDE w:val="0"/>
        <w:autoSpaceDN w:val="0"/>
        <w:adjustRightInd w:val="0"/>
        <w:spacing w:line="480" w:lineRule="auto"/>
        <w:jc w:val="both"/>
        <w:rPr>
          <w:i/>
          <w:iCs/>
          <w:lang w:bidi="hi-IN"/>
        </w:rPr>
      </w:pPr>
    </w:p>
    <w:p w14:paraId="126FE212" w14:textId="2D18DCDF" w:rsidR="00A1122D" w:rsidRDefault="00A1122D" w:rsidP="009B6504">
      <w:pPr>
        <w:autoSpaceDE w:val="0"/>
        <w:autoSpaceDN w:val="0"/>
        <w:adjustRightInd w:val="0"/>
        <w:spacing w:line="480" w:lineRule="auto"/>
        <w:jc w:val="both"/>
        <w:rPr>
          <w:lang w:bidi="hi-IN"/>
        </w:rPr>
      </w:pPr>
      <w:r w:rsidRPr="00A1122D">
        <w:rPr>
          <w:i/>
          <w:iCs/>
          <w:lang w:bidi="hi-IN"/>
        </w:rPr>
        <w:t xml:space="preserve">“The work of an HSA has been my desired job ... I was interested to help the children who are being born, the expectant mothers, all the women and the under-five to have </w:t>
      </w:r>
      <w:r w:rsidR="00F54BC5">
        <w:rPr>
          <w:i/>
          <w:iCs/>
          <w:lang w:bidi="hi-IN"/>
        </w:rPr>
        <w:t xml:space="preserve">a </w:t>
      </w:r>
      <w:r w:rsidRPr="00A1122D">
        <w:rPr>
          <w:i/>
          <w:iCs/>
          <w:lang w:bidi="hi-IN"/>
        </w:rPr>
        <w:t>health</w:t>
      </w:r>
      <w:r w:rsidR="0054596A">
        <w:rPr>
          <w:i/>
          <w:iCs/>
          <w:lang w:bidi="hi-IN"/>
        </w:rPr>
        <w:t>y</w:t>
      </w:r>
      <w:r w:rsidRPr="00A1122D">
        <w:rPr>
          <w:i/>
          <w:iCs/>
          <w:lang w:bidi="hi-IN"/>
        </w:rPr>
        <w:t xml:space="preserve"> life. We have to give the services to these people</w:t>
      </w:r>
      <w:r w:rsidR="00F54BC5">
        <w:rPr>
          <w:i/>
          <w:iCs/>
          <w:lang w:bidi="hi-IN"/>
        </w:rPr>
        <w:t>,</w:t>
      </w:r>
      <w:r w:rsidRPr="00A1122D">
        <w:rPr>
          <w:i/>
          <w:iCs/>
          <w:lang w:bidi="hi-IN"/>
        </w:rPr>
        <w:t xml:space="preserve"> because they are the leaders of tomorrow</w:t>
      </w:r>
      <w:r w:rsidR="00F54BC5">
        <w:rPr>
          <w:i/>
          <w:iCs/>
          <w:lang w:bidi="hi-IN"/>
        </w:rPr>
        <w:t>.</w:t>
      </w:r>
      <w:r w:rsidRPr="00A1122D">
        <w:rPr>
          <w:i/>
          <w:iCs/>
          <w:lang w:bidi="hi-IN"/>
        </w:rPr>
        <w:t xml:space="preserve"> </w:t>
      </w:r>
      <w:r w:rsidR="00F54BC5">
        <w:rPr>
          <w:i/>
          <w:iCs/>
          <w:lang w:bidi="hi-IN"/>
        </w:rPr>
        <w:t>I</w:t>
      </w:r>
      <w:r w:rsidRPr="00A1122D">
        <w:rPr>
          <w:i/>
          <w:iCs/>
          <w:lang w:bidi="hi-IN"/>
        </w:rPr>
        <w:t>f these people cannot have better services then this country will not be good in future”</w:t>
      </w:r>
      <w:r w:rsidRPr="00A1122D">
        <w:rPr>
          <w:lang w:bidi="hi-IN"/>
        </w:rPr>
        <w:t xml:space="preserve"> (Malawi Case Study - CHW)</w:t>
      </w:r>
    </w:p>
    <w:p w14:paraId="0801A7FB" w14:textId="77777777" w:rsidR="006F3343" w:rsidRPr="00A1122D" w:rsidRDefault="006F3343" w:rsidP="009B6504">
      <w:pPr>
        <w:autoSpaceDE w:val="0"/>
        <w:autoSpaceDN w:val="0"/>
        <w:adjustRightInd w:val="0"/>
        <w:spacing w:line="480" w:lineRule="auto"/>
        <w:jc w:val="both"/>
        <w:rPr>
          <w:lang w:bidi="hi-IN"/>
        </w:rPr>
      </w:pPr>
    </w:p>
    <w:p w14:paraId="69EC3197" w14:textId="2DA14401" w:rsidR="00A1122D" w:rsidRPr="00A1122D" w:rsidRDefault="000F1C04" w:rsidP="009B6504">
      <w:pPr>
        <w:autoSpaceDE w:val="0"/>
        <w:autoSpaceDN w:val="0"/>
        <w:adjustRightInd w:val="0"/>
        <w:spacing w:line="480" w:lineRule="auto"/>
        <w:jc w:val="both"/>
        <w:rPr>
          <w:lang w:val="en-GB" w:bidi="hi-IN"/>
        </w:rPr>
      </w:pPr>
      <w:r>
        <w:rPr>
          <w:lang w:bidi="hi-IN"/>
        </w:rPr>
        <w:t>We found</w:t>
      </w:r>
      <w:r w:rsidR="00A1122D" w:rsidRPr="00A1122D">
        <w:rPr>
          <w:lang w:bidi="hi-IN"/>
        </w:rPr>
        <w:t xml:space="preserve"> that the CHWs feel able to influence operational level outcomes at work</w:t>
      </w:r>
      <w:r w:rsidR="00446A32">
        <w:rPr>
          <w:lang w:bidi="hi-IN"/>
        </w:rPr>
        <w:t>; ou</w:t>
      </w:r>
      <w:r w:rsidR="0054596A">
        <w:rPr>
          <w:lang w:bidi="hi-IN"/>
        </w:rPr>
        <w:t>tcomes related to activities like sharing knowledge, giving advi</w:t>
      </w:r>
      <w:r w:rsidR="002B338A">
        <w:rPr>
          <w:lang w:bidi="hi-IN"/>
        </w:rPr>
        <w:t>c</w:t>
      </w:r>
      <w:r w:rsidR="0054596A">
        <w:rPr>
          <w:lang w:bidi="hi-IN"/>
        </w:rPr>
        <w:t xml:space="preserve">e and helping people gain access to </w:t>
      </w:r>
      <w:r w:rsidR="00D97657">
        <w:rPr>
          <w:lang w:bidi="hi-IN"/>
        </w:rPr>
        <w:t xml:space="preserve">health </w:t>
      </w:r>
      <w:r w:rsidR="0054596A">
        <w:rPr>
          <w:lang w:bidi="hi-IN"/>
        </w:rPr>
        <w:t>services.</w:t>
      </w:r>
      <w:r w:rsidR="00A1122D" w:rsidRPr="00A1122D">
        <w:rPr>
          <w:lang w:bidi="hi-IN"/>
        </w:rPr>
        <w:t xml:space="preserve"> </w:t>
      </w:r>
      <w:r w:rsidR="0054596A">
        <w:rPr>
          <w:lang w:bidi="hi-IN"/>
        </w:rPr>
        <w:t>W</w:t>
      </w:r>
      <w:r w:rsidR="00A1122D" w:rsidRPr="00A1122D">
        <w:rPr>
          <w:lang w:bidi="hi-IN"/>
        </w:rPr>
        <w:t>e did not find any instances of them being abl</w:t>
      </w:r>
      <w:r w:rsidR="0054596A">
        <w:rPr>
          <w:lang w:bidi="hi-IN"/>
        </w:rPr>
        <w:t>e to influence strategic</w:t>
      </w:r>
      <w:r w:rsidR="00A1122D" w:rsidRPr="00A1122D">
        <w:rPr>
          <w:lang w:bidi="hi-IN"/>
        </w:rPr>
        <w:t xml:space="preserve"> level outcomes at work</w:t>
      </w:r>
      <w:r w:rsidR="0054596A">
        <w:rPr>
          <w:lang w:bidi="hi-IN"/>
        </w:rPr>
        <w:t xml:space="preserve"> –</w:t>
      </w:r>
      <w:r w:rsidR="00B01F0E">
        <w:rPr>
          <w:lang w:bidi="hi-IN"/>
        </w:rPr>
        <w:t xml:space="preserve"> for example, instances of</w:t>
      </w:r>
      <w:r w:rsidR="0054596A">
        <w:rPr>
          <w:lang w:bidi="hi-IN"/>
        </w:rPr>
        <w:t xml:space="preserve"> contributing to identifying local needs, or setting local service priorities, or influencing resource allocation and planning</w:t>
      </w:r>
      <w:r w:rsidR="00A1122D" w:rsidRPr="00A1122D">
        <w:rPr>
          <w:lang w:bidi="hi-IN"/>
        </w:rPr>
        <w:t xml:space="preserve">. This however did not hinder the </w:t>
      </w:r>
      <w:r w:rsidR="001F3A27">
        <w:rPr>
          <w:lang w:bidi="hi-IN"/>
        </w:rPr>
        <w:t>empowerment</w:t>
      </w:r>
      <w:r w:rsidR="00A1122D" w:rsidRPr="00A1122D">
        <w:rPr>
          <w:lang w:bidi="hi-IN"/>
        </w:rPr>
        <w:t xml:space="preserve"> experience of the CHWs, probably because of</w:t>
      </w:r>
      <w:r w:rsidR="002D5717">
        <w:rPr>
          <w:lang w:bidi="hi-IN"/>
        </w:rPr>
        <w:t xml:space="preserve"> both, as this </w:t>
      </w:r>
      <w:r w:rsidR="001A5CBA">
        <w:rPr>
          <w:lang w:bidi="hi-IN"/>
        </w:rPr>
        <w:t xml:space="preserve">section </w:t>
      </w:r>
      <w:r w:rsidR="002D5717">
        <w:rPr>
          <w:lang w:bidi="hi-IN"/>
        </w:rPr>
        <w:t xml:space="preserve">shows, them themselves imagining the difference </w:t>
      </w:r>
      <w:r w:rsidR="002D5717" w:rsidRPr="00DE632A">
        <w:rPr>
          <w:i/>
          <w:iCs/>
          <w:lang w:bidi="hi-IN"/>
        </w:rPr>
        <w:t>they make</w:t>
      </w:r>
      <w:r w:rsidR="002D5717">
        <w:rPr>
          <w:lang w:bidi="hi-IN"/>
        </w:rPr>
        <w:t>, and</w:t>
      </w:r>
      <w:r w:rsidR="00A1122D" w:rsidRPr="00A1122D">
        <w:rPr>
          <w:lang w:bidi="hi-IN"/>
        </w:rPr>
        <w:t xml:space="preserve"> </w:t>
      </w:r>
      <w:r w:rsidR="002D5717">
        <w:rPr>
          <w:lang w:bidi="hi-IN"/>
        </w:rPr>
        <w:t xml:space="preserve">also perhaps </w:t>
      </w:r>
      <w:r w:rsidR="00A1122D" w:rsidRPr="00A1122D">
        <w:rPr>
          <w:lang w:bidi="hi-IN"/>
        </w:rPr>
        <w:t xml:space="preserve">them accepting the </w:t>
      </w:r>
      <w:r w:rsidR="001A5CBA">
        <w:rPr>
          <w:lang w:bidi="hi-IN"/>
        </w:rPr>
        <w:t>constraints</w:t>
      </w:r>
      <w:r w:rsidR="001A5CBA" w:rsidRPr="00A1122D">
        <w:rPr>
          <w:lang w:bidi="hi-IN"/>
        </w:rPr>
        <w:t xml:space="preserve"> </w:t>
      </w:r>
      <w:r w:rsidR="002D5717">
        <w:rPr>
          <w:lang w:bidi="hi-IN"/>
        </w:rPr>
        <w:lastRenderedPageBreak/>
        <w:t xml:space="preserve">set </w:t>
      </w:r>
      <w:r w:rsidR="00A1122D" w:rsidRPr="00A1122D">
        <w:rPr>
          <w:lang w:bidi="hi-IN"/>
        </w:rPr>
        <w:t xml:space="preserve">by the </w:t>
      </w:r>
      <w:r w:rsidR="00A1122D" w:rsidRPr="00A1122D">
        <w:rPr>
          <w:lang w:val="en-GB" w:bidi="hi-IN"/>
        </w:rPr>
        <w:t>program design and implementation processes</w:t>
      </w:r>
      <w:r w:rsidR="001A5CBA">
        <w:rPr>
          <w:lang w:val="en-GB" w:bidi="hi-IN"/>
        </w:rPr>
        <w:t xml:space="preserve"> on the difference </w:t>
      </w:r>
      <w:r w:rsidR="001A5CBA" w:rsidRPr="00DE632A">
        <w:rPr>
          <w:i/>
          <w:iCs/>
          <w:lang w:val="en-GB" w:bidi="hi-IN"/>
        </w:rPr>
        <w:t>they can</w:t>
      </w:r>
      <w:r w:rsidR="001A5CBA">
        <w:rPr>
          <w:lang w:val="en-GB" w:bidi="hi-IN"/>
        </w:rPr>
        <w:t xml:space="preserve"> make</w:t>
      </w:r>
      <w:r w:rsidR="00A1122D" w:rsidRPr="00A1122D">
        <w:rPr>
          <w:lang w:val="en-GB" w:bidi="hi-IN"/>
        </w:rPr>
        <w:t>.</w:t>
      </w:r>
      <w:r w:rsidR="00A1122D" w:rsidRPr="00A1122D">
        <w:rPr>
          <w:lang w:bidi="hi-IN"/>
        </w:rPr>
        <w:t xml:space="preserve"> Thus, this sense of </w:t>
      </w:r>
      <w:r w:rsidR="001F3A27">
        <w:rPr>
          <w:lang w:bidi="hi-IN"/>
        </w:rPr>
        <w:t>empowerment</w:t>
      </w:r>
      <w:r w:rsidR="00A1122D" w:rsidRPr="00A1122D">
        <w:rPr>
          <w:lang w:bidi="hi-IN"/>
        </w:rPr>
        <w:t>, one might argue, is in many ways both because of and inspite of CHW program design and implementation processes</w:t>
      </w:r>
      <w:r w:rsidR="00CF67FA">
        <w:rPr>
          <w:lang w:bidi="hi-IN"/>
        </w:rPr>
        <w:t>. This is highlighted further in the next section which shows how the managerial imperatives constrain CHWs ability to exercise ‘choice’</w:t>
      </w:r>
      <w:r w:rsidR="00A1122D" w:rsidRPr="00A1122D">
        <w:rPr>
          <w:lang w:bidi="hi-IN"/>
        </w:rPr>
        <w:t xml:space="preserve">.  </w:t>
      </w:r>
    </w:p>
    <w:p w14:paraId="2537557C" w14:textId="77777777" w:rsidR="00A1122D" w:rsidRPr="00A1122D" w:rsidRDefault="00A1122D" w:rsidP="009B6504">
      <w:pPr>
        <w:autoSpaceDE w:val="0"/>
        <w:autoSpaceDN w:val="0"/>
        <w:adjustRightInd w:val="0"/>
        <w:spacing w:line="480" w:lineRule="auto"/>
        <w:jc w:val="both"/>
        <w:rPr>
          <w:lang w:bidi="hi-IN"/>
        </w:rPr>
      </w:pPr>
    </w:p>
    <w:p w14:paraId="66C0C8D5" w14:textId="77777777" w:rsidR="00A1122D" w:rsidRPr="00A1122D" w:rsidRDefault="00A1122D" w:rsidP="009B6504">
      <w:pPr>
        <w:autoSpaceDE w:val="0"/>
        <w:autoSpaceDN w:val="0"/>
        <w:adjustRightInd w:val="0"/>
        <w:spacing w:line="480" w:lineRule="auto"/>
        <w:rPr>
          <w:b/>
          <w:bCs/>
          <w:lang w:val="en-GB" w:bidi="hi-IN"/>
        </w:rPr>
      </w:pPr>
      <w:r w:rsidRPr="00A1122D">
        <w:rPr>
          <w:b/>
          <w:bCs/>
          <w:lang w:val="en-GB" w:bidi="hi-IN"/>
        </w:rPr>
        <w:t xml:space="preserve">The perceptions of ‘choice’ </w:t>
      </w:r>
    </w:p>
    <w:p w14:paraId="6A25ADBF" w14:textId="19C21FF0" w:rsidR="00117B42" w:rsidRDefault="00A1122D" w:rsidP="00117B42">
      <w:pPr>
        <w:autoSpaceDE w:val="0"/>
        <w:autoSpaceDN w:val="0"/>
        <w:adjustRightInd w:val="0"/>
        <w:spacing w:line="480" w:lineRule="auto"/>
        <w:jc w:val="both"/>
        <w:rPr>
          <w:rFonts w:cs="Calibri"/>
        </w:rPr>
      </w:pPr>
      <w:r w:rsidRPr="00A1122D">
        <w:rPr>
          <w:lang w:val="en-GB" w:bidi="hi-IN"/>
        </w:rPr>
        <w:t xml:space="preserve">The fourth dimension of the cognitive construct of employee </w:t>
      </w:r>
      <w:r w:rsidR="001F3A27">
        <w:rPr>
          <w:lang w:val="en-GB" w:bidi="hi-IN"/>
        </w:rPr>
        <w:t>empowerment</w:t>
      </w:r>
      <w:r w:rsidRPr="00A1122D">
        <w:rPr>
          <w:lang w:val="en-GB" w:bidi="hi-IN"/>
        </w:rPr>
        <w:t xml:space="preserve"> is ‘</w:t>
      </w:r>
      <w:r w:rsidR="000F1C04">
        <w:rPr>
          <w:lang w:val="en-GB" w:bidi="hi-IN"/>
        </w:rPr>
        <w:t>c</w:t>
      </w:r>
      <w:r w:rsidRPr="00A1122D">
        <w:rPr>
          <w:lang w:val="en-GB" w:bidi="hi-IN"/>
        </w:rPr>
        <w:t>hoice’. It refers to perceptions of autonomy in the initiation and continuation of work behaviours and processes; it refers to whether a person perceives his/her behaviour as being self-determined. The point being that perceiving oneself as the locus of causality for</w:t>
      </w:r>
      <w:r w:rsidR="00D03E2F">
        <w:rPr>
          <w:lang w:val="en-GB" w:bidi="hi-IN"/>
        </w:rPr>
        <w:t xml:space="preserve"> one’s behaviour (as the originator,</w:t>
      </w:r>
      <w:r w:rsidRPr="00A1122D">
        <w:rPr>
          <w:lang w:val="en-GB" w:bidi="hi-IN"/>
        </w:rPr>
        <w:t xml:space="preserve"> rather than the pawn) is essential for intrinsic motivation (</w:t>
      </w:r>
      <w:r w:rsidR="009D7F52">
        <w:rPr>
          <w:lang w:val="en-GB" w:bidi="hi-IN"/>
        </w:rPr>
        <w:t>1</w:t>
      </w:r>
      <w:r w:rsidR="00C740B2">
        <w:rPr>
          <w:lang w:val="en-GB" w:bidi="hi-IN"/>
        </w:rPr>
        <w:t>9</w:t>
      </w:r>
      <w:r w:rsidRPr="00A1122D">
        <w:rPr>
          <w:lang w:val="en-GB" w:bidi="hi-IN"/>
        </w:rPr>
        <w:t>), and thereby for feeling empowered.</w:t>
      </w:r>
      <w:r w:rsidR="00117B42">
        <w:rPr>
          <w:lang w:val="en-GB" w:bidi="hi-IN"/>
        </w:rPr>
        <w:t xml:space="preserve"> </w:t>
      </w:r>
      <w:r w:rsidR="00117B42" w:rsidRPr="00A1122D">
        <w:rPr>
          <w:lang w:bidi="hi-IN"/>
        </w:rPr>
        <w:t xml:space="preserve">CHWs consistently </w:t>
      </w:r>
      <w:r w:rsidR="007B419C">
        <w:rPr>
          <w:lang w:bidi="hi-IN"/>
        </w:rPr>
        <w:t>express feelings of</w:t>
      </w:r>
      <w:r w:rsidR="00117B42" w:rsidRPr="00A1122D">
        <w:rPr>
          <w:lang w:bidi="hi-IN"/>
        </w:rPr>
        <w:t xml:space="preserve"> helplessness, feelings of being undervalued and </w:t>
      </w:r>
      <w:r w:rsidR="007B419C">
        <w:rPr>
          <w:lang w:bidi="hi-IN"/>
        </w:rPr>
        <w:t>not having</w:t>
      </w:r>
      <w:r w:rsidR="00117B42" w:rsidRPr="00A1122D">
        <w:rPr>
          <w:lang w:bidi="hi-IN"/>
        </w:rPr>
        <w:t xml:space="preserve"> control in their work sphere. </w:t>
      </w:r>
      <w:r w:rsidR="00117B42" w:rsidRPr="00A1122D">
        <w:rPr>
          <w:rFonts w:cs="Calibri"/>
        </w:rPr>
        <w:t>This paucity of control and its erosive effe</w:t>
      </w:r>
      <w:r w:rsidR="00117B42">
        <w:rPr>
          <w:rFonts w:cs="Calibri"/>
        </w:rPr>
        <w:t>cts on their sense of self-worth and self-esteem</w:t>
      </w:r>
      <w:r w:rsidR="00117B42" w:rsidRPr="00A1122D">
        <w:rPr>
          <w:rFonts w:cs="Calibri"/>
        </w:rPr>
        <w:t xml:space="preserve"> is a recurring underlying theme</w:t>
      </w:r>
      <w:r w:rsidR="00117B42">
        <w:rPr>
          <w:rFonts w:cs="Calibri"/>
        </w:rPr>
        <w:t>;</w:t>
      </w:r>
      <w:r w:rsidR="00117B42" w:rsidRPr="00A1122D">
        <w:rPr>
          <w:rFonts w:cs="Calibri"/>
        </w:rPr>
        <w:t xml:space="preserve"> although, and expectedly, there are variations depending upon the program designs and the decision space it offers to CHWs. </w:t>
      </w:r>
      <w:r w:rsidR="00117B42">
        <w:rPr>
          <w:lang w:bidi="hi-IN"/>
        </w:rPr>
        <w:t>The findings below illustrate how</w:t>
      </w:r>
      <w:r w:rsidR="00117B42" w:rsidRPr="00A1122D">
        <w:rPr>
          <w:lang w:bidi="hi-IN"/>
        </w:rPr>
        <w:t xml:space="preserve"> </w:t>
      </w:r>
      <w:r w:rsidR="00117B42">
        <w:rPr>
          <w:lang w:bidi="hi-IN"/>
        </w:rPr>
        <w:t>programs by not providing</w:t>
      </w:r>
      <w:r w:rsidR="00117B42" w:rsidRPr="00A1122D">
        <w:rPr>
          <w:lang w:bidi="hi-IN"/>
        </w:rPr>
        <w:t xml:space="preserve"> good and timely support and resources</w:t>
      </w:r>
      <w:r w:rsidR="00117B42">
        <w:rPr>
          <w:lang w:bidi="hi-IN"/>
        </w:rPr>
        <w:t xml:space="preserve"> (not necessarily deliberately)</w:t>
      </w:r>
      <w:r w:rsidR="00117B42" w:rsidRPr="00A1122D">
        <w:rPr>
          <w:lang w:bidi="hi-IN"/>
        </w:rPr>
        <w:t xml:space="preserve"> and authority</w:t>
      </w:r>
      <w:r w:rsidR="00117B42">
        <w:rPr>
          <w:lang w:bidi="hi-IN"/>
        </w:rPr>
        <w:t xml:space="preserve"> to CHWs, undermine their empowerment experience. </w:t>
      </w:r>
    </w:p>
    <w:p w14:paraId="41376113" w14:textId="77777777" w:rsidR="00117B42" w:rsidRDefault="00117B42" w:rsidP="00117B42">
      <w:pPr>
        <w:autoSpaceDE w:val="0"/>
        <w:autoSpaceDN w:val="0"/>
        <w:adjustRightInd w:val="0"/>
        <w:spacing w:line="480" w:lineRule="auto"/>
        <w:jc w:val="both"/>
        <w:rPr>
          <w:rFonts w:cs="Calibri"/>
        </w:rPr>
      </w:pPr>
    </w:p>
    <w:p w14:paraId="0CC2C640" w14:textId="0CE0ECAC" w:rsidR="00A1122D" w:rsidRPr="00A1122D" w:rsidRDefault="00A1122D" w:rsidP="009B6504">
      <w:pPr>
        <w:autoSpaceDE w:val="0"/>
        <w:autoSpaceDN w:val="0"/>
        <w:adjustRightInd w:val="0"/>
        <w:spacing w:line="480" w:lineRule="auto"/>
        <w:jc w:val="both"/>
        <w:rPr>
          <w:rFonts w:cs="Calibri"/>
          <w:lang w:val="en-GB"/>
        </w:rPr>
      </w:pPr>
      <w:r w:rsidRPr="00A1122D">
        <w:rPr>
          <w:rFonts w:cs="Calibri"/>
        </w:rPr>
        <w:t xml:space="preserve">For instance, </w:t>
      </w:r>
      <w:r w:rsidRPr="00A1122D">
        <w:rPr>
          <w:rFonts w:cs="Calibri"/>
          <w:lang w:val="en-GB"/>
        </w:rPr>
        <w:t xml:space="preserve">CHWs </w:t>
      </w:r>
      <w:r w:rsidR="001A5CBA">
        <w:rPr>
          <w:rFonts w:cs="Calibri"/>
          <w:lang w:val="en-GB"/>
        </w:rPr>
        <w:t xml:space="preserve">in Indonesia </w:t>
      </w:r>
      <w:r w:rsidRPr="00A1122D">
        <w:rPr>
          <w:rFonts w:cs="Calibri"/>
          <w:lang w:val="en-GB"/>
        </w:rPr>
        <w:t xml:space="preserve">expressed feelings of powerlessness and </w:t>
      </w:r>
      <w:r w:rsidR="001A5CBA">
        <w:rPr>
          <w:rFonts w:cs="Calibri"/>
          <w:lang w:val="en-GB"/>
        </w:rPr>
        <w:t xml:space="preserve">helplessness </w:t>
      </w:r>
      <w:r w:rsidRPr="00A1122D">
        <w:rPr>
          <w:rFonts w:cs="Calibri"/>
          <w:lang w:val="en-GB"/>
        </w:rPr>
        <w:t xml:space="preserve">about </w:t>
      </w:r>
      <w:r w:rsidR="001A5CBA">
        <w:rPr>
          <w:rFonts w:cs="Calibri"/>
          <w:lang w:val="en-GB"/>
        </w:rPr>
        <w:t xml:space="preserve">program implementation </w:t>
      </w:r>
      <w:r w:rsidR="00FD1A3F">
        <w:rPr>
          <w:rFonts w:cs="Calibri"/>
          <w:lang w:val="en-GB"/>
        </w:rPr>
        <w:t xml:space="preserve">processes </w:t>
      </w:r>
      <w:r w:rsidRPr="00A1122D">
        <w:rPr>
          <w:rFonts w:cs="Calibri"/>
          <w:lang w:val="en-GB"/>
        </w:rPr>
        <w:t xml:space="preserve"> that hinder</w:t>
      </w:r>
      <w:r w:rsidR="00117B42">
        <w:rPr>
          <w:rFonts w:cs="Calibri"/>
          <w:lang w:val="en-GB"/>
        </w:rPr>
        <w:t>ed</w:t>
      </w:r>
      <w:r w:rsidRPr="00A1122D">
        <w:rPr>
          <w:rFonts w:cs="Calibri"/>
          <w:lang w:val="en-GB"/>
        </w:rPr>
        <w:t xml:space="preserve"> the</w:t>
      </w:r>
      <w:r w:rsidR="000F1C04">
        <w:rPr>
          <w:rFonts w:cs="Calibri"/>
          <w:lang w:val="en-GB"/>
        </w:rPr>
        <w:t>ir</w:t>
      </w:r>
      <w:r w:rsidRPr="00A1122D">
        <w:rPr>
          <w:rFonts w:cs="Calibri"/>
          <w:lang w:val="en-GB"/>
        </w:rPr>
        <w:t xml:space="preserve"> </w:t>
      </w:r>
      <w:r w:rsidR="00726721">
        <w:rPr>
          <w:rFonts w:cs="Calibri"/>
          <w:lang w:val="en-GB"/>
        </w:rPr>
        <w:t>work</w:t>
      </w:r>
      <w:r w:rsidR="006F3343">
        <w:rPr>
          <w:rFonts w:cs="Calibri"/>
          <w:lang w:val="en-GB"/>
        </w:rPr>
        <w:t>.</w:t>
      </w:r>
    </w:p>
    <w:p w14:paraId="273C4338" w14:textId="77777777" w:rsidR="00A1122D" w:rsidRPr="00A1122D" w:rsidRDefault="00A1122D" w:rsidP="009B6504">
      <w:pPr>
        <w:autoSpaceDE w:val="0"/>
        <w:autoSpaceDN w:val="0"/>
        <w:adjustRightInd w:val="0"/>
        <w:spacing w:line="480" w:lineRule="auto"/>
        <w:jc w:val="both"/>
        <w:rPr>
          <w:i/>
          <w:iCs/>
          <w:lang w:bidi="hi-IN"/>
        </w:rPr>
      </w:pPr>
    </w:p>
    <w:p w14:paraId="4DEB7723" w14:textId="70957A88" w:rsidR="00A1122D" w:rsidRPr="00A1122D" w:rsidRDefault="00A1122D" w:rsidP="009B6504">
      <w:pPr>
        <w:autoSpaceDE w:val="0"/>
        <w:autoSpaceDN w:val="0"/>
        <w:adjustRightInd w:val="0"/>
        <w:spacing w:line="480" w:lineRule="auto"/>
        <w:jc w:val="both"/>
        <w:rPr>
          <w:lang w:bidi="hi-IN"/>
        </w:rPr>
      </w:pPr>
      <w:r w:rsidRPr="00A1122D">
        <w:rPr>
          <w:i/>
          <w:iCs/>
          <w:lang w:bidi="hi-IN"/>
        </w:rPr>
        <w:t xml:space="preserve">“When I participated in the asphyxia training, I wanted to disseminate it to village midwives, but we don’t have </w:t>
      </w:r>
      <w:r w:rsidR="000F1C04">
        <w:rPr>
          <w:i/>
          <w:iCs/>
          <w:lang w:bidi="hi-IN"/>
        </w:rPr>
        <w:t>A</w:t>
      </w:r>
      <w:r w:rsidRPr="00A1122D">
        <w:rPr>
          <w:i/>
          <w:iCs/>
          <w:lang w:bidi="hi-IN"/>
        </w:rPr>
        <w:t>mbu</w:t>
      </w:r>
      <w:r w:rsidR="000F1C04">
        <w:rPr>
          <w:i/>
          <w:iCs/>
          <w:lang w:bidi="hi-IN"/>
        </w:rPr>
        <w:t xml:space="preserve"> </w:t>
      </w:r>
      <w:r w:rsidRPr="00A1122D">
        <w:rPr>
          <w:i/>
          <w:iCs/>
          <w:lang w:bidi="hi-IN"/>
        </w:rPr>
        <w:t xml:space="preserve">bag [breathing aids] up until now. So when I </w:t>
      </w:r>
      <w:r w:rsidRPr="00A1122D">
        <w:rPr>
          <w:i/>
          <w:iCs/>
          <w:lang w:bidi="hi-IN"/>
        </w:rPr>
        <w:lastRenderedPageBreak/>
        <w:t>wanted to disseminate it, I didn’t have any related materials, which made it useless</w:t>
      </w:r>
      <w:r w:rsidRPr="00A1122D">
        <w:rPr>
          <w:lang w:bidi="hi-IN"/>
        </w:rPr>
        <w:t>.” (Indonesia</w:t>
      </w:r>
      <w:r w:rsidRPr="00A1122D">
        <w:rPr>
          <w:lang w:val="id-ID" w:bidi="hi-IN"/>
        </w:rPr>
        <w:t xml:space="preserve"> Case Study</w:t>
      </w:r>
      <w:r w:rsidRPr="00A1122D">
        <w:rPr>
          <w:lang w:bidi="hi-IN"/>
        </w:rPr>
        <w:t xml:space="preserve"> – Village Midwife)</w:t>
      </w:r>
    </w:p>
    <w:p w14:paraId="5D46519B" w14:textId="77777777" w:rsidR="00A1122D" w:rsidRPr="00A1122D" w:rsidRDefault="00A1122D" w:rsidP="009B6504">
      <w:pPr>
        <w:autoSpaceDE w:val="0"/>
        <w:autoSpaceDN w:val="0"/>
        <w:adjustRightInd w:val="0"/>
        <w:spacing w:line="480" w:lineRule="auto"/>
        <w:jc w:val="both"/>
        <w:rPr>
          <w:lang w:bidi="hi-IN"/>
        </w:rPr>
      </w:pPr>
    </w:p>
    <w:p w14:paraId="6DB5839E" w14:textId="04CF3F5E" w:rsidR="00A1122D" w:rsidRDefault="00A1122D" w:rsidP="009B6504">
      <w:pPr>
        <w:autoSpaceDE w:val="0"/>
        <w:autoSpaceDN w:val="0"/>
        <w:adjustRightInd w:val="0"/>
        <w:spacing w:line="480" w:lineRule="auto"/>
        <w:jc w:val="both"/>
      </w:pPr>
      <w:r w:rsidRPr="00A1122D">
        <w:t>"</w:t>
      </w:r>
      <w:r w:rsidRPr="00A1122D">
        <w:rPr>
          <w:i/>
        </w:rPr>
        <w:t>Many pregnant mothers like to come to Posyandu because they want have their blood pressure measured or they want to listen to baby's heart rate. They really like these, but not all village midwives have these instrument. Or some of them have but then broken and cannot immediately replaced</w:t>
      </w:r>
      <w:r w:rsidRPr="00A1122D">
        <w:t>" (</w:t>
      </w:r>
      <w:r w:rsidR="00415EF7">
        <w:t>Indonesia Case Study – Community Midwife</w:t>
      </w:r>
      <w:r w:rsidRPr="00A1122D">
        <w:t>)</w:t>
      </w:r>
    </w:p>
    <w:p w14:paraId="24014B9F" w14:textId="77777777" w:rsidR="006F3343" w:rsidRPr="00A1122D" w:rsidRDefault="006F3343" w:rsidP="009B6504">
      <w:pPr>
        <w:autoSpaceDE w:val="0"/>
        <w:autoSpaceDN w:val="0"/>
        <w:adjustRightInd w:val="0"/>
        <w:spacing w:line="480" w:lineRule="auto"/>
        <w:jc w:val="both"/>
        <w:rPr>
          <w:lang w:bidi="hi-IN"/>
        </w:rPr>
      </w:pPr>
    </w:p>
    <w:p w14:paraId="1AD62F26" w14:textId="3E10C3B7" w:rsidR="00FD1A3F" w:rsidRDefault="001A5CBA" w:rsidP="009B6504">
      <w:pPr>
        <w:autoSpaceDE w:val="0"/>
        <w:autoSpaceDN w:val="0"/>
        <w:adjustRightInd w:val="0"/>
        <w:spacing w:line="480" w:lineRule="auto"/>
        <w:jc w:val="both"/>
        <w:rPr>
          <w:lang w:val="en-GB" w:bidi="hi-IN"/>
        </w:rPr>
      </w:pPr>
      <w:r>
        <w:rPr>
          <w:lang w:val="en-GB" w:bidi="hi-IN"/>
        </w:rPr>
        <w:t>Clearly flawed program design features, for example inadequate and ru</w:t>
      </w:r>
      <w:r w:rsidR="00726721">
        <w:rPr>
          <w:lang w:val="en-GB" w:bidi="hi-IN"/>
        </w:rPr>
        <w:t>shed training</w:t>
      </w:r>
      <w:r w:rsidR="006F3343">
        <w:rPr>
          <w:lang w:val="en-GB" w:bidi="hi-IN"/>
        </w:rPr>
        <w:t>s</w:t>
      </w:r>
      <w:r w:rsidR="00726721">
        <w:rPr>
          <w:lang w:val="en-GB" w:bidi="hi-IN"/>
        </w:rPr>
        <w:t xml:space="preserve"> which did</w:t>
      </w:r>
      <w:r>
        <w:rPr>
          <w:lang w:val="en-GB" w:bidi="hi-IN"/>
        </w:rPr>
        <w:t xml:space="preserve"> not take </w:t>
      </w:r>
      <w:r w:rsidR="006F3343">
        <w:rPr>
          <w:lang w:val="en-GB" w:bidi="hi-IN"/>
        </w:rPr>
        <w:t xml:space="preserve">into account </w:t>
      </w:r>
      <w:r>
        <w:rPr>
          <w:lang w:val="en-GB" w:bidi="hi-IN"/>
        </w:rPr>
        <w:t xml:space="preserve">the learning needs of the CHWs in Malawi, accentuated </w:t>
      </w:r>
      <w:r w:rsidR="00117B42">
        <w:rPr>
          <w:lang w:val="en-GB" w:bidi="hi-IN"/>
        </w:rPr>
        <w:t>their</w:t>
      </w:r>
      <w:r w:rsidR="00726721">
        <w:rPr>
          <w:lang w:val="en-GB" w:bidi="hi-IN"/>
        </w:rPr>
        <w:t xml:space="preserve"> sense of inadequacy, were</w:t>
      </w:r>
      <w:r w:rsidR="00FD1A3F">
        <w:rPr>
          <w:lang w:val="en-GB" w:bidi="hi-IN"/>
        </w:rPr>
        <w:t xml:space="preserve"> a source of frustration, and clearly disempowering. </w:t>
      </w:r>
    </w:p>
    <w:p w14:paraId="67873C35" w14:textId="25DB7F40" w:rsidR="00A1122D" w:rsidRPr="00A1122D" w:rsidRDefault="001A5CBA" w:rsidP="009B6504">
      <w:pPr>
        <w:autoSpaceDE w:val="0"/>
        <w:autoSpaceDN w:val="0"/>
        <w:adjustRightInd w:val="0"/>
        <w:spacing w:line="480" w:lineRule="auto"/>
        <w:jc w:val="both"/>
        <w:rPr>
          <w:lang w:val="en-GB" w:bidi="hi-IN"/>
        </w:rPr>
      </w:pPr>
      <w:r>
        <w:rPr>
          <w:lang w:val="en-GB" w:bidi="hi-IN"/>
        </w:rPr>
        <w:t xml:space="preserve">  </w:t>
      </w:r>
    </w:p>
    <w:p w14:paraId="4A1DA82D" w14:textId="23A93DF4" w:rsidR="00A1122D" w:rsidRPr="00A1122D" w:rsidRDefault="00A1122D" w:rsidP="009B6504">
      <w:pPr>
        <w:autoSpaceDE w:val="0"/>
        <w:autoSpaceDN w:val="0"/>
        <w:adjustRightInd w:val="0"/>
        <w:spacing w:line="480" w:lineRule="auto"/>
        <w:jc w:val="both"/>
        <w:rPr>
          <w:rFonts w:cs="Calibri"/>
          <w:i/>
          <w:iCs/>
        </w:rPr>
      </w:pPr>
      <w:r w:rsidRPr="00A1122D">
        <w:rPr>
          <w:rFonts w:cs="Calibri"/>
          <w:i/>
          <w:iCs/>
        </w:rPr>
        <w:t>“The other thing is about trainings, things that you are supposed to learn for two or three weeks they teach us for three days only, so it becomes very difficult to apply them when we are in the community we fail as we don’t know where to start from.” (</w:t>
      </w:r>
      <w:r w:rsidRPr="00A1122D">
        <w:rPr>
          <w:rFonts w:cs="Calibri"/>
          <w:iCs/>
        </w:rPr>
        <w:t>Malawi</w:t>
      </w:r>
      <w:r w:rsidRPr="00A1122D">
        <w:rPr>
          <w:rFonts w:cs="Calibri"/>
          <w:i/>
          <w:iCs/>
          <w:lang w:val="id-ID"/>
        </w:rPr>
        <w:t xml:space="preserve"> </w:t>
      </w:r>
      <w:r w:rsidRPr="00A1122D">
        <w:rPr>
          <w:rFonts w:cs="Calibri"/>
          <w:iCs/>
          <w:lang w:val="id-ID"/>
        </w:rPr>
        <w:t>Case Study</w:t>
      </w:r>
      <w:r w:rsidRPr="00A1122D">
        <w:rPr>
          <w:rFonts w:cs="Calibri"/>
          <w:i/>
          <w:iCs/>
        </w:rPr>
        <w:t xml:space="preserve"> </w:t>
      </w:r>
      <w:r w:rsidR="00415EF7">
        <w:rPr>
          <w:rFonts w:cs="Calibri"/>
          <w:i/>
          <w:iCs/>
        </w:rPr>
        <w:t>–</w:t>
      </w:r>
      <w:r w:rsidRPr="00A1122D">
        <w:rPr>
          <w:rFonts w:cs="Calibri"/>
          <w:i/>
          <w:iCs/>
        </w:rPr>
        <w:t xml:space="preserve"> </w:t>
      </w:r>
      <w:r w:rsidR="00415EF7">
        <w:rPr>
          <w:rFonts w:cs="Calibri"/>
        </w:rPr>
        <w:t>Health Surveillance Assistant</w:t>
      </w:r>
      <w:r w:rsidRPr="00A1122D">
        <w:rPr>
          <w:rFonts w:cs="Calibri"/>
          <w:i/>
          <w:iCs/>
        </w:rPr>
        <w:t>)</w:t>
      </w:r>
    </w:p>
    <w:p w14:paraId="6EC9A7E7" w14:textId="77777777" w:rsidR="00A1122D" w:rsidRPr="00A1122D" w:rsidRDefault="00A1122D" w:rsidP="009B6504">
      <w:pPr>
        <w:autoSpaceDE w:val="0"/>
        <w:autoSpaceDN w:val="0"/>
        <w:adjustRightInd w:val="0"/>
        <w:spacing w:line="480" w:lineRule="auto"/>
        <w:jc w:val="both"/>
        <w:rPr>
          <w:rFonts w:cs="Calibri"/>
          <w:i/>
          <w:iCs/>
        </w:rPr>
      </w:pPr>
    </w:p>
    <w:p w14:paraId="493B35CA" w14:textId="2BE4410D" w:rsidR="00A1122D" w:rsidRDefault="00047442" w:rsidP="009B6504">
      <w:pPr>
        <w:autoSpaceDE w:val="0"/>
        <w:autoSpaceDN w:val="0"/>
        <w:adjustRightInd w:val="0"/>
        <w:spacing w:line="480" w:lineRule="auto"/>
        <w:jc w:val="both"/>
        <w:rPr>
          <w:rFonts w:cs="Calibri"/>
          <w:i/>
          <w:iCs/>
        </w:rPr>
      </w:pPr>
      <w:r>
        <w:rPr>
          <w:rFonts w:cs="Calibri"/>
          <w:iCs/>
        </w:rPr>
        <w:t>M</w:t>
      </w:r>
      <w:r w:rsidR="00FD1A3F">
        <w:rPr>
          <w:rFonts w:cs="Calibri"/>
          <w:iCs/>
        </w:rPr>
        <w:t xml:space="preserve">anagement failures around the timely payment of allowances, particularly when compared to how well things worked for other cadres, were a source of </w:t>
      </w:r>
      <w:r w:rsidR="00FD1A3F" w:rsidRPr="00FD1A3F">
        <w:rPr>
          <w:rFonts w:cs="Calibri"/>
          <w:iCs/>
        </w:rPr>
        <w:t xml:space="preserve">feelings of being undervalued and </w:t>
      </w:r>
      <w:r w:rsidR="00FD1A3F">
        <w:rPr>
          <w:rFonts w:cs="Calibri"/>
          <w:iCs/>
        </w:rPr>
        <w:t>of not having</w:t>
      </w:r>
      <w:r w:rsidR="00FD1A3F" w:rsidRPr="00FD1A3F">
        <w:rPr>
          <w:rFonts w:cs="Calibri"/>
          <w:iCs/>
        </w:rPr>
        <w:t xml:space="preserve"> control in their work sphere</w:t>
      </w:r>
      <w:r w:rsidR="00FD1A3F">
        <w:rPr>
          <w:rFonts w:cs="Calibri"/>
          <w:iCs/>
        </w:rPr>
        <w:t xml:space="preserve">; </w:t>
      </w:r>
      <w:r w:rsidR="00A1122D" w:rsidRPr="00A1122D">
        <w:rPr>
          <w:rFonts w:cs="Calibri"/>
          <w:iCs/>
        </w:rPr>
        <w:t xml:space="preserve">a CHW </w:t>
      </w:r>
      <w:r>
        <w:rPr>
          <w:rFonts w:cs="Calibri"/>
          <w:iCs/>
        </w:rPr>
        <w:t xml:space="preserve">in Mozambique </w:t>
      </w:r>
      <w:r w:rsidR="00A1122D" w:rsidRPr="00A1122D">
        <w:rPr>
          <w:rFonts w:cs="Calibri"/>
          <w:iCs/>
        </w:rPr>
        <w:t>tellingly expressed his frustrations</w:t>
      </w:r>
      <w:r w:rsidR="005F285F">
        <w:rPr>
          <w:rFonts w:cs="Calibri"/>
          <w:iCs/>
        </w:rPr>
        <w:t>:</w:t>
      </w:r>
      <w:r w:rsidR="00A1122D" w:rsidRPr="00A1122D">
        <w:rPr>
          <w:rFonts w:cs="Calibri"/>
          <w:i/>
          <w:iCs/>
        </w:rPr>
        <w:t xml:space="preserve">  </w:t>
      </w:r>
    </w:p>
    <w:p w14:paraId="5A0ED921" w14:textId="77777777" w:rsidR="00117B42" w:rsidRPr="00A1122D" w:rsidRDefault="00117B42" w:rsidP="009B6504">
      <w:pPr>
        <w:autoSpaceDE w:val="0"/>
        <w:autoSpaceDN w:val="0"/>
        <w:adjustRightInd w:val="0"/>
        <w:spacing w:line="480" w:lineRule="auto"/>
        <w:jc w:val="both"/>
        <w:rPr>
          <w:rFonts w:cs="Calibri"/>
          <w:i/>
          <w:iCs/>
        </w:rPr>
      </w:pPr>
    </w:p>
    <w:p w14:paraId="7F8B5D5F" w14:textId="3083C025" w:rsidR="00A1122D" w:rsidRPr="00415EF7" w:rsidRDefault="00A1122D" w:rsidP="009B6504">
      <w:pPr>
        <w:autoSpaceDE w:val="0"/>
        <w:autoSpaceDN w:val="0"/>
        <w:adjustRightInd w:val="0"/>
        <w:spacing w:line="480" w:lineRule="auto"/>
        <w:jc w:val="both"/>
        <w:rPr>
          <w:rFonts w:cs="Calibri"/>
          <w:iCs/>
        </w:rPr>
      </w:pPr>
      <w:r w:rsidRPr="00A1122D">
        <w:rPr>
          <w:rFonts w:cs="Calibri"/>
          <w:i/>
          <w:iCs/>
        </w:rPr>
        <w:t xml:space="preserve">“When I was chosen as APE they spoke about the monthly allowance and I hoped that allowance was monthly … this is my 4th month and I have not received … is just not enough for anything  .. I have my wife, </w:t>
      </w:r>
      <w:r w:rsidR="005F285F">
        <w:rPr>
          <w:rFonts w:cs="Calibri"/>
          <w:i/>
          <w:iCs/>
        </w:rPr>
        <w:t>two</w:t>
      </w:r>
      <w:r w:rsidRPr="00A1122D">
        <w:rPr>
          <w:rFonts w:cs="Calibri"/>
          <w:i/>
          <w:iCs/>
        </w:rPr>
        <w:t xml:space="preserve"> sons and my mother is elderly .. and I have to support my family” (</w:t>
      </w:r>
      <w:r w:rsidRPr="00415EF7">
        <w:rPr>
          <w:rFonts w:cs="Calibri"/>
          <w:iCs/>
        </w:rPr>
        <w:t>Mozambique</w:t>
      </w:r>
      <w:r w:rsidRPr="00415EF7">
        <w:rPr>
          <w:rFonts w:cs="Calibri"/>
          <w:iCs/>
          <w:lang w:val="id-ID"/>
        </w:rPr>
        <w:t xml:space="preserve"> Case Study</w:t>
      </w:r>
      <w:r w:rsidRPr="00415EF7">
        <w:rPr>
          <w:rFonts w:cs="Calibri"/>
          <w:iCs/>
        </w:rPr>
        <w:t xml:space="preserve"> – APE) </w:t>
      </w:r>
    </w:p>
    <w:p w14:paraId="696076C8" w14:textId="77777777" w:rsidR="00A1122D" w:rsidRDefault="00A1122D" w:rsidP="009B6504">
      <w:pPr>
        <w:autoSpaceDE w:val="0"/>
        <w:autoSpaceDN w:val="0"/>
        <w:adjustRightInd w:val="0"/>
        <w:spacing w:line="480" w:lineRule="auto"/>
        <w:jc w:val="both"/>
        <w:rPr>
          <w:rFonts w:cs="Calibri"/>
          <w:i/>
          <w:iCs/>
        </w:rPr>
      </w:pPr>
    </w:p>
    <w:p w14:paraId="59C5CC61" w14:textId="77777777" w:rsidR="006F3343" w:rsidRDefault="00117B42" w:rsidP="009B6504">
      <w:pPr>
        <w:autoSpaceDE w:val="0"/>
        <w:autoSpaceDN w:val="0"/>
        <w:adjustRightInd w:val="0"/>
        <w:spacing w:line="480" w:lineRule="auto"/>
        <w:jc w:val="both"/>
        <w:rPr>
          <w:rFonts w:cs="Calibri"/>
          <w:i/>
          <w:iCs/>
        </w:rPr>
      </w:pPr>
      <w:r>
        <w:rPr>
          <w:rFonts w:cs="Calibri"/>
          <w:iCs/>
        </w:rPr>
        <w:t>Similarly, m</w:t>
      </w:r>
      <w:r w:rsidR="00047442">
        <w:rPr>
          <w:rFonts w:cs="Calibri"/>
          <w:iCs/>
        </w:rPr>
        <w:t>anagement apathy around allowances for CHWs</w:t>
      </w:r>
      <w:r w:rsidR="00726721">
        <w:rPr>
          <w:rFonts w:cs="Calibri"/>
          <w:iCs/>
        </w:rPr>
        <w:t>, as the CHW from Kenya points out,</w:t>
      </w:r>
      <w:r w:rsidR="00047442">
        <w:rPr>
          <w:rFonts w:cs="Calibri"/>
          <w:iCs/>
        </w:rPr>
        <w:t xml:space="preserve"> </w:t>
      </w:r>
      <w:r w:rsidR="00726721">
        <w:rPr>
          <w:rFonts w:cs="Calibri"/>
          <w:iCs/>
        </w:rPr>
        <w:t>are</w:t>
      </w:r>
      <w:r>
        <w:rPr>
          <w:rFonts w:cs="Calibri"/>
          <w:iCs/>
        </w:rPr>
        <w:t xml:space="preserve"> also</w:t>
      </w:r>
      <w:r w:rsidR="00047442">
        <w:rPr>
          <w:rFonts w:cs="Calibri"/>
          <w:iCs/>
        </w:rPr>
        <w:t xml:space="preserve"> a source of </w:t>
      </w:r>
      <w:r w:rsidR="00047442" w:rsidRPr="00FD1A3F">
        <w:rPr>
          <w:rFonts w:cs="Calibri"/>
          <w:iCs/>
        </w:rPr>
        <w:t xml:space="preserve">feelings of being undervalued and </w:t>
      </w:r>
      <w:r w:rsidR="00047442">
        <w:rPr>
          <w:rFonts w:cs="Calibri"/>
          <w:iCs/>
        </w:rPr>
        <w:t>of not having</w:t>
      </w:r>
      <w:r w:rsidR="00726721">
        <w:rPr>
          <w:rFonts w:cs="Calibri"/>
          <w:iCs/>
        </w:rPr>
        <w:t xml:space="preserve"> control over one’s</w:t>
      </w:r>
      <w:r w:rsidR="00047442" w:rsidRPr="00FD1A3F">
        <w:rPr>
          <w:rFonts w:cs="Calibri"/>
          <w:iCs/>
        </w:rPr>
        <w:t xml:space="preserve"> work sphere</w:t>
      </w:r>
      <w:r w:rsidR="00726721">
        <w:rPr>
          <w:rFonts w:cs="Calibri"/>
          <w:iCs/>
        </w:rPr>
        <w:t>.</w:t>
      </w:r>
      <w:r w:rsidR="00047442" w:rsidRPr="00A1122D">
        <w:rPr>
          <w:rFonts w:cs="Calibri"/>
          <w:i/>
          <w:iCs/>
        </w:rPr>
        <w:t xml:space="preserve"> </w:t>
      </w:r>
    </w:p>
    <w:p w14:paraId="5CFEEE4B" w14:textId="143E927D" w:rsidR="00047442" w:rsidRDefault="00047442" w:rsidP="009B6504">
      <w:pPr>
        <w:autoSpaceDE w:val="0"/>
        <w:autoSpaceDN w:val="0"/>
        <w:adjustRightInd w:val="0"/>
        <w:spacing w:line="480" w:lineRule="auto"/>
        <w:jc w:val="both"/>
        <w:rPr>
          <w:rFonts w:cs="Calibri"/>
          <w:i/>
          <w:iCs/>
        </w:rPr>
      </w:pPr>
      <w:r w:rsidRPr="00A1122D">
        <w:rPr>
          <w:rFonts w:cs="Calibri"/>
          <w:i/>
          <w:iCs/>
        </w:rPr>
        <w:t xml:space="preserve"> </w:t>
      </w:r>
    </w:p>
    <w:p w14:paraId="53D7E9A2" w14:textId="335A5F82" w:rsidR="00047442" w:rsidRDefault="006B1188" w:rsidP="009B6504">
      <w:pPr>
        <w:autoSpaceDE w:val="0"/>
        <w:autoSpaceDN w:val="0"/>
        <w:adjustRightInd w:val="0"/>
        <w:spacing w:line="480" w:lineRule="auto"/>
        <w:jc w:val="both"/>
        <w:rPr>
          <w:rFonts w:cs="Calibri"/>
          <w:i/>
          <w:iCs/>
        </w:rPr>
      </w:pPr>
      <w:r>
        <w:rPr>
          <w:rFonts w:cs="Calibri"/>
          <w:i/>
          <w:iCs/>
        </w:rPr>
        <w:t>“</w:t>
      </w:r>
      <w:r w:rsidR="00047442" w:rsidRPr="00047442">
        <w:rPr>
          <w:rFonts w:cs="Calibri"/>
          <w:i/>
          <w:iCs/>
        </w:rPr>
        <w:t>And even when you’re a senior HSA you receive a salary which is the same with any HSA. For example our senior HSA started working as an HSA in 1993 while I started working as HSA in 2007 but we receive the same salary. This demotivates</w:t>
      </w:r>
      <w:r>
        <w:rPr>
          <w:rFonts w:cs="Calibri"/>
          <w:i/>
          <w:iCs/>
        </w:rPr>
        <w:t xml:space="preserve"> us and makes us not work extra hard” </w:t>
      </w:r>
      <w:r w:rsidRPr="00A1122D">
        <w:rPr>
          <w:rFonts w:cs="Calibri"/>
          <w:i/>
          <w:iCs/>
        </w:rPr>
        <w:t>(</w:t>
      </w:r>
      <w:r w:rsidRPr="00A1122D">
        <w:rPr>
          <w:rFonts w:cs="Calibri"/>
          <w:iCs/>
        </w:rPr>
        <w:t>Malawi</w:t>
      </w:r>
      <w:r w:rsidRPr="00A1122D">
        <w:rPr>
          <w:rFonts w:cs="Calibri"/>
          <w:i/>
          <w:iCs/>
          <w:lang w:val="id-ID"/>
        </w:rPr>
        <w:t xml:space="preserve"> </w:t>
      </w:r>
      <w:r w:rsidRPr="00A1122D">
        <w:rPr>
          <w:rFonts w:cs="Calibri"/>
          <w:iCs/>
          <w:lang w:val="id-ID"/>
        </w:rPr>
        <w:t>Case Study</w:t>
      </w:r>
      <w:r w:rsidRPr="00A1122D">
        <w:rPr>
          <w:rFonts w:cs="Calibri"/>
          <w:i/>
          <w:iCs/>
        </w:rPr>
        <w:t xml:space="preserve"> </w:t>
      </w:r>
      <w:r>
        <w:rPr>
          <w:rFonts w:cs="Calibri"/>
          <w:i/>
          <w:iCs/>
        </w:rPr>
        <w:t>–</w:t>
      </w:r>
      <w:r w:rsidRPr="00A1122D">
        <w:rPr>
          <w:rFonts w:cs="Calibri"/>
          <w:i/>
          <w:iCs/>
        </w:rPr>
        <w:t xml:space="preserve"> </w:t>
      </w:r>
      <w:r>
        <w:rPr>
          <w:rFonts w:cs="Calibri"/>
        </w:rPr>
        <w:t>Health Surveillance Assistant</w:t>
      </w:r>
      <w:r w:rsidRPr="00A1122D">
        <w:rPr>
          <w:rFonts w:cs="Calibri"/>
          <w:i/>
          <w:iCs/>
        </w:rPr>
        <w:t>)</w:t>
      </w:r>
    </w:p>
    <w:p w14:paraId="0BF00F3C" w14:textId="77777777" w:rsidR="00047442" w:rsidRPr="00A1122D" w:rsidRDefault="00047442" w:rsidP="009B6504">
      <w:pPr>
        <w:autoSpaceDE w:val="0"/>
        <w:autoSpaceDN w:val="0"/>
        <w:adjustRightInd w:val="0"/>
        <w:spacing w:line="480" w:lineRule="auto"/>
        <w:jc w:val="both"/>
        <w:rPr>
          <w:rFonts w:cs="Calibri"/>
          <w:i/>
          <w:iCs/>
        </w:rPr>
      </w:pPr>
    </w:p>
    <w:p w14:paraId="34B9BD02" w14:textId="65AAD77D" w:rsidR="00A1122D" w:rsidRPr="00A1122D" w:rsidRDefault="00117B42" w:rsidP="009B6504">
      <w:pPr>
        <w:autoSpaceDE w:val="0"/>
        <w:autoSpaceDN w:val="0"/>
        <w:adjustRightInd w:val="0"/>
        <w:spacing w:line="480" w:lineRule="auto"/>
        <w:jc w:val="both"/>
        <w:rPr>
          <w:rFonts w:cs="Calibri"/>
          <w:lang w:val="en-GB"/>
        </w:rPr>
      </w:pPr>
      <w:r>
        <w:rPr>
          <w:rFonts w:cs="Calibri"/>
          <w:lang w:val="en-GB"/>
        </w:rPr>
        <w:t>I</w:t>
      </w:r>
      <w:r w:rsidR="00A1122D" w:rsidRPr="00A1122D">
        <w:rPr>
          <w:rFonts w:cs="Calibri"/>
          <w:lang w:val="en-GB"/>
        </w:rPr>
        <w:t xml:space="preserve">n all the </w:t>
      </w:r>
      <w:r w:rsidR="000F1C04">
        <w:rPr>
          <w:rFonts w:cs="Calibri"/>
          <w:lang w:val="en-GB"/>
        </w:rPr>
        <w:t>six</w:t>
      </w:r>
      <w:r w:rsidR="00A1122D" w:rsidRPr="00A1122D">
        <w:rPr>
          <w:rFonts w:cs="Calibri"/>
          <w:lang w:val="en-GB"/>
        </w:rPr>
        <w:t xml:space="preserve"> country case studies – CHWs indicated that very often the supervision processes were </w:t>
      </w:r>
      <w:r w:rsidR="000F1C04">
        <w:rPr>
          <w:rFonts w:cs="Calibri"/>
          <w:lang w:val="en-GB"/>
        </w:rPr>
        <w:t xml:space="preserve">too </w:t>
      </w:r>
      <w:r w:rsidR="00A1122D" w:rsidRPr="00A1122D">
        <w:rPr>
          <w:rFonts w:cs="Calibri"/>
          <w:lang w:val="en-GB"/>
        </w:rPr>
        <w:t xml:space="preserve">focused on reporting data and fault finding. CHWs reported various ways in which this undermined their morale and sense of self-worth. </w:t>
      </w:r>
    </w:p>
    <w:p w14:paraId="5494D436" w14:textId="77777777" w:rsidR="00A1122D" w:rsidRPr="00A1122D" w:rsidRDefault="00A1122D" w:rsidP="009B6504">
      <w:pPr>
        <w:tabs>
          <w:tab w:val="left" w:pos="2612"/>
        </w:tabs>
        <w:autoSpaceDE w:val="0"/>
        <w:autoSpaceDN w:val="0"/>
        <w:adjustRightInd w:val="0"/>
        <w:spacing w:line="480" w:lineRule="auto"/>
        <w:jc w:val="both"/>
        <w:rPr>
          <w:rFonts w:cs="Calibri"/>
          <w:lang w:val="en-GB"/>
        </w:rPr>
      </w:pPr>
      <w:r w:rsidRPr="00A1122D">
        <w:rPr>
          <w:rFonts w:cs="Calibri"/>
          <w:lang w:val="en-GB"/>
        </w:rPr>
        <w:tab/>
      </w:r>
    </w:p>
    <w:p w14:paraId="6C9DF754" w14:textId="68CC73F2" w:rsidR="00A1122D" w:rsidRPr="00A1122D" w:rsidRDefault="00A1122D" w:rsidP="009B6504">
      <w:pPr>
        <w:autoSpaceDE w:val="0"/>
        <w:autoSpaceDN w:val="0"/>
        <w:adjustRightInd w:val="0"/>
        <w:spacing w:line="480" w:lineRule="auto"/>
        <w:jc w:val="both"/>
        <w:rPr>
          <w:rFonts w:cs="Calibri"/>
          <w:iCs/>
        </w:rPr>
      </w:pPr>
      <w:r w:rsidRPr="00A1122D">
        <w:rPr>
          <w:rFonts w:cs="Calibri"/>
          <w:i/>
          <w:iCs/>
        </w:rPr>
        <w:t>"What makes us not work hard is, when the higher health office comes for supervision, they leave our strong parts and take very minor things and discourage us ….”. (</w:t>
      </w:r>
      <w:r w:rsidRPr="00A1122D">
        <w:rPr>
          <w:rFonts w:cs="Calibri"/>
          <w:iCs/>
        </w:rPr>
        <w:t>Ethi</w:t>
      </w:r>
      <w:r w:rsidRPr="00C55B8C">
        <w:rPr>
          <w:rFonts w:cs="Calibri"/>
          <w:iCs/>
        </w:rPr>
        <w:t>opia</w:t>
      </w:r>
      <w:r w:rsidRPr="00A1122D">
        <w:rPr>
          <w:rFonts w:cs="Calibri"/>
          <w:i/>
          <w:iCs/>
          <w:lang w:val="id-ID"/>
        </w:rPr>
        <w:t xml:space="preserve"> </w:t>
      </w:r>
      <w:r w:rsidRPr="00A1122D">
        <w:rPr>
          <w:rFonts w:cs="Calibri"/>
          <w:iCs/>
          <w:lang w:val="id-ID"/>
        </w:rPr>
        <w:t>Case Study</w:t>
      </w:r>
      <w:r w:rsidRPr="00A1122D">
        <w:rPr>
          <w:rFonts w:cs="Calibri"/>
          <w:i/>
          <w:iCs/>
        </w:rPr>
        <w:t xml:space="preserve"> </w:t>
      </w:r>
      <w:r w:rsidR="00DB6F48">
        <w:rPr>
          <w:rFonts w:cs="Calibri"/>
          <w:i/>
          <w:iCs/>
        </w:rPr>
        <w:t>–</w:t>
      </w:r>
      <w:r w:rsidRPr="00A1122D">
        <w:rPr>
          <w:rFonts w:cs="Calibri"/>
          <w:i/>
          <w:iCs/>
        </w:rPr>
        <w:t xml:space="preserve"> </w:t>
      </w:r>
      <w:r w:rsidR="00DB6F48">
        <w:rPr>
          <w:rFonts w:cs="Calibri"/>
          <w:iCs/>
        </w:rPr>
        <w:t>Health Extension Worker)</w:t>
      </w:r>
    </w:p>
    <w:p w14:paraId="032637F2" w14:textId="77777777" w:rsidR="00A1122D" w:rsidRPr="00A1122D" w:rsidRDefault="00A1122D" w:rsidP="009B6504">
      <w:pPr>
        <w:autoSpaceDE w:val="0"/>
        <w:autoSpaceDN w:val="0"/>
        <w:adjustRightInd w:val="0"/>
        <w:spacing w:line="480" w:lineRule="auto"/>
        <w:jc w:val="both"/>
        <w:rPr>
          <w:rFonts w:cs="Calibri"/>
          <w:iCs/>
        </w:rPr>
      </w:pPr>
    </w:p>
    <w:p w14:paraId="6C3CFE14" w14:textId="4740AD51" w:rsidR="00A1122D" w:rsidRDefault="00A1122D" w:rsidP="009B6504">
      <w:pPr>
        <w:spacing w:line="480" w:lineRule="auto"/>
        <w:jc w:val="both"/>
      </w:pPr>
      <w:r w:rsidRPr="00A1122D">
        <w:t>"</w:t>
      </w:r>
      <w:r w:rsidRPr="00A1122D">
        <w:rPr>
          <w:i/>
        </w:rPr>
        <w:t xml:space="preserve">The downside of maternal and child health revolution in this province is we (midwives) </w:t>
      </w:r>
      <w:r w:rsidR="005F285F">
        <w:rPr>
          <w:i/>
        </w:rPr>
        <w:t>are</w:t>
      </w:r>
      <w:r w:rsidRPr="00A1122D">
        <w:rPr>
          <w:i/>
        </w:rPr>
        <w:t xml:space="preserve"> always blamed, especially when a mother died. What we want actually is a more support like trainings and instruments so we can work better</w:t>
      </w:r>
      <w:r w:rsidRPr="00A1122D">
        <w:t xml:space="preserve">" </w:t>
      </w:r>
      <w:r w:rsidR="00DB6F48" w:rsidRPr="00A1122D">
        <w:t>(</w:t>
      </w:r>
      <w:r w:rsidR="00DB6F48">
        <w:t>Indonesia Case Study – Community Midwife</w:t>
      </w:r>
      <w:r w:rsidR="00DB6F48" w:rsidRPr="00A1122D">
        <w:t>)</w:t>
      </w:r>
    </w:p>
    <w:p w14:paraId="4D354C5A" w14:textId="77777777" w:rsidR="00DB6F48" w:rsidRPr="00A1122D" w:rsidRDefault="00DB6F48" w:rsidP="009B6504">
      <w:pPr>
        <w:spacing w:line="480" w:lineRule="auto"/>
        <w:jc w:val="both"/>
      </w:pPr>
    </w:p>
    <w:p w14:paraId="7AEC23D3" w14:textId="77777777" w:rsidR="00A1122D" w:rsidRPr="00A1122D" w:rsidRDefault="00A1122D" w:rsidP="009B6504">
      <w:pPr>
        <w:spacing w:line="480" w:lineRule="auto"/>
        <w:jc w:val="both"/>
      </w:pPr>
      <w:r w:rsidRPr="00A1122D">
        <w:t>On being explicitly asked about the control they have over their own work, and decision making, a CHW in Malawi responded,</w:t>
      </w:r>
    </w:p>
    <w:p w14:paraId="50274F69" w14:textId="77777777" w:rsidR="00A1122D" w:rsidRPr="00A1122D" w:rsidRDefault="00A1122D" w:rsidP="009B6504">
      <w:pPr>
        <w:spacing w:line="480" w:lineRule="auto"/>
        <w:jc w:val="both"/>
      </w:pPr>
    </w:p>
    <w:p w14:paraId="0F1E4F6E" w14:textId="1745D5E5" w:rsidR="00A1122D" w:rsidRPr="00C55B8C" w:rsidRDefault="00A1122D" w:rsidP="009B6504">
      <w:pPr>
        <w:spacing w:line="480" w:lineRule="auto"/>
        <w:jc w:val="both"/>
      </w:pPr>
      <w:r w:rsidRPr="00A1122D">
        <w:lastRenderedPageBreak/>
        <w:t xml:space="preserve"> </w:t>
      </w:r>
      <w:r w:rsidRPr="00A1122D">
        <w:rPr>
          <w:i/>
        </w:rPr>
        <w:t xml:space="preserve">“I don’t have such influence … We here are juniors, when we are voicing our concerns on what needs to be done to create a conducive working environment, it is referred to as insubordination”. </w:t>
      </w:r>
      <w:r w:rsidR="005F285F">
        <w:t xml:space="preserve"> (Malawi Case Study – Health Surveillance Assistant)</w:t>
      </w:r>
    </w:p>
    <w:p w14:paraId="18D9F219" w14:textId="77777777" w:rsidR="00A1122D" w:rsidRPr="00A1122D" w:rsidRDefault="00A1122D" w:rsidP="009B6504">
      <w:pPr>
        <w:spacing w:line="480" w:lineRule="auto"/>
        <w:jc w:val="both"/>
        <w:rPr>
          <w:i/>
        </w:rPr>
      </w:pPr>
    </w:p>
    <w:p w14:paraId="7C297954" w14:textId="6D2B6105" w:rsidR="00A1122D" w:rsidRPr="00A1122D" w:rsidRDefault="00A1122D" w:rsidP="009B6504">
      <w:pPr>
        <w:spacing w:line="480" w:lineRule="auto"/>
        <w:jc w:val="both"/>
      </w:pPr>
      <w:r w:rsidRPr="00A1122D">
        <w:t>Similarly, in Kenya on being asked whether they would like their roles to be expanded, CHWs in a FGD expressed how expanding their roles and decision space would empower them and would help</w:t>
      </w:r>
      <w:r w:rsidR="00DC5DDE">
        <w:t xml:space="preserve"> to</w:t>
      </w:r>
      <w:r w:rsidRPr="00A1122D">
        <w:t xml:space="preserve"> improve their performance.</w:t>
      </w:r>
    </w:p>
    <w:p w14:paraId="5E2079F5" w14:textId="77777777" w:rsidR="00A1122D" w:rsidRPr="00A1122D" w:rsidRDefault="00A1122D" w:rsidP="009B6504">
      <w:pPr>
        <w:spacing w:line="480" w:lineRule="auto"/>
        <w:jc w:val="both"/>
      </w:pPr>
    </w:p>
    <w:p w14:paraId="1EF3A251" w14:textId="6619B904" w:rsidR="00A1122D" w:rsidRPr="00A1122D" w:rsidRDefault="00A1122D" w:rsidP="009B6504">
      <w:pPr>
        <w:spacing w:line="480" w:lineRule="auto"/>
        <w:jc w:val="both"/>
        <w:rPr>
          <w:i/>
        </w:rPr>
      </w:pPr>
      <w:r w:rsidRPr="00A1122D">
        <w:t xml:space="preserve"> </w:t>
      </w:r>
      <w:r w:rsidRPr="00A1122D">
        <w:rPr>
          <w:i/>
        </w:rPr>
        <w:t xml:space="preserve">“Yeah they should … they should empower us to be able to nurse them before reaching the (hospital) to avoid women deaths during giving birth” </w:t>
      </w:r>
      <w:r w:rsidRPr="00DE632A">
        <w:rPr>
          <w:iCs/>
        </w:rPr>
        <w:t>(Kenya</w:t>
      </w:r>
      <w:r w:rsidR="007B419C" w:rsidRPr="00DE632A">
        <w:rPr>
          <w:iCs/>
        </w:rPr>
        <w:t xml:space="preserve"> Case Study - CHW</w:t>
      </w:r>
      <w:r w:rsidRPr="00DE632A">
        <w:rPr>
          <w:iCs/>
        </w:rPr>
        <w:t>).</w:t>
      </w:r>
    </w:p>
    <w:p w14:paraId="4B1FFC36" w14:textId="77777777" w:rsidR="00726721" w:rsidRDefault="00726721" w:rsidP="00726721">
      <w:pPr>
        <w:autoSpaceDE w:val="0"/>
        <w:autoSpaceDN w:val="0"/>
        <w:adjustRightInd w:val="0"/>
        <w:spacing w:line="480" w:lineRule="auto"/>
        <w:jc w:val="both"/>
        <w:rPr>
          <w:lang w:bidi="hi-IN"/>
        </w:rPr>
      </w:pPr>
    </w:p>
    <w:p w14:paraId="07CEA5E0" w14:textId="77777777" w:rsidR="00A1122D" w:rsidRPr="00A1122D" w:rsidRDefault="00A1122D" w:rsidP="009B6504">
      <w:pPr>
        <w:autoSpaceDE w:val="0"/>
        <w:autoSpaceDN w:val="0"/>
        <w:adjustRightInd w:val="0"/>
        <w:spacing w:line="480" w:lineRule="auto"/>
        <w:jc w:val="both"/>
        <w:rPr>
          <w:b/>
          <w:bCs/>
          <w:lang w:val="en-GB" w:bidi="hi-IN"/>
        </w:rPr>
      </w:pPr>
      <w:r w:rsidRPr="00A1122D">
        <w:rPr>
          <w:b/>
          <w:bCs/>
          <w:lang w:val="en-GB" w:bidi="hi-IN"/>
        </w:rPr>
        <w:t>Discussion and Conclusions</w:t>
      </w:r>
    </w:p>
    <w:p w14:paraId="23B4CE6C" w14:textId="3118CCDC" w:rsidR="00A1122D" w:rsidRPr="00A1122D" w:rsidRDefault="00355AAB" w:rsidP="00355AAB">
      <w:pPr>
        <w:autoSpaceDE w:val="0"/>
        <w:autoSpaceDN w:val="0"/>
        <w:adjustRightInd w:val="0"/>
        <w:spacing w:line="480" w:lineRule="auto"/>
        <w:jc w:val="both"/>
        <w:rPr>
          <w:lang w:bidi="hi-IN"/>
        </w:rPr>
      </w:pPr>
      <w:r>
        <w:rPr>
          <w:lang w:bidi="hi-IN"/>
        </w:rPr>
        <w:t>I</w:t>
      </w:r>
      <w:r w:rsidR="00A1122D" w:rsidRPr="00A1122D">
        <w:rPr>
          <w:lang w:bidi="hi-IN"/>
        </w:rPr>
        <w:t>n this paper we have critically analysed the international literature and the</w:t>
      </w:r>
      <w:r w:rsidR="006F3343">
        <w:rPr>
          <w:lang w:bidi="hi-IN"/>
        </w:rPr>
        <w:t xml:space="preserve"> six REACHOUT study</w:t>
      </w:r>
      <w:r w:rsidR="00A1122D" w:rsidRPr="00A1122D">
        <w:rPr>
          <w:lang w:bidi="hi-IN"/>
        </w:rPr>
        <w:t xml:space="preserve"> country context analysis findings with a </w:t>
      </w:r>
      <w:r w:rsidR="006F3343">
        <w:rPr>
          <w:lang w:bidi="hi-IN"/>
        </w:rPr>
        <w:t xml:space="preserve">view to understand </w:t>
      </w:r>
      <w:r w:rsidR="00A1122D" w:rsidRPr="00A1122D">
        <w:rPr>
          <w:lang w:bidi="hi-IN"/>
        </w:rPr>
        <w:t xml:space="preserve">the </w:t>
      </w:r>
      <w:r w:rsidR="001F3A27">
        <w:rPr>
          <w:lang w:bidi="hi-IN"/>
        </w:rPr>
        <w:t>empowerment</w:t>
      </w:r>
      <w:r w:rsidR="00A1122D" w:rsidRPr="00A1122D">
        <w:rPr>
          <w:lang w:bidi="hi-IN"/>
        </w:rPr>
        <w:t xml:space="preserve"> experience of the CHWs. While this explicit focus on examining the  ‘</w:t>
      </w:r>
      <w:r w:rsidR="001F3A27">
        <w:rPr>
          <w:lang w:bidi="hi-IN"/>
        </w:rPr>
        <w:t>empowerment</w:t>
      </w:r>
      <w:r w:rsidR="006F3343">
        <w:rPr>
          <w:lang w:bidi="hi-IN"/>
        </w:rPr>
        <w:t xml:space="preserve"> experience</w:t>
      </w:r>
      <w:r w:rsidR="00A1122D" w:rsidRPr="00A1122D">
        <w:rPr>
          <w:lang w:bidi="hi-IN"/>
        </w:rPr>
        <w:t>’ of CHWs who are meant to ‘empower’ the communities they serve, is an under researched area within the field of health services research</w:t>
      </w:r>
      <w:r w:rsidR="005D7319">
        <w:rPr>
          <w:lang w:bidi="hi-IN"/>
        </w:rPr>
        <w:t xml:space="preserve"> in LMICs</w:t>
      </w:r>
      <w:r w:rsidR="00A1122D" w:rsidRPr="00A1122D">
        <w:rPr>
          <w:lang w:bidi="hi-IN"/>
        </w:rPr>
        <w:t>, its importance has been recognized before</w:t>
      </w:r>
      <w:r w:rsidR="007E4BCD">
        <w:rPr>
          <w:lang w:bidi="hi-IN"/>
        </w:rPr>
        <w:t xml:space="preserve"> (15, 16)</w:t>
      </w:r>
      <w:r w:rsidR="00A1122D" w:rsidRPr="00A1122D">
        <w:rPr>
          <w:lang w:bidi="hi-IN"/>
        </w:rPr>
        <w:t>.</w:t>
      </w:r>
      <w:r>
        <w:rPr>
          <w:lang w:bidi="hi-IN"/>
        </w:rPr>
        <w:t xml:space="preserve"> </w:t>
      </w:r>
    </w:p>
    <w:p w14:paraId="6A5FD508" w14:textId="77777777" w:rsidR="00A1122D" w:rsidRPr="00A1122D" w:rsidRDefault="00A1122D" w:rsidP="009B6504">
      <w:pPr>
        <w:autoSpaceDE w:val="0"/>
        <w:autoSpaceDN w:val="0"/>
        <w:adjustRightInd w:val="0"/>
        <w:spacing w:line="480" w:lineRule="auto"/>
        <w:jc w:val="both"/>
        <w:rPr>
          <w:lang w:bidi="hi-IN"/>
        </w:rPr>
      </w:pPr>
    </w:p>
    <w:p w14:paraId="797C7EE7" w14:textId="630E62C2" w:rsidR="00A1122D" w:rsidRPr="00A1122D" w:rsidRDefault="00A1122D" w:rsidP="009B6504">
      <w:pPr>
        <w:autoSpaceDE w:val="0"/>
        <w:autoSpaceDN w:val="0"/>
        <w:adjustRightInd w:val="0"/>
        <w:spacing w:line="480" w:lineRule="auto"/>
        <w:jc w:val="both"/>
        <w:rPr>
          <w:lang w:bidi="hi-IN"/>
        </w:rPr>
      </w:pPr>
      <w:r w:rsidRPr="00A1122D">
        <w:rPr>
          <w:lang w:bidi="hi-IN"/>
        </w:rPr>
        <w:t xml:space="preserve">In 2003, Shrestha from Nepal presented a conceptual model for the </w:t>
      </w:r>
      <w:r w:rsidR="001F3A27">
        <w:rPr>
          <w:lang w:bidi="hi-IN"/>
        </w:rPr>
        <w:t>empowerment</w:t>
      </w:r>
      <w:r w:rsidRPr="00A1122D">
        <w:rPr>
          <w:lang w:bidi="hi-IN"/>
        </w:rPr>
        <w:t xml:space="preserve"> of CHWs (FCHVs - female community health volunteers), and argued that only when FCHVs are empowered themselves, can they bring sustainable change and improve the health outcomes of the communities they serve</w:t>
      </w:r>
      <w:r w:rsidR="009D7F52">
        <w:rPr>
          <w:lang w:bidi="hi-IN"/>
        </w:rPr>
        <w:t xml:space="preserve"> (4</w:t>
      </w:r>
      <w:r w:rsidR="002E48B1">
        <w:rPr>
          <w:lang w:bidi="hi-IN"/>
        </w:rPr>
        <w:t>2</w:t>
      </w:r>
      <w:r w:rsidR="009D7F52">
        <w:rPr>
          <w:lang w:bidi="hi-IN"/>
        </w:rPr>
        <w:t>)</w:t>
      </w:r>
      <w:r w:rsidRPr="00A1122D">
        <w:rPr>
          <w:lang w:bidi="hi-IN"/>
        </w:rPr>
        <w:t xml:space="preserve">. That </w:t>
      </w:r>
      <w:r w:rsidR="001F3A27">
        <w:rPr>
          <w:lang w:bidi="hi-IN"/>
        </w:rPr>
        <w:t>empowerment</w:t>
      </w:r>
      <w:r w:rsidRPr="00A1122D">
        <w:rPr>
          <w:lang w:bidi="hi-IN"/>
        </w:rPr>
        <w:t xml:space="preserve"> of CHWs is an essential prelude to them being effective in enacting their roles as health promoters, has also been highlighted,  in different parts of the world. In </w:t>
      </w:r>
      <w:r w:rsidR="009D7F52">
        <w:rPr>
          <w:lang w:bidi="hi-IN"/>
        </w:rPr>
        <w:t>the ASHA Plus project (4</w:t>
      </w:r>
      <w:r w:rsidR="002E48B1">
        <w:rPr>
          <w:lang w:bidi="hi-IN"/>
        </w:rPr>
        <w:t>3</w:t>
      </w:r>
      <w:r w:rsidRPr="00A1122D">
        <w:rPr>
          <w:lang w:bidi="hi-IN"/>
        </w:rPr>
        <w:t>) in India, CHWs explicitly reported being  empowered as a result of access to new knowledge, new freedoms, and new opportunities</w:t>
      </w:r>
      <w:r w:rsidR="009D7F52">
        <w:rPr>
          <w:lang w:bidi="hi-IN"/>
        </w:rPr>
        <w:t>. Bhatia (</w:t>
      </w:r>
      <w:r w:rsidR="00C740B2">
        <w:rPr>
          <w:lang w:bidi="hi-IN"/>
        </w:rPr>
        <w:t>11</w:t>
      </w:r>
      <w:r w:rsidRPr="00A1122D">
        <w:rPr>
          <w:lang w:bidi="hi-IN"/>
        </w:rPr>
        <w:t xml:space="preserve">) also discusses </w:t>
      </w:r>
      <w:r w:rsidRPr="00A1122D">
        <w:rPr>
          <w:lang w:bidi="hi-IN"/>
        </w:rPr>
        <w:lastRenderedPageBreak/>
        <w:t>the contradictions and tensions inherent in the CHW program designs</w:t>
      </w:r>
      <w:r w:rsidR="00632C76">
        <w:rPr>
          <w:lang w:bidi="hi-IN"/>
        </w:rPr>
        <w:t xml:space="preserve"> and management; s</w:t>
      </w:r>
      <w:r w:rsidRPr="00A1122D">
        <w:rPr>
          <w:lang w:bidi="hi-IN"/>
        </w:rPr>
        <w:t>he highlights how the empowering influence of access to new knowledge, meaningful and socially relevant work on one hand, is often at odds with the managerial imperative to maintain control and contain costs</w:t>
      </w:r>
      <w:r w:rsidR="00DC5DDE">
        <w:rPr>
          <w:lang w:bidi="hi-IN"/>
        </w:rPr>
        <w:t xml:space="preserve"> on the other hand</w:t>
      </w:r>
      <w:r w:rsidR="009D7F52">
        <w:rPr>
          <w:lang w:bidi="hi-IN"/>
        </w:rPr>
        <w:t>.</w:t>
      </w:r>
      <w:r w:rsidRPr="00A1122D">
        <w:rPr>
          <w:lang w:bidi="hi-IN"/>
        </w:rPr>
        <w:t>.</w:t>
      </w:r>
      <w:r w:rsidR="009D7F52">
        <w:rPr>
          <w:lang w:bidi="hi-IN"/>
        </w:rPr>
        <w:t xml:space="preserve"> Similarly, Campbell et al (4</w:t>
      </w:r>
      <w:r w:rsidR="002E48B1">
        <w:rPr>
          <w:lang w:bidi="hi-IN"/>
        </w:rPr>
        <w:t>4</w:t>
      </w:r>
      <w:r w:rsidRPr="00A1122D">
        <w:rPr>
          <w:lang w:bidi="hi-IN"/>
        </w:rPr>
        <w:t>), drawing on their experience in South Africa, contend that the process of challenging entrenched structural power inequalities, within organisations, across professional boundaries, is essential, but bound to be messy. They argue that meeting of the ‘</w:t>
      </w:r>
      <w:r w:rsidR="001F3A27">
        <w:rPr>
          <w:lang w:bidi="hi-IN"/>
        </w:rPr>
        <w:t>empowerment</w:t>
      </w:r>
      <w:r w:rsidRPr="00A1122D">
        <w:rPr>
          <w:lang w:bidi="hi-IN"/>
        </w:rPr>
        <w:t xml:space="preserve"> objectives’ of such initiatives, both the </w:t>
      </w:r>
      <w:r w:rsidR="001F3A27">
        <w:rPr>
          <w:lang w:bidi="hi-IN"/>
        </w:rPr>
        <w:t>empowerment</w:t>
      </w:r>
      <w:r w:rsidRPr="00A1122D">
        <w:rPr>
          <w:lang w:bidi="hi-IN"/>
        </w:rPr>
        <w:t xml:space="preserve"> of CHWs and the communities they serve and seek to empower, while necessarily slow and gradual, is an essential precondition to achieving change. M</w:t>
      </w:r>
      <w:r w:rsidR="009D7F52">
        <w:rPr>
          <w:lang w:bidi="hi-IN"/>
        </w:rPr>
        <w:t>c Creary et al (4</w:t>
      </w:r>
      <w:r w:rsidR="00274142">
        <w:rPr>
          <w:lang w:bidi="hi-IN"/>
        </w:rPr>
        <w:t>5</w:t>
      </w:r>
      <w:r w:rsidRPr="00A1122D">
        <w:rPr>
          <w:lang w:bidi="hi-IN"/>
        </w:rPr>
        <w:t xml:space="preserve">) also report how </w:t>
      </w:r>
      <w:r w:rsidR="00DC5DDE">
        <w:rPr>
          <w:lang w:bidi="hi-IN"/>
        </w:rPr>
        <w:t xml:space="preserve">voluntary </w:t>
      </w:r>
      <w:r w:rsidRPr="00A1122D">
        <w:rPr>
          <w:lang w:bidi="hi-IN"/>
        </w:rPr>
        <w:t xml:space="preserve">peer group leaders identified the experience of being empowered, as central to their development of an identity and to be effective as peer and community health promoters.  </w:t>
      </w:r>
    </w:p>
    <w:p w14:paraId="381D4C72" w14:textId="77777777" w:rsidR="00A1122D" w:rsidRPr="00A1122D" w:rsidRDefault="00A1122D" w:rsidP="009B6504">
      <w:pPr>
        <w:autoSpaceDE w:val="0"/>
        <w:autoSpaceDN w:val="0"/>
        <w:adjustRightInd w:val="0"/>
        <w:spacing w:line="480" w:lineRule="auto"/>
        <w:jc w:val="both"/>
        <w:rPr>
          <w:lang w:bidi="hi-IN"/>
        </w:rPr>
      </w:pPr>
    </w:p>
    <w:p w14:paraId="5DB1EE8C" w14:textId="3A1C8841" w:rsidR="00975492" w:rsidRDefault="00A1122D" w:rsidP="009B6504">
      <w:pPr>
        <w:autoSpaceDE w:val="0"/>
        <w:autoSpaceDN w:val="0"/>
        <w:adjustRightInd w:val="0"/>
        <w:spacing w:line="480" w:lineRule="auto"/>
        <w:jc w:val="both"/>
        <w:rPr>
          <w:lang w:bidi="hi-IN"/>
        </w:rPr>
      </w:pPr>
      <w:r w:rsidRPr="00A1122D">
        <w:rPr>
          <w:lang w:bidi="hi-IN"/>
        </w:rPr>
        <w:t>Methodologically, whi</w:t>
      </w:r>
      <w:r w:rsidR="009D7F52">
        <w:rPr>
          <w:lang w:bidi="hi-IN"/>
        </w:rPr>
        <w:t>le Lee and Koh’s framework (</w:t>
      </w:r>
      <w:r w:rsidR="00C740B2">
        <w:rPr>
          <w:lang w:bidi="hi-IN"/>
        </w:rPr>
        <w:t>2</w:t>
      </w:r>
      <w:r w:rsidR="009D7F52">
        <w:rPr>
          <w:lang w:bidi="hi-IN"/>
        </w:rPr>
        <w:t>1</w:t>
      </w:r>
      <w:r w:rsidRPr="00A1122D">
        <w:rPr>
          <w:lang w:bidi="hi-IN"/>
        </w:rPr>
        <w:t>) helped us unpack the different dimensions of the CHWs</w:t>
      </w:r>
      <w:r w:rsidR="00DC5DDE">
        <w:rPr>
          <w:lang w:bidi="hi-IN"/>
        </w:rPr>
        <w:t>’</w:t>
      </w:r>
      <w:r w:rsidRPr="00A1122D">
        <w:rPr>
          <w:lang w:bidi="hi-IN"/>
        </w:rPr>
        <w:t xml:space="preserve"> </w:t>
      </w:r>
      <w:r w:rsidR="001F3A27">
        <w:rPr>
          <w:lang w:bidi="hi-IN"/>
        </w:rPr>
        <w:t>empowerment</w:t>
      </w:r>
      <w:r w:rsidRPr="00A1122D">
        <w:rPr>
          <w:lang w:bidi="hi-IN"/>
        </w:rPr>
        <w:t xml:space="preserve"> experience, it fell short in guiding us in explaining the antecedents of the four dimensions.</w:t>
      </w:r>
      <w:r w:rsidR="00975492">
        <w:rPr>
          <w:lang w:bidi="hi-IN"/>
        </w:rPr>
        <w:t xml:space="preserve"> The framework was </w:t>
      </w:r>
      <w:r w:rsidR="008A2BE6">
        <w:rPr>
          <w:lang w:bidi="hi-IN"/>
        </w:rPr>
        <w:t xml:space="preserve">perhaps </w:t>
      </w:r>
      <w:r w:rsidR="00975492">
        <w:rPr>
          <w:lang w:bidi="hi-IN"/>
        </w:rPr>
        <w:t xml:space="preserve">originally designed to examine the situation of workers who had clearly defined profiles, clear identities, were formally employed </w:t>
      </w:r>
      <w:r w:rsidR="001235FB">
        <w:rPr>
          <w:lang w:bidi="hi-IN"/>
        </w:rPr>
        <w:t>and paid, and operated in well-</w:t>
      </w:r>
      <w:r w:rsidR="00975492">
        <w:rPr>
          <w:lang w:bidi="hi-IN"/>
        </w:rPr>
        <w:t>defined relational environments. These reference points</w:t>
      </w:r>
      <w:r w:rsidR="001235FB">
        <w:rPr>
          <w:lang w:bidi="hi-IN"/>
        </w:rPr>
        <w:t xml:space="preserve"> do not consistently apply to </w:t>
      </w:r>
      <w:r w:rsidR="008A2BE6">
        <w:rPr>
          <w:lang w:bidi="hi-IN"/>
        </w:rPr>
        <w:t xml:space="preserve">all </w:t>
      </w:r>
      <w:r w:rsidR="001235FB">
        <w:rPr>
          <w:lang w:bidi="hi-IN"/>
        </w:rPr>
        <w:t>CHW</w:t>
      </w:r>
      <w:r w:rsidR="008A2BE6">
        <w:rPr>
          <w:lang w:bidi="hi-IN"/>
        </w:rPr>
        <w:t xml:space="preserve"> program contexts</w:t>
      </w:r>
      <w:r w:rsidR="001235FB">
        <w:rPr>
          <w:lang w:bidi="hi-IN"/>
        </w:rPr>
        <w:t xml:space="preserve"> and this </w:t>
      </w:r>
      <w:r w:rsidR="007B5022">
        <w:rPr>
          <w:lang w:bidi="hi-IN"/>
        </w:rPr>
        <w:t>sometimes</w:t>
      </w:r>
      <w:r w:rsidR="00975492">
        <w:rPr>
          <w:lang w:bidi="hi-IN"/>
        </w:rPr>
        <w:t xml:space="preserve"> hindered the use of the framework to examine the situation of CHWs</w:t>
      </w:r>
      <w:r w:rsidR="00232C49">
        <w:rPr>
          <w:lang w:bidi="hi-IN"/>
        </w:rPr>
        <w:t xml:space="preserve"> within different contexts</w:t>
      </w:r>
      <w:r w:rsidR="00975492">
        <w:rPr>
          <w:lang w:bidi="hi-IN"/>
        </w:rPr>
        <w:t>.  Along the same lines, in some ways the framework assumes that</w:t>
      </w:r>
      <w:r w:rsidR="001235FB">
        <w:rPr>
          <w:lang w:bidi="hi-IN"/>
        </w:rPr>
        <w:t>, once empowered,</w:t>
      </w:r>
      <w:r w:rsidR="00975492">
        <w:rPr>
          <w:lang w:bidi="hi-IN"/>
        </w:rPr>
        <w:t xml:space="preserve"> employees would want to stay on in the organizations they work in</w:t>
      </w:r>
      <w:r w:rsidR="00DC5DDE">
        <w:rPr>
          <w:lang w:bidi="hi-IN"/>
        </w:rPr>
        <w:t>.</w:t>
      </w:r>
      <w:r w:rsidR="00975492">
        <w:rPr>
          <w:lang w:bidi="hi-IN"/>
        </w:rPr>
        <w:t xml:space="preserve"> </w:t>
      </w:r>
      <w:r w:rsidR="00DC5DDE">
        <w:rPr>
          <w:lang w:bidi="hi-IN"/>
        </w:rPr>
        <w:t>I</w:t>
      </w:r>
      <w:r w:rsidR="00975492">
        <w:rPr>
          <w:lang w:bidi="hi-IN"/>
        </w:rPr>
        <w:t>t does not take into account the possibility that an empowered worker</w:t>
      </w:r>
      <w:r w:rsidR="001235FB">
        <w:rPr>
          <w:lang w:bidi="hi-IN"/>
        </w:rPr>
        <w:t xml:space="preserve"> might have higher expectations and</w:t>
      </w:r>
      <w:r w:rsidR="00975492">
        <w:rPr>
          <w:lang w:bidi="hi-IN"/>
        </w:rPr>
        <w:t xml:space="preserve"> is more likely to</w:t>
      </w:r>
      <w:r w:rsidR="00975492" w:rsidRPr="00975492">
        <w:rPr>
          <w:lang w:bidi="hi-IN"/>
        </w:rPr>
        <w:t xml:space="preserve"> leave if </w:t>
      </w:r>
      <w:r w:rsidR="00975492">
        <w:rPr>
          <w:lang w:bidi="hi-IN"/>
        </w:rPr>
        <w:t xml:space="preserve">service </w:t>
      </w:r>
      <w:r w:rsidR="00975492" w:rsidRPr="00975492">
        <w:rPr>
          <w:lang w:bidi="hi-IN"/>
        </w:rPr>
        <w:t xml:space="preserve">conditions do not meet </w:t>
      </w:r>
      <w:r w:rsidR="001235FB">
        <w:rPr>
          <w:lang w:bidi="hi-IN"/>
        </w:rPr>
        <w:t xml:space="preserve">these new </w:t>
      </w:r>
      <w:r w:rsidR="00975492" w:rsidRPr="00975492">
        <w:rPr>
          <w:lang w:bidi="hi-IN"/>
        </w:rPr>
        <w:t xml:space="preserve">expectations </w:t>
      </w:r>
      <w:r w:rsidR="00975492">
        <w:rPr>
          <w:lang w:bidi="hi-IN"/>
        </w:rPr>
        <w:t>(</w:t>
      </w:r>
      <w:r w:rsidR="001235FB">
        <w:rPr>
          <w:lang w:bidi="hi-IN"/>
        </w:rPr>
        <w:t>expectations about</w:t>
      </w:r>
      <w:r w:rsidR="00975492" w:rsidRPr="00975492">
        <w:rPr>
          <w:lang w:bidi="hi-IN"/>
        </w:rPr>
        <w:t xml:space="preserve"> rol</w:t>
      </w:r>
      <w:r w:rsidR="001235FB">
        <w:rPr>
          <w:lang w:bidi="hi-IN"/>
        </w:rPr>
        <w:t>e or compensation</w:t>
      </w:r>
      <w:r w:rsidR="00975492">
        <w:rPr>
          <w:lang w:bidi="hi-IN"/>
        </w:rPr>
        <w:t xml:space="preserve"> or</w:t>
      </w:r>
      <w:r w:rsidR="00975492" w:rsidRPr="00975492">
        <w:rPr>
          <w:lang w:bidi="hi-IN"/>
        </w:rPr>
        <w:t xml:space="preserve"> </w:t>
      </w:r>
      <w:r w:rsidR="00975492">
        <w:rPr>
          <w:lang w:bidi="hi-IN"/>
        </w:rPr>
        <w:t xml:space="preserve">conditions generally). </w:t>
      </w:r>
    </w:p>
    <w:p w14:paraId="0035EE72" w14:textId="77777777" w:rsidR="00975492" w:rsidRDefault="00975492" w:rsidP="009B6504">
      <w:pPr>
        <w:autoSpaceDE w:val="0"/>
        <w:autoSpaceDN w:val="0"/>
        <w:adjustRightInd w:val="0"/>
        <w:spacing w:line="480" w:lineRule="auto"/>
        <w:jc w:val="both"/>
        <w:rPr>
          <w:lang w:bidi="hi-IN"/>
        </w:rPr>
      </w:pPr>
    </w:p>
    <w:p w14:paraId="3A98D206" w14:textId="2CA037F1" w:rsidR="00A1122D" w:rsidRPr="00A1122D" w:rsidRDefault="00A1122D" w:rsidP="009B6504">
      <w:pPr>
        <w:autoSpaceDE w:val="0"/>
        <w:autoSpaceDN w:val="0"/>
        <w:adjustRightInd w:val="0"/>
        <w:spacing w:line="480" w:lineRule="auto"/>
        <w:jc w:val="both"/>
        <w:rPr>
          <w:lang w:bidi="hi-IN"/>
        </w:rPr>
      </w:pPr>
      <w:r w:rsidRPr="00A1122D">
        <w:rPr>
          <w:lang w:bidi="hi-IN"/>
        </w:rPr>
        <w:t xml:space="preserve">In 2012, Maynard, Gilson and Mathieu, in their review of the past two decades of research on </w:t>
      </w:r>
      <w:r w:rsidR="001F3A27">
        <w:rPr>
          <w:lang w:bidi="hi-IN"/>
        </w:rPr>
        <w:t>empowerment</w:t>
      </w:r>
      <w:r w:rsidR="00C740B2">
        <w:rPr>
          <w:lang w:bidi="hi-IN"/>
        </w:rPr>
        <w:t xml:space="preserve"> within organizational settings</w:t>
      </w:r>
      <w:r w:rsidRPr="00A1122D">
        <w:rPr>
          <w:lang w:bidi="hi-IN"/>
        </w:rPr>
        <w:t xml:space="preserve">, have articulated the importance of researching </w:t>
      </w:r>
      <w:r w:rsidR="001F3A27">
        <w:rPr>
          <w:lang w:bidi="hi-IN"/>
        </w:rPr>
        <w:t>empowerment</w:t>
      </w:r>
      <w:r w:rsidRPr="00A1122D">
        <w:rPr>
          <w:lang w:bidi="hi-IN"/>
        </w:rPr>
        <w:t xml:space="preserve"> from a multilevel perspective</w:t>
      </w:r>
      <w:r w:rsidR="009D7F52">
        <w:rPr>
          <w:lang w:bidi="hi-IN"/>
        </w:rPr>
        <w:t xml:space="preserve"> (</w:t>
      </w:r>
      <w:r w:rsidR="00C740B2">
        <w:rPr>
          <w:lang w:bidi="hi-IN"/>
        </w:rPr>
        <w:t>23</w:t>
      </w:r>
      <w:r w:rsidR="009D7F52">
        <w:rPr>
          <w:lang w:bidi="hi-IN"/>
        </w:rPr>
        <w:t>)</w:t>
      </w:r>
      <w:r w:rsidR="00DC5DDE">
        <w:rPr>
          <w:lang w:bidi="hi-IN"/>
        </w:rPr>
        <w:t>.</w:t>
      </w:r>
      <w:r w:rsidRPr="00A1122D">
        <w:rPr>
          <w:lang w:bidi="hi-IN"/>
        </w:rPr>
        <w:t xml:space="preserve"> </w:t>
      </w:r>
      <w:r w:rsidR="00DC5DDE">
        <w:rPr>
          <w:lang w:bidi="hi-IN"/>
        </w:rPr>
        <w:t>T</w:t>
      </w:r>
      <w:r w:rsidRPr="00A1122D">
        <w:rPr>
          <w:lang w:bidi="hi-IN"/>
        </w:rPr>
        <w:t xml:space="preserve">hey distinguish between a hierarchy of organizational, team and individual </w:t>
      </w:r>
      <w:r w:rsidR="001F3A27">
        <w:rPr>
          <w:lang w:bidi="hi-IN"/>
        </w:rPr>
        <w:t>empowerment</w:t>
      </w:r>
      <w:r w:rsidRPr="00A1122D">
        <w:rPr>
          <w:lang w:bidi="hi-IN"/>
        </w:rPr>
        <w:t xml:space="preserve">, and their antecedents. They indicate that research should examine different or multiple levels and the influence that higher levels have on individual psychological </w:t>
      </w:r>
      <w:r w:rsidR="001F3A27">
        <w:rPr>
          <w:lang w:bidi="hi-IN"/>
        </w:rPr>
        <w:t>empowerment</w:t>
      </w:r>
      <w:r w:rsidRPr="00A1122D">
        <w:rPr>
          <w:lang w:bidi="hi-IN"/>
        </w:rPr>
        <w:t xml:space="preserve">. They also identify the importance for research to explore and expose, sometimes competing mediators of individual psychological </w:t>
      </w:r>
      <w:r w:rsidR="001F3A27">
        <w:rPr>
          <w:lang w:bidi="hi-IN"/>
        </w:rPr>
        <w:t>empowerment</w:t>
      </w:r>
      <w:r w:rsidRPr="00A1122D">
        <w:rPr>
          <w:lang w:bidi="hi-IN"/>
        </w:rPr>
        <w:t>.</w:t>
      </w:r>
      <w:r w:rsidR="00975492">
        <w:rPr>
          <w:lang w:bidi="hi-IN"/>
        </w:rPr>
        <w:t xml:space="preserve"> </w:t>
      </w:r>
      <w:r w:rsidRPr="00A1122D">
        <w:rPr>
          <w:lang w:bidi="hi-IN"/>
        </w:rPr>
        <w:t xml:space="preserve">In this paper, we have focused on the individual level psychological </w:t>
      </w:r>
      <w:r w:rsidR="001F3A27">
        <w:rPr>
          <w:lang w:bidi="hi-IN"/>
        </w:rPr>
        <w:t>empowerment</w:t>
      </w:r>
      <w:r w:rsidRPr="00A1122D">
        <w:rPr>
          <w:lang w:bidi="hi-IN"/>
        </w:rPr>
        <w:t xml:space="preserve"> experience of the CHWs – and we have considered the program design, organizational ar</w:t>
      </w:r>
      <w:r w:rsidR="00CD7F9C">
        <w:rPr>
          <w:lang w:bidi="hi-IN"/>
        </w:rPr>
        <w:t>rangements, relational features</w:t>
      </w:r>
      <w:r w:rsidRPr="00A1122D">
        <w:rPr>
          <w:lang w:bidi="hi-IN"/>
        </w:rPr>
        <w:t xml:space="preserve">, and their interactions, as being antecedents that shape the individual/CHW level psychological </w:t>
      </w:r>
      <w:r w:rsidR="001F3A27">
        <w:rPr>
          <w:lang w:bidi="hi-IN"/>
        </w:rPr>
        <w:t>empowerment</w:t>
      </w:r>
      <w:r w:rsidRPr="00A1122D">
        <w:rPr>
          <w:lang w:bidi="hi-IN"/>
        </w:rPr>
        <w:t xml:space="preserve"> experience. We interpret these as multiple levels of antecedents determining the four d</w:t>
      </w:r>
      <w:r w:rsidR="009D7F52">
        <w:rPr>
          <w:lang w:bidi="hi-IN"/>
        </w:rPr>
        <w:t>imensions of Lee and Koh’s (</w:t>
      </w:r>
      <w:r w:rsidR="00C740B2">
        <w:rPr>
          <w:lang w:bidi="hi-IN"/>
        </w:rPr>
        <w:t>21</w:t>
      </w:r>
      <w:r w:rsidRPr="00A1122D">
        <w:rPr>
          <w:lang w:bidi="hi-IN"/>
        </w:rPr>
        <w:t xml:space="preserve">) </w:t>
      </w:r>
      <w:r w:rsidR="001F3A27">
        <w:rPr>
          <w:lang w:bidi="hi-IN"/>
        </w:rPr>
        <w:t>empowerment</w:t>
      </w:r>
      <w:r w:rsidRPr="00A1122D">
        <w:rPr>
          <w:lang w:bidi="hi-IN"/>
        </w:rPr>
        <w:t xml:space="preserve"> experience. M</w:t>
      </w:r>
      <w:r w:rsidR="009D7F52">
        <w:rPr>
          <w:lang w:bidi="hi-IN"/>
        </w:rPr>
        <w:t>aynard, Gilson and Mathieu (</w:t>
      </w:r>
      <w:r w:rsidR="00C740B2">
        <w:rPr>
          <w:lang w:bidi="hi-IN"/>
        </w:rPr>
        <w:t>23</w:t>
      </w:r>
      <w:r w:rsidRPr="00A1122D">
        <w:rPr>
          <w:lang w:bidi="hi-IN"/>
        </w:rPr>
        <w:t xml:space="preserve">) further argue that while researchers too often, and understandably, collapse the dimensions of individual level psychological </w:t>
      </w:r>
      <w:r w:rsidR="001F3A27">
        <w:rPr>
          <w:lang w:bidi="hi-IN"/>
        </w:rPr>
        <w:t>empowerment</w:t>
      </w:r>
      <w:r w:rsidR="00DD6915">
        <w:rPr>
          <w:lang w:bidi="hi-IN"/>
        </w:rPr>
        <w:t xml:space="preserve"> (</w:t>
      </w:r>
      <w:r w:rsidRPr="00A1122D">
        <w:rPr>
          <w:lang w:bidi="hi-IN"/>
        </w:rPr>
        <w:t>choice, competence, meaningfulness and impact</w:t>
      </w:r>
      <w:r w:rsidR="00DD6915">
        <w:rPr>
          <w:lang w:bidi="hi-IN"/>
        </w:rPr>
        <w:t>)</w:t>
      </w:r>
      <w:r w:rsidRPr="00A1122D">
        <w:rPr>
          <w:lang w:bidi="hi-IN"/>
        </w:rPr>
        <w:t xml:space="preserve"> into a composite measure, it would be better if these dimensions are analysed using an interactional approach. In this paper, we have attempted to do this – a limitation of our effort however is the fact that the REACHOUT study looked at a wide range of issues affecting CHW’s performance, and our data collection </w:t>
      </w:r>
      <w:r w:rsidR="00A37A69">
        <w:rPr>
          <w:lang w:bidi="hi-IN"/>
        </w:rPr>
        <w:t xml:space="preserve">tools  </w:t>
      </w:r>
      <w:r w:rsidRPr="00A1122D">
        <w:rPr>
          <w:lang w:bidi="hi-IN"/>
        </w:rPr>
        <w:t>w</w:t>
      </w:r>
      <w:r w:rsidR="00A37A69">
        <w:rPr>
          <w:lang w:bidi="hi-IN"/>
        </w:rPr>
        <w:t>ere</w:t>
      </w:r>
      <w:r w:rsidRPr="00A1122D">
        <w:rPr>
          <w:lang w:bidi="hi-IN"/>
        </w:rPr>
        <w:t xml:space="preserve"> not  always explicitly oriented to uncover the </w:t>
      </w:r>
      <w:r w:rsidR="001F3A27">
        <w:rPr>
          <w:lang w:bidi="hi-IN"/>
        </w:rPr>
        <w:t>empowerment</w:t>
      </w:r>
      <w:r w:rsidRPr="00A1122D">
        <w:rPr>
          <w:lang w:bidi="hi-IN"/>
        </w:rPr>
        <w:t xml:space="preserve"> experience</w:t>
      </w:r>
      <w:r w:rsidR="00232C49">
        <w:rPr>
          <w:lang w:bidi="hi-IN"/>
        </w:rPr>
        <w:t xml:space="preserve"> </w:t>
      </w:r>
      <w:r w:rsidRPr="00A1122D">
        <w:rPr>
          <w:lang w:bidi="hi-IN"/>
        </w:rPr>
        <w:t xml:space="preserve">of CHWs. </w:t>
      </w:r>
      <w:r w:rsidR="00095EB9">
        <w:rPr>
          <w:lang w:bidi="hi-IN"/>
        </w:rPr>
        <w:t>In addition, and in retrospect, we could have organised our sampling strategy differently</w:t>
      </w:r>
      <w:r w:rsidR="00DD6915">
        <w:rPr>
          <w:lang w:bidi="hi-IN"/>
        </w:rPr>
        <w:t>.</w:t>
      </w:r>
      <w:r w:rsidR="00095EB9">
        <w:rPr>
          <w:lang w:bidi="hi-IN"/>
        </w:rPr>
        <w:t xml:space="preserve"> </w:t>
      </w:r>
      <w:r w:rsidR="00DD6915">
        <w:rPr>
          <w:lang w:bidi="hi-IN"/>
        </w:rPr>
        <w:t>F</w:t>
      </w:r>
      <w:r w:rsidR="00095EB9" w:rsidRPr="00095EB9">
        <w:rPr>
          <w:lang w:bidi="hi-IN"/>
        </w:rPr>
        <w:t>or example</w:t>
      </w:r>
      <w:r w:rsidR="00DD6915">
        <w:rPr>
          <w:lang w:bidi="hi-IN"/>
        </w:rPr>
        <w:t>,</w:t>
      </w:r>
      <w:r w:rsidR="00095EB9" w:rsidRPr="00095EB9">
        <w:rPr>
          <w:lang w:bidi="hi-IN"/>
        </w:rPr>
        <w:t xml:space="preserve"> </w:t>
      </w:r>
      <w:r w:rsidR="00DD6915">
        <w:rPr>
          <w:lang w:bidi="hi-IN"/>
        </w:rPr>
        <w:t>had we stratified our informants</w:t>
      </w:r>
      <w:r w:rsidR="00095EB9" w:rsidRPr="00095EB9">
        <w:rPr>
          <w:lang w:bidi="hi-IN"/>
        </w:rPr>
        <w:t xml:space="preserve"> by characteristics that could influence the</w:t>
      </w:r>
      <w:r w:rsidR="00DD6915">
        <w:rPr>
          <w:lang w:bidi="hi-IN"/>
        </w:rPr>
        <w:t>ir</w:t>
      </w:r>
      <w:r w:rsidR="00095EB9" w:rsidRPr="00095EB9">
        <w:rPr>
          <w:lang w:bidi="hi-IN"/>
        </w:rPr>
        <w:t xml:space="preserve"> </w:t>
      </w:r>
      <w:r w:rsidR="00095EB9">
        <w:rPr>
          <w:lang w:bidi="hi-IN"/>
        </w:rPr>
        <w:t>empowerment experience,</w:t>
      </w:r>
      <w:r w:rsidR="00095EB9" w:rsidRPr="00095EB9">
        <w:rPr>
          <w:lang w:bidi="hi-IN"/>
        </w:rPr>
        <w:t xml:space="preserve"> such as</w:t>
      </w:r>
      <w:r w:rsidR="00095EB9">
        <w:rPr>
          <w:lang w:bidi="hi-IN"/>
        </w:rPr>
        <w:t>,</w:t>
      </w:r>
      <w:r w:rsidR="00DD6915">
        <w:rPr>
          <w:lang w:bidi="hi-IN"/>
        </w:rPr>
        <w:t xml:space="preserve"> years in service</w:t>
      </w:r>
      <w:r w:rsidR="00095EB9">
        <w:rPr>
          <w:lang w:bidi="hi-IN"/>
        </w:rPr>
        <w:t>, age, gender, or common tasks (</w:t>
      </w:r>
      <w:r w:rsidR="00DD6915">
        <w:rPr>
          <w:lang w:bidi="hi-IN"/>
        </w:rPr>
        <w:t>curative</w:t>
      </w:r>
      <w:r w:rsidR="00095EB9">
        <w:rPr>
          <w:lang w:bidi="hi-IN"/>
        </w:rPr>
        <w:t xml:space="preserve"> vs</w:t>
      </w:r>
      <w:r w:rsidR="00DD6915">
        <w:rPr>
          <w:lang w:bidi="hi-IN"/>
        </w:rPr>
        <w:t xml:space="preserve"> promotive vs linkage</w:t>
      </w:r>
      <w:r w:rsidR="00095EB9">
        <w:rPr>
          <w:lang w:bidi="hi-IN"/>
        </w:rPr>
        <w:t>)</w:t>
      </w:r>
      <w:r w:rsidR="00DD6915">
        <w:rPr>
          <w:lang w:bidi="hi-IN"/>
        </w:rPr>
        <w:t xml:space="preserve">, we would have been able to get a better understanding of the antecedents of </w:t>
      </w:r>
      <w:r w:rsidR="00A37A69">
        <w:rPr>
          <w:lang w:bidi="hi-IN"/>
        </w:rPr>
        <w:t xml:space="preserve">the </w:t>
      </w:r>
      <w:r w:rsidR="00DD6915">
        <w:rPr>
          <w:lang w:bidi="hi-IN"/>
        </w:rPr>
        <w:t xml:space="preserve">empowerment experience. </w:t>
      </w:r>
    </w:p>
    <w:p w14:paraId="13BDFC9C" w14:textId="77777777" w:rsidR="00A1122D" w:rsidRPr="00A1122D" w:rsidRDefault="00A1122D" w:rsidP="009B6504">
      <w:pPr>
        <w:autoSpaceDE w:val="0"/>
        <w:autoSpaceDN w:val="0"/>
        <w:adjustRightInd w:val="0"/>
        <w:spacing w:line="480" w:lineRule="auto"/>
        <w:jc w:val="both"/>
        <w:rPr>
          <w:lang w:bidi="hi-IN"/>
        </w:rPr>
      </w:pPr>
    </w:p>
    <w:p w14:paraId="7A90AAA2" w14:textId="1C89F9FB" w:rsidR="00A1122D" w:rsidRPr="00A1122D" w:rsidRDefault="007E4BCD" w:rsidP="009B6504">
      <w:pPr>
        <w:autoSpaceDE w:val="0"/>
        <w:autoSpaceDN w:val="0"/>
        <w:adjustRightInd w:val="0"/>
        <w:spacing w:line="480" w:lineRule="auto"/>
        <w:jc w:val="both"/>
        <w:rPr>
          <w:lang w:bidi="hi-IN"/>
        </w:rPr>
      </w:pPr>
      <w:r>
        <w:rPr>
          <w:lang w:bidi="hi-IN"/>
        </w:rPr>
        <w:t xml:space="preserve">In their recent work, Maes et al (15) make a compelling case for researchers and development practitioners to take a critical view on the gendered political economy of CHW programs; they argue that it is important to unpack the multiple simultaneous narratives at play, and to go beyond the simplistic narratives about CHW’s provision of health services. </w:t>
      </w:r>
      <w:r w:rsidRPr="00A1122D">
        <w:rPr>
          <w:lang w:bidi="hi-IN"/>
        </w:rPr>
        <w:t xml:space="preserve"> </w:t>
      </w:r>
      <w:r>
        <w:rPr>
          <w:lang w:bidi="hi-IN"/>
        </w:rPr>
        <w:t xml:space="preserve">They urge researchers to analyse the claims and narratives of empowerment (and participation), taking due cognizance of </w:t>
      </w:r>
      <w:r w:rsidRPr="00D33193">
        <w:rPr>
          <w:lang w:bidi="hi-IN"/>
        </w:rPr>
        <w:t>existing political</w:t>
      </w:r>
      <w:r>
        <w:rPr>
          <w:lang w:bidi="hi-IN"/>
        </w:rPr>
        <w:t xml:space="preserve">, </w:t>
      </w:r>
      <w:r w:rsidRPr="00D33193">
        <w:rPr>
          <w:lang w:bidi="hi-IN"/>
        </w:rPr>
        <w:t>historical</w:t>
      </w:r>
      <w:r>
        <w:rPr>
          <w:lang w:bidi="hi-IN"/>
        </w:rPr>
        <w:t xml:space="preserve"> and relational context</w:t>
      </w:r>
      <w:r w:rsidR="008A2BE6">
        <w:rPr>
          <w:lang w:bidi="hi-IN"/>
        </w:rPr>
        <w:t xml:space="preserve"> (16)</w:t>
      </w:r>
      <w:r>
        <w:rPr>
          <w:lang w:bidi="hi-IN"/>
        </w:rPr>
        <w:t>. This paper, while it does not cover the whole distance, does cover in detail how the organizational and relational contexts shape CHW’s</w:t>
      </w:r>
      <w:r w:rsidRPr="00D33193">
        <w:rPr>
          <w:lang w:bidi="hi-IN"/>
        </w:rPr>
        <w:t xml:space="preserve"> </w:t>
      </w:r>
      <w:r>
        <w:rPr>
          <w:lang w:bidi="hi-IN"/>
        </w:rPr>
        <w:t xml:space="preserve">empowerment. </w:t>
      </w:r>
      <w:r w:rsidR="00AB088C">
        <w:rPr>
          <w:lang w:bidi="hi-IN"/>
        </w:rPr>
        <w:t xml:space="preserve">Our data </w:t>
      </w:r>
      <w:r w:rsidR="001D0D45">
        <w:rPr>
          <w:lang w:bidi="hi-IN"/>
        </w:rPr>
        <w:t>does</w:t>
      </w:r>
      <w:r w:rsidR="00AB088C" w:rsidRPr="00AB088C">
        <w:rPr>
          <w:lang w:bidi="hi-IN"/>
        </w:rPr>
        <w:t xml:space="preserve"> not allow us to </w:t>
      </w:r>
      <w:r w:rsidR="001D0D45">
        <w:rPr>
          <w:lang w:bidi="hi-IN"/>
        </w:rPr>
        <w:t>comment on</w:t>
      </w:r>
      <w:r w:rsidR="00AB088C" w:rsidRPr="00AB088C">
        <w:rPr>
          <w:lang w:bidi="hi-IN"/>
        </w:rPr>
        <w:t xml:space="preserve"> the broader socio-political-economic contexts shaping th</w:t>
      </w:r>
      <w:r w:rsidR="00AB088C">
        <w:rPr>
          <w:lang w:bidi="hi-IN"/>
        </w:rPr>
        <w:t>e empowerment potential of community health workers,</w:t>
      </w:r>
      <w:r w:rsidR="00AB088C" w:rsidRPr="00AB088C">
        <w:rPr>
          <w:lang w:bidi="hi-IN"/>
        </w:rPr>
        <w:t xml:space="preserve"> hence the omission.</w:t>
      </w:r>
      <w:r w:rsidR="00AB088C">
        <w:rPr>
          <w:lang w:bidi="hi-IN"/>
        </w:rPr>
        <w:t xml:space="preserve"> </w:t>
      </w:r>
      <w:r w:rsidR="00A1122D" w:rsidRPr="00A1122D">
        <w:rPr>
          <w:lang w:bidi="hi-IN"/>
        </w:rPr>
        <w:t xml:space="preserve">We have </w:t>
      </w:r>
      <w:r w:rsidR="00AB088C">
        <w:rPr>
          <w:lang w:bidi="hi-IN"/>
        </w:rPr>
        <w:t xml:space="preserve">however </w:t>
      </w:r>
      <w:r w:rsidR="00A1122D" w:rsidRPr="00A1122D">
        <w:rPr>
          <w:lang w:bidi="hi-IN"/>
        </w:rPr>
        <w:t xml:space="preserve">illustrated how organisational arrangements within CHW programs in LMICs both facilitate and frustrate the CHWs </w:t>
      </w:r>
      <w:r w:rsidR="001F3A27">
        <w:rPr>
          <w:lang w:bidi="hi-IN"/>
        </w:rPr>
        <w:t>empowerment</w:t>
      </w:r>
      <w:r w:rsidR="00A1122D" w:rsidRPr="00A1122D">
        <w:rPr>
          <w:lang w:bidi="hi-IN"/>
        </w:rPr>
        <w:t xml:space="preserve"> experience, and argued for the need for CHW program</w:t>
      </w:r>
      <w:r w:rsidR="0037284C">
        <w:rPr>
          <w:lang w:bidi="hi-IN"/>
        </w:rPr>
        <w:t>s</w:t>
      </w:r>
      <w:r w:rsidR="00A1122D" w:rsidRPr="00A1122D">
        <w:rPr>
          <w:lang w:bidi="hi-IN"/>
        </w:rPr>
        <w:t xml:space="preserve"> to be reoriented to enhance the </w:t>
      </w:r>
      <w:r w:rsidR="001F3A27">
        <w:rPr>
          <w:lang w:bidi="hi-IN"/>
        </w:rPr>
        <w:t>empowerment</w:t>
      </w:r>
      <w:r w:rsidR="00A1122D" w:rsidRPr="00A1122D">
        <w:rPr>
          <w:lang w:bidi="hi-IN"/>
        </w:rPr>
        <w:t xml:space="preserve"> experience of CHWs. </w:t>
      </w:r>
      <w:r>
        <w:rPr>
          <w:lang w:bidi="hi-IN"/>
        </w:rPr>
        <w:t>Worker</w:t>
      </w:r>
      <w:r w:rsidR="00A1122D" w:rsidRPr="00A1122D">
        <w:rPr>
          <w:lang w:bidi="hi-IN"/>
        </w:rPr>
        <w:t xml:space="preserve"> </w:t>
      </w:r>
      <w:r w:rsidR="001F3A27">
        <w:rPr>
          <w:lang w:bidi="hi-IN"/>
        </w:rPr>
        <w:t>empowerment</w:t>
      </w:r>
      <w:r w:rsidR="00A1122D" w:rsidRPr="00A1122D">
        <w:rPr>
          <w:lang w:bidi="hi-IN"/>
        </w:rPr>
        <w:t xml:space="preserve"> and its operationalization is a much</w:t>
      </w:r>
      <w:r>
        <w:rPr>
          <w:lang w:bidi="hi-IN"/>
        </w:rPr>
        <w:t xml:space="preserve"> studied and</w:t>
      </w:r>
      <w:r w:rsidR="00A1122D" w:rsidRPr="00A1122D">
        <w:rPr>
          <w:lang w:bidi="hi-IN"/>
        </w:rPr>
        <w:t xml:space="preserve"> contested subject in organizational studies</w:t>
      </w:r>
      <w:r>
        <w:rPr>
          <w:lang w:bidi="hi-IN"/>
        </w:rPr>
        <w:t xml:space="preserve"> (23)</w:t>
      </w:r>
      <w:r w:rsidR="00A1122D" w:rsidRPr="00A1122D">
        <w:rPr>
          <w:lang w:bidi="hi-IN"/>
        </w:rPr>
        <w:t>. While</w:t>
      </w:r>
      <w:r w:rsidR="00104309">
        <w:rPr>
          <w:lang w:bidi="hi-IN"/>
        </w:rPr>
        <w:t xml:space="preserve"> </w:t>
      </w:r>
      <w:r w:rsidR="00A1122D" w:rsidRPr="00A1122D">
        <w:rPr>
          <w:lang w:bidi="hi-IN"/>
        </w:rPr>
        <w:t xml:space="preserve">there are those who see it as key to the well-being of all parties, others argue that </w:t>
      </w:r>
      <w:r w:rsidR="001F3A27">
        <w:rPr>
          <w:lang w:bidi="hi-IN"/>
        </w:rPr>
        <w:t>empowerment</w:t>
      </w:r>
      <w:r w:rsidR="00A1122D" w:rsidRPr="00A1122D">
        <w:rPr>
          <w:lang w:bidi="hi-IN"/>
        </w:rPr>
        <w:t xml:space="preserve"> initiatives within organizations are always designed to achieve managerial goals – conflict containment, productivity gains, and to maintain the power balance between the employees and the employers</w:t>
      </w:r>
      <w:r w:rsidR="009D7F52">
        <w:rPr>
          <w:lang w:bidi="hi-IN"/>
        </w:rPr>
        <w:t xml:space="preserve"> (</w:t>
      </w:r>
      <w:r w:rsidR="00C740B2">
        <w:rPr>
          <w:lang w:bidi="hi-IN"/>
        </w:rPr>
        <w:t xml:space="preserve"> 46</w:t>
      </w:r>
      <w:r w:rsidR="00274142">
        <w:rPr>
          <w:lang w:bidi="hi-IN"/>
        </w:rPr>
        <w:t>, 47</w:t>
      </w:r>
      <w:r w:rsidR="006F2B89">
        <w:rPr>
          <w:lang w:bidi="hi-IN"/>
        </w:rPr>
        <w:t>)</w:t>
      </w:r>
      <w:r w:rsidR="00A1122D" w:rsidRPr="00A1122D">
        <w:rPr>
          <w:lang w:bidi="hi-IN"/>
        </w:rPr>
        <w:t xml:space="preserve">. </w:t>
      </w:r>
      <w:r w:rsidR="00165E07">
        <w:rPr>
          <w:lang w:bidi="hi-IN"/>
        </w:rPr>
        <w:t>Some</w:t>
      </w:r>
      <w:r w:rsidR="00A1122D" w:rsidRPr="00A1122D">
        <w:rPr>
          <w:lang w:bidi="hi-IN"/>
        </w:rPr>
        <w:t xml:space="preserve"> argue</w:t>
      </w:r>
      <w:r w:rsidR="00632C76">
        <w:rPr>
          <w:lang w:bidi="hi-IN"/>
        </w:rPr>
        <w:t xml:space="preserve">, echoing </w:t>
      </w:r>
      <w:r w:rsidR="00632C76" w:rsidRPr="00A1122D">
        <w:rPr>
          <w:lang w:bidi="hi-IN"/>
        </w:rPr>
        <w:t>the Foucaultian understanding of the concept of governmentality</w:t>
      </w:r>
      <w:r w:rsidR="00632C76">
        <w:rPr>
          <w:lang w:bidi="hi-IN"/>
        </w:rPr>
        <w:t xml:space="preserve"> (48),</w:t>
      </w:r>
      <w:r w:rsidR="00A1122D" w:rsidRPr="00A1122D">
        <w:rPr>
          <w:lang w:bidi="hi-IN"/>
        </w:rPr>
        <w:t xml:space="preserve"> that the worker </w:t>
      </w:r>
      <w:r w:rsidR="001F3A27">
        <w:rPr>
          <w:lang w:bidi="hi-IN"/>
        </w:rPr>
        <w:t>empowerment</w:t>
      </w:r>
      <w:r w:rsidR="00A1122D" w:rsidRPr="00A1122D">
        <w:rPr>
          <w:lang w:bidi="hi-IN"/>
        </w:rPr>
        <w:t xml:space="preserve"> project is but merely an insidious form of managerialism operating through considered and calculated modes of managerial action intended to structure and subject the actions of others – just another forms of subjugation of the worker. Their point being that organisational claims notwithstanding, employee </w:t>
      </w:r>
      <w:r w:rsidR="001F3A27">
        <w:rPr>
          <w:lang w:bidi="hi-IN"/>
        </w:rPr>
        <w:t>empowerment</w:t>
      </w:r>
      <w:r w:rsidR="00A1122D" w:rsidRPr="00A1122D">
        <w:rPr>
          <w:lang w:bidi="hi-IN"/>
        </w:rPr>
        <w:t xml:space="preserve"> initiatives are always at odds with managerial imperatives and interests; and that this would be so for the CHWs too. </w:t>
      </w:r>
      <w:r w:rsidR="00A75C5F">
        <w:rPr>
          <w:lang w:bidi="hi-IN"/>
        </w:rPr>
        <w:t xml:space="preserve">This is echoed to some extent </w:t>
      </w:r>
      <w:r w:rsidR="00A75C5F">
        <w:rPr>
          <w:lang w:bidi="hi-IN"/>
        </w:rPr>
        <w:lastRenderedPageBreak/>
        <w:t>in the REACHOUT country case studies; CHWs and other similar cadres</w:t>
      </w:r>
      <w:r w:rsidR="00A1122D" w:rsidRPr="00A1122D">
        <w:rPr>
          <w:lang w:bidi="hi-IN"/>
        </w:rPr>
        <w:t xml:space="preserve"> </w:t>
      </w:r>
      <w:r w:rsidR="00A75C5F" w:rsidRPr="00A75C5F">
        <w:rPr>
          <w:lang w:bidi="hi-IN"/>
        </w:rPr>
        <w:t xml:space="preserve">are often </w:t>
      </w:r>
      <w:r w:rsidR="00A75C5F">
        <w:rPr>
          <w:lang w:bidi="hi-IN"/>
        </w:rPr>
        <w:t>left to their own devices</w:t>
      </w:r>
      <w:r w:rsidR="00A75C5F" w:rsidRPr="00A75C5F">
        <w:rPr>
          <w:lang w:bidi="hi-IN"/>
        </w:rPr>
        <w:t>, are rarely visited by supervisors and have</w:t>
      </w:r>
      <w:r w:rsidR="00A75C5F">
        <w:rPr>
          <w:lang w:bidi="hi-IN"/>
        </w:rPr>
        <w:t xml:space="preserve"> little</w:t>
      </w:r>
      <w:r w:rsidR="00A75C5F" w:rsidRPr="00A75C5F">
        <w:rPr>
          <w:lang w:bidi="hi-IN"/>
        </w:rPr>
        <w:t xml:space="preserve"> </w:t>
      </w:r>
      <w:r w:rsidR="00A75C5F">
        <w:rPr>
          <w:lang w:bidi="hi-IN"/>
        </w:rPr>
        <w:t xml:space="preserve">decision </w:t>
      </w:r>
      <w:r w:rsidR="00A75C5F" w:rsidRPr="00A75C5F">
        <w:rPr>
          <w:lang w:bidi="hi-IN"/>
        </w:rPr>
        <w:t>space to construct approach</w:t>
      </w:r>
      <w:r w:rsidR="00A75C5F">
        <w:rPr>
          <w:lang w:bidi="hi-IN"/>
        </w:rPr>
        <w:t>es</w:t>
      </w:r>
      <w:r w:rsidR="00A75C5F" w:rsidRPr="00A75C5F">
        <w:rPr>
          <w:lang w:bidi="hi-IN"/>
        </w:rPr>
        <w:t xml:space="preserve"> that </w:t>
      </w:r>
      <w:r w:rsidR="00A75C5F">
        <w:rPr>
          <w:lang w:bidi="hi-IN"/>
        </w:rPr>
        <w:t>would allow them to better respond to the needs of the communities they serve.</w:t>
      </w:r>
    </w:p>
    <w:p w14:paraId="1AEF1160" w14:textId="77777777" w:rsidR="00A1122D" w:rsidRPr="00A1122D" w:rsidRDefault="00A1122D" w:rsidP="009B6504">
      <w:pPr>
        <w:autoSpaceDE w:val="0"/>
        <w:autoSpaceDN w:val="0"/>
        <w:adjustRightInd w:val="0"/>
        <w:spacing w:line="480" w:lineRule="auto"/>
        <w:jc w:val="both"/>
        <w:rPr>
          <w:lang w:bidi="hi-IN"/>
        </w:rPr>
      </w:pPr>
    </w:p>
    <w:p w14:paraId="19ADAF47" w14:textId="00E3F128" w:rsidR="009E070A" w:rsidRDefault="00A1122D" w:rsidP="009B6504">
      <w:pPr>
        <w:autoSpaceDE w:val="0"/>
        <w:autoSpaceDN w:val="0"/>
        <w:adjustRightInd w:val="0"/>
        <w:spacing w:line="480" w:lineRule="auto"/>
        <w:jc w:val="both"/>
        <w:rPr>
          <w:lang w:bidi="hi-IN"/>
        </w:rPr>
      </w:pPr>
      <w:r w:rsidRPr="00A1122D">
        <w:rPr>
          <w:lang w:bidi="hi-IN"/>
        </w:rPr>
        <w:t xml:space="preserve">We </w:t>
      </w:r>
      <w:r w:rsidR="00165E07">
        <w:rPr>
          <w:lang w:bidi="hi-IN"/>
        </w:rPr>
        <w:t xml:space="preserve">however agree with Hardy </w:t>
      </w:r>
      <w:r w:rsidR="009D7F52">
        <w:rPr>
          <w:lang w:bidi="hi-IN"/>
        </w:rPr>
        <w:t>et al (4</w:t>
      </w:r>
      <w:r w:rsidR="00274142">
        <w:rPr>
          <w:lang w:bidi="hi-IN"/>
        </w:rPr>
        <w:t>7</w:t>
      </w:r>
      <w:r w:rsidR="00165E07">
        <w:rPr>
          <w:lang w:bidi="hi-IN"/>
        </w:rPr>
        <w:t>)</w:t>
      </w:r>
      <w:r w:rsidR="00B50B19">
        <w:rPr>
          <w:lang w:bidi="hi-IN"/>
        </w:rPr>
        <w:t xml:space="preserve"> </w:t>
      </w:r>
      <w:r w:rsidR="00165E07">
        <w:rPr>
          <w:lang w:bidi="hi-IN"/>
        </w:rPr>
        <w:t>tha</w:t>
      </w:r>
      <w:r w:rsidR="00A75C5F">
        <w:rPr>
          <w:lang w:bidi="hi-IN"/>
        </w:rPr>
        <w:t>t</w:t>
      </w:r>
      <w:r w:rsidR="00165E07">
        <w:rPr>
          <w:lang w:bidi="hi-IN"/>
        </w:rPr>
        <w:t xml:space="preserve"> while there might be some point to these arguments, </w:t>
      </w:r>
      <w:r w:rsidR="00104309">
        <w:rPr>
          <w:lang w:bidi="hi-IN"/>
        </w:rPr>
        <w:t xml:space="preserve">one misses the point if one </w:t>
      </w:r>
      <w:r w:rsidR="00165E07">
        <w:rPr>
          <w:lang w:bidi="hi-IN"/>
        </w:rPr>
        <w:t>generaliz</w:t>
      </w:r>
      <w:r w:rsidR="00104309">
        <w:rPr>
          <w:lang w:bidi="hi-IN"/>
        </w:rPr>
        <w:t>es</w:t>
      </w:r>
      <w:r w:rsidR="00165E07">
        <w:rPr>
          <w:lang w:bidi="hi-IN"/>
        </w:rPr>
        <w:t xml:space="preserve"> th</w:t>
      </w:r>
      <w:r w:rsidR="00104309">
        <w:rPr>
          <w:lang w:bidi="hi-IN"/>
        </w:rPr>
        <w:t>em.</w:t>
      </w:r>
      <w:r w:rsidR="00165E07">
        <w:rPr>
          <w:lang w:bidi="hi-IN"/>
        </w:rPr>
        <w:t xml:space="preserve"> </w:t>
      </w:r>
      <w:r w:rsidR="00104309">
        <w:rPr>
          <w:lang w:bidi="hi-IN"/>
        </w:rPr>
        <w:t>A</w:t>
      </w:r>
      <w:r w:rsidR="00165E07">
        <w:rPr>
          <w:lang w:bidi="hi-IN"/>
        </w:rPr>
        <w:t>nd that empowerment initiatives</w:t>
      </w:r>
      <w:r w:rsidR="00104309">
        <w:rPr>
          <w:lang w:bidi="hi-IN"/>
        </w:rPr>
        <w:t xml:space="preserve"> </w:t>
      </w:r>
      <w:r w:rsidR="00165E07">
        <w:rPr>
          <w:lang w:bidi="hi-IN"/>
        </w:rPr>
        <w:t>may improve the quality of the work environment</w:t>
      </w:r>
      <w:r w:rsidR="00104309">
        <w:rPr>
          <w:lang w:bidi="hi-IN"/>
        </w:rPr>
        <w:t xml:space="preserve"> for the workers</w:t>
      </w:r>
      <w:r w:rsidR="00165E07">
        <w:rPr>
          <w:lang w:bidi="hi-IN"/>
        </w:rPr>
        <w:t xml:space="preserve">. We </w:t>
      </w:r>
      <w:r w:rsidRPr="00A1122D">
        <w:rPr>
          <w:lang w:bidi="hi-IN"/>
        </w:rPr>
        <w:t xml:space="preserve">believe that this is </w:t>
      </w:r>
      <w:r w:rsidR="00A75C5F">
        <w:rPr>
          <w:lang w:bidi="hi-IN"/>
        </w:rPr>
        <w:t>probably more so the situation</w:t>
      </w:r>
      <w:r w:rsidR="00165E07">
        <w:rPr>
          <w:lang w:bidi="hi-IN"/>
        </w:rPr>
        <w:t xml:space="preserve"> in the case of</w:t>
      </w:r>
      <w:r w:rsidRPr="00A1122D">
        <w:rPr>
          <w:lang w:bidi="hi-IN"/>
        </w:rPr>
        <w:t xml:space="preserve"> </w:t>
      </w:r>
      <w:r w:rsidR="0037284C">
        <w:rPr>
          <w:lang w:bidi="hi-IN"/>
        </w:rPr>
        <w:t>CHWs</w:t>
      </w:r>
      <w:r w:rsidRPr="00A1122D">
        <w:rPr>
          <w:lang w:bidi="hi-IN"/>
        </w:rPr>
        <w:t xml:space="preserve"> and CHW programs in LMICs. This is because of the unique situation of CHWs in most LMICs – of them being not the usual worker within health systems, them being at the interface of the health system and the communities, and their role as</w:t>
      </w:r>
      <w:r w:rsidR="00A75C5F">
        <w:rPr>
          <w:lang w:bidi="hi-IN"/>
        </w:rPr>
        <w:t xml:space="preserve"> community based, and not facility based health workers</w:t>
      </w:r>
      <w:r w:rsidRPr="00A1122D">
        <w:rPr>
          <w:lang w:bidi="hi-IN"/>
        </w:rPr>
        <w:t xml:space="preserve">, all of which fundamentally limits the </w:t>
      </w:r>
      <w:r w:rsidR="00B50B19">
        <w:rPr>
          <w:lang w:bidi="hi-IN"/>
        </w:rPr>
        <w:t>control that their managers can exercise on them</w:t>
      </w:r>
      <w:r w:rsidRPr="00A1122D">
        <w:rPr>
          <w:lang w:bidi="hi-IN"/>
        </w:rPr>
        <w:t>. Even from a purely organizational and operational perspective, the limitations of the technologies of supervision and control inherent to the deliv</w:t>
      </w:r>
      <w:r w:rsidR="00A75C5F">
        <w:rPr>
          <w:lang w:bidi="hi-IN"/>
        </w:rPr>
        <w:t>ery of community-based</w:t>
      </w:r>
      <w:r w:rsidRPr="00A1122D">
        <w:rPr>
          <w:lang w:bidi="hi-IN"/>
        </w:rPr>
        <w:t xml:space="preserve"> services, necessitates a partnership approach towards CHW cadres. We argue that CHW programs can </w:t>
      </w:r>
      <w:r w:rsidR="0052648F">
        <w:rPr>
          <w:lang w:bidi="hi-IN"/>
        </w:rPr>
        <w:t>perform better</w:t>
      </w:r>
      <w:r w:rsidRPr="00A1122D">
        <w:rPr>
          <w:lang w:bidi="hi-IN"/>
        </w:rPr>
        <w:t xml:space="preserve"> if they systematically partner with and empower CHWs; any managerial attempts at control along the same lines as controlling other health worker cadres can only occur a</w:t>
      </w:r>
      <w:r w:rsidR="000611F7">
        <w:rPr>
          <w:lang w:bidi="hi-IN"/>
        </w:rPr>
        <w:t xml:space="preserve">t the expense of frustrating </w:t>
      </w:r>
      <w:r w:rsidR="000611F7" w:rsidRPr="006D40A6">
        <w:rPr>
          <w:lang w:bidi="hi-IN"/>
        </w:rPr>
        <w:t>an important</w:t>
      </w:r>
      <w:r w:rsidRPr="006D40A6">
        <w:rPr>
          <w:lang w:bidi="hi-IN"/>
        </w:rPr>
        <w:t xml:space="preserve"> purpose</w:t>
      </w:r>
      <w:r w:rsidRPr="00A1122D">
        <w:rPr>
          <w:lang w:bidi="hi-IN"/>
        </w:rPr>
        <w:t xml:space="preserve"> of CHW programs – community-based </w:t>
      </w:r>
      <w:r w:rsidR="001F3A27">
        <w:rPr>
          <w:lang w:bidi="hi-IN"/>
        </w:rPr>
        <w:t>health promotion</w:t>
      </w:r>
      <w:r w:rsidRPr="00A1122D">
        <w:rPr>
          <w:lang w:bidi="hi-IN"/>
        </w:rPr>
        <w:t xml:space="preserve"> and contribution to so</w:t>
      </w:r>
      <w:r w:rsidR="009D7F52">
        <w:rPr>
          <w:lang w:bidi="hi-IN"/>
        </w:rPr>
        <w:t>cial change. Swift &amp; Levin (4</w:t>
      </w:r>
      <w:r w:rsidR="00274142">
        <w:rPr>
          <w:lang w:bidi="hi-IN"/>
        </w:rPr>
        <w:t>9</w:t>
      </w:r>
      <w:r w:rsidRPr="00A1122D">
        <w:rPr>
          <w:lang w:bidi="hi-IN"/>
        </w:rPr>
        <w:t xml:space="preserve">) have convincingly argued that there is nothing in the psychological definition of </w:t>
      </w:r>
      <w:r w:rsidR="001F3A27">
        <w:rPr>
          <w:lang w:bidi="hi-IN"/>
        </w:rPr>
        <w:t>empowerment</w:t>
      </w:r>
      <w:r w:rsidRPr="00A1122D">
        <w:rPr>
          <w:lang w:bidi="hi-IN"/>
        </w:rPr>
        <w:t xml:space="preserve"> that requires the increase of power of one group to decrease the power of another group, and that power does not have to be seen as a zero-sum commodity, but can be a 'win-win' situation – we argue that in the case of CHWs in the LMIC health systems, this is the case. </w:t>
      </w:r>
    </w:p>
    <w:p w14:paraId="5E802590" w14:textId="77777777" w:rsidR="009E070A" w:rsidRDefault="009E070A" w:rsidP="009B6504">
      <w:pPr>
        <w:autoSpaceDE w:val="0"/>
        <w:autoSpaceDN w:val="0"/>
        <w:adjustRightInd w:val="0"/>
        <w:spacing w:line="480" w:lineRule="auto"/>
        <w:jc w:val="both"/>
        <w:rPr>
          <w:lang w:bidi="hi-IN"/>
        </w:rPr>
      </w:pPr>
    </w:p>
    <w:p w14:paraId="0ED926C6" w14:textId="7F6ADA1C" w:rsidR="00DB768E" w:rsidRDefault="000823A4" w:rsidP="009B6504">
      <w:pPr>
        <w:autoSpaceDE w:val="0"/>
        <w:autoSpaceDN w:val="0"/>
        <w:adjustRightInd w:val="0"/>
        <w:spacing w:line="480" w:lineRule="auto"/>
        <w:jc w:val="both"/>
        <w:rPr>
          <w:lang w:bidi="hi-IN"/>
        </w:rPr>
      </w:pPr>
      <w:r>
        <w:rPr>
          <w:lang w:bidi="hi-IN"/>
        </w:rPr>
        <w:lastRenderedPageBreak/>
        <w:t>O</w:t>
      </w:r>
      <w:r w:rsidR="000116FD">
        <w:rPr>
          <w:lang w:bidi="hi-IN"/>
        </w:rPr>
        <w:t xml:space="preserve">ne must </w:t>
      </w:r>
      <w:r w:rsidR="007E4BCD">
        <w:rPr>
          <w:lang w:bidi="hi-IN"/>
        </w:rPr>
        <w:t>however</w:t>
      </w:r>
      <w:r>
        <w:rPr>
          <w:lang w:bidi="hi-IN"/>
        </w:rPr>
        <w:t xml:space="preserve"> </w:t>
      </w:r>
      <w:r w:rsidR="000116FD">
        <w:rPr>
          <w:lang w:bidi="hi-IN"/>
        </w:rPr>
        <w:t xml:space="preserve">recognize that </w:t>
      </w:r>
      <w:r>
        <w:rPr>
          <w:lang w:bidi="hi-IN"/>
        </w:rPr>
        <w:t xml:space="preserve">the </w:t>
      </w:r>
      <w:r w:rsidR="000116FD">
        <w:rPr>
          <w:lang w:bidi="hi-IN"/>
        </w:rPr>
        <w:t xml:space="preserve">healthcare </w:t>
      </w:r>
      <w:r>
        <w:rPr>
          <w:lang w:bidi="hi-IN"/>
        </w:rPr>
        <w:t>profession is</w:t>
      </w:r>
      <w:r w:rsidR="000116FD">
        <w:rPr>
          <w:lang w:bidi="hi-IN"/>
        </w:rPr>
        <w:t xml:space="preserve"> highly hierarchical, with often rigidly defined roles and the privileges that go with these roles. </w:t>
      </w:r>
      <w:r w:rsidR="00DE632A">
        <w:rPr>
          <w:lang w:bidi="hi-IN"/>
        </w:rPr>
        <w:t>We appreciate that</w:t>
      </w:r>
      <w:r w:rsidR="000116FD">
        <w:rPr>
          <w:lang w:bidi="hi-IN"/>
        </w:rPr>
        <w:t xml:space="preserve"> initiative to increase the scope of work of </w:t>
      </w:r>
      <w:r w:rsidR="00241F14">
        <w:rPr>
          <w:lang w:bidi="hi-IN"/>
        </w:rPr>
        <w:t xml:space="preserve">a new group, like </w:t>
      </w:r>
      <w:r w:rsidR="000116FD">
        <w:rPr>
          <w:lang w:bidi="hi-IN"/>
        </w:rPr>
        <w:t xml:space="preserve">CHWs, particularly to include curative tasks, will expectedly be contested and will face resistance, for various reasons, from various existing cadres within the system. </w:t>
      </w:r>
      <w:r w:rsidR="00B0583E">
        <w:rPr>
          <w:lang w:bidi="hi-IN"/>
        </w:rPr>
        <w:t>Furthermore</w:t>
      </w:r>
      <w:r w:rsidR="000116FD">
        <w:rPr>
          <w:lang w:bidi="hi-IN"/>
        </w:rPr>
        <w:t>,</w:t>
      </w:r>
      <w:r w:rsidR="0052648F">
        <w:rPr>
          <w:lang w:bidi="hi-IN"/>
        </w:rPr>
        <w:t xml:space="preserve"> e</w:t>
      </w:r>
      <w:r w:rsidR="009E070A">
        <w:rPr>
          <w:lang w:bidi="hi-IN"/>
        </w:rPr>
        <w:t xml:space="preserve">vidence on the shifting of curative tasks to </w:t>
      </w:r>
      <w:r w:rsidR="0037284C">
        <w:rPr>
          <w:lang w:bidi="hi-IN"/>
        </w:rPr>
        <w:t>CHWs</w:t>
      </w:r>
      <w:r w:rsidR="009E070A">
        <w:rPr>
          <w:lang w:bidi="hi-IN"/>
        </w:rPr>
        <w:t xml:space="preserve"> </w:t>
      </w:r>
      <w:r w:rsidR="007B7D7E">
        <w:rPr>
          <w:lang w:bidi="hi-IN"/>
        </w:rPr>
        <w:t>warn</w:t>
      </w:r>
      <w:r w:rsidR="0052648F">
        <w:rPr>
          <w:lang w:bidi="hi-IN"/>
        </w:rPr>
        <w:t>s</w:t>
      </w:r>
      <w:r w:rsidR="007B7D7E">
        <w:rPr>
          <w:lang w:bidi="hi-IN"/>
        </w:rPr>
        <w:t xml:space="preserve"> of</w:t>
      </w:r>
      <w:r w:rsidR="0052648F">
        <w:rPr>
          <w:lang w:bidi="hi-IN"/>
        </w:rPr>
        <w:t xml:space="preserve"> the problems of</w:t>
      </w:r>
      <w:r w:rsidR="009E070A">
        <w:rPr>
          <w:lang w:bidi="hi-IN"/>
        </w:rPr>
        <w:t xml:space="preserve"> </w:t>
      </w:r>
      <w:r w:rsidR="0052648F">
        <w:rPr>
          <w:lang w:bidi="hi-IN"/>
        </w:rPr>
        <w:t xml:space="preserve">misdiagnosis, delays, and inappropriate disease management; evidence shows that shifting of curative tasks to </w:t>
      </w:r>
      <w:r w:rsidR="0037284C">
        <w:rPr>
          <w:lang w:bidi="hi-IN"/>
        </w:rPr>
        <w:t>CHWs</w:t>
      </w:r>
      <w:r w:rsidR="0052648F">
        <w:rPr>
          <w:lang w:bidi="hi-IN"/>
        </w:rPr>
        <w:t xml:space="preserve"> should only be done within the context of well-functioning health system, and should be limited to few tasks</w:t>
      </w:r>
      <w:r w:rsidR="00E070C2">
        <w:rPr>
          <w:lang w:bidi="hi-IN"/>
        </w:rPr>
        <w:t xml:space="preserve"> (</w:t>
      </w:r>
      <w:r w:rsidR="00C740B2">
        <w:rPr>
          <w:lang w:bidi="hi-IN"/>
        </w:rPr>
        <w:t>50</w:t>
      </w:r>
      <w:r w:rsidR="00274142">
        <w:rPr>
          <w:lang w:bidi="hi-IN"/>
        </w:rPr>
        <w:t>, 51</w:t>
      </w:r>
      <w:r w:rsidR="007B7D7E">
        <w:rPr>
          <w:lang w:bidi="hi-IN"/>
        </w:rPr>
        <w:t>)</w:t>
      </w:r>
      <w:r w:rsidR="0052648F">
        <w:rPr>
          <w:lang w:bidi="hi-IN"/>
        </w:rPr>
        <w:t xml:space="preserve">. </w:t>
      </w:r>
      <w:r w:rsidR="008A2BE6">
        <w:rPr>
          <w:lang w:bidi="hi-IN"/>
        </w:rPr>
        <w:t>We acknowledge this evidence; o</w:t>
      </w:r>
      <w:r w:rsidR="0052648F">
        <w:rPr>
          <w:lang w:bidi="hi-IN"/>
        </w:rPr>
        <w:t>ur</w:t>
      </w:r>
      <w:r w:rsidR="009E070A">
        <w:rPr>
          <w:lang w:bidi="hi-IN"/>
        </w:rPr>
        <w:t xml:space="preserve"> call for </w:t>
      </w:r>
      <w:r w:rsidR="0052648F">
        <w:rPr>
          <w:lang w:bidi="hi-IN"/>
        </w:rPr>
        <w:t>creating an empowering</w:t>
      </w:r>
      <w:r w:rsidR="009E070A">
        <w:rPr>
          <w:lang w:bidi="hi-IN"/>
        </w:rPr>
        <w:t xml:space="preserve"> work environment of CHWs should </w:t>
      </w:r>
      <w:r w:rsidR="008A2BE6">
        <w:rPr>
          <w:lang w:bidi="hi-IN"/>
        </w:rPr>
        <w:t xml:space="preserve">thus </w:t>
      </w:r>
      <w:r w:rsidR="009E070A">
        <w:rPr>
          <w:lang w:bidi="hi-IN"/>
        </w:rPr>
        <w:t xml:space="preserve">not be seen as a call for </w:t>
      </w:r>
      <w:r w:rsidR="0052648F">
        <w:rPr>
          <w:lang w:bidi="hi-IN"/>
        </w:rPr>
        <w:t xml:space="preserve">indiscriminately </w:t>
      </w:r>
      <w:r w:rsidR="009E070A">
        <w:rPr>
          <w:lang w:bidi="hi-IN"/>
        </w:rPr>
        <w:t>expanding the scope of curative tasks</w:t>
      </w:r>
      <w:r w:rsidR="0052648F">
        <w:rPr>
          <w:lang w:bidi="hi-IN"/>
        </w:rPr>
        <w:t xml:space="preserve"> </w:t>
      </w:r>
      <w:r w:rsidR="007B7D7E">
        <w:rPr>
          <w:lang w:bidi="hi-IN"/>
        </w:rPr>
        <w:t xml:space="preserve">of CHWs </w:t>
      </w:r>
      <w:r w:rsidR="0052648F">
        <w:rPr>
          <w:lang w:bidi="hi-IN"/>
        </w:rPr>
        <w:t>(tasks</w:t>
      </w:r>
      <w:r w:rsidR="009E070A">
        <w:rPr>
          <w:lang w:bidi="hi-IN"/>
        </w:rPr>
        <w:t xml:space="preserve"> which CHWs</w:t>
      </w:r>
      <w:r w:rsidR="0052648F">
        <w:rPr>
          <w:lang w:bidi="hi-IN"/>
        </w:rPr>
        <w:t xml:space="preserve"> expectedly find very empowering). </w:t>
      </w:r>
      <w:r w:rsidR="00DB768E">
        <w:rPr>
          <w:lang w:bidi="hi-IN"/>
        </w:rPr>
        <w:t>P</w:t>
      </w:r>
      <w:r w:rsidR="00DB768E" w:rsidRPr="00DB768E">
        <w:rPr>
          <w:lang w:bidi="hi-IN"/>
        </w:rPr>
        <w:t>erhaps</w:t>
      </w:r>
      <w:r w:rsidR="00CC307D">
        <w:rPr>
          <w:lang w:bidi="hi-IN"/>
        </w:rPr>
        <w:t xml:space="preserve">, as the recent review </w:t>
      </w:r>
      <w:r w:rsidR="00241F14">
        <w:rPr>
          <w:lang w:bidi="hi-IN"/>
        </w:rPr>
        <w:t>by Naimoli et ai (5</w:t>
      </w:r>
      <w:r w:rsidR="00274142">
        <w:rPr>
          <w:lang w:bidi="hi-IN"/>
        </w:rPr>
        <w:t>2</w:t>
      </w:r>
      <w:r w:rsidR="00CC307D">
        <w:rPr>
          <w:lang w:bidi="hi-IN"/>
        </w:rPr>
        <w:t>) highlights,</w:t>
      </w:r>
      <w:r w:rsidR="00014FB9">
        <w:rPr>
          <w:lang w:bidi="hi-IN"/>
        </w:rPr>
        <w:t xml:space="preserve"> </w:t>
      </w:r>
      <w:r w:rsidR="008A2BE6">
        <w:rPr>
          <w:lang w:bidi="hi-IN"/>
        </w:rPr>
        <w:t>helping C</w:t>
      </w:r>
      <w:r w:rsidR="00DB768E" w:rsidRPr="00DB768E">
        <w:rPr>
          <w:lang w:bidi="hi-IN"/>
        </w:rPr>
        <w:t>HW</w:t>
      </w:r>
      <w:r w:rsidR="00DB768E">
        <w:rPr>
          <w:lang w:bidi="hi-IN"/>
        </w:rPr>
        <w:t>s and communities to</w:t>
      </w:r>
      <w:r w:rsidR="00DB768E" w:rsidRPr="00DB768E">
        <w:rPr>
          <w:lang w:bidi="hi-IN"/>
        </w:rPr>
        <w:t xml:space="preserve"> better appreciate the importance of the non-curative tasks </w:t>
      </w:r>
      <w:r w:rsidR="00855A8D">
        <w:rPr>
          <w:lang w:bidi="hi-IN"/>
        </w:rPr>
        <w:t>and the critical role they play as the bridge between communities and the health system,</w:t>
      </w:r>
      <w:r w:rsidR="00DB768E">
        <w:rPr>
          <w:lang w:bidi="hi-IN"/>
        </w:rPr>
        <w:t xml:space="preserve"> through</w:t>
      </w:r>
      <w:r w:rsidR="00DB768E" w:rsidRPr="00DB768E">
        <w:rPr>
          <w:lang w:bidi="hi-IN"/>
        </w:rPr>
        <w:t xml:space="preserve"> clear in</w:t>
      </w:r>
      <w:r w:rsidR="00DB768E">
        <w:rPr>
          <w:lang w:bidi="hi-IN"/>
        </w:rPr>
        <w:t xml:space="preserve">clusion of </w:t>
      </w:r>
      <w:r w:rsidR="00855A8D">
        <w:rPr>
          <w:lang w:bidi="hi-IN"/>
        </w:rPr>
        <w:t xml:space="preserve">these messages </w:t>
      </w:r>
      <w:r w:rsidR="00DB768E">
        <w:rPr>
          <w:lang w:bidi="hi-IN"/>
        </w:rPr>
        <w:t xml:space="preserve">in </w:t>
      </w:r>
      <w:r w:rsidR="00855A8D">
        <w:rPr>
          <w:lang w:bidi="hi-IN"/>
        </w:rPr>
        <w:t>the CHW training</w:t>
      </w:r>
      <w:r w:rsidR="00DB768E" w:rsidRPr="00DB768E">
        <w:rPr>
          <w:lang w:bidi="hi-IN"/>
        </w:rPr>
        <w:t xml:space="preserve"> curriculum</w:t>
      </w:r>
      <w:r w:rsidR="00DB768E">
        <w:rPr>
          <w:lang w:bidi="hi-IN"/>
        </w:rPr>
        <w:t xml:space="preserve">, and </w:t>
      </w:r>
      <w:r w:rsidR="00CC307D">
        <w:rPr>
          <w:lang w:bidi="hi-IN"/>
        </w:rPr>
        <w:t xml:space="preserve">its </w:t>
      </w:r>
      <w:r w:rsidR="00DB768E">
        <w:rPr>
          <w:lang w:bidi="hi-IN"/>
        </w:rPr>
        <w:t>regular reiteration by other cadres</w:t>
      </w:r>
      <w:r w:rsidR="008A2BE6">
        <w:rPr>
          <w:lang w:bidi="hi-IN"/>
        </w:rPr>
        <w:t>, could be a way forward</w:t>
      </w:r>
      <w:r w:rsidR="00DB768E" w:rsidRPr="00DB768E">
        <w:rPr>
          <w:lang w:bidi="hi-IN"/>
        </w:rPr>
        <w:t>.</w:t>
      </w:r>
      <w:r w:rsidR="00DB768E">
        <w:rPr>
          <w:lang w:bidi="hi-IN"/>
        </w:rPr>
        <w:t xml:space="preserve"> </w:t>
      </w:r>
    </w:p>
    <w:p w14:paraId="3A372E27" w14:textId="77777777" w:rsidR="008A2BE6" w:rsidRDefault="008A2BE6" w:rsidP="009B6504">
      <w:pPr>
        <w:autoSpaceDE w:val="0"/>
        <w:autoSpaceDN w:val="0"/>
        <w:adjustRightInd w:val="0"/>
        <w:spacing w:line="480" w:lineRule="auto"/>
        <w:jc w:val="both"/>
        <w:rPr>
          <w:lang w:bidi="hi-IN"/>
        </w:rPr>
      </w:pPr>
    </w:p>
    <w:p w14:paraId="0518F32A" w14:textId="48B5C8C1" w:rsidR="00A1122D" w:rsidRPr="00A1122D" w:rsidRDefault="008A2BE6" w:rsidP="009B6504">
      <w:pPr>
        <w:autoSpaceDE w:val="0"/>
        <w:autoSpaceDN w:val="0"/>
        <w:adjustRightInd w:val="0"/>
        <w:spacing w:line="480" w:lineRule="auto"/>
        <w:jc w:val="both"/>
        <w:rPr>
          <w:lang w:bidi="hi-IN"/>
        </w:rPr>
      </w:pPr>
      <w:r>
        <w:rPr>
          <w:lang w:bidi="hi-IN"/>
        </w:rPr>
        <w:t>We contend</w:t>
      </w:r>
      <w:r w:rsidR="00986065">
        <w:rPr>
          <w:lang w:bidi="hi-IN"/>
        </w:rPr>
        <w:t xml:space="preserve"> that </w:t>
      </w:r>
      <w:r w:rsidR="00A1122D" w:rsidRPr="00A1122D">
        <w:rPr>
          <w:lang w:bidi="hi-IN"/>
        </w:rPr>
        <w:t xml:space="preserve">CHW programs in LMICs </w:t>
      </w:r>
      <w:r w:rsidR="00986065">
        <w:rPr>
          <w:lang w:bidi="hi-IN"/>
        </w:rPr>
        <w:t>already have many elements that offer an</w:t>
      </w:r>
      <w:r w:rsidR="00A1122D" w:rsidRPr="00A1122D">
        <w:rPr>
          <w:lang w:bidi="hi-IN"/>
        </w:rPr>
        <w:t xml:space="preserve"> empowering experience to CHWs through improving competence, enhancing self-esteem, offering opportunities for meaningful and socially impactful work. We argue that while this is good, these </w:t>
      </w:r>
      <w:r w:rsidR="001F3A27">
        <w:rPr>
          <w:lang w:bidi="hi-IN"/>
        </w:rPr>
        <w:t>empowerment</w:t>
      </w:r>
      <w:r w:rsidR="00A1122D" w:rsidRPr="00A1122D">
        <w:rPr>
          <w:lang w:bidi="hi-IN"/>
        </w:rPr>
        <w:t xml:space="preserve"> influences fall short in translating into CHW’s performance whenever and wherever they are undermined by organizational arrangements and relations that trigger cognitions of being helpless, undervalued and not in control, amongst CHWs. We contend the latter need not be the case; that CHW programs would benefit from systematically interrogating their program design and implementation to identify disempowering organizational and management arrangements, both relational and processual, and to take steps to remedy these. </w:t>
      </w:r>
      <w:r w:rsidR="00A1122D" w:rsidRPr="00A1122D">
        <w:rPr>
          <w:lang w:bidi="hi-IN"/>
        </w:rPr>
        <w:lastRenderedPageBreak/>
        <w:t xml:space="preserve">Doing so would not only improve CHW program performance, it would also </w:t>
      </w:r>
      <w:r w:rsidR="00A1122D" w:rsidRPr="00A1122D">
        <w:rPr>
          <w:bCs/>
          <w:lang w:bidi="hi-IN"/>
        </w:rPr>
        <w:t>pave the way</w:t>
      </w:r>
      <w:r w:rsidR="00A1122D" w:rsidRPr="00A1122D">
        <w:rPr>
          <w:lang w:bidi="hi-IN"/>
        </w:rPr>
        <w:t xml:space="preserve"> for CHWs to meet their potential as agents of social change, beyond their role as</w:t>
      </w:r>
      <w:r w:rsidR="00D97657" w:rsidRPr="00D97657">
        <w:t xml:space="preserve"> </w:t>
      </w:r>
      <w:r w:rsidR="00D97657">
        <w:t>l</w:t>
      </w:r>
      <w:r w:rsidR="00D97657">
        <w:rPr>
          <w:lang w:bidi="hi-IN"/>
        </w:rPr>
        <w:t>inks between the communi</w:t>
      </w:r>
      <w:r w:rsidR="00D97657" w:rsidRPr="00D97657">
        <w:rPr>
          <w:lang w:bidi="hi-IN"/>
        </w:rPr>
        <w:t>ty and the health system</w:t>
      </w:r>
      <w:r w:rsidR="00A1122D" w:rsidRPr="00A1122D">
        <w:rPr>
          <w:lang w:bidi="hi-IN"/>
        </w:rPr>
        <w:t xml:space="preserve">. </w:t>
      </w:r>
    </w:p>
    <w:p w14:paraId="2935577E" w14:textId="77777777" w:rsidR="00A1122D" w:rsidRPr="00A1122D" w:rsidRDefault="00A1122D" w:rsidP="009B6504">
      <w:pPr>
        <w:tabs>
          <w:tab w:val="center" w:pos="4320"/>
        </w:tabs>
        <w:spacing w:line="480" w:lineRule="auto"/>
        <w:rPr>
          <w:b/>
          <w:bCs/>
        </w:rPr>
      </w:pPr>
      <w:r w:rsidRPr="00A1122D">
        <w:rPr>
          <w:b/>
          <w:bCs/>
        </w:rPr>
        <w:tab/>
      </w:r>
    </w:p>
    <w:p w14:paraId="4F982192" w14:textId="77777777" w:rsidR="00A1122D" w:rsidRPr="00DE632A" w:rsidRDefault="00A1122D" w:rsidP="009B6504">
      <w:pPr>
        <w:spacing w:line="480" w:lineRule="auto"/>
        <w:rPr>
          <w:b/>
          <w:bCs/>
          <w:lang w:val="nl-NL"/>
        </w:rPr>
      </w:pPr>
      <w:r w:rsidRPr="00DE632A">
        <w:rPr>
          <w:b/>
          <w:bCs/>
          <w:lang w:val="nl-NL"/>
        </w:rPr>
        <w:t>References:</w:t>
      </w:r>
    </w:p>
    <w:p w14:paraId="131EAE05" w14:textId="77777777" w:rsidR="000823A4" w:rsidRPr="00DE632A" w:rsidRDefault="000823A4" w:rsidP="000823A4">
      <w:pPr>
        <w:spacing w:line="480" w:lineRule="auto"/>
        <w:rPr>
          <w:lang w:val="nl-NL" w:bidi="hi-IN"/>
        </w:rPr>
      </w:pPr>
    </w:p>
    <w:p w14:paraId="188B21DD"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A1122D">
        <w:rPr>
          <w:lang w:bidi="hi-IN"/>
        </w:rPr>
        <w:t>Perry</w:t>
      </w:r>
      <w:r>
        <w:rPr>
          <w:lang w:bidi="hi-IN"/>
        </w:rPr>
        <w:t>,</w:t>
      </w:r>
      <w:r w:rsidRPr="00A1122D">
        <w:rPr>
          <w:lang w:bidi="hi-IN"/>
        </w:rPr>
        <w:t xml:space="preserve"> H</w:t>
      </w:r>
      <w:r>
        <w:rPr>
          <w:lang w:bidi="hi-IN"/>
        </w:rPr>
        <w:t>.</w:t>
      </w:r>
      <w:r w:rsidRPr="00A1122D">
        <w:rPr>
          <w:lang w:bidi="hi-IN"/>
        </w:rPr>
        <w:t>, Zulliger</w:t>
      </w:r>
      <w:r>
        <w:rPr>
          <w:lang w:bidi="hi-IN"/>
        </w:rPr>
        <w:t>,</w:t>
      </w:r>
      <w:r w:rsidRPr="00A1122D">
        <w:rPr>
          <w:lang w:bidi="hi-IN"/>
        </w:rPr>
        <w:t xml:space="preserve"> R</w:t>
      </w:r>
      <w:r>
        <w:rPr>
          <w:lang w:bidi="hi-IN"/>
        </w:rPr>
        <w:t>.</w:t>
      </w:r>
      <w:r w:rsidRPr="00A1122D">
        <w:rPr>
          <w:lang w:bidi="hi-IN"/>
        </w:rPr>
        <w:t>, Rogers</w:t>
      </w:r>
      <w:r>
        <w:rPr>
          <w:lang w:bidi="hi-IN"/>
        </w:rPr>
        <w:t>,</w:t>
      </w:r>
      <w:r w:rsidRPr="00A1122D">
        <w:rPr>
          <w:lang w:bidi="hi-IN"/>
        </w:rPr>
        <w:t xml:space="preserve"> M.</w:t>
      </w:r>
      <w:r>
        <w:rPr>
          <w:lang w:bidi="hi-IN"/>
        </w:rPr>
        <w:t xml:space="preserve"> (2014)</w:t>
      </w:r>
      <w:r w:rsidRPr="00A1122D">
        <w:rPr>
          <w:lang w:bidi="hi-IN"/>
        </w:rPr>
        <w:t xml:space="preserve"> Community</w:t>
      </w:r>
      <w:r>
        <w:rPr>
          <w:lang w:bidi="hi-IN"/>
        </w:rPr>
        <w:t xml:space="preserve"> Health Workers in Low, Middle</w:t>
      </w:r>
      <w:r w:rsidRPr="00A1122D">
        <w:rPr>
          <w:lang w:bidi="hi-IN"/>
        </w:rPr>
        <w:t xml:space="preserve">, and High-Income Countries: An Overview of Their History, Recent Evolution, and Current Effectiveness. </w:t>
      </w:r>
      <w:r w:rsidRPr="00FF487D">
        <w:rPr>
          <w:i/>
          <w:iCs/>
          <w:lang w:bidi="hi-IN"/>
        </w:rPr>
        <w:t>Annual Review of Public Health,</w:t>
      </w:r>
      <w:r>
        <w:rPr>
          <w:lang w:bidi="hi-IN"/>
        </w:rPr>
        <w:t xml:space="preserve"> 35, </w:t>
      </w:r>
      <w:r w:rsidRPr="00A1122D">
        <w:rPr>
          <w:lang w:bidi="hi-IN"/>
        </w:rPr>
        <w:t xml:space="preserve">399–421. </w:t>
      </w:r>
    </w:p>
    <w:p w14:paraId="2C9ECF83" w14:textId="77777777" w:rsidR="00987B56" w:rsidRPr="00C842B6" w:rsidRDefault="00987B56" w:rsidP="00987B56">
      <w:pPr>
        <w:pStyle w:val="ListParagraph"/>
        <w:numPr>
          <w:ilvl w:val="0"/>
          <w:numId w:val="10"/>
        </w:numPr>
        <w:autoSpaceDE w:val="0"/>
        <w:autoSpaceDN w:val="0"/>
        <w:adjustRightInd w:val="0"/>
        <w:spacing w:line="480" w:lineRule="auto"/>
        <w:jc w:val="both"/>
        <w:rPr>
          <w:rFonts w:ascii="Myriad Pro Light" w:hAnsi="Myriad Pro Light" w:cs="Mangal"/>
          <w:sz w:val="24"/>
          <w:szCs w:val="24"/>
          <w:lang w:val="en-GB" w:eastAsia="en-GB" w:bidi="hi-IN"/>
        </w:rPr>
      </w:pPr>
      <w:r w:rsidRPr="00A1122D">
        <w:t>G</w:t>
      </w:r>
      <w:r>
        <w:t>lobal Health Workforce Alliance</w:t>
      </w:r>
      <w:r w:rsidRPr="00A1122D">
        <w:t>.</w:t>
      </w:r>
      <w:r>
        <w:t xml:space="preserve"> (2010)</w:t>
      </w:r>
      <w:r w:rsidRPr="00A1122D">
        <w:t xml:space="preserve"> Global Experience of Community Health Workers for Delivery of Health Related Millennium Development Goals: A Systematic Review, Country Case Studies, and Recommendations for </w:t>
      </w:r>
      <w:r w:rsidRPr="00C842B6">
        <w:rPr>
          <w:lang w:val="en-GB" w:eastAsia="en-GB" w:bidi="hi-IN"/>
        </w:rPr>
        <w:t>Integration into National Health Systems.</w:t>
      </w:r>
      <w:r>
        <w:rPr>
          <w:lang w:val="en-GB" w:eastAsia="en-GB" w:bidi="hi-IN"/>
        </w:rPr>
        <w:t xml:space="preserve"> World Health Organisation</w:t>
      </w:r>
      <w:r w:rsidRPr="00C842B6">
        <w:rPr>
          <w:lang w:val="en-GB" w:eastAsia="en-GB" w:bidi="hi-IN"/>
        </w:rPr>
        <w:t>.</w:t>
      </w:r>
    </w:p>
    <w:p w14:paraId="638B9F37" w14:textId="77777777" w:rsidR="00987B56" w:rsidRDefault="00987B56" w:rsidP="00987B56">
      <w:pPr>
        <w:pStyle w:val="ListParagraph"/>
        <w:numPr>
          <w:ilvl w:val="0"/>
          <w:numId w:val="10"/>
        </w:numPr>
        <w:spacing w:line="480" w:lineRule="auto"/>
      </w:pPr>
      <w:r>
        <w:t xml:space="preserve">Haines, A., Sanders, D., Lehmann, U., Rowe, A.K., Lawn, J.E., Jan, S., Walker, D.G., Bhutta, Z. (2007) Achieving child survival goals: potential contribution of community health workers. </w:t>
      </w:r>
      <w:r w:rsidRPr="004144D5">
        <w:rPr>
          <w:i/>
          <w:iCs/>
        </w:rPr>
        <w:t>Lancet</w:t>
      </w:r>
      <w:r>
        <w:t>, 369, 2121-31.</w:t>
      </w:r>
    </w:p>
    <w:p w14:paraId="7E67FDE2"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Pr>
          <w:lang w:bidi="hi-IN"/>
        </w:rPr>
        <w:t>World Health Organisation. (2006)</w:t>
      </w:r>
      <w:r w:rsidRPr="00A1122D">
        <w:rPr>
          <w:lang w:bidi="hi-IN"/>
        </w:rPr>
        <w:t xml:space="preserve"> The Global Shortage o</w:t>
      </w:r>
      <w:r>
        <w:rPr>
          <w:lang w:bidi="hi-IN"/>
        </w:rPr>
        <w:t>f Health Workers and Its Impact.</w:t>
      </w:r>
      <w:r w:rsidRPr="00A1122D">
        <w:rPr>
          <w:lang w:bidi="hi-IN"/>
        </w:rPr>
        <w:t xml:space="preserve"> </w:t>
      </w:r>
      <w:r w:rsidRPr="004144D5">
        <w:rPr>
          <w:i/>
          <w:iCs/>
          <w:lang w:bidi="hi-IN"/>
        </w:rPr>
        <w:t>WHO Fact Sheet</w:t>
      </w:r>
      <w:r>
        <w:rPr>
          <w:i/>
          <w:iCs/>
          <w:lang w:bidi="hi-IN"/>
        </w:rPr>
        <w:t>,</w:t>
      </w:r>
      <w:r>
        <w:rPr>
          <w:lang w:bidi="hi-IN"/>
        </w:rPr>
        <w:t xml:space="preserve"> 302. </w:t>
      </w:r>
    </w:p>
    <w:p w14:paraId="7683BF6F" w14:textId="77777777" w:rsidR="00987B56" w:rsidRPr="00A1122D" w:rsidRDefault="00987B56" w:rsidP="00987B56">
      <w:pPr>
        <w:pStyle w:val="ListParagraph"/>
        <w:numPr>
          <w:ilvl w:val="0"/>
          <w:numId w:val="10"/>
        </w:numPr>
        <w:autoSpaceDE w:val="0"/>
        <w:autoSpaceDN w:val="0"/>
        <w:adjustRightInd w:val="0"/>
        <w:spacing w:line="480" w:lineRule="auto"/>
      </w:pPr>
      <w:r w:rsidRPr="00C842B6">
        <w:t>Open</w:t>
      </w:r>
      <w:r w:rsidRPr="00A1122D">
        <w:t xml:space="preserve"> Working Group of the General Assembly on Sustainable Development Goals. </w:t>
      </w:r>
      <w:r>
        <w:t>(</w:t>
      </w:r>
      <w:r w:rsidRPr="00A1122D">
        <w:t>2014</w:t>
      </w:r>
      <w:r>
        <w:t xml:space="preserve">). </w:t>
      </w:r>
      <w:r w:rsidRPr="00A1122D">
        <w:t>A/68/970.</w:t>
      </w:r>
      <w:r>
        <w:t xml:space="preserve"> Retrieved from</w:t>
      </w:r>
      <w:r w:rsidRPr="00A1122D">
        <w:t xml:space="preserve">: </w:t>
      </w:r>
      <w:hyperlink r:id="rId8" w:history="1">
        <w:r w:rsidRPr="00C842B6">
          <w:rPr>
            <w:rFonts w:ascii="MyriadPro-Regular" w:hAnsi="MyriadPro-Regular" w:cs="MyriadPro-Regular"/>
            <w:color w:val="0000FF"/>
            <w:u w:val="single"/>
            <w:lang w:eastAsia="en-GB"/>
          </w:rPr>
          <w:t>http://undocs.org/A/68/970</w:t>
        </w:r>
      </w:hyperlink>
      <w:r w:rsidRPr="00C842B6">
        <w:rPr>
          <w:rFonts w:ascii="MyriadPro-Regular" w:hAnsi="MyriadPro-Regular" w:cs="MyriadPro-Regular"/>
          <w:color w:val="0028DE"/>
          <w:lang w:eastAsia="en-GB"/>
        </w:rPr>
        <w:t xml:space="preserve">. </w:t>
      </w:r>
      <w:r>
        <w:t>Accessed: 01/12/</w:t>
      </w:r>
      <w:r w:rsidRPr="00A1122D">
        <w:t>2014.</w:t>
      </w:r>
    </w:p>
    <w:p w14:paraId="3753FABD" w14:textId="77777777" w:rsidR="00987B56" w:rsidRPr="004144D5" w:rsidRDefault="00987B56" w:rsidP="00987B56">
      <w:pPr>
        <w:pStyle w:val="ListParagraph"/>
        <w:numPr>
          <w:ilvl w:val="0"/>
          <w:numId w:val="10"/>
        </w:numPr>
        <w:autoSpaceDE w:val="0"/>
        <w:autoSpaceDN w:val="0"/>
        <w:adjustRightInd w:val="0"/>
        <w:spacing w:line="480" w:lineRule="auto"/>
        <w:jc w:val="both"/>
        <w:rPr>
          <w:lang w:val="en-GB"/>
        </w:rPr>
      </w:pPr>
      <w:r w:rsidRPr="00A1122D">
        <w:t>Kok</w:t>
      </w:r>
      <w:r>
        <w:t>,</w:t>
      </w:r>
      <w:r w:rsidRPr="00A1122D">
        <w:t xml:space="preserve"> M</w:t>
      </w:r>
      <w:r>
        <w:t>.</w:t>
      </w:r>
      <w:r w:rsidRPr="00A1122D">
        <w:t>, de Koning</w:t>
      </w:r>
      <w:r>
        <w:t>,</w:t>
      </w:r>
      <w:r w:rsidRPr="00A1122D">
        <w:t xml:space="preserve"> K</w:t>
      </w:r>
      <w:r>
        <w:t>.</w:t>
      </w:r>
      <w:r w:rsidRPr="00A1122D">
        <w:t>, Ormel</w:t>
      </w:r>
      <w:r>
        <w:t>,</w:t>
      </w:r>
      <w:r w:rsidRPr="00A1122D">
        <w:t xml:space="preserve"> H</w:t>
      </w:r>
      <w:r>
        <w:t>.</w:t>
      </w:r>
      <w:r w:rsidRPr="00A1122D">
        <w:t>, Kane</w:t>
      </w:r>
      <w:r>
        <w:t>,</w:t>
      </w:r>
      <w:r w:rsidRPr="00A1122D">
        <w:t xml:space="preserve"> S.</w:t>
      </w:r>
      <w:r>
        <w:t xml:space="preserve"> (2014)</w:t>
      </w:r>
      <w:r w:rsidRPr="00A1122D">
        <w:t xml:space="preserve"> International literature review on close-to-community providers. An analysis of systematic reviews on effectiveness and a synthesis of studies including factors influencin</w:t>
      </w:r>
      <w:r>
        <w:t>g performance of CTC providers.</w:t>
      </w:r>
      <w:r w:rsidRPr="004144D5">
        <w:rPr>
          <w:lang w:val="en-GB"/>
        </w:rPr>
        <w:t xml:space="preserve"> REACHOUT Consortium.</w:t>
      </w:r>
      <w:r>
        <w:rPr>
          <w:lang w:val="en-GB"/>
        </w:rPr>
        <w:t xml:space="preserve"> Retrieved from: </w:t>
      </w:r>
      <w:hyperlink r:id="rId9" w:history="1">
        <w:r w:rsidRPr="00900196">
          <w:rPr>
            <w:rStyle w:val="Hyperlink"/>
            <w:lang w:val="en-GB"/>
          </w:rPr>
          <w:t>http://www.reachoutconsortium.org/media/2856/reachout-international-literature-review.pdf</w:t>
        </w:r>
      </w:hyperlink>
      <w:r>
        <w:rPr>
          <w:lang w:val="en-GB"/>
        </w:rPr>
        <w:t xml:space="preserve"> . Accessed: 03/01/2016.</w:t>
      </w:r>
    </w:p>
    <w:p w14:paraId="2BC6F06A" w14:textId="77777777" w:rsidR="00987B56" w:rsidRPr="00A1122D" w:rsidRDefault="00987B56" w:rsidP="00987B56">
      <w:pPr>
        <w:pStyle w:val="ListParagraph"/>
        <w:numPr>
          <w:ilvl w:val="0"/>
          <w:numId w:val="10"/>
        </w:numPr>
        <w:spacing w:line="480" w:lineRule="auto"/>
        <w:jc w:val="both"/>
        <w:rPr>
          <w:lang w:bidi="hi-IN"/>
        </w:rPr>
      </w:pPr>
      <w:r w:rsidRPr="00A1122D">
        <w:rPr>
          <w:lang w:bidi="hi-IN"/>
        </w:rPr>
        <w:t>Gilmore</w:t>
      </w:r>
      <w:r>
        <w:rPr>
          <w:lang w:bidi="hi-IN"/>
        </w:rPr>
        <w:t>,</w:t>
      </w:r>
      <w:r w:rsidRPr="00A1122D">
        <w:rPr>
          <w:lang w:bidi="hi-IN"/>
        </w:rPr>
        <w:t xml:space="preserve"> B</w:t>
      </w:r>
      <w:r>
        <w:rPr>
          <w:lang w:bidi="hi-IN"/>
        </w:rPr>
        <w:t>.</w:t>
      </w:r>
      <w:r w:rsidRPr="00A1122D">
        <w:rPr>
          <w:lang w:bidi="hi-IN"/>
        </w:rPr>
        <w:t>, McAuliffe</w:t>
      </w:r>
      <w:r>
        <w:rPr>
          <w:lang w:bidi="hi-IN"/>
        </w:rPr>
        <w:t>,</w:t>
      </w:r>
      <w:r w:rsidRPr="00A1122D">
        <w:rPr>
          <w:lang w:bidi="hi-IN"/>
        </w:rPr>
        <w:t xml:space="preserve"> E. </w:t>
      </w:r>
      <w:r>
        <w:rPr>
          <w:lang w:bidi="hi-IN"/>
        </w:rPr>
        <w:t xml:space="preserve">(2013) </w:t>
      </w:r>
      <w:r w:rsidRPr="00A1122D">
        <w:rPr>
          <w:lang w:bidi="hi-IN"/>
        </w:rPr>
        <w:t>Effectiveness of community health workers delivering preventive interventions for ma</w:t>
      </w:r>
      <w:r>
        <w:rPr>
          <w:lang w:bidi="hi-IN"/>
        </w:rPr>
        <w:t xml:space="preserve">ternal and child health in low </w:t>
      </w:r>
      <w:r w:rsidRPr="00A1122D">
        <w:rPr>
          <w:lang w:bidi="hi-IN"/>
        </w:rPr>
        <w:t xml:space="preserve">and middle-income countries: a systematic review. </w:t>
      </w:r>
      <w:r w:rsidRPr="004144D5">
        <w:rPr>
          <w:i/>
          <w:iCs/>
          <w:lang w:bidi="hi-IN"/>
        </w:rPr>
        <w:t>BMC Public Health</w:t>
      </w:r>
      <w:r>
        <w:rPr>
          <w:lang w:bidi="hi-IN"/>
        </w:rPr>
        <w:t xml:space="preserve">. </w:t>
      </w:r>
      <w:r w:rsidRPr="00A1122D">
        <w:rPr>
          <w:lang w:bidi="hi-IN"/>
        </w:rPr>
        <w:t xml:space="preserve">13:847.  </w:t>
      </w:r>
    </w:p>
    <w:p w14:paraId="0A01DE7D"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A1122D">
        <w:rPr>
          <w:lang w:bidi="hi-IN"/>
        </w:rPr>
        <w:t>Perry</w:t>
      </w:r>
      <w:r>
        <w:rPr>
          <w:lang w:bidi="hi-IN"/>
        </w:rPr>
        <w:t>,</w:t>
      </w:r>
      <w:r w:rsidRPr="00A1122D">
        <w:rPr>
          <w:lang w:bidi="hi-IN"/>
        </w:rPr>
        <w:t xml:space="preserve"> H</w:t>
      </w:r>
      <w:r>
        <w:rPr>
          <w:lang w:bidi="hi-IN"/>
        </w:rPr>
        <w:t>.</w:t>
      </w:r>
      <w:r w:rsidRPr="00A1122D">
        <w:rPr>
          <w:lang w:bidi="hi-IN"/>
        </w:rPr>
        <w:t>, Zulliger</w:t>
      </w:r>
      <w:r>
        <w:rPr>
          <w:lang w:bidi="hi-IN"/>
        </w:rPr>
        <w:t>,</w:t>
      </w:r>
      <w:r w:rsidRPr="00A1122D">
        <w:rPr>
          <w:lang w:bidi="hi-IN"/>
        </w:rPr>
        <w:t xml:space="preserve"> R.</w:t>
      </w:r>
      <w:r>
        <w:rPr>
          <w:lang w:bidi="hi-IN"/>
        </w:rPr>
        <w:t xml:space="preserve"> (2012)</w:t>
      </w:r>
      <w:r w:rsidRPr="00A1122D">
        <w:rPr>
          <w:lang w:bidi="hi-IN"/>
        </w:rPr>
        <w:t xml:space="preserve"> How effective are community health workers? An overview of current evidence with recommendations for strengthening community health worker programs to accelerate progress in achieving the health-related Mil</w:t>
      </w:r>
      <w:r>
        <w:rPr>
          <w:lang w:bidi="hi-IN"/>
        </w:rPr>
        <w:t xml:space="preserve">lennium Development Goals. </w:t>
      </w:r>
      <w:r w:rsidRPr="004144D5">
        <w:rPr>
          <w:lang w:bidi="hi-IN"/>
        </w:rPr>
        <w:t>Johns Hopkins Bloomberg School of Public Health</w:t>
      </w:r>
      <w:r>
        <w:rPr>
          <w:lang w:bidi="hi-IN"/>
        </w:rPr>
        <w:t xml:space="preserve">. Retrieved from: </w:t>
      </w:r>
      <w:hyperlink r:id="rId10" w:history="1">
        <w:r w:rsidRPr="00900196">
          <w:rPr>
            <w:rStyle w:val="Hyperlink"/>
            <w:lang w:bidi="hi-IN"/>
          </w:rPr>
          <w:t>http://www.coregroup.org/storage/Program_Learning/Community_Health_Workers/review%20of%20chw%20effectiveness%20for%20mdgs-sept2012.pdf</w:t>
        </w:r>
      </w:hyperlink>
      <w:r>
        <w:rPr>
          <w:lang w:bidi="hi-IN"/>
        </w:rPr>
        <w:t xml:space="preserve"> Accessed: 03/01/2016.</w:t>
      </w:r>
    </w:p>
    <w:p w14:paraId="04C11BEF" w14:textId="77777777" w:rsidR="00987B56" w:rsidRDefault="00987B56" w:rsidP="00987B56">
      <w:pPr>
        <w:pStyle w:val="ListParagraph"/>
        <w:numPr>
          <w:ilvl w:val="0"/>
          <w:numId w:val="10"/>
        </w:numPr>
        <w:autoSpaceDE w:val="0"/>
        <w:autoSpaceDN w:val="0"/>
        <w:adjustRightInd w:val="0"/>
        <w:spacing w:line="480" w:lineRule="auto"/>
      </w:pPr>
      <w:r>
        <w:t>De Koning, K.</w:t>
      </w:r>
      <w:r w:rsidRPr="0034782D">
        <w:t>,</w:t>
      </w:r>
      <w:r>
        <w:t xml:space="preserve"> Kok, M.,</w:t>
      </w:r>
      <w:r w:rsidRPr="0034782D">
        <w:t xml:space="preserve"> Ormel</w:t>
      </w:r>
      <w:r>
        <w:t>,</w:t>
      </w:r>
      <w:r w:rsidRPr="0034782D">
        <w:t xml:space="preserve"> H</w:t>
      </w:r>
      <w:r>
        <w:t>.</w:t>
      </w:r>
      <w:r w:rsidRPr="0034782D">
        <w:t>, Kane</w:t>
      </w:r>
      <w:r>
        <w:t>,</w:t>
      </w:r>
      <w:r w:rsidRPr="0034782D">
        <w:t xml:space="preserve"> S</w:t>
      </w:r>
      <w:r>
        <w:t>.</w:t>
      </w:r>
      <w:r w:rsidRPr="0034782D">
        <w:t>, Rashid</w:t>
      </w:r>
      <w:r>
        <w:t>,</w:t>
      </w:r>
      <w:r w:rsidRPr="0034782D">
        <w:t xml:space="preserve"> S</w:t>
      </w:r>
      <w:r>
        <w:t>.</w:t>
      </w:r>
      <w:r w:rsidRPr="0034782D">
        <w:t>, Sarker</w:t>
      </w:r>
      <w:r>
        <w:t>,</w:t>
      </w:r>
      <w:r w:rsidRPr="0034782D">
        <w:t xml:space="preserve"> M</w:t>
      </w:r>
      <w:r>
        <w:t>.</w:t>
      </w:r>
      <w:r w:rsidRPr="0034782D">
        <w:t>, Gemechu</w:t>
      </w:r>
      <w:r>
        <w:t>,</w:t>
      </w:r>
      <w:r w:rsidRPr="0034782D">
        <w:t xml:space="preserve"> D</w:t>
      </w:r>
      <w:r>
        <w:t>.</w:t>
      </w:r>
      <w:r w:rsidRPr="0034782D">
        <w:t>, Ahmed</w:t>
      </w:r>
      <w:r>
        <w:t>,</w:t>
      </w:r>
      <w:r w:rsidRPr="0034782D">
        <w:t xml:space="preserve"> R</w:t>
      </w:r>
      <w:r>
        <w:t>.</w:t>
      </w:r>
      <w:r w:rsidRPr="0034782D">
        <w:t>, Syafruddin</w:t>
      </w:r>
      <w:r>
        <w:t>,</w:t>
      </w:r>
      <w:r w:rsidRPr="0034782D">
        <w:t xml:space="preserve"> D</w:t>
      </w:r>
      <w:r>
        <w:t>.</w:t>
      </w:r>
      <w:r w:rsidRPr="0034782D">
        <w:t>, Otiso</w:t>
      </w:r>
      <w:r>
        <w:t>,</w:t>
      </w:r>
      <w:r w:rsidRPr="0034782D">
        <w:t xml:space="preserve"> L</w:t>
      </w:r>
      <w:r>
        <w:t xml:space="preserve">., Namakhoma, </w:t>
      </w:r>
      <w:r w:rsidRPr="0034782D">
        <w:t>I</w:t>
      </w:r>
      <w:r>
        <w:t>.</w:t>
      </w:r>
      <w:r w:rsidRPr="0034782D">
        <w:t>, Sidat</w:t>
      </w:r>
      <w:r>
        <w:t>,</w:t>
      </w:r>
      <w:r w:rsidRPr="0034782D">
        <w:t xml:space="preserve"> M</w:t>
      </w:r>
      <w:r>
        <w:t>.</w:t>
      </w:r>
      <w:r w:rsidRPr="0034782D">
        <w:t>, Tulloch</w:t>
      </w:r>
      <w:r>
        <w:t>,</w:t>
      </w:r>
      <w:r w:rsidRPr="0034782D">
        <w:t xml:space="preserve"> O</w:t>
      </w:r>
      <w:r>
        <w:t>.</w:t>
      </w:r>
      <w:r w:rsidRPr="0034782D">
        <w:t>, T</w:t>
      </w:r>
      <w:r>
        <w:t>heobald, S., Taegtmeyer, M. (2014).</w:t>
      </w:r>
      <w:r w:rsidRPr="0034782D">
        <w:t xml:space="preserve"> Synthesis of the inter-country context analysis in Bangladesh, Ethiopia, Indonesia, Kenya, Malawi and Mozambique and the international literature review.</w:t>
      </w:r>
      <w:r>
        <w:t xml:space="preserve"> </w:t>
      </w:r>
      <w:r w:rsidRPr="00B80177">
        <w:rPr>
          <w:i/>
          <w:iCs/>
        </w:rPr>
        <w:t>REACHOUT Consortium</w:t>
      </w:r>
      <w:r>
        <w:t>. Retrieved from:</w:t>
      </w:r>
      <w:hyperlink r:id="rId11" w:history="1">
        <w:r w:rsidRPr="00BB1D76">
          <w:rPr>
            <w:rStyle w:val="Hyperlink"/>
          </w:rPr>
          <w:t>http://www.reachoutconsortium.org/media/2859/reachout-inter-country-analysis-and-framework-report.pdf</w:t>
        </w:r>
      </w:hyperlink>
      <w:r>
        <w:t xml:space="preserve"> . Accessed: 24/072015.</w:t>
      </w:r>
    </w:p>
    <w:p w14:paraId="7F594DFA" w14:textId="77777777" w:rsidR="00987B56" w:rsidRDefault="00987B56" w:rsidP="00987B56">
      <w:pPr>
        <w:pStyle w:val="ListParagraph"/>
        <w:numPr>
          <w:ilvl w:val="0"/>
          <w:numId w:val="10"/>
        </w:numPr>
        <w:autoSpaceDE w:val="0"/>
        <w:autoSpaceDN w:val="0"/>
        <w:adjustRightInd w:val="0"/>
        <w:spacing w:line="480" w:lineRule="auto"/>
        <w:jc w:val="both"/>
        <w:rPr>
          <w:lang w:bidi="hi-IN"/>
        </w:rPr>
      </w:pPr>
      <w:r>
        <w:t xml:space="preserve">Maes, K., Closser, S., Kalofonos, I. (2014). Listening to Community Health Workers: How Ethnographic Research Can Inform Positive Working Relationships among Community Health Workers, Health Institutions, and Communities. </w:t>
      </w:r>
      <w:r w:rsidRPr="00B80177">
        <w:rPr>
          <w:i/>
          <w:iCs/>
        </w:rPr>
        <w:t>American Journal of Public Health</w:t>
      </w:r>
      <w:r>
        <w:t>. 104,e5–e9.</w:t>
      </w:r>
    </w:p>
    <w:p w14:paraId="20116BD4" w14:textId="77777777" w:rsidR="00987B56" w:rsidRDefault="00987B56" w:rsidP="00987B56">
      <w:pPr>
        <w:pStyle w:val="ListParagraph"/>
        <w:numPr>
          <w:ilvl w:val="0"/>
          <w:numId w:val="10"/>
        </w:numPr>
        <w:autoSpaceDE w:val="0"/>
        <w:autoSpaceDN w:val="0"/>
        <w:adjustRightInd w:val="0"/>
        <w:spacing w:line="480" w:lineRule="auto"/>
      </w:pPr>
      <w:r>
        <w:lastRenderedPageBreak/>
        <w:t xml:space="preserve"> </w:t>
      </w:r>
      <w:r w:rsidRPr="00A1122D">
        <w:rPr>
          <w:lang w:bidi="hi-IN"/>
        </w:rPr>
        <w:t>Bhatia</w:t>
      </w:r>
      <w:r>
        <w:rPr>
          <w:lang w:bidi="hi-IN"/>
        </w:rPr>
        <w:t>,</w:t>
      </w:r>
      <w:r w:rsidRPr="00A1122D">
        <w:rPr>
          <w:lang w:bidi="hi-IN"/>
        </w:rPr>
        <w:t xml:space="preserve"> K. </w:t>
      </w:r>
      <w:r>
        <w:rPr>
          <w:lang w:bidi="hi-IN"/>
        </w:rPr>
        <w:t xml:space="preserve">(2014). </w:t>
      </w:r>
      <w:r w:rsidRPr="00A1122D">
        <w:rPr>
          <w:lang w:bidi="hi-IN"/>
        </w:rPr>
        <w:t xml:space="preserve">Community health worker programs in India: a rights-based review. </w:t>
      </w:r>
      <w:r w:rsidRPr="00B80177">
        <w:rPr>
          <w:i/>
          <w:iCs/>
          <w:lang w:bidi="hi-IN"/>
        </w:rPr>
        <w:t>Perspectives in Public Health</w:t>
      </w:r>
      <w:r>
        <w:rPr>
          <w:lang w:bidi="hi-IN"/>
        </w:rPr>
        <w:t>. 134,</w:t>
      </w:r>
      <w:r w:rsidRPr="00A1122D">
        <w:rPr>
          <w:lang w:bidi="hi-IN"/>
        </w:rPr>
        <w:t xml:space="preserve"> 276.</w:t>
      </w:r>
      <w:r w:rsidRPr="00B80177">
        <w:t xml:space="preserve"> </w:t>
      </w:r>
      <w:r w:rsidRPr="00B80177">
        <w:rPr>
          <w:lang w:bidi="hi-IN"/>
        </w:rPr>
        <w:t>DOI: 10.1177/1757913914543446</w:t>
      </w:r>
    </w:p>
    <w:p w14:paraId="57626F2B" w14:textId="77777777" w:rsidR="00987B56" w:rsidRPr="00A1122D" w:rsidRDefault="00987B56" w:rsidP="00987B56">
      <w:pPr>
        <w:pStyle w:val="ListParagraph"/>
        <w:numPr>
          <w:ilvl w:val="0"/>
          <w:numId w:val="10"/>
        </w:numPr>
        <w:autoSpaceDE w:val="0"/>
        <w:autoSpaceDN w:val="0"/>
        <w:adjustRightInd w:val="0"/>
        <w:spacing w:line="480" w:lineRule="auto"/>
      </w:pPr>
      <w:r w:rsidRPr="00A1122D">
        <w:t>Labonté</w:t>
      </w:r>
      <w:r>
        <w:t>,</w:t>
      </w:r>
      <w:r w:rsidRPr="00A1122D">
        <w:t xml:space="preserve"> R</w:t>
      </w:r>
      <w:r>
        <w:t>.</w:t>
      </w:r>
      <w:r w:rsidRPr="00A1122D">
        <w:t>, Laverack</w:t>
      </w:r>
      <w:r>
        <w:t>,</w:t>
      </w:r>
      <w:r w:rsidRPr="00A1122D">
        <w:t xml:space="preserve"> G.</w:t>
      </w:r>
      <w:r>
        <w:t xml:space="preserve"> (2006).</w:t>
      </w:r>
      <w:r w:rsidRPr="00A1122D">
        <w:t xml:space="preserve"> From local to global </w:t>
      </w:r>
      <w:r>
        <w:t>empowerment</w:t>
      </w:r>
      <w:r w:rsidRPr="00A1122D">
        <w:t xml:space="preserve">: </w:t>
      </w:r>
      <w:r>
        <w:t>Health promotion in action.</w:t>
      </w:r>
      <w:r w:rsidRPr="00A1122D">
        <w:t xml:space="preserve"> </w:t>
      </w:r>
      <w:r w:rsidRPr="00B80177">
        <w:rPr>
          <w:i/>
          <w:iCs/>
        </w:rPr>
        <w:t>Palgrave Macmillan.</w:t>
      </w:r>
      <w:r>
        <w:t xml:space="preserve"> Great Britain.</w:t>
      </w:r>
    </w:p>
    <w:p w14:paraId="764FA593" w14:textId="77777777" w:rsidR="00987B56" w:rsidRPr="00A1122D" w:rsidRDefault="00987B56" w:rsidP="00987B56">
      <w:pPr>
        <w:pStyle w:val="ListParagraph"/>
        <w:numPr>
          <w:ilvl w:val="0"/>
          <w:numId w:val="10"/>
        </w:numPr>
        <w:autoSpaceDE w:val="0"/>
        <w:autoSpaceDN w:val="0"/>
        <w:adjustRightInd w:val="0"/>
        <w:spacing w:line="480" w:lineRule="auto"/>
      </w:pPr>
      <w:r w:rsidRPr="0092384B">
        <w:rPr>
          <w:lang w:val="nl-NL"/>
        </w:rPr>
        <w:t xml:space="preserve">Rootman, I., Goodstadt, M., Hyndman, B., McQueen, D.V, Potvin, L., Springett, J., Ziglio, E. (2001). </w:t>
      </w:r>
      <w:r w:rsidRPr="00A1122D">
        <w:t xml:space="preserve">Evaluation in </w:t>
      </w:r>
      <w:r>
        <w:t>health promotion</w:t>
      </w:r>
      <w:r w:rsidRPr="00A1122D">
        <w:t>: Pri</w:t>
      </w:r>
      <w:r>
        <w:t xml:space="preserve">nciples and perspectives. </w:t>
      </w:r>
      <w:r w:rsidRPr="00B80177">
        <w:rPr>
          <w:i/>
          <w:iCs/>
        </w:rPr>
        <w:t>WHO Regional Publications, European Series</w:t>
      </w:r>
      <w:r>
        <w:t xml:space="preserve">. </w:t>
      </w:r>
      <w:r w:rsidRPr="00A1122D">
        <w:t>No. 92.</w:t>
      </w:r>
    </w:p>
    <w:p w14:paraId="688FFA40" w14:textId="77777777" w:rsidR="00987B56" w:rsidRPr="00C842B6" w:rsidRDefault="00987B56" w:rsidP="00987B56">
      <w:pPr>
        <w:pStyle w:val="ListParagraph"/>
        <w:numPr>
          <w:ilvl w:val="0"/>
          <w:numId w:val="10"/>
        </w:numPr>
        <w:autoSpaceDE w:val="0"/>
        <w:autoSpaceDN w:val="0"/>
        <w:adjustRightInd w:val="0"/>
        <w:spacing w:line="480" w:lineRule="auto"/>
        <w:rPr>
          <w:sz w:val="19"/>
          <w:szCs w:val="19"/>
        </w:rPr>
      </w:pPr>
      <w:r w:rsidRPr="00A1122D">
        <w:rPr>
          <w:lang w:bidi="hi-IN"/>
        </w:rPr>
        <w:t>Tulenko</w:t>
      </w:r>
      <w:r>
        <w:rPr>
          <w:lang w:bidi="hi-IN"/>
        </w:rPr>
        <w:t>,</w:t>
      </w:r>
      <w:r w:rsidRPr="00A1122D">
        <w:rPr>
          <w:lang w:bidi="hi-IN"/>
        </w:rPr>
        <w:t xml:space="preserve"> K</w:t>
      </w:r>
      <w:r>
        <w:rPr>
          <w:lang w:bidi="hi-IN"/>
        </w:rPr>
        <w:t>.</w:t>
      </w:r>
      <w:r w:rsidRPr="00A1122D">
        <w:rPr>
          <w:lang w:bidi="hi-IN"/>
        </w:rPr>
        <w:t>, Møgedal</w:t>
      </w:r>
      <w:r>
        <w:rPr>
          <w:lang w:bidi="hi-IN"/>
        </w:rPr>
        <w:t>,</w:t>
      </w:r>
      <w:r w:rsidRPr="00A1122D">
        <w:rPr>
          <w:lang w:bidi="hi-IN"/>
        </w:rPr>
        <w:t xml:space="preserve"> S</w:t>
      </w:r>
      <w:r>
        <w:rPr>
          <w:lang w:bidi="hi-IN"/>
        </w:rPr>
        <w:t>.</w:t>
      </w:r>
      <w:r w:rsidRPr="00A1122D">
        <w:rPr>
          <w:lang w:bidi="hi-IN"/>
        </w:rPr>
        <w:t>, Afzal</w:t>
      </w:r>
      <w:r>
        <w:rPr>
          <w:lang w:bidi="hi-IN"/>
        </w:rPr>
        <w:t>,</w:t>
      </w:r>
      <w:hyperlink r:id="rId12" w:anchor="aff3" w:history="1"/>
      <w:r w:rsidRPr="00A1122D">
        <w:rPr>
          <w:lang w:bidi="hi-IN"/>
        </w:rPr>
        <w:t xml:space="preserve"> M</w:t>
      </w:r>
      <w:r>
        <w:rPr>
          <w:lang w:bidi="hi-IN"/>
        </w:rPr>
        <w:t>.</w:t>
      </w:r>
      <w:r w:rsidRPr="00A1122D">
        <w:rPr>
          <w:lang w:bidi="hi-IN"/>
        </w:rPr>
        <w:t>M</w:t>
      </w:r>
      <w:r>
        <w:rPr>
          <w:lang w:bidi="hi-IN"/>
        </w:rPr>
        <w:t>.</w:t>
      </w:r>
      <w:r w:rsidRPr="00A1122D">
        <w:rPr>
          <w:lang w:bidi="hi-IN"/>
        </w:rPr>
        <w:t>, Frymus</w:t>
      </w:r>
      <w:r>
        <w:rPr>
          <w:lang w:bidi="hi-IN"/>
        </w:rPr>
        <w:t>,</w:t>
      </w:r>
      <w:hyperlink r:id="rId13" w:anchor="aff4" w:history="1"/>
      <w:r w:rsidRPr="00A1122D">
        <w:rPr>
          <w:lang w:bidi="hi-IN"/>
        </w:rPr>
        <w:t xml:space="preserve"> D</w:t>
      </w:r>
      <w:r>
        <w:rPr>
          <w:lang w:bidi="hi-IN"/>
        </w:rPr>
        <w:t>.</w:t>
      </w:r>
      <w:r w:rsidRPr="00A1122D">
        <w:rPr>
          <w:lang w:bidi="hi-IN"/>
        </w:rPr>
        <w:t>, Oshin</w:t>
      </w:r>
      <w:r>
        <w:rPr>
          <w:lang w:bidi="hi-IN"/>
        </w:rPr>
        <w:t>,</w:t>
      </w:r>
      <w:r w:rsidRPr="00A1122D">
        <w:rPr>
          <w:lang w:bidi="hi-IN"/>
        </w:rPr>
        <w:t xml:space="preserve"> A</w:t>
      </w:r>
      <w:r>
        <w:rPr>
          <w:lang w:bidi="hi-IN"/>
        </w:rPr>
        <w:t>.</w:t>
      </w:r>
      <w:r w:rsidRPr="00A1122D">
        <w:rPr>
          <w:lang w:bidi="hi-IN"/>
        </w:rPr>
        <w:t>, Pate</w:t>
      </w:r>
      <w:r>
        <w:rPr>
          <w:lang w:bidi="hi-IN"/>
        </w:rPr>
        <w:t>,</w:t>
      </w:r>
      <w:hyperlink r:id="rId14" w:anchor="aff5" w:history="1"/>
      <w:r w:rsidRPr="00A1122D">
        <w:rPr>
          <w:lang w:bidi="hi-IN"/>
        </w:rPr>
        <w:t xml:space="preserve"> M</w:t>
      </w:r>
      <w:r>
        <w:rPr>
          <w:lang w:bidi="hi-IN"/>
        </w:rPr>
        <w:t>.</w:t>
      </w:r>
      <w:r w:rsidRPr="00A1122D">
        <w:rPr>
          <w:lang w:bidi="hi-IN"/>
        </w:rPr>
        <w:t>, Quain</w:t>
      </w:r>
      <w:r>
        <w:rPr>
          <w:lang w:bidi="hi-IN"/>
        </w:rPr>
        <w:t>,</w:t>
      </w:r>
      <w:hyperlink r:id="rId15" w:anchor="aff4" w:history="1"/>
      <w:r w:rsidRPr="00A1122D">
        <w:rPr>
          <w:lang w:bidi="hi-IN"/>
        </w:rPr>
        <w:t xml:space="preserve"> E</w:t>
      </w:r>
      <w:r>
        <w:rPr>
          <w:lang w:bidi="hi-IN"/>
        </w:rPr>
        <w:t>.</w:t>
      </w:r>
      <w:r w:rsidRPr="00A1122D">
        <w:rPr>
          <w:lang w:bidi="hi-IN"/>
        </w:rPr>
        <w:t>, Pinel</w:t>
      </w:r>
      <w:r>
        <w:rPr>
          <w:lang w:bidi="hi-IN"/>
        </w:rPr>
        <w:t>,</w:t>
      </w:r>
      <w:hyperlink r:id="rId16" w:anchor="aff6" w:history="1"/>
      <w:r w:rsidRPr="00A1122D">
        <w:rPr>
          <w:lang w:bidi="hi-IN"/>
        </w:rPr>
        <w:t xml:space="preserve"> A</w:t>
      </w:r>
      <w:r>
        <w:rPr>
          <w:lang w:bidi="hi-IN"/>
        </w:rPr>
        <w:t>.</w:t>
      </w:r>
      <w:r w:rsidRPr="00A1122D">
        <w:rPr>
          <w:lang w:bidi="hi-IN"/>
        </w:rPr>
        <w:t>, Wynd</w:t>
      </w:r>
      <w:r>
        <w:rPr>
          <w:lang w:bidi="hi-IN"/>
        </w:rPr>
        <w:t>,</w:t>
      </w:r>
      <w:hyperlink r:id="rId17" w:anchor="aff7" w:history="1"/>
      <w:r>
        <w:rPr>
          <w:lang w:bidi="hi-IN"/>
        </w:rPr>
        <w:t xml:space="preserve"> S., Zodpey, S</w:t>
      </w:r>
      <w:r w:rsidRPr="00A1122D">
        <w:rPr>
          <w:lang w:bidi="hi-IN"/>
        </w:rPr>
        <w:t>.</w:t>
      </w:r>
      <w:r>
        <w:rPr>
          <w:lang w:bidi="hi-IN"/>
        </w:rPr>
        <w:t xml:space="preserve"> (2013).</w:t>
      </w:r>
      <w:r w:rsidRPr="00A1122D">
        <w:rPr>
          <w:lang w:bidi="hi-IN"/>
        </w:rPr>
        <w:t xml:space="preserve"> Community health workers for universal health-care coverage: from fragmentation to synergy</w:t>
      </w:r>
      <w:r>
        <w:rPr>
          <w:lang w:bidi="hi-IN"/>
        </w:rPr>
        <w:t>. Bull World Health Organ.</w:t>
      </w:r>
      <w:r w:rsidRPr="00A1122D">
        <w:rPr>
          <w:lang w:bidi="hi-IN"/>
        </w:rPr>
        <w:t xml:space="preserve"> 91</w:t>
      </w:r>
      <w:r>
        <w:rPr>
          <w:lang w:bidi="hi-IN"/>
        </w:rPr>
        <w:t xml:space="preserve"> (</w:t>
      </w:r>
      <w:r w:rsidRPr="00A1122D">
        <w:rPr>
          <w:lang w:bidi="hi-IN"/>
        </w:rPr>
        <w:t>11</w:t>
      </w:r>
      <w:r>
        <w:rPr>
          <w:lang w:bidi="hi-IN"/>
        </w:rPr>
        <w:t>),</w:t>
      </w:r>
      <w:r w:rsidRPr="00A1122D">
        <w:rPr>
          <w:lang w:bidi="hi-IN"/>
        </w:rPr>
        <w:t xml:space="preserve"> 847-852.</w:t>
      </w:r>
      <w:r w:rsidRPr="00C842B6">
        <w:rPr>
          <w:sz w:val="19"/>
          <w:szCs w:val="19"/>
        </w:rPr>
        <w:t xml:space="preserve"> </w:t>
      </w:r>
    </w:p>
    <w:p w14:paraId="76806135" w14:textId="77777777" w:rsidR="00987B56" w:rsidRDefault="00987B56" w:rsidP="00987B56">
      <w:pPr>
        <w:pStyle w:val="ListParagraph"/>
        <w:numPr>
          <w:ilvl w:val="0"/>
          <w:numId w:val="10"/>
        </w:numPr>
        <w:autoSpaceDE w:val="0"/>
        <w:autoSpaceDN w:val="0"/>
        <w:adjustRightInd w:val="0"/>
        <w:spacing w:line="480" w:lineRule="auto"/>
      </w:pPr>
      <w:r>
        <w:t xml:space="preserve">  Maes, K., </w:t>
      </w:r>
      <w:r w:rsidRPr="00B7015B">
        <w:t xml:space="preserve"> </w:t>
      </w:r>
      <w:r>
        <w:t xml:space="preserve">Closser, S., Vorel, E., Tesfaye, Y. (2015). A Women’s Development Army: Narratives of Community Health Worker Investment and Empowerment in Rural Ethiopia. </w:t>
      </w:r>
      <w:r w:rsidRPr="00B80177">
        <w:rPr>
          <w:i/>
          <w:iCs/>
        </w:rPr>
        <w:t>Studies In Comparative International Development.</w:t>
      </w:r>
      <w:r>
        <w:t xml:space="preserve">  50, 455–478. </w:t>
      </w:r>
    </w:p>
    <w:p w14:paraId="361E270A" w14:textId="77777777" w:rsidR="00987B56" w:rsidRDefault="00987B56" w:rsidP="00987B56">
      <w:pPr>
        <w:pStyle w:val="ListParagraph"/>
        <w:numPr>
          <w:ilvl w:val="0"/>
          <w:numId w:val="10"/>
        </w:numPr>
        <w:autoSpaceDE w:val="0"/>
        <w:autoSpaceDN w:val="0"/>
        <w:adjustRightInd w:val="0"/>
        <w:spacing w:line="480" w:lineRule="auto"/>
      </w:pPr>
      <w:r w:rsidRPr="009F25C5">
        <w:rPr>
          <w:lang w:val="en-GB"/>
        </w:rPr>
        <w:t xml:space="preserve"> Maes</w:t>
      </w:r>
      <w:r>
        <w:rPr>
          <w:lang w:val="en-GB"/>
        </w:rPr>
        <w:t>,</w:t>
      </w:r>
      <w:r w:rsidRPr="009F25C5">
        <w:rPr>
          <w:lang w:val="en-GB"/>
        </w:rPr>
        <w:t xml:space="preserve"> K</w:t>
      </w:r>
      <w:r>
        <w:rPr>
          <w:lang w:val="en-GB"/>
        </w:rPr>
        <w:t>.</w:t>
      </w:r>
      <w:r w:rsidRPr="009F25C5">
        <w:rPr>
          <w:lang w:val="en-GB"/>
        </w:rPr>
        <w:t>, Closser</w:t>
      </w:r>
      <w:r>
        <w:rPr>
          <w:lang w:val="en-GB"/>
        </w:rPr>
        <w:t>,</w:t>
      </w:r>
      <w:r w:rsidRPr="009F25C5">
        <w:rPr>
          <w:lang w:val="en-GB"/>
        </w:rPr>
        <w:t xml:space="preserve"> S</w:t>
      </w:r>
      <w:r>
        <w:rPr>
          <w:lang w:val="en-GB"/>
        </w:rPr>
        <w:t>.</w:t>
      </w:r>
      <w:r w:rsidRPr="009F25C5">
        <w:rPr>
          <w:lang w:val="en-GB"/>
        </w:rPr>
        <w:t>, Vorel</w:t>
      </w:r>
      <w:r>
        <w:rPr>
          <w:lang w:val="en-GB"/>
        </w:rPr>
        <w:t>,</w:t>
      </w:r>
      <w:r w:rsidRPr="009F25C5">
        <w:rPr>
          <w:lang w:val="en-GB"/>
        </w:rPr>
        <w:t xml:space="preserve"> E</w:t>
      </w:r>
      <w:r>
        <w:rPr>
          <w:lang w:val="en-GB"/>
        </w:rPr>
        <w:t>.</w:t>
      </w:r>
      <w:r w:rsidRPr="009F25C5">
        <w:rPr>
          <w:lang w:val="en-GB"/>
        </w:rPr>
        <w:t>, Tesfaye</w:t>
      </w:r>
      <w:r>
        <w:rPr>
          <w:lang w:val="en-GB"/>
        </w:rPr>
        <w:t>,</w:t>
      </w:r>
      <w:r w:rsidRPr="009F25C5">
        <w:rPr>
          <w:lang w:val="en-GB"/>
        </w:rPr>
        <w:t xml:space="preserve"> Y.</w:t>
      </w:r>
      <w:r>
        <w:rPr>
          <w:lang w:val="en-GB"/>
        </w:rPr>
        <w:t xml:space="preserve"> (2015) </w:t>
      </w:r>
      <w:r w:rsidRPr="00B7015B">
        <w:t xml:space="preserve">Using Community Health Workers: Discipline and Hierarchy in Ethiopia's Women's Development Army. </w:t>
      </w:r>
      <w:r w:rsidRPr="00A04B5E">
        <w:rPr>
          <w:i/>
          <w:iCs/>
        </w:rPr>
        <w:t>Annals of Anthropological Practice</w:t>
      </w:r>
      <w:r>
        <w:t>. 39 (1),</w:t>
      </w:r>
      <w:r w:rsidRPr="00B7015B">
        <w:t xml:space="preserve"> 42-57.</w:t>
      </w:r>
      <w:r w:rsidRPr="00C913E0">
        <w:t xml:space="preserve"> DOI: 10.1111/napa.12064</w:t>
      </w:r>
      <w:r>
        <w:t>.</w:t>
      </w:r>
    </w:p>
    <w:p w14:paraId="3DCC7CFB" w14:textId="77777777" w:rsidR="00987B56" w:rsidRDefault="00987B56" w:rsidP="00987B56">
      <w:pPr>
        <w:pStyle w:val="ListParagraph"/>
        <w:numPr>
          <w:ilvl w:val="0"/>
          <w:numId w:val="10"/>
        </w:numPr>
        <w:autoSpaceDE w:val="0"/>
        <w:autoSpaceDN w:val="0"/>
        <w:adjustRightInd w:val="0"/>
        <w:spacing w:line="480" w:lineRule="auto"/>
      </w:pPr>
      <w:r w:rsidRPr="00A1122D">
        <w:t>Liden</w:t>
      </w:r>
      <w:r>
        <w:t>,</w:t>
      </w:r>
      <w:r w:rsidRPr="00A1122D">
        <w:t xml:space="preserve"> R</w:t>
      </w:r>
      <w:r>
        <w:t>.</w:t>
      </w:r>
      <w:r w:rsidRPr="00A1122D">
        <w:t>C</w:t>
      </w:r>
      <w:r>
        <w:t>.</w:t>
      </w:r>
      <w:r w:rsidRPr="00A1122D">
        <w:t>, Arad</w:t>
      </w:r>
      <w:r>
        <w:t>,</w:t>
      </w:r>
      <w:r w:rsidRPr="00A1122D">
        <w:t xml:space="preserve"> S.</w:t>
      </w:r>
      <w:r>
        <w:t xml:space="preserve"> (1996)</w:t>
      </w:r>
      <w:r w:rsidRPr="00A1122D">
        <w:t xml:space="preserve"> A power perspective of </w:t>
      </w:r>
      <w:r>
        <w:t>empowerment</w:t>
      </w:r>
      <w:r w:rsidRPr="00A1122D">
        <w:t xml:space="preserve"> and work groups: implications for human resources management research. </w:t>
      </w:r>
      <w:r>
        <w:t xml:space="preserve">In Ferris, G.R. (Eds), </w:t>
      </w:r>
      <w:r w:rsidRPr="00C913E0">
        <w:rPr>
          <w:i/>
          <w:iCs/>
        </w:rPr>
        <w:t>Research in Personnel and Human Resources Management</w:t>
      </w:r>
      <w:r>
        <w:t xml:space="preserve">. </w:t>
      </w:r>
      <w:r w:rsidRPr="00A1122D">
        <w:t>14</w:t>
      </w:r>
      <w:r>
        <w:t xml:space="preserve">, </w:t>
      </w:r>
      <w:r w:rsidRPr="00A1122D">
        <w:t xml:space="preserve">205-51. </w:t>
      </w:r>
    </w:p>
    <w:p w14:paraId="68E3748F" w14:textId="77777777" w:rsidR="00987B56" w:rsidRDefault="00987B56" w:rsidP="00987B56">
      <w:pPr>
        <w:pStyle w:val="ListParagraph"/>
        <w:numPr>
          <w:ilvl w:val="0"/>
          <w:numId w:val="10"/>
        </w:numPr>
        <w:spacing w:line="480" w:lineRule="auto"/>
      </w:pPr>
      <w:r>
        <w:t>Eylon, D., Bamberger,</w:t>
      </w:r>
      <w:r w:rsidRPr="00C842B6">
        <w:t xml:space="preserve"> P.</w:t>
      </w:r>
      <w:r>
        <w:t xml:space="preserve"> (2005)</w:t>
      </w:r>
      <w:r w:rsidRPr="00C842B6">
        <w:t xml:space="preserve"> Empowerment cognitions and empowerment acts: recognizing the importance of gender</w:t>
      </w:r>
      <w:r>
        <w:t>.</w:t>
      </w:r>
      <w:r w:rsidRPr="00C842B6">
        <w:t xml:space="preserve"> </w:t>
      </w:r>
      <w:r w:rsidRPr="00C913E0">
        <w:rPr>
          <w:i/>
          <w:iCs/>
        </w:rPr>
        <w:t>Group &amp; Organization Management</w:t>
      </w:r>
      <w:r>
        <w:t xml:space="preserve">.  </w:t>
      </w:r>
      <w:r w:rsidRPr="00C842B6">
        <w:t>25</w:t>
      </w:r>
      <w:r>
        <w:t>, 3</w:t>
      </w:r>
      <w:r w:rsidRPr="00C842B6">
        <w:t>54</w:t>
      </w:r>
      <w:r w:rsidRPr="00C842B6">
        <w:rPr>
          <w:rFonts w:ascii="Cambria Math" w:hAnsi="Cambria Math" w:cs="Cambria Math"/>
        </w:rPr>
        <w:t>‐</w:t>
      </w:r>
      <w:r>
        <w:rPr>
          <w:rFonts w:ascii="Cambria Math" w:hAnsi="Cambria Math" w:cs="Cambria Math"/>
        </w:rPr>
        <w:t>3</w:t>
      </w:r>
      <w:r w:rsidRPr="00C842B6">
        <w:t>73.</w:t>
      </w:r>
    </w:p>
    <w:p w14:paraId="78FB87CF" w14:textId="77777777" w:rsidR="00987B56" w:rsidRDefault="00987B56" w:rsidP="00987B56">
      <w:pPr>
        <w:pStyle w:val="ListParagraph"/>
        <w:numPr>
          <w:ilvl w:val="0"/>
          <w:numId w:val="10"/>
        </w:numPr>
        <w:spacing w:line="480" w:lineRule="auto"/>
      </w:pPr>
      <w:r>
        <w:lastRenderedPageBreak/>
        <w:t xml:space="preserve">Thomas, K.W., Velthouse, B.A. (1990). Cognitive elements of empowerment: an ‘interpretive’ model of intrinsic task motivation. </w:t>
      </w:r>
      <w:r w:rsidRPr="006F281F">
        <w:rPr>
          <w:i/>
          <w:iCs/>
        </w:rPr>
        <w:t>Academy of Management Review</w:t>
      </w:r>
      <w:r>
        <w:t>. 15, 666–681.</w:t>
      </w:r>
    </w:p>
    <w:p w14:paraId="649605AF" w14:textId="77777777" w:rsidR="00987B56" w:rsidRPr="00225CAE" w:rsidRDefault="00987B56" w:rsidP="00987B56">
      <w:pPr>
        <w:pStyle w:val="ListParagraph"/>
        <w:numPr>
          <w:ilvl w:val="0"/>
          <w:numId w:val="10"/>
        </w:numPr>
        <w:autoSpaceDE w:val="0"/>
        <w:autoSpaceDN w:val="0"/>
        <w:adjustRightInd w:val="0"/>
        <w:spacing w:line="480" w:lineRule="auto"/>
        <w:jc w:val="both"/>
        <w:rPr>
          <w:lang w:val="en-GB" w:bidi="hi-IN"/>
        </w:rPr>
      </w:pPr>
      <w:r w:rsidRPr="00A1122D">
        <w:t>Conger</w:t>
      </w:r>
      <w:r>
        <w:t>,</w:t>
      </w:r>
      <w:r w:rsidRPr="00A1122D">
        <w:t xml:space="preserve"> J</w:t>
      </w:r>
      <w:r>
        <w:t>.</w:t>
      </w:r>
      <w:r w:rsidRPr="00A1122D">
        <w:t>A</w:t>
      </w:r>
      <w:r>
        <w:t>.</w:t>
      </w:r>
      <w:r w:rsidRPr="00A1122D">
        <w:t>, Kanungo</w:t>
      </w:r>
      <w:r>
        <w:t>,</w:t>
      </w:r>
      <w:r w:rsidRPr="00A1122D">
        <w:t xml:space="preserve"> R</w:t>
      </w:r>
      <w:r>
        <w:t>.</w:t>
      </w:r>
      <w:r w:rsidRPr="00A1122D">
        <w:t>N.</w:t>
      </w:r>
      <w:r>
        <w:t xml:space="preserve"> (1998).</w:t>
      </w:r>
      <w:r w:rsidRPr="00A1122D">
        <w:t xml:space="preserve"> The </w:t>
      </w:r>
      <w:r>
        <w:t>empowerment</w:t>
      </w:r>
      <w:r w:rsidRPr="00A1122D">
        <w:t xml:space="preserve"> process: integrating theory and practice. Aca</w:t>
      </w:r>
      <w:r>
        <w:t>demy of Management Review. 13 (</w:t>
      </w:r>
      <w:r w:rsidRPr="00A1122D">
        <w:t>3</w:t>
      </w:r>
      <w:r>
        <w:t>),</w:t>
      </w:r>
      <w:r w:rsidRPr="00A1122D">
        <w:t xml:space="preserve"> 471-82.</w:t>
      </w:r>
    </w:p>
    <w:p w14:paraId="6A650395" w14:textId="77777777" w:rsidR="00987B56" w:rsidRPr="00225CAE" w:rsidRDefault="00987B56" w:rsidP="00987B56">
      <w:pPr>
        <w:pStyle w:val="ListParagraph"/>
        <w:numPr>
          <w:ilvl w:val="0"/>
          <w:numId w:val="10"/>
        </w:numPr>
        <w:autoSpaceDE w:val="0"/>
        <w:autoSpaceDN w:val="0"/>
        <w:adjustRightInd w:val="0"/>
        <w:spacing w:line="480" w:lineRule="auto"/>
        <w:jc w:val="both"/>
      </w:pPr>
      <w:r>
        <w:t xml:space="preserve"> </w:t>
      </w:r>
      <w:r w:rsidRPr="00A1122D">
        <w:rPr>
          <w:lang w:bidi="hi-IN"/>
        </w:rPr>
        <w:t>Lee</w:t>
      </w:r>
      <w:r>
        <w:rPr>
          <w:lang w:bidi="hi-IN"/>
        </w:rPr>
        <w:t>,</w:t>
      </w:r>
      <w:r w:rsidRPr="00A1122D">
        <w:rPr>
          <w:lang w:bidi="hi-IN"/>
        </w:rPr>
        <w:t xml:space="preserve"> M</w:t>
      </w:r>
      <w:r>
        <w:rPr>
          <w:lang w:bidi="hi-IN"/>
        </w:rPr>
        <w:t>.</w:t>
      </w:r>
      <w:r w:rsidRPr="00A1122D">
        <w:rPr>
          <w:lang w:bidi="hi-IN"/>
        </w:rPr>
        <w:t>, Koh</w:t>
      </w:r>
      <w:r>
        <w:rPr>
          <w:lang w:bidi="hi-IN"/>
        </w:rPr>
        <w:t>,</w:t>
      </w:r>
      <w:r w:rsidRPr="00A1122D">
        <w:rPr>
          <w:lang w:bidi="hi-IN"/>
        </w:rPr>
        <w:t xml:space="preserve"> J.</w:t>
      </w:r>
      <w:r>
        <w:rPr>
          <w:lang w:bidi="hi-IN"/>
        </w:rPr>
        <w:t xml:space="preserve"> (2001).</w:t>
      </w:r>
      <w:r w:rsidRPr="00A1122D">
        <w:rPr>
          <w:lang w:bidi="hi-IN"/>
        </w:rPr>
        <w:t xml:space="preserve"> Is </w:t>
      </w:r>
      <w:r>
        <w:rPr>
          <w:lang w:bidi="hi-IN"/>
        </w:rPr>
        <w:t>empowerment</w:t>
      </w:r>
      <w:r w:rsidRPr="00A1122D">
        <w:rPr>
          <w:lang w:bidi="hi-IN"/>
        </w:rPr>
        <w:t xml:space="preserve"> really a new concept? </w:t>
      </w:r>
      <w:r w:rsidRPr="00754DFA">
        <w:rPr>
          <w:i/>
          <w:iCs/>
          <w:lang w:bidi="hi-IN"/>
        </w:rPr>
        <w:t>The International Journal of Human Resource Management.</w:t>
      </w:r>
      <w:r w:rsidRPr="00A1122D">
        <w:rPr>
          <w:lang w:bidi="hi-IN"/>
        </w:rPr>
        <w:t xml:space="preserve"> </w:t>
      </w:r>
      <w:r w:rsidRPr="00225CAE">
        <w:rPr>
          <w:lang w:val="en-GB" w:bidi="hi-IN"/>
        </w:rPr>
        <w:t xml:space="preserve">12 (4): 684-695. </w:t>
      </w:r>
      <w:r w:rsidRPr="00754DFA">
        <w:rPr>
          <w:lang w:val="en-GB" w:bidi="hi-IN"/>
        </w:rPr>
        <w:t>DOI: 10.1080/09586190110037344</w:t>
      </w:r>
      <w:r>
        <w:rPr>
          <w:lang w:val="en-GB" w:bidi="hi-IN"/>
        </w:rPr>
        <w:t xml:space="preserve"> </w:t>
      </w:r>
    </w:p>
    <w:p w14:paraId="40475261" w14:textId="77777777" w:rsidR="00987B56" w:rsidRDefault="00987B56" w:rsidP="00987B56">
      <w:pPr>
        <w:pStyle w:val="ListParagraph"/>
        <w:numPr>
          <w:ilvl w:val="0"/>
          <w:numId w:val="10"/>
        </w:numPr>
        <w:autoSpaceDE w:val="0"/>
        <w:autoSpaceDN w:val="0"/>
        <w:adjustRightInd w:val="0"/>
        <w:spacing w:line="480" w:lineRule="auto"/>
        <w:jc w:val="both"/>
      </w:pPr>
      <w:r>
        <w:t xml:space="preserve"> </w:t>
      </w:r>
      <w:r w:rsidRPr="00A1122D">
        <w:t>Seibert</w:t>
      </w:r>
      <w:r>
        <w:t>,</w:t>
      </w:r>
      <w:r w:rsidRPr="00A1122D">
        <w:t xml:space="preserve"> S</w:t>
      </w:r>
      <w:r>
        <w:t xml:space="preserve">.E., Wang, G., Courtright, S.H. (2011). </w:t>
      </w:r>
      <w:r w:rsidRPr="00A1122D">
        <w:t xml:space="preserve">Antecedents and consequences of psychological and team </w:t>
      </w:r>
      <w:r>
        <w:t>empowerment</w:t>
      </w:r>
      <w:r w:rsidRPr="00A1122D">
        <w:t xml:space="preserve"> in organi</w:t>
      </w:r>
      <w:r>
        <w:t xml:space="preserve">zations: A meta-analytic review. </w:t>
      </w:r>
      <w:r w:rsidRPr="00754DFA">
        <w:rPr>
          <w:i/>
          <w:iCs/>
        </w:rPr>
        <w:t>Journal of Applied Psychology</w:t>
      </w:r>
      <w:r>
        <w:t xml:space="preserve">.  96 (5): </w:t>
      </w:r>
      <w:r w:rsidRPr="00A1122D">
        <w:t>981-1003</w:t>
      </w:r>
      <w:r>
        <w:t>.</w:t>
      </w:r>
    </w:p>
    <w:p w14:paraId="0B30389F" w14:textId="77777777" w:rsidR="00987B56" w:rsidRDefault="00987B56" w:rsidP="00987B56">
      <w:pPr>
        <w:pStyle w:val="ListParagraph"/>
        <w:numPr>
          <w:ilvl w:val="0"/>
          <w:numId w:val="10"/>
        </w:numPr>
        <w:autoSpaceDE w:val="0"/>
        <w:autoSpaceDN w:val="0"/>
        <w:adjustRightInd w:val="0"/>
        <w:spacing w:line="480" w:lineRule="auto"/>
      </w:pPr>
      <w:r w:rsidRPr="00754DFA">
        <w:rPr>
          <w:lang w:val="en-GB"/>
        </w:rPr>
        <w:t>Maynard, T., Gilson</w:t>
      </w:r>
      <w:r>
        <w:rPr>
          <w:lang w:val="en-GB"/>
        </w:rPr>
        <w:t>,</w:t>
      </w:r>
      <w:r w:rsidRPr="00754DFA">
        <w:rPr>
          <w:lang w:val="en-GB"/>
        </w:rPr>
        <w:t xml:space="preserve"> L</w:t>
      </w:r>
      <w:r>
        <w:rPr>
          <w:lang w:val="en-GB"/>
        </w:rPr>
        <w:t>.</w:t>
      </w:r>
      <w:r w:rsidRPr="00754DFA">
        <w:rPr>
          <w:lang w:val="en-GB"/>
        </w:rPr>
        <w:t>, Mathieu</w:t>
      </w:r>
      <w:r>
        <w:rPr>
          <w:lang w:val="en-GB"/>
        </w:rPr>
        <w:t>,</w:t>
      </w:r>
      <w:r w:rsidRPr="00754DFA">
        <w:rPr>
          <w:lang w:val="en-GB"/>
        </w:rPr>
        <w:t xml:space="preserve"> J</w:t>
      </w:r>
      <w:r>
        <w:rPr>
          <w:lang w:val="en-GB"/>
        </w:rPr>
        <w:t>.</w:t>
      </w:r>
      <w:r w:rsidRPr="00754DFA">
        <w:rPr>
          <w:lang w:val="en-GB"/>
        </w:rPr>
        <w:t xml:space="preserve">E. </w:t>
      </w:r>
      <w:r>
        <w:rPr>
          <w:lang w:val="en-GB"/>
        </w:rPr>
        <w:t xml:space="preserve">(2012). </w:t>
      </w:r>
      <w:r>
        <w:t>Empowerment</w:t>
      </w:r>
      <w:r w:rsidRPr="00A1122D">
        <w:t xml:space="preserve">-Fad or Fab? A multilevel review of the past two decades of research. </w:t>
      </w:r>
      <w:r w:rsidRPr="00754DFA">
        <w:rPr>
          <w:i/>
          <w:iCs/>
        </w:rPr>
        <w:t>Journal of Management</w:t>
      </w:r>
      <w:r>
        <w:t>.</w:t>
      </w:r>
      <w:r w:rsidRPr="00A1122D">
        <w:t xml:space="preserve"> 38</w:t>
      </w:r>
      <w:r>
        <w:t>,</w:t>
      </w:r>
      <w:r w:rsidRPr="00A1122D">
        <w:t xml:space="preserve"> 1231-1281. </w:t>
      </w:r>
      <w:r w:rsidRPr="00865441">
        <w:t>doi: 10.1177/0149206312438773</w:t>
      </w:r>
      <w:r>
        <w:t>.</w:t>
      </w:r>
    </w:p>
    <w:p w14:paraId="53F8D605" w14:textId="77777777" w:rsidR="00987B56" w:rsidRDefault="00987B56" w:rsidP="00987B56">
      <w:pPr>
        <w:pStyle w:val="ListParagraph"/>
        <w:numPr>
          <w:ilvl w:val="0"/>
          <w:numId w:val="10"/>
        </w:numPr>
        <w:autoSpaceDE w:val="0"/>
        <w:autoSpaceDN w:val="0"/>
        <w:adjustRightInd w:val="0"/>
        <w:spacing w:line="480" w:lineRule="auto"/>
      </w:pPr>
      <w:r>
        <w:t xml:space="preserve"> </w:t>
      </w:r>
      <w:r w:rsidRPr="00A1122D">
        <w:t>Aime</w:t>
      </w:r>
      <w:r>
        <w:t>,</w:t>
      </w:r>
      <w:r w:rsidRPr="00A1122D">
        <w:t xml:space="preserve"> F</w:t>
      </w:r>
      <w:r>
        <w:t>.</w:t>
      </w:r>
      <w:r w:rsidRPr="00A1122D">
        <w:t>, Humphrey</w:t>
      </w:r>
      <w:r>
        <w:t>,</w:t>
      </w:r>
      <w:r w:rsidRPr="00A1122D">
        <w:t xml:space="preserve"> S</w:t>
      </w:r>
      <w:r>
        <w:t>.</w:t>
      </w:r>
      <w:r w:rsidRPr="00A1122D">
        <w:t>E, De</w:t>
      </w:r>
      <w:r>
        <w:t xml:space="preserve"> </w:t>
      </w:r>
      <w:r w:rsidRPr="00A1122D">
        <w:t>Rue</w:t>
      </w:r>
      <w:r>
        <w:t>,</w:t>
      </w:r>
      <w:r w:rsidRPr="00A1122D">
        <w:t xml:space="preserve"> D</w:t>
      </w:r>
      <w:r>
        <w:t>.</w:t>
      </w:r>
      <w:r w:rsidRPr="00A1122D">
        <w:t>S</w:t>
      </w:r>
      <w:r>
        <w:t>.</w:t>
      </w:r>
      <w:r w:rsidRPr="00A1122D">
        <w:t>, Paul</w:t>
      </w:r>
      <w:r>
        <w:t>,</w:t>
      </w:r>
      <w:r w:rsidRPr="00A1122D">
        <w:t xml:space="preserve"> J. </w:t>
      </w:r>
      <w:r>
        <w:t>(</w:t>
      </w:r>
      <w:r w:rsidRPr="00A1122D">
        <w:t>April 1, 2014</w:t>
      </w:r>
      <w:r>
        <w:t xml:space="preserve">). </w:t>
      </w:r>
      <w:r w:rsidRPr="00A1122D">
        <w:t>The riddle of heterarchy: Power transitions in crossfunctional teams</w:t>
      </w:r>
      <w:r>
        <w:t xml:space="preserve">. </w:t>
      </w:r>
      <w:r w:rsidRPr="004A7372">
        <w:rPr>
          <w:i/>
          <w:iCs/>
        </w:rPr>
        <w:t>Academy of Management Journal</w:t>
      </w:r>
      <w:r>
        <w:t xml:space="preserve">. </w:t>
      </w:r>
      <w:r w:rsidRPr="00A1122D">
        <w:t>57</w:t>
      </w:r>
      <w:r>
        <w:t xml:space="preserve"> (2): </w:t>
      </w:r>
      <w:r w:rsidRPr="00A1122D">
        <w:t xml:space="preserve">327-352. </w:t>
      </w:r>
    </w:p>
    <w:p w14:paraId="0C3768BE" w14:textId="77777777" w:rsidR="00987B56" w:rsidRDefault="00987B56" w:rsidP="00987B56">
      <w:pPr>
        <w:pStyle w:val="ListParagraph"/>
        <w:numPr>
          <w:ilvl w:val="0"/>
          <w:numId w:val="10"/>
        </w:numPr>
        <w:autoSpaceDE w:val="0"/>
        <w:autoSpaceDN w:val="0"/>
        <w:adjustRightInd w:val="0"/>
        <w:spacing w:line="480" w:lineRule="auto"/>
      </w:pPr>
      <w:r>
        <w:t xml:space="preserve">Gani, M.S, Sarker, M., Siddiqi, B.A, Mahmud, I., Janhangir, Y.T., Theobald, S., Ormel, H., Biswas, S., Islam, K.F., Camellia, S., Rashid, S.F. (2014) Context analysis of close-to-community health care service providers in Bangladesh. </w:t>
      </w:r>
      <w:r w:rsidRPr="004A7372">
        <w:t>James P Grant School of Public Health, BRAC Institute of Global Health, BRAC University</w:t>
      </w:r>
      <w:r>
        <w:t xml:space="preserve">. </w:t>
      </w:r>
    </w:p>
    <w:p w14:paraId="44B9FC38" w14:textId="77777777" w:rsidR="00987B56" w:rsidRDefault="00987B56" w:rsidP="00987B56">
      <w:pPr>
        <w:pStyle w:val="ListParagraph"/>
        <w:numPr>
          <w:ilvl w:val="0"/>
          <w:numId w:val="10"/>
        </w:numPr>
        <w:autoSpaceDE w:val="0"/>
        <w:autoSpaceDN w:val="0"/>
        <w:adjustRightInd w:val="0"/>
        <w:spacing w:line="480" w:lineRule="auto"/>
      </w:pPr>
      <w:r>
        <w:t>Mireku, M., Kiruki, M., McCollum, R., Taegtmeyer, M., deKoning, K., Otiso, L. (2014). Report on the context analysis of close-to-community health service providers in Kenya. LVCT Health.</w:t>
      </w:r>
    </w:p>
    <w:p w14:paraId="2E0DB6DA" w14:textId="77777777" w:rsidR="00987B56" w:rsidRDefault="00987B56" w:rsidP="00987B56">
      <w:pPr>
        <w:pStyle w:val="ListParagraph"/>
        <w:numPr>
          <w:ilvl w:val="0"/>
          <w:numId w:val="10"/>
        </w:numPr>
        <w:autoSpaceDE w:val="0"/>
        <w:autoSpaceDN w:val="0"/>
        <w:adjustRightInd w:val="0"/>
        <w:spacing w:line="480" w:lineRule="auto"/>
      </w:pPr>
      <w:r>
        <w:t xml:space="preserve">Nasir, S., Ahmed, R., Kurniasari, M., Limato, R., de Koning, K., Tulloch, O., Syafruddin, D. (2014). Context analysis: close-to-community maternal health </w:t>
      </w:r>
      <w:r>
        <w:lastRenderedPageBreak/>
        <w:t xml:space="preserve">providers in South West Sumba and Cianjur, Indonesia. Eijkman Institute for Molecular Biology. </w:t>
      </w:r>
    </w:p>
    <w:p w14:paraId="5F2CA01C" w14:textId="77777777" w:rsidR="00987B56" w:rsidRDefault="00987B56" w:rsidP="00987B56">
      <w:pPr>
        <w:pStyle w:val="ListParagraph"/>
        <w:numPr>
          <w:ilvl w:val="0"/>
          <w:numId w:val="10"/>
        </w:numPr>
        <w:autoSpaceDE w:val="0"/>
        <w:autoSpaceDN w:val="0"/>
        <w:adjustRightInd w:val="0"/>
        <w:spacing w:line="480" w:lineRule="auto"/>
      </w:pPr>
      <w:r>
        <w:t>Nyirenda, L., Namakhoma, I., Chikaphupha, K., Kok, M., Theobald, S. (2014). Report on the context analysis of close-to-community providers in Malawi. REACH Trust..</w:t>
      </w:r>
    </w:p>
    <w:p w14:paraId="4E0746FC" w14:textId="77777777" w:rsidR="00987B56" w:rsidRPr="00AD4C0E" w:rsidRDefault="00987B56" w:rsidP="00987B56">
      <w:pPr>
        <w:pStyle w:val="ListParagraph"/>
        <w:numPr>
          <w:ilvl w:val="0"/>
          <w:numId w:val="10"/>
        </w:numPr>
        <w:autoSpaceDE w:val="0"/>
        <w:autoSpaceDN w:val="0"/>
        <w:adjustRightInd w:val="0"/>
        <w:spacing w:line="480" w:lineRule="auto"/>
        <w:rPr>
          <w:lang w:val="en-GB" w:bidi="hi-IN"/>
        </w:rPr>
      </w:pPr>
      <w:r w:rsidRPr="00AD4C0E">
        <w:rPr>
          <w:lang w:val="en-GB" w:bidi="hi-IN"/>
        </w:rPr>
        <w:t>Sidat</w:t>
      </w:r>
      <w:r>
        <w:rPr>
          <w:lang w:val="en-GB" w:bidi="hi-IN"/>
        </w:rPr>
        <w:t>,</w:t>
      </w:r>
      <w:r w:rsidRPr="00AD4C0E">
        <w:rPr>
          <w:lang w:val="en-GB" w:bidi="hi-IN"/>
        </w:rPr>
        <w:t xml:space="preserve"> M</w:t>
      </w:r>
      <w:r>
        <w:rPr>
          <w:lang w:val="en-GB" w:bidi="hi-IN"/>
        </w:rPr>
        <w:t>.</w:t>
      </w:r>
      <w:r w:rsidRPr="00AD4C0E">
        <w:rPr>
          <w:lang w:val="en-GB" w:bidi="hi-IN"/>
        </w:rPr>
        <w:t>, Ndima</w:t>
      </w:r>
      <w:r>
        <w:rPr>
          <w:lang w:val="en-GB" w:bidi="hi-IN"/>
        </w:rPr>
        <w:t>,</w:t>
      </w:r>
      <w:r w:rsidRPr="00AD4C0E">
        <w:rPr>
          <w:lang w:val="en-GB" w:bidi="hi-IN"/>
        </w:rPr>
        <w:t xml:space="preserve"> S</w:t>
      </w:r>
      <w:r>
        <w:rPr>
          <w:lang w:val="en-GB" w:bidi="hi-IN"/>
        </w:rPr>
        <w:t>.</w:t>
      </w:r>
      <w:r w:rsidRPr="00AD4C0E">
        <w:rPr>
          <w:lang w:val="en-GB" w:bidi="hi-IN"/>
        </w:rPr>
        <w:t>, Taegtmeyer</w:t>
      </w:r>
      <w:r>
        <w:rPr>
          <w:lang w:val="en-GB" w:bidi="hi-IN"/>
        </w:rPr>
        <w:t>,</w:t>
      </w:r>
      <w:r w:rsidRPr="00AD4C0E">
        <w:rPr>
          <w:lang w:val="en-GB" w:bidi="hi-IN"/>
        </w:rPr>
        <w:t xml:space="preserve"> M</w:t>
      </w:r>
      <w:r>
        <w:rPr>
          <w:lang w:val="en-GB" w:bidi="hi-IN"/>
        </w:rPr>
        <w:t>.</w:t>
      </w:r>
      <w:r w:rsidRPr="00AD4C0E">
        <w:rPr>
          <w:lang w:val="en-GB" w:bidi="hi-IN"/>
        </w:rPr>
        <w:t>, Ormel</w:t>
      </w:r>
      <w:r>
        <w:rPr>
          <w:lang w:val="en-GB" w:bidi="hi-IN"/>
        </w:rPr>
        <w:t>,</w:t>
      </w:r>
      <w:r w:rsidRPr="00AD4C0E">
        <w:rPr>
          <w:lang w:val="en-GB" w:bidi="hi-IN"/>
        </w:rPr>
        <w:t xml:space="preserve"> H</w:t>
      </w:r>
      <w:r>
        <w:rPr>
          <w:lang w:val="en-GB" w:bidi="hi-IN"/>
        </w:rPr>
        <w:t>.</w:t>
      </w:r>
      <w:r w:rsidRPr="00AD4C0E">
        <w:rPr>
          <w:lang w:val="en-GB" w:bidi="hi-IN"/>
        </w:rPr>
        <w:t>, McCollum</w:t>
      </w:r>
      <w:r>
        <w:rPr>
          <w:lang w:val="en-GB" w:bidi="hi-IN"/>
        </w:rPr>
        <w:t>,</w:t>
      </w:r>
      <w:r w:rsidRPr="00AD4C0E">
        <w:rPr>
          <w:lang w:val="en-GB" w:bidi="hi-IN"/>
        </w:rPr>
        <w:t xml:space="preserve"> R</w:t>
      </w:r>
      <w:r>
        <w:rPr>
          <w:lang w:val="en-GB" w:bidi="hi-IN"/>
        </w:rPr>
        <w:t>.</w:t>
      </w:r>
      <w:r w:rsidRPr="00AD4C0E">
        <w:rPr>
          <w:lang w:val="en-GB" w:bidi="hi-IN"/>
        </w:rPr>
        <w:t>, Give</w:t>
      </w:r>
      <w:r>
        <w:rPr>
          <w:lang w:val="en-GB" w:bidi="hi-IN"/>
        </w:rPr>
        <w:t>,</w:t>
      </w:r>
      <w:r w:rsidRPr="00AD4C0E">
        <w:rPr>
          <w:lang w:val="en-GB" w:bidi="hi-IN"/>
        </w:rPr>
        <w:t xml:space="preserve"> C. </w:t>
      </w:r>
      <w:r>
        <w:rPr>
          <w:lang w:val="en-GB" w:bidi="hi-IN"/>
        </w:rPr>
        <w:t xml:space="preserve">(2014). </w:t>
      </w:r>
      <w:r w:rsidRPr="00AD4C0E">
        <w:rPr>
          <w:lang w:val="en-GB" w:bidi="hi-IN"/>
        </w:rPr>
        <w:t>Context analysis report of close-to-community providers in Mozambique. U</w:t>
      </w:r>
      <w:r>
        <w:rPr>
          <w:lang w:val="en-GB" w:bidi="hi-IN"/>
        </w:rPr>
        <w:t xml:space="preserve">niversity Eduardo Mondlane. </w:t>
      </w:r>
    </w:p>
    <w:p w14:paraId="083B1235" w14:textId="77777777" w:rsidR="00987B56" w:rsidRPr="00AD4C0E" w:rsidRDefault="00987B56" w:rsidP="00987B56">
      <w:pPr>
        <w:pStyle w:val="ListParagraph"/>
        <w:numPr>
          <w:ilvl w:val="0"/>
          <w:numId w:val="10"/>
        </w:numPr>
        <w:autoSpaceDE w:val="0"/>
        <w:autoSpaceDN w:val="0"/>
        <w:adjustRightInd w:val="0"/>
        <w:spacing w:line="480" w:lineRule="auto"/>
        <w:rPr>
          <w:lang w:val="en-GB" w:bidi="hi-IN"/>
        </w:rPr>
      </w:pPr>
      <w:r w:rsidRPr="00AD4C0E">
        <w:rPr>
          <w:lang w:val="en-GB" w:bidi="hi-IN"/>
        </w:rPr>
        <w:t xml:space="preserve">Zerihun, A., M. Admassu, O. Tulloch, M. Kok and D. G. Datiko. </w:t>
      </w:r>
      <w:r>
        <w:rPr>
          <w:lang w:val="en-GB" w:bidi="hi-IN"/>
        </w:rPr>
        <w:t xml:space="preserve">(2014). </w:t>
      </w:r>
      <w:r w:rsidRPr="00AD4C0E">
        <w:rPr>
          <w:lang w:val="en-GB" w:bidi="hi-IN"/>
        </w:rPr>
        <w:t>Report on the context analysis of close-to-community providers in Ethiopia. Hawassa, Ethiopia</w:t>
      </w:r>
      <w:r>
        <w:rPr>
          <w:lang w:val="en-GB" w:bidi="hi-IN"/>
        </w:rPr>
        <w:t xml:space="preserve">. </w:t>
      </w:r>
    </w:p>
    <w:p w14:paraId="5D363ADE" w14:textId="77777777" w:rsidR="00987B56" w:rsidRPr="00A1122D" w:rsidRDefault="00987B56" w:rsidP="00987B56">
      <w:pPr>
        <w:autoSpaceDE w:val="0"/>
        <w:autoSpaceDN w:val="0"/>
        <w:adjustRightInd w:val="0"/>
        <w:spacing w:line="480" w:lineRule="auto"/>
        <w:ind w:left="360"/>
        <w:jc w:val="both"/>
        <w:rPr>
          <w:lang w:bidi="hi-IN"/>
        </w:rPr>
      </w:pPr>
    </w:p>
    <w:p w14:paraId="047D38A9" w14:textId="77777777" w:rsidR="00987B56" w:rsidRDefault="00987B56" w:rsidP="00987B56">
      <w:pPr>
        <w:pStyle w:val="ListParagraph"/>
        <w:numPr>
          <w:ilvl w:val="0"/>
          <w:numId w:val="10"/>
        </w:numPr>
        <w:spacing w:line="480" w:lineRule="auto"/>
      </w:pPr>
      <w:r>
        <w:t>Pallas, S.W., Minhas, D., Pérez-Escamilla. R., Taylor, L., Curry, L., Bradley, E.H. (2013). Community health workers in low- and middle-income countries: what do we know about scaling up and sustainability? American Journal of Public Health. 103, e74–e82.</w:t>
      </w:r>
    </w:p>
    <w:p w14:paraId="52F34EFC" w14:textId="77777777" w:rsidR="00987B56" w:rsidRDefault="00987B56" w:rsidP="00987B56">
      <w:pPr>
        <w:pStyle w:val="ListParagraph"/>
        <w:numPr>
          <w:ilvl w:val="0"/>
          <w:numId w:val="10"/>
        </w:numPr>
        <w:autoSpaceDE w:val="0"/>
        <w:autoSpaceDN w:val="0"/>
        <w:adjustRightInd w:val="0"/>
        <w:spacing w:line="480" w:lineRule="auto"/>
        <w:rPr>
          <w:lang w:bidi="hi-IN"/>
        </w:rPr>
      </w:pPr>
      <w:r w:rsidRPr="0092384B">
        <w:rPr>
          <w:lang w:val="nl-NL" w:bidi="hi-IN"/>
        </w:rPr>
        <w:t xml:space="preserve">Kane, S., Gerretsen, B., Scherpbier, R., Dal Poz, M., Dieleman, M. (2010). </w:t>
      </w:r>
      <w:r w:rsidRPr="00A1122D">
        <w:rPr>
          <w:lang w:bidi="hi-IN"/>
        </w:rPr>
        <w:t xml:space="preserve">A realist synthesis of randomised control trials involving use of community health workers for delivering child health interventions in low and middle income countries. </w:t>
      </w:r>
      <w:r w:rsidRPr="004A7372">
        <w:rPr>
          <w:i/>
          <w:iCs/>
          <w:lang w:bidi="hi-IN"/>
        </w:rPr>
        <w:t>BMC Health Serv</w:t>
      </w:r>
      <w:r>
        <w:rPr>
          <w:i/>
          <w:iCs/>
          <w:lang w:bidi="hi-IN"/>
        </w:rPr>
        <w:t>ices</w:t>
      </w:r>
      <w:r w:rsidRPr="004A7372">
        <w:rPr>
          <w:i/>
          <w:iCs/>
          <w:lang w:bidi="hi-IN"/>
        </w:rPr>
        <w:t xml:space="preserve"> Res</w:t>
      </w:r>
      <w:r>
        <w:rPr>
          <w:i/>
          <w:iCs/>
          <w:lang w:bidi="hi-IN"/>
        </w:rPr>
        <w:t>earch.</w:t>
      </w:r>
      <w:r w:rsidRPr="00A1122D">
        <w:rPr>
          <w:lang w:bidi="hi-IN"/>
        </w:rPr>
        <w:t xml:space="preserve"> 10</w:t>
      </w:r>
      <w:r>
        <w:rPr>
          <w:lang w:bidi="hi-IN"/>
        </w:rPr>
        <w:t>,</w:t>
      </w:r>
      <w:r w:rsidRPr="00A1122D">
        <w:rPr>
          <w:lang w:bidi="hi-IN"/>
        </w:rPr>
        <w:t xml:space="preserve"> 286.</w:t>
      </w:r>
      <w:r w:rsidRPr="004A7372">
        <w:t xml:space="preserve"> </w:t>
      </w:r>
      <w:r w:rsidRPr="004A7372">
        <w:rPr>
          <w:lang w:bidi="hi-IN"/>
        </w:rPr>
        <w:t>DOI: 10.1186/1472-6963-10-286</w:t>
      </w:r>
      <w:r>
        <w:rPr>
          <w:lang w:bidi="hi-IN"/>
        </w:rPr>
        <w:t>.</w:t>
      </w:r>
    </w:p>
    <w:p w14:paraId="5B29FE19"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92384B">
        <w:rPr>
          <w:lang w:val="nl-NL" w:bidi="hi-IN"/>
        </w:rPr>
        <w:t xml:space="preserve">Druetz, T., Kadio, K., Haddad, S., Kouanda, S., Ridde, V. (2015). </w:t>
      </w:r>
      <w:r>
        <w:rPr>
          <w:lang w:bidi="hi-IN"/>
        </w:rPr>
        <w:t>Do community health workers perceive mechanisms associated with the success of community case management of malaria? A qualitative study from Burkina Faso. Social Science and Medicine. 24,232–40.</w:t>
      </w:r>
    </w:p>
    <w:p w14:paraId="7505FC24"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A1122D">
        <w:rPr>
          <w:lang w:bidi="hi-IN"/>
        </w:rPr>
        <w:t xml:space="preserve">CHW Technical Task Force. </w:t>
      </w:r>
      <w:r>
        <w:rPr>
          <w:lang w:bidi="hi-IN"/>
        </w:rPr>
        <w:t xml:space="preserve">(Undated). </w:t>
      </w:r>
      <w:r w:rsidRPr="00A1122D">
        <w:rPr>
          <w:lang w:bidi="hi-IN"/>
        </w:rPr>
        <w:t>One Million Community Health Workers: Technical Task Force Re</w:t>
      </w:r>
      <w:r>
        <w:rPr>
          <w:lang w:bidi="hi-IN"/>
        </w:rPr>
        <w:t xml:space="preserve">port. Earth Institute. </w:t>
      </w:r>
      <w:r w:rsidRPr="00A1122D">
        <w:rPr>
          <w:lang w:bidi="hi-IN"/>
        </w:rPr>
        <w:t>Columbia University.</w:t>
      </w:r>
      <w:r>
        <w:rPr>
          <w:lang w:bidi="hi-IN"/>
        </w:rPr>
        <w:t xml:space="preserve"> </w:t>
      </w:r>
      <w:r>
        <w:rPr>
          <w:lang w:bidi="hi-IN"/>
        </w:rPr>
        <w:lastRenderedPageBreak/>
        <w:t xml:space="preserve">Retrieved from: </w:t>
      </w:r>
      <w:hyperlink r:id="rId18" w:history="1">
        <w:r w:rsidRPr="00530C6C">
          <w:rPr>
            <w:rStyle w:val="Hyperlink"/>
            <w:lang w:bidi="hi-IN"/>
          </w:rPr>
          <w:t>http://www.millenniumvillages.org/uploads/ReportPaper/1mCHW_TechnicalTaskForceReport.pdf</w:t>
        </w:r>
      </w:hyperlink>
      <w:r>
        <w:rPr>
          <w:lang w:bidi="hi-IN"/>
        </w:rPr>
        <w:t xml:space="preserve"> . Accessed: 22/08/2015.</w:t>
      </w:r>
    </w:p>
    <w:p w14:paraId="01A6E2F9"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Pr>
          <w:lang w:bidi="hi-IN"/>
        </w:rPr>
        <w:t>C</w:t>
      </w:r>
      <w:r w:rsidRPr="00384434">
        <w:rPr>
          <w:lang w:bidi="hi-IN"/>
        </w:rPr>
        <w:t>allaghan-Koru</w:t>
      </w:r>
      <w:r>
        <w:rPr>
          <w:lang w:bidi="hi-IN"/>
        </w:rPr>
        <w:t>,</w:t>
      </w:r>
      <w:r w:rsidRPr="00384434">
        <w:rPr>
          <w:lang w:bidi="hi-IN"/>
        </w:rPr>
        <w:t xml:space="preserve"> J</w:t>
      </w:r>
      <w:r>
        <w:rPr>
          <w:lang w:bidi="hi-IN"/>
        </w:rPr>
        <w:t>.</w:t>
      </w:r>
      <w:r w:rsidRPr="00384434">
        <w:rPr>
          <w:lang w:bidi="hi-IN"/>
        </w:rPr>
        <w:t>A</w:t>
      </w:r>
      <w:r>
        <w:rPr>
          <w:lang w:bidi="hi-IN"/>
        </w:rPr>
        <w:t>.</w:t>
      </w:r>
      <w:r w:rsidRPr="00384434">
        <w:rPr>
          <w:lang w:bidi="hi-IN"/>
        </w:rPr>
        <w:t>, Hyder</w:t>
      </w:r>
      <w:r>
        <w:rPr>
          <w:lang w:bidi="hi-IN"/>
        </w:rPr>
        <w:t>,</w:t>
      </w:r>
      <w:r w:rsidRPr="00384434">
        <w:rPr>
          <w:lang w:bidi="hi-IN"/>
        </w:rPr>
        <w:t xml:space="preserve"> A</w:t>
      </w:r>
      <w:r>
        <w:rPr>
          <w:lang w:bidi="hi-IN"/>
        </w:rPr>
        <w:t>.</w:t>
      </w:r>
      <w:r w:rsidRPr="00384434">
        <w:rPr>
          <w:lang w:bidi="hi-IN"/>
        </w:rPr>
        <w:t>A</w:t>
      </w:r>
      <w:r>
        <w:rPr>
          <w:lang w:bidi="hi-IN"/>
        </w:rPr>
        <w:t>.</w:t>
      </w:r>
      <w:r w:rsidRPr="00384434">
        <w:rPr>
          <w:lang w:bidi="hi-IN"/>
        </w:rPr>
        <w:t>, George</w:t>
      </w:r>
      <w:r>
        <w:rPr>
          <w:lang w:bidi="hi-IN"/>
        </w:rPr>
        <w:t>,</w:t>
      </w:r>
      <w:r w:rsidRPr="00384434">
        <w:rPr>
          <w:lang w:bidi="hi-IN"/>
        </w:rPr>
        <w:t xml:space="preserve"> A</w:t>
      </w:r>
      <w:r>
        <w:rPr>
          <w:lang w:bidi="hi-IN"/>
        </w:rPr>
        <w:t>.</w:t>
      </w:r>
      <w:r w:rsidRPr="00384434">
        <w:rPr>
          <w:lang w:bidi="hi-IN"/>
        </w:rPr>
        <w:t>, Gilr</w:t>
      </w:r>
      <w:r>
        <w:rPr>
          <w:lang w:bidi="hi-IN"/>
        </w:rPr>
        <w:t>oy, K.E, Nsona, H., Mtimuni, A.,</w:t>
      </w:r>
      <w:r w:rsidRPr="00384434">
        <w:rPr>
          <w:lang w:bidi="hi-IN"/>
        </w:rPr>
        <w:t xml:space="preserve"> Bryce</w:t>
      </w:r>
      <w:r>
        <w:rPr>
          <w:lang w:bidi="hi-IN"/>
        </w:rPr>
        <w:t>,</w:t>
      </w:r>
      <w:r w:rsidRPr="00384434">
        <w:rPr>
          <w:lang w:bidi="hi-IN"/>
        </w:rPr>
        <w:t xml:space="preserve"> J</w:t>
      </w:r>
      <w:r>
        <w:rPr>
          <w:lang w:bidi="hi-IN"/>
        </w:rPr>
        <w:t>.</w:t>
      </w:r>
      <w:r w:rsidRPr="00384434">
        <w:rPr>
          <w:lang w:bidi="hi-IN"/>
        </w:rPr>
        <w:t xml:space="preserve"> </w:t>
      </w:r>
      <w:r>
        <w:rPr>
          <w:lang w:bidi="hi-IN"/>
        </w:rPr>
        <w:t xml:space="preserve">(2012 Nov). </w:t>
      </w:r>
      <w:r w:rsidRPr="00384434">
        <w:rPr>
          <w:lang w:bidi="hi-IN"/>
        </w:rPr>
        <w:t xml:space="preserve">Health workers' and managers' perceptions of the integrated community case management program for childhood illness in Malawi: the importance of expanding access to child health services. </w:t>
      </w:r>
      <w:r w:rsidRPr="00865441">
        <w:rPr>
          <w:i/>
          <w:iCs/>
          <w:lang w:bidi="hi-IN"/>
        </w:rPr>
        <w:t>The American journal of tropical medicine and hygiene</w:t>
      </w:r>
      <w:r>
        <w:rPr>
          <w:lang w:bidi="hi-IN"/>
        </w:rPr>
        <w:t xml:space="preserve">. 87(5), </w:t>
      </w:r>
      <w:r w:rsidRPr="00384434">
        <w:rPr>
          <w:lang w:bidi="hi-IN"/>
        </w:rPr>
        <w:t>61-8.</w:t>
      </w:r>
    </w:p>
    <w:p w14:paraId="7A5E2187" w14:textId="77777777" w:rsidR="00987B56" w:rsidRDefault="00987B56" w:rsidP="00987B56">
      <w:pPr>
        <w:pStyle w:val="ListParagraph"/>
        <w:numPr>
          <w:ilvl w:val="0"/>
          <w:numId w:val="10"/>
        </w:numPr>
        <w:spacing w:line="480" w:lineRule="auto"/>
      </w:pPr>
      <w:r w:rsidRPr="00865441">
        <w:rPr>
          <w:lang w:val="nl-NL"/>
        </w:rPr>
        <w:t>Kok, M.C., Dieleman, M., Taegtmeyer, M., Broerse, J.E, Kane, S., Ormel, H., Tijm, M.M., de Koning, K..</w:t>
      </w:r>
      <w:r>
        <w:rPr>
          <w:lang w:val="nl-NL"/>
        </w:rPr>
        <w:t xml:space="preserve"> </w:t>
      </w:r>
      <w:r w:rsidRPr="00865441">
        <w:rPr>
          <w:lang w:val="en-GB"/>
        </w:rPr>
        <w:t xml:space="preserve">(2014). </w:t>
      </w:r>
      <w:r>
        <w:t>Which intervention design factors influence performance of community health workers in low- and middle-income countries? A systematic review. Health Policy Plan. 1-21.  doi: 10.1093/heapol/czu126.</w:t>
      </w:r>
    </w:p>
    <w:p w14:paraId="0839254B" w14:textId="77777777" w:rsidR="00987B56" w:rsidRDefault="00987B56" w:rsidP="00987B56">
      <w:pPr>
        <w:pStyle w:val="ListParagraph"/>
        <w:numPr>
          <w:ilvl w:val="0"/>
          <w:numId w:val="10"/>
        </w:numPr>
        <w:spacing w:line="480" w:lineRule="auto"/>
      </w:pPr>
      <w:r w:rsidRPr="00865441">
        <w:rPr>
          <w:lang w:val="nl-NL"/>
        </w:rPr>
        <w:t>Kok</w:t>
      </w:r>
      <w:r>
        <w:rPr>
          <w:lang w:val="nl-NL"/>
        </w:rPr>
        <w:t>,</w:t>
      </w:r>
      <w:r w:rsidRPr="00865441">
        <w:rPr>
          <w:lang w:val="nl-NL"/>
        </w:rPr>
        <w:t xml:space="preserve"> M</w:t>
      </w:r>
      <w:r>
        <w:rPr>
          <w:lang w:val="nl-NL"/>
        </w:rPr>
        <w:t>.</w:t>
      </w:r>
      <w:r w:rsidRPr="00865441">
        <w:rPr>
          <w:lang w:val="nl-NL"/>
        </w:rPr>
        <w:t>C</w:t>
      </w:r>
      <w:r>
        <w:rPr>
          <w:lang w:val="nl-NL"/>
        </w:rPr>
        <w:t>.</w:t>
      </w:r>
      <w:r w:rsidRPr="00865441">
        <w:rPr>
          <w:lang w:val="nl-NL"/>
        </w:rPr>
        <w:t>, Kane</w:t>
      </w:r>
      <w:r>
        <w:rPr>
          <w:lang w:val="nl-NL"/>
        </w:rPr>
        <w:t>,</w:t>
      </w:r>
      <w:r w:rsidRPr="00865441">
        <w:rPr>
          <w:lang w:val="nl-NL"/>
        </w:rPr>
        <w:t xml:space="preserve"> S</w:t>
      </w:r>
      <w:r>
        <w:rPr>
          <w:lang w:val="nl-NL"/>
        </w:rPr>
        <w:t>.</w:t>
      </w:r>
      <w:r w:rsidRPr="00865441">
        <w:rPr>
          <w:lang w:val="nl-NL"/>
        </w:rPr>
        <w:t>S</w:t>
      </w:r>
      <w:r>
        <w:rPr>
          <w:lang w:val="nl-NL"/>
        </w:rPr>
        <w:t>.</w:t>
      </w:r>
      <w:r w:rsidRPr="00865441">
        <w:rPr>
          <w:lang w:val="nl-NL"/>
        </w:rPr>
        <w:t>, Tulloch</w:t>
      </w:r>
      <w:r>
        <w:rPr>
          <w:lang w:val="nl-NL"/>
        </w:rPr>
        <w:t>,</w:t>
      </w:r>
      <w:r w:rsidRPr="00865441">
        <w:rPr>
          <w:lang w:val="nl-NL"/>
        </w:rPr>
        <w:t xml:space="preserve"> O</w:t>
      </w:r>
      <w:r>
        <w:rPr>
          <w:lang w:val="nl-NL"/>
        </w:rPr>
        <w:t>.</w:t>
      </w:r>
      <w:r w:rsidRPr="00865441">
        <w:rPr>
          <w:lang w:val="nl-NL"/>
        </w:rPr>
        <w:t>, Ormel</w:t>
      </w:r>
      <w:r>
        <w:rPr>
          <w:lang w:val="nl-NL"/>
        </w:rPr>
        <w:t>,</w:t>
      </w:r>
      <w:r w:rsidRPr="00865441">
        <w:rPr>
          <w:lang w:val="nl-NL"/>
        </w:rPr>
        <w:t xml:space="preserve"> H</w:t>
      </w:r>
      <w:r>
        <w:rPr>
          <w:lang w:val="nl-NL"/>
        </w:rPr>
        <w:t>.</w:t>
      </w:r>
      <w:r w:rsidRPr="00865441">
        <w:rPr>
          <w:lang w:val="nl-NL"/>
        </w:rPr>
        <w:t>, Theobald</w:t>
      </w:r>
      <w:r>
        <w:rPr>
          <w:lang w:val="nl-NL"/>
        </w:rPr>
        <w:t>,</w:t>
      </w:r>
      <w:r w:rsidRPr="00865441">
        <w:rPr>
          <w:lang w:val="nl-NL"/>
        </w:rPr>
        <w:t xml:space="preserve"> S</w:t>
      </w:r>
      <w:r>
        <w:rPr>
          <w:lang w:val="nl-NL"/>
        </w:rPr>
        <w:t>.</w:t>
      </w:r>
      <w:r w:rsidRPr="00865441">
        <w:rPr>
          <w:lang w:val="nl-NL"/>
        </w:rPr>
        <w:t>, Dieleman</w:t>
      </w:r>
      <w:r>
        <w:rPr>
          <w:lang w:val="nl-NL"/>
        </w:rPr>
        <w:t>,</w:t>
      </w:r>
      <w:r w:rsidRPr="00865441">
        <w:rPr>
          <w:lang w:val="nl-NL"/>
        </w:rPr>
        <w:t xml:space="preserve"> M</w:t>
      </w:r>
      <w:r>
        <w:rPr>
          <w:lang w:val="nl-NL"/>
        </w:rPr>
        <w:t>.</w:t>
      </w:r>
      <w:r w:rsidRPr="00865441">
        <w:rPr>
          <w:lang w:val="nl-NL"/>
        </w:rPr>
        <w:t>, Taegtmeyer</w:t>
      </w:r>
      <w:r>
        <w:rPr>
          <w:lang w:val="nl-NL"/>
        </w:rPr>
        <w:t>,</w:t>
      </w:r>
      <w:r w:rsidRPr="00865441">
        <w:rPr>
          <w:lang w:val="nl-NL"/>
        </w:rPr>
        <w:t xml:space="preserve"> M.,</w:t>
      </w:r>
      <w:r>
        <w:rPr>
          <w:lang w:val="nl-NL"/>
        </w:rPr>
        <w:t xml:space="preserve"> Broerese, J.E.W., de Koning, K,.</w:t>
      </w:r>
      <w:r w:rsidRPr="00865441">
        <w:rPr>
          <w:lang w:val="nl-NL"/>
        </w:rPr>
        <w:t xml:space="preserve"> </w:t>
      </w:r>
      <w:r>
        <w:rPr>
          <w:lang w:val="nl-NL"/>
        </w:rPr>
        <w:t xml:space="preserve"> </w:t>
      </w:r>
      <w:r w:rsidRPr="00865441">
        <w:rPr>
          <w:lang w:val="en-GB"/>
        </w:rPr>
        <w:t>(2015)</w:t>
      </w:r>
      <w:r>
        <w:rPr>
          <w:lang w:val="en-GB"/>
        </w:rPr>
        <w:t>.</w:t>
      </w:r>
      <w:r w:rsidRPr="00865441">
        <w:rPr>
          <w:lang w:val="en-GB"/>
        </w:rPr>
        <w:t xml:space="preserve"> </w:t>
      </w:r>
      <w:r>
        <w:t xml:space="preserve">How does context influence performance of community health workers in low- and middle-income countries? Evidence from the literature. </w:t>
      </w:r>
      <w:r w:rsidRPr="004B1319">
        <w:rPr>
          <w:i/>
          <w:iCs/>
        </w:rPr>
        <w:t>Health Research Policy and Systems</w:t>
      </w:r>
      <w:r>
        <w:t>. 13:13.</w:t>
      </w:r>
      <w:r w:rsidRPr="004B1319">
        <w:t xml:space="preserve"> DOI: 10.1186/s12961-015-0001-3</w:t>
      </w:r>
      <w:r>
        <w:t>.</w:t>
      </w:r>
    </w:p>
    <w:p w14:paraId="135866D2"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Pr>
          <w:lang w:bidi="hi-IN"/>
        </w:rPr>
        <w:t xml:space="preserve">Nandi, S., Schneider, H. (2014). Addressing the social determinants of health: a case study from the Mitanin (community health worker) programme in India. </w:t>
      </w:r>
      <w:r w:rsidRPr="001012B2">
        <w:rPr>
          <w:i/>
          <w:iCs/>
          <w:lang w:bidi="hi-IN"/>
        </w:rPr>
        <w:t>Health Policy and Planning.</w:t>
      </w:r>
      <w:r>
        <w:rPr>
          <w:lang w:bidi="hi-IN"/>
        </w:rPr>
        <w:t xml:space="preserve">  </w:t>
      </w:r>
      <w:r w:rsidRPr="00F85FF1">
        <w:rPr>
          <w:lang w:bidi="hi-IN"/>
        </w:rPr>
        <w:t>29</w:t>
      </w:r>
      <w:r>
        <w:rPr>
          <w:lang w:bidi="hi-IN"/>
        </w:rPr>
        <w:t xml:space="preserve">, </w:t>
      </w:r>
      <w:r w:rsidRPr="00F85FF1">
        <w:rPr>
          <w:lang w:bidi="hi-IN"/>
        </w:rPr>
        <w:t>ii71–ii81</w:t>
      </w:r>
      <w:r>
        <w:rPr>
          <w:lang w:bidi="hi-IN"/>
        </w:rPr>
        <w:t>.</w:t>
      </w:r>
    </w:p>
    <w:p w14:paraId="416D3F16"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92384B">
        <w:rPr>
          <w:lang w:val="nl-NL" w:bidi="hi-IN"/>
        </w:rPr>
        <w:t xml:space="preserve">Ingram, M., Sabo, S., Rothers, J., Wennerstrom, A., de Zapien J.G. (2008). </w:t>
      </w:r>
      <w:r w:rsidRPr="00A1122D">
        <w:rPr>
          <w:lang w:bidi="hi-IN"/>
        </w:rPr>
        <w:t>Community health workers and community advocacy:</w:t>
      </w:r>
      <w:r>
        <w:rPr>
          <w:lang w:bidi="hi-IN"/>
        </w:rPr>
        <w:t xml:space="preserve"> </w:t>
      </w:r>
      <w:r w:rsidRPr="00A1122D">
        <w:rPr>
          <w:lang w:bidi="hi-IN"/>
        </w:rPr>
        <w:t xml:space="preserve">addressing health disparities. </w:t>
      </w:r>
      <w:r w:rsidRPr="001012B2">
        <w:rPr>
          <w:i/>
          <w:iCs/>
          <w:lang w:bidi="hi-IN"/>
        </w:rPr>
        <w:t>Journal of Community Health.</w:t>
      </w:r>
      <w:r>
        <w:rPr>
          <w:lang w:bidi="hi-IN"/>
        </w:rPr>
        <w:t xml:space="preserve"> </w:t>
      </w:r>
      <w:r w:rsidRPr="00A1122D">
        <w:rPr>
          <w:lang w:bidi="hi-IN"/>
        </w:rPr>
        <w:t>33</w:t>
      </w:r>
      <w:r>
        <w:rPr>
          <w:lang w:bidi="hi-IN"/>
        </w:rPr>
        <w:t xml:space="preserve">, </w:t>
      </w:r>
      <w:r w:rsidRPr="00A1122D">
        <w:rPr>
          <w:lang w:bidi="hi-IN"/>
        </w:rPr>
        <w:t>417–24.</w:t>
      </w:r>
    </w:p>
    <w:p w14:paraId="1719FCB2"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A1122D">
        <w:rPr>
          <w:lang w:bidi="hi-IN"/>
        </w:rPr>
        <w:t>Becker</w:t>
      </w:r>
      <w:r>
        <w:rPr>
          <w:lang w:bidi="hi-IN"/>
        </w:rPr>
        <w:t>,</w:t>
      </w:r>
      <w:r w:rsidRPr="00A1122D">
        <w:rPr>
          <w:lang w:bidi="hi-IN"/>
        </w:rPr>
        <w:t xml:space="preserve"> J</w:t>
      </w:r>
      <w:r>
        <w:rPr>
          <w:lang w:bidi="hi-IN"/>
        </w:rPr>
        <w:t>.</w:t>
      </w:r>
      <w:r w:rsidRPr="00A1122D">
        <w:rPr>
          <w:lang w:bidi="hi-IN"/>
        </w:rPr>
        <w:t>, Kovach</w:t>
      </w:r>
      <w:r>
        <w:rPr>
          <w:lang w:bidi="hi-IN"/>
        </w:rPr>
        <w:t>,</w:t>
      </w:r>
      <w:r w:rsidRPr="00A1122D">
        <w:rPr>
          <w:lang w:bidi="hi-IN"/>
        </w:rPr>
        <w:t xml:space="preserve"> A</w:t>
      </w:r>
      <w:r>
        <w:rPr>
          <w:lang w:bidi="hi-IN"/>
        </w:rPr>
        <w:t>.</w:t>
      </w:r>
      <w:r w:rsidRPr="00A1122D">
        <w:rPr>
          <w:lang w:bidi="hi-IN"/>
        </w:rPr>
        <w:t>C</w:t>
      </w:r>
      <w:r>
        <w:rPr>
          <w:lang w:bidi="hi-IN"/>
        </w:rPr>
        <w:t>.</w:t>
      </w:r>
      <w:r w:rsidRPr="00A1122D">
        <w:rPr>
          <w:lang w:bidi="hi-IN"/>
        </w:rPr>
        <w:t>, Gronseth</w:t>
      </w:r>
      <w:r>
        <w:rPr>
          <w:lang w:bidi="hi-IN"/>
        </w:rPr>
        <w:t>,</w:t>
      </w:r>
      <w:r w:rsidRPr="00A1122D">
        <w:rPr>
          <w:lang w:bidi="hi-IN"/>
        </w:rPr>
        <w:t xml:space="preserve"> D</w:t>
      </w:r>
      <w:r>
        <w:rPr>
          <w:lang w:bidi="hi-IN"/>
        </w:rPr>
        <w:t>.</w:t>
      </w:r>
      <w:r w:rsidRPr="00A1122D">
        <w:rPr>
          <w:lang w:bidi="hi-IN"/>
        </w:rPr>
        <w:t xml:space="preserve">L. Individual </w:t>
      </w:r>
      <w:r>
        <w:rPr>
          <w:lang w:bidi="hi-IN"/>
        </w:rPr>
        <w:t>empowerment</w:t>
      </w:r>
      <w:r w:rsidRPr="00A1122D">
        <w:rPr>
          <w:lang w:bidi="hi-IN"/>
        </w:rPr>
        <w:t>: how community health workers operationalize self-determination</w:t>
      </w:r>
      <w:r w:rsidRPr="00F85FF1">
        <w:rPr>
          <w:rFonts w:ascii="AdvPED1282" w:hAnsi="AdvPED1282" w:cs="AdvPED1282"/>
          <w:sz w:val="15"/>
          <w:szCs w:val="15"/>
          <w:lang w:val="en-GB" w:eastAsia="en-GB" w:bidi="hi-IN"/>
        </w:rPr>
        <w:t xml:space="preserve">, </w:t>
      </w:r>
      <w:r w:rsidRPr="00A1122D">
        <w:rPr>
          <w:lang w:bidi="hi-IN"/>
        </w:rPr>
        <w:t xml:space="preserve">self-sufficiency, </w:t>
      </w:r>
      <w:r w:rsidRPr="00A1122D">
        <w:rPr>
          <w:lang w:bidi="hi-IN"/>
        </w:rPr>
        <w:lastRenderedPageBreak/>
        <w:t xml:space="preserve">and decision-making abilities of low-income mothers. </w:t>
      </w:r>
      <w:r w:rsidRPr="001012B2">
        <w:rPr>
          <w:i/>
          <w:iCs/>
          <w:lang w:bidi="hi-IN"/>
        </w:rPr>
        <w:t>Journal of Community Psychology</w:t>
      </w:r>
      <w:r>
        <w:rPr>
          <w:lang w:bidi="hi-IN"/>
        </w:rPr>
        <w:t>. 32,</w:t>
      </w:r>
      <w:r w:rsidRPr="00A1122D">
        <w:rPr>
          <w:lang w:bidi="hi-IN"/>
        </w:rPr>
        <w:t xml:space="preserve"> 327–42.</w:t>
      </w:r>
    </w:p>
    <w:p w14:paraId="5AFFFA00"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A1122D">
        <w:rPr>
          <w:lang w:bidi="hi-IN"/>
        </w:rPr>
        <w:t>Ashforth</w:t>
      </w:r>
      <w:r>
        <w:rPr>
          <w:lang w:bidi="hi-IN"/>
        </w:rPr>
        <w:t>,</w:t>
      </w:r>
      <w:r w:rsidRPr="00A1122D">
        <w:rPr>
          <w:lang w:bidi="hi-IN"/>
        </w:rPr>
        <w:t xml:space="preserve"> B</w:t>
      </w:r>
      <w:r>
        <w:rPr>
          <w:lang w:bidi="hi-IN"/>
        </w:rPr>
        <w:t>.</w:t>
      </w:r>
      <w:r w:rsidRPr="00A1122D">
        <w:rPr>
          <w:lang w:bidi="hi-IN"/>
        </w:rPr>
        <w:t>E.</w:t>
      </w:r>
      <w:r>
        <w:rPr>
          <w:lang w:bidi="hi-IN"/>
        </w:rPr>
        <w:t xml:space="preserve"> (1989).</w:t>
      </w:r>
      <w:r w:rsidRPr="00A1122D">
        <w:rPr>
          <w:lang w:bidi="hi-IN"/>
        </w:rPr>
        <w:t xml:space="preserve"> The Experience of Powerlessness in Organizations. </w:t>
      </w:r>
      <w:r w:rsidRPr="008344B3">
        <w:rPr>
          <w:i/>
          <w:iCs/>
          <w:lang w:bidi="hi-IN"/>
        </w:rPr>
        <w:t>Organizational Behavior and Human Decision Processes</w:t>
      </w:r>
      <w:r>
        <w:rPr>
          <w:lang w:bidi="hi-IN"/>
        </w:rPr>
        <w:t xml:space="preserve">. </w:t>
      </w:r>
      <w:r w:rsidRPr="00A1122D">
        <w:rPr>
          <w:lang w:bidi="hi-IN"/>
        </w:rPr>
        <w:t xml:space="preserve"> 43</w:t>
      </w:r>
      <w:r>
        <w:rPr>
          <w:lang w:bidi="hi-IN"/>
        </w:rPr>
        <w:t>,</w:t>
      </w:r>
      <w:r w:rsidRPr="00A1122D">
        <w:rPr>
          <w:lang w:bidi="hi-IN"/>
        </w:rPr>
        <w:t xml:space="preserve"> 207–42.</w:t>
      </w:r>
    </w:p>
    <w:p w14:paraId="2926BAD4" w14:textId="77777777" w:rsidR="00987B56" w:rsidRDefault="00987B56" w:rsidP="00987B56">
      <w:pPr>
        <w:pStyle w:val="ListParagraph"/>
        <w:numPr>
          <w:ilvl w:val="0"/>
          <w:numId w:val="10"/>
        </w:numPr>
        <w:spacing w:line="480" w:lineRule="auto"/>
      </w:pPr>
      <w:r>
        <w:t xml:space="preserve">Shrestha, S. </w:t>
      </w:r>
      <w:r w:rsidRPr="008E759C">
        <w:t xml:space="preserve"> A conceptual model for empowerment of the female community health volunteers in Nepal. </w:t>
      </w:r>
      <w:r w:rsidRPr="008344B3">
        <w:rPr>
          <w:i/>
          <w:iCs/>
        </w:rPr>
        <w:t>Education for Health: Change in Learning and Practice.</w:t>
      </w:r>
      <w:r>
        <w:t xml:space="preserve"> 16, </w:t>
      </w:r>
      <w:r w:rsidRPr="008E759C">
        <w:t>18–327.</w:t>
      </w:r>
    </w:p>
    <w:p w14:paraId="4DDA0EE9"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8E759C">
        <w:rPr>
          <w:lang w:bidi="hi-IN"/>
        </w:rPr>
        <w:t xml:space="preserve">ITAP - IFPS Technical Assistance Project. </w:t>
      </w:r>
      <w:r>
        <w:rPr>
          <w:lang w:bidi="hi-IN"/>
        </w:rPr>
        <w:t xml:space="preserve">(2012). </w:t>
      </w:r>
      <w:r w:rsidRPr="008E759C">
        <w:rPr>
          <w:lang w:bidi="hi-IN"/>
        </w:rPr>
        <w:t>Community-based Workers Improve Health Outcomes</w:t>
      </w:r>
      <w:r w:rsidRPr="00A1122D">
        <w:rPr>
          <w:lang w:bidi="hi-IN"/>
        </w:rPr>
        <w:t xml:space="preserve"> in Uttarakhand, India. Gurgao</w:t>
      </w:r>
      <w:r>
        <w:rPr>
          <w:lang w:bidi="hi-IN"/>
        </w:rPr>
        <w:t>n, Haryana: Futures Group.</w:t>
      </w:r>
    </w:p>
    <w:p w14:paraId="417AEDD1" w14:textId="77777777" w:rsidR="00987B56" w:rsidRPr="00A1122D" w:rsidRDefault="00987B56" w:rsidP="00987B56">
      <w:pPr>
        <w:pStyle w:val="ListParagraph"/>
        <w:numPr>
          <w:ilvl w:val="0"/>
          <w:numId w:val="10"/>
        </w:numPr>
        <w:autoSpaceDE w:val="0"/>
        <w:autoSpaceDN w:val="0"/>
        <w:adjustRightInd w:val="0"/>
        <w:spacing w:line="480" w:lineRule="auto"/>
        <w:rPr>
          <w:lang w:bidi="hi-IN"/>
        </w:rPr>
      </w:pPr>
      <w:r w:rsidRPr="008E759C">
        <w:rPr>
          <w:lang w:val="en"/>
        </w:rPr>
        <w:t>Campbell</w:t>
      </w:r>
      <w:r>
        <w:rPr>
          <w:lang w:val="en"/>
        </w:rPr>
        <w:t>, C.,</w:t>
      </w:r>
      <w:r w:rsidRPr="008E759C">
        <w:rPr>
          <w:lang w:val="en"/>
        </w:rPr>
        <w:t xml:space="preserve"> Gibbs</w:t>
      </w:r>
      <w:r>
        <w:rPr>
          <w:lang w:val="en"/>
        </w:rPr>
        <w:t>,</w:t>
      </w:r>
      <w:r w:rsidRPr="008E759C">
        <w:rPr>
          <w:lang w:val="en"/>
        </w:rPr>
        <w:t xml:space="preserve"> A</w:t>
      </w:r>
      <w:r>
        <w:rPr>
          <w:lang w:val="en"/>
        </w:rPr>
        <w:t>.</w:t>
      </w:r>
      <w:r w:rsidRPr="008E759C">
        <w:rPr>
          <w:lang w:val="en"/>
        </w:rPr>
        <w:t>, Nair</w:t>
      </w:r>
      <w:r>
        <w:rPr>
          <w:lang w:val="en"/>
        </w:rPr>
        <w:t>,</w:t>
      </w:r>
      <w:r w:rsidRPr="008E759C">
        <w:rPr>
          <w:lang w:val="en"/>
        </w:rPr>
        <w:t xml:space="preserve"> Y</w:t>
      </w:r>
      <w:r>
        <w:rPr>
          <w:lang w:val="en"/>
        </w:rPr>
        <w:t>.</w:t>
      </w:r>
      <w:r w:rsidRPr="008E759C">
        <w:rPr>
          <w:lang w:val="en"/>
        </w:rPr>
        <w:t>, Maimane</w:t>
      </w:r>
      <w:r>
        <w:rPr>
          <w:lang w:val="en"/>
        </w:rPr>
        <w:t>,</w:t>
      </w:r>
      <w:r w:rsidRPr="008E759C">
        <w:rPr>
          <w:lang w:val="en"/>
        </w:rPr>
        <w:t xml:space="preserve"> S. </w:t>
      </w:r>
      <w:r>
        <w:rPr>
          <w:lang w:val="en"/>
        </w:rPr>
        <w:t xml:space="preserve">(2009). </w:t>
      </w:r>
      <w:r w:rsidRPr="008E759C">
        <w:rPr>
          <w:lang w:val="en"/>
        </w:rPr>
        <w:t xml:space="preserve">Frustrated potential, false promise or </w:t>
      </w:r>
      <w:r w:rsidRPr="00A1122D">
        <w:rPr>
          <w:lang w:bidi="hi-IN"/>
        </w:rPr>
        <w:t xml:space="preserve">complicated possibilities? </w:t>
      </w:r>
      <w:r>
        <w:rPr>
          <w:lang w:bidi="hi-IN"/>
        </w:rPr>
        <w:t>Empowerment</w:t>
      </w:r>
      <w:r w:rsidRPr="00A1122D">
        <w:rPr>
          <w:lang w:bidi="hi-IN"/>
        </w:rPr>
        <w:t xml:space="preserve"> and participation amongst female health v</w:t>
      </w:r>
      <w:r>
        <w:rPr>
          <w:lang w:bidi="hi-IN"/>
        </w:rPr>
        <w:t>olunteers in South Africa.</w:t>
      </w:r>
      <w:r w:rsidRPr="00A1122D">
        <w:rPr>
          <w:lang w:bidi="hi-IN"/>
        </w:rPr>
        <w:t xml:space="preserve"> </w:t>
      </w:r>
      <w:r w:rsidRPr="00A075D8">
        <w:rPr>
          <w:i/>
          <w:iCs/>
          <w:lang w:bidi="hi-IN"/>
        </w:rPr>
        <w:t>Journal of Health Management</w:t>
      </w:r>
      <w:r>
        <w:rPr>
          <w:lang w:bidi="hi-IN"/>
        </w:rPr>
        <w:t xml:space="preserve">. </w:t>
      </w:r>
      <w:r w:rsidRPr="00A1122D">
        <w:rPr>
          <w:lang w:bidi="hi-IN"/>
        </w:rPr>
        <w:t>11</w:t>
      </w:r>
      <w:r>
        <w:rPr>
          <w:lang w:bidi="hi-IN"/>
        </w:rPr>
        <w:t>,</w:t>
      </w:r>
      <w:r w:rsidRPr="00A1122D">
        <w:rPr>
          <w:lang w:bidi="hi-IN"/>
        </w:rPr>
        <w:t xml:space="preserve"> 315–336. </w:t>
      </w:r>
    </w:p>
    <w:p w14:paraId="2402375B" w14:textId="77777777" w:rsidR="00987B56" w:rsidRDefault="00987B56" w:rsidP="00987B56">
      <w:pPr>
        <w:pStyle w:val="ListParagraph"/>
        <w:numPr>
          <w:ilvl w:val="0"/>
          <w:numId w:val="10"/>
        </w:numPr>
        <w:autoSpaceDE w:val="0"/>
        <w:autoSpaceDN w:val="0"/>
        <w:adjustRightInd w:val="0"/>
        <w:spacing w:line="480" w:lineRule="auto"/>
      </w:pPr>
      <w:r w:rsidRPr="00A1122D">
        <w:t>Mc Creary</w:t>
      </w:r>
      <w:r>
        <w:t>,</w:t>
      </w:r>
      <w:r w:rsidRPr="00A1122D">
        <w:t xml:space="preserve"> L</w:t>
      </w:r>
      <w:r>
        <w:t>.</w:t>
      </w:r>
      <w:r w:rsidRPr="00A1122D">
        <w:t>, Kaponda</w:t>
      </w:r>
      <w:r>
        <w:t>,</w:t>
      </w:r>
      <w:r w:rsidRPr="00A1122D">
        <w:t xml:space="preserve"> C</w:t>
      </w:r>
      <w:r>
        <w:t>.</w:t>
      </w:r>
      <w:r w:rsidRPr="00A1122D">
        <w:t>P</w:t>
      </w:r>
      <w:r>
        <w:t>.</w:t>
      </w:r>
      <w:r w:rsidRPr="00A1122D">
        <w:t>N</w:t>
      </w:r>
      <w:r>
        <w:t>.</w:t>
      </w:r>
      <w:r w:rsidRPr="00A1122D">
        <w:t>, Davis</w:t>
      </w:r>
      <w:r>
        <w:t>,</w:t>
      </w:r>
      <w:r w:rsidRPr="00A1122D">
        <w:t xml:space="preserve"> K</w:t>
      </w:r>
      <w:r>
        <w:t>.</w:t>
      </w:r>
      <w:r w:rsidRPr="00A1122D">
        <w:t>, Kalengamaliro</w:t>
      </w:r>
      <w:r>
        <w:t>,</w:t>
      </w:r>
      <w:r w:rsidRPr="00A1122D">
        <w:t xml:space="preserve"> M</w:t>
      </w:r>
      <w:r>
        <w:t>.</w:t>
      </w:r>
      <w:r w:rsidRPr="00A1122D">
        <w:t>, Norr</w:t>
      </w:r>
      <w:r>
        <w:t>,</w:t>
      </w:r>
      <w:r w:rsidRPr="00A1122D">
        <w:t xml:space="preserve"> K. </w:t>
      </w:r>
      <w:r>
        <w:t xml:space="preserve">(2013). </w:t>
      </w:r>
      <w:r w:rsidRPr="00A1122D">
        <w:t>Empowering peer group leaders for HIV prevention in</w:t>
      </w:r>
      <w:r>
        <w:t xml:space="preserve"> Malawi. Journa of Nursing Scholarship.</w:t>
      </w:r>
      <w:r w:rsidRPr="00A1122D">
        <w:t xml:space="preserve"> </w:t>
      </w:r>
      <w:r>
        <w:t>45(3),</w:t>
      </w:r>
      <w:r w:rsidRPr="00A1122D">
        <w:t>288-97.</w:t>
      </w:r>
    </w:p>
    <w:p w14:paraId="04125C07" w14:textId="77777777" w:rsidR="00987B56" w:rsidRPr="00A075D8" w:rsidRDefault="00987B56" w:rsidP="00987B56">
      <w:pPr>
        <w:pStyle w:val="ListParagraph"/>
        <w:numPr>
          <w:ilvl w:val="0"/>
          <w:numId w:val="10"/>
        </w:numPr>
        <w:autoSpaceDE w:val="0"/>
        <w:autoSpaceDN w:val="0"/>
        <w:adjustRightInd w:val="0"/>
        <w:spacing w:line="480" w:lineRule="auto"/>
        <w:rPr>
          <w:i/>
          <w:iCs/>
        </w:rPr>
      </w:pPr>
      <w:r>
        <w:t xml:space="preserve">Argyris, C. Empowerment: The Emperor’s New Clothes. (1998). </w:t>
      </w:r>
      <w:r w:rsidRPr="00A075D8">
        <w:rPr>
          <w:i/>
          <w:iCs/>
        </w:rPr>
        <w:t>Harvard Business</w:t>
      </w:r>
    </w:p>
    <w:p w14:paraId="4F613456" w14:textId="77777777" w:rsidR="00987B56" w:rsidRPr="00A1122D" w:rsidRDefault="00987B56" w:rsidP="00987B56">
      <w:pPr>
        <w:autoSpaceDE w:val="0"/>
        <w:autoSpaceDN w:val="0"/>
        <w:adjustRightInd w:val="0"/>
        <w:spacing w:line="480" w:lineRule="auto"/>
        <w:ind w:firstLine="720"/>
      </w:pPr>
      <w:r w:rsidRPr="00A075D8">
        <w:rPr>
          <w:i/>
          <w:iCs/>
        </w:rPr>
        <w:t>Review</w:t>
      </w:r>
      <w:r>
        <w:t>.  76(3): 98–105.</w:t>
      </w:r>
    </w:p>
    <w:p w14:paraId="5F219F22" w14:textId="77777777" w:rsidR="00987B56" w:rsidRDefault="00987B56" w:rsidP="00987B56">
      <w:pPr>
        <w:pStyle w:val="ListParagraph"/>
        <w:numPr>
          <w:ilvl w:val="0"/>
          <w:numId w:val="10"/>
        </w:numPr>
        <w:spacing w:line="480" w:lineRule="auto"/>
      </w:pPr>
      <w:r>
        <w:t>Hardy, C., O'Sullivan, S</w:t>
      </w:r>
      <w:r w:rsidRPr="0040640C">
        <w:t>.</w:t>
      </w:r>
      <w:r>
        <w:t xml:space="preserve"> (1998).</w:t>
      </w:r>
      <w:r w:rsidRPr="0040640C">
        <w:t xml:space="preserve"> The power behind empowerment: Implications for researc</w:t>
      </w:r>
      <w:r>
        <w:t xml:space="preserve">h and practice. </w:t>
      </w:r>
      <w:r w:rsidRPr="00A075D8">
        <w:rPr>
          <w:i/>
          <w:iCs/>
        </w:rPr>
        <w:t>Human Relations</w:t>
      </w:r>
      <w:r>
        <w:t>. 51:</w:t>
      </w:r>
      <w:r w:rsidRPr="0040640C">
        <w:t xml:space="preserve"> 451-483.</w:t>
      </w:r>
    </w:p>
    <w:p w14:paraId="27E2B7AA" w14:textId="77777777" w:rsidR="00987B56" w:rsidRDefault="00987B56" w:rsidP="00987B56">
      <w:pPr>
        <w:pStyle w:val="ListParagraph"/>
        <w:numPr>
          <w:ilvl w:val="0"/>
          <w:numId w:val="10"/>
        </w:numPr>
        <w:shd w:val="clear" w:color="auto" w:fill="FFFFFF"/>
        <w:autoSpaceDE w:val="0"/>
        <w:autoSpaceDN w:val="0"/>
        <w:adjustRightInd w:val="0"/>
        <w:spacing w:before="100" w:beforeAutospacing="1" w:afterAutospacing="1" w:line="480" w:lineRule="auto"/>
        <w:rPr>
          <w:lang w:bidi="hi-IN"/>
        </w:rPr>
      </w:pPr>
      <w:r>
        <w:t xml:space="preserve">Foucault, M. (1991). Governmentality. In: The Foucault Effect: Studies in Governmentality. Burchell, G., Gordon, C., Miller, P. (Eds). 87–104. Chicago: University of Chicago Press. </w:t>
      </w:r>
    </w:p>
    <w:p w14:paraId="3FACC635" w14:textId="77777777" w:rsidR="00987B56" w:rsidRDefault="00987B56" w:rsidP="00987B56">
      <w:pPr>
        <w:pStyle w:val="ListParagraph"/>
        <w:numPr>
          <w:ilvl w:val="0"/>
          <w:numId w:val="10"/>
        </w:numPr>
        <w:shd w:val="clear" w:color="auto" w:fill="FFFFFF"/>
        <w:autoSpaceDE w:val="0"/>
        <w:autoSpaceDN w:val="0"/>
        <w:adjustRightInd w:val="0"/>
        <w:spacing w:before="100" w:beforeAutospacing="1" w:afterAutospacing="1" w:line="480" w:lineRule="auto"/>
        <w:rPr>
          <w:lang w:bidi="hi-IN"/>
        </w:rPr>
      </w:pPr>
      <w:r>
        <w:t xml:space="preserve"> </w:t>
      </w:r>
      <w:r w:rsidRPr="00A1122D">
        <w:rPr>
          <w:lang w:bidi="hi-IN"/>
        </w:rPr>
        <w:t>Swift</w:t>
      </w:r>
      <w:r>
        <w:rPr>
          <w:lang w:bidi="hi-IN"/>
        </w:rPr>
        <w:t>,</w:t>
      </w:r>
      <w:r w:rsidRPr="00A1122D">
        <w:rPr>
          <w:lang w:bidi="hi-IN"/>
        </w:rPr>
        <w:t xml:space="preserve"> C</w:t>
      </w:r>
      <w:r>
        <w:rPr>
          <w:lang w:bidi="hi-IN"/>
        </w:rPr>
        <w:t>.</w:t>
      </w:r>
      <w:r w:rsidRPr="00A1122D">
        <w:rPr>
          <w:lang w:bidi="hi-IN"/>
        </w:rPr>
        <w:t>, Levin</w:t>
      </w:r>
      <w:r>
        <w:rPr>
          <w:lang w:bidi="hi-IN"/>
        </w:rPr>
        <w:t>,</w:t>
      </w:r>
      <w:r w:rsidRPr="00A1122D">
        <w:rPr>
          <w:lang w:bidi="hi-IN"/>
        </w:rPr>
        <w:t xml:space="preserve"> G.</w:t>
      </w:r>
      <w:r>
        <w:rPr>
          <w:lang w:bidi="hi-IN"/>
        </w:rPr>
        <w:t xml:space="preserve"> (1987).</w:t>
      </w:r>
      <w:r w:rsidRPr="00A1122D">
        <w:rPr>
          <w:lang w:bidi="hi-IN"/>
        </w:rPr>
        <w:t xml:space="preserve"> </w:t>
      </w:r>
      <w:r>
        <w:rPr>
          <w:lang w:bidi="hi-IN"/>
        </w:rPr>
        <w:t>Empowerment</w:t>
      </w:r>
      <w:r w:rsidRPr="00A1122D">
        <w:rPr>
          <w:lang w:bidi="hi-IN"/>
        </w:rPr>
        <w:t xml:space="preserve">: an emerging mental health technology. </w:t>
      </w:r>
      <w:r w:rsidRPr="00A075D8">
        <w:rPr>
          <w:i/>
          <w:iCs/>
          <w:lang w:bidi="hi-IN"/>
        </w:rPr>
        <w:t>Journal of Primary Prevention</w:t>
      </w:r>
      <w:r>
        <w:rPr>
          <w:lang w:bidi="hi-IN"/>
        </w:rPr>
        <w:t xml:space="preserve">. </w:t>
      </w:r>
      <w:r w:rsidRPr="00A1122D">
        <w:rPr>
          <w:lang w:bidi="hi-IN"/>
        </w:rPr>
        <w:t xml:space="preserve"> 8</w:t>
      </w:r>
      <w:r>
        <w:rPr>
          <w:lang w:bidi="hi-IN"/>
        </w:rPr>
        <w:t>,</w:t>
      </w:r>
      <w:r w:rsidRPr="00A1122D">
        <w:rPr>
          <w:lang w:bidi="hi-IN"/>
        </w:rPr>
        <w:t xml:space="preserve"> 71–94.</w:t>
      </w:r>
    </w:p>
    <w:p w14:paraId="623CA3BD" w14:textId="77777777" w:rsidR="00987B56" w:rsidRDefault="00987B56" w:rsidP="00987B56">
      <w:pPr>
        <w:pStyle w:val="ListParagraph"/>
        <w:numPr>
          <w:ilvl w:val="0"/>
          <w:numId w:val="10"/>
        </w:numPr>
        <w:shd w:val="clear" w:color="auto" w:fill="FFFFFF"/>
        <w:autoSpaceDE w:val="0"/>
        <w:autoSpaceDN w:val="0"/>
        <w:adjustRightInd w:val="0"/>
        <w:spacing w:before="100" w:beforeAutospacing="1" w:afterAutospacing="1" w:line="480" w:lineRule="auto"/>
      </w:pPr>
      <w:r>
        <w:lastRenderedPageBreak/>
        <w:t xml:space="preserve"> </w:t>
      </w:r>
      <w:r>
        <w:rPr>
          <w:lang w:bidi="hi-IN"/>
        </w:rPr>
        <w:t>World Health Organisation. (2008).</w:t>
      </w:r>
      <w:r w:rsidRPr="00723636">
        <w:rPr>
          <w:lang w:bidi="hi-IN"/>
        </w:rPr>
        <w:t xml:space="preserve"> Task Shifting: Rational Redistribution of Tasks Among Health Workforce Teams: Global Recommendations and Guidelines.</w:t>
      </w:r>
      <w:r>
        <w:rPr>
          <w:lang w:bidi="hi-IN"/>
        </w:rPr>
        <w:t xml:space="preserve"> </w:t>
      </w:r>
      <w:r w:rsidRPr="00723636">
        <w:rPr>
          <w:lang w:bidi="hi-IN"/>
        </w:rPr>
        <w:t xml:space="preserve">Geneva: </w:t>
      </w:r>
      <w:r>
        <w:rPr>
          <w:lang w:bidi="hi-IN"/>
        </w:rPr>
        <w:t xml:space="preserve">World Health Organisation.. </w:t>
      </w:r>
    </w:p>
    <w:p w14:paraId="4B626440" w14:textId="77777777" w:rsidR="00987B56" w:rsidRDefault="00987B56" w:rsidP="00987B56">
      <w:pPr>
        <w:pStyle w:val="ListParagraph"/>
        <w:numPr>
          <w:ilvl w:val="0"/>
          <w:numId w:val="10"/>
        </w:numPr>
        <w:shd w:val="clear" w:color="auto" w:fill="FFFFFF"/>
        <w:autoSpaceDE w:val="0"/>
        <w:autoSpaceDN w:val="0"/>
        <w:adjustRightInd w:val="0"/>
        <w:spacing w:before="100" w:beforeAutospacing="1" w:afterAutospacing="1" w:line="480" w:lineRule="auto"/>
      </w:pPr>
      <w:r>
        <w:t xml:space="preserve"> </w:t>
      </w:r>
      <w:r w:rsidRPr="00723636">
        <w:t>Fulton</w:t>
      </w:r>
      <w:r>
        <w:t>,</w:t>
      </w:r>
      <w:r w:rsidRPr="00723636">
        <w:t xml:space="preserve"> B</w:t>
      </w:r>
      <w:r>
        <w:t>.</w:t>
      </w:r>
      <w:r w:rsidRPr="00723636">
        <w:t>D</w:t>
      </w:r>
      <w:r>
        <w:t>.</w:t>
      </w:r>
      <w:r w:rsidRPr="00723636">
        <w:t>, Scheffler</w:t>
      </w:r>
      <w:r>
        <w:t>,</w:t>
      </w:r>
      <w:r w:rsidRPr="00723636">
        <w:t xml:space="preserve"> R</w:t>
      </w:r>
      <w:r>
        <w:t>.</w:t>
      </w:r>
      <w:r w:rsidRPr="00723636">
        <w:t>M,</w:t>
      </w:r>
      <w:r>
        <w:t xml:space="preserve"> Sparkes, S.P., Auh, E.Y., Vujicic, M.,</w:t>
      </w:r>
      <w:r w:rsidRPr="00723636">
        <w:t xml:space="preserve"> Soucat</w:t>
      </w:r>
      <w:r>
        <w:t>,</w:t>
      </w:r>
      <w:r w:rsidRPr="00723636">
        <w:t xml:space="preserve"> A.</w:t>
      </w:r>
      <w:r>
        <w:t xml:space="preserve"> (2011).</w:t>
      </w:r>
      <w:r w:rsidRPr="00723636">
        <w:t xml:space="preserve"> Health workforce skill mix and task shifting in low income countries: a review of recent evidence. </w:t>
      </w:r>
      <w:r w:rsidRPr="00A075D8">
        <w:rPr>
          <w:i/>
          <w:iCs/>
        </w:rPr>
        <w:t>Human Resources for Health.</w:t>
      </w:r>
      <w:r>
        <w:t xml:space="preserve"> 9:</w:t>
      </w:r>
      <w:r w:rsidRPr="00723636">
        <w:t>1.</w:t>
      </w:r>
      <w:r w:rsidRPr="00A075D8">
        <w:t xml:space="preserve"> DOI: 10.1186/1478-4491-9-1</w:t>
      </w:r>
      <w:r>
        <w:t>.</w:t>
      </w:r>
    </w:p>
    <w:p w14:paraId="18ACB5E2" w14:textId="77777777" w:rsidR="00987B56" w:rsidRDefault="00987B56" w:rsidP="00987B56">
      <w:pPr>
        <w:pStyle w:val="ListParagraph"/>
        <w:numPr>
          <w:ilvl w:val="0"/>
          <w:numId w:val="10"/>
        </w:numPr>
        <w:shd w:val="clear" w:color="auto" w:fill="FFFFFF"/>
        <w:autoSpaceDE w:val="0"/>
        <w:autoSpaceDN w:val="0"/>
        <w:adjustRightInd w:val="0"/>
        <w:spacing w:before="100" w:beforeAutospacing="1" w:afterAutospacing="1" w:line="480" w:lineRule="auto"/>
      </w:pPr>
      <w:r w:rsidRPr="00D623D3">
        <w:t>Naimoli</w:t>
      </w:r>
      <w:r>
        <w:t>,</w:t>
      </w:r>
      <w:r w:rsidRPr="00D623D3">
        <w:t xml:space="preserve"> F</w:t>
      </w:r>
      <w:r>
        <w:t>.</w:t>
      </w:r>
      <w:r w:rsidRPr="00D623D3">
        <w:t>J</w:t>
      </w:r>
      <w:r>
        <w:t>.</w:t>
      </w:r>
      <w:r w:rsidRPr="00D623D3">
        <w:t>, Perry</w:t>
      </w:r>
      <w:r>
        <w:t>,</w:t>
      </w:r>
      <w:r w:rsidRPr="00D623D3">
        <w:t xml:space="preserve"> H</w:t>
      </w:r>
      <w:r>
        <w:t>.</w:t>
      </w:r>
      <w:r w:rsidRPr="00D623D3">
        <w:t>B</w:t>
      </w:r>
      <w:r>
        <w:t>.</w:t>
      </w:r>
      <w:r w:rsidRPr="00D623D3">
        <w:t>, Townsend</w:t>
      </w:r>
      <w:r>
        <w:t>,</w:t>
      </w:r>
      <w:r w:rsidRPr="00D623D3">
        <w:t xml:space="preserve"> J</w:t>
      </w:r>
      <w:r>
        <w:t>.</w:t>
      </w:r>
      <w:r w:rsidRPr="00D623D3">
        <w:t>W</w:t>
      </w:r>
      <w:r>
        <w:t>.</w:t>
      </w:r>
      <w:r w:rsidRPr="00D623D3">
        <w:t>, Frymus</w:t>
      </w:r>
      <w:r>
        <w:t>,</w:t>
      </w:r>
      <w:r w:rsidRPr="00D623D3">
        <w:t xml:space="preserve"> E</w:t>
      </w:r>
      <w:r>
        <w:t>.</w:t>
      </w:r>
      <w:r w:rsidRPr="00D623D3">
        <w:t>D, Mc</w:t>
      </w:r>
      <w:r>
        <w:t xml:space="preserve"> </w:t>
      </w:r>
      <w:r w:rsidRPr="00D623D3">
        <w:t>Caffery</w:t>
      </w:r>
      <w:r>
        <w:t>,</w:t>
      </w:r>
      <w:r w:rsidRPr="00D623D3">
        <w:t xml:space="preserve"> J</w:t>
      </w:r>
      <w:r>
        <w:t>.</w:t>
      </w:r>
      <w:r w:rsidRPr="00D623D3">
        <w:t xml:space="preserve">A. </w:t>
      </w:r>
      <w:r>
        <w:t xml:space="preserve">(2015). </w:t>
      </w:r>
      <w:r w:rsidRPr="00D623D3">
        <w:t xml:space="preserve">Strategic partnering to improve Community Health Worker programming and performance: features of a community-health system integrated approach. </w:t>
      </w:r>
      <w:r w:rsidRPr="00A075D8">
        <w:rPr>
          <w:i/>
          <w:iCs/>
        </w:rPr>
        <w:t xml:space="preserve">Human Resources for Health. </w:t>
      </w:r>
      <w:r w:rsidRPr="00D623D3">
        <w:t>13:46</w:t>
      </w:r>
      <w:r>
        <w:t>.</w:t>
      </w:r>
      <w:r w:rsidRPr="008014FF">
        <w:t xml:space="preserve"> DOI: 10.1186/s12960-015-0041-3</w:t>
      </w:r>
      <w:r>
        <w:t xml:space="preserve">. </w:t>
      </w:r>
    </w:p>
    <w:p w14:paraId="1B2C0EB7" w14:textId="77777777" w:rsidR="00145BE9" w:rsidRDefault="00145BE9" w:rsidP="00900181">
      <w:pPr>
        <w:autoSpaceDE w:val="0"/>
        <w:autoSpaceDN w:val="0"/>
        <w:adjustRightInd w:val="0"/>
        <w:spacing w:line="480" w:lineRule="auto"/>
      </w:pPr>
    </w:p>
    <w:sectPr w:rsidR="00145BE9" w:rsidSect="00FB0001">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98DF3" w14:textId="77777777" w:rsidR="004C7B17" w:rsidRDefault="004C7B17" w:rsidP="007A07F0">
      <w:r>
        <w:separator/>
      </w:r>
    </w:p>
  </w:endnote>
  <w:endnote w:type="continuationSeparator" w:id="0">
    <w:p w14:paraId="52F87C6A" w14:textId="77777777" w:rsidR="004C7B17" w:rsidRDefault="004C7B17" w:rsidP="007A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ED128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D07A" w14:textId="77777777" w:rsidR="004C7B17" w:rsidRDefault="004C7B17" w:rsidP="007A07F0">
      <w:r>
        <w:separator/>
      </w:r>
    </w:p>
  </w:footnote>
  <w:footnote w:type="continuationSeparator" w:id="0">
    <w:p w14:paraId="17418469" w14:textId="77777777" w:rsidR="004C7B17" w:rsidRDefault="004C7B17" w:rsidP="007A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F83"/>
    <w:multiLevelType w:val="multilevel"/>
    <w:tmpl w:val="ACF4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30CAC"/>
    <w:multiLevelType w:val="hybridMultilevel"/>
    <w:tmpl w:val="EFAA0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D658EA"/>
    <w:multiLevelType w:val="multilevel"/>
    <w:tmpl w:val="974822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025A6C"/>
    <w:multiLevelType w:val="multilevel"/>
    <w:tmpl w:val="6D18B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504B33"/>
    <w:multiLevelType w:val="hybridMultilevel"/>
    <w:tmpl w:val="AF641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C428F"/>
    <w:multiLevelType w:val="hybridMultilevel"/>
    <w:tmpl w:val="99B06442"/>
    <w:lvl w:ilvl="0" w:tplc="A7562E1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7621EF"/>
    <w:multiLevelType w:val="hybridMultilevel"/>
    <w:tmpl w:val="ADAA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365659"/>
    <w:multiLevelType w:val="hybridMultilevel"/>
    <w:tmpl w:val="16F4CE68"/>
    <w:lvl w:ilvl="0" w:tplc="C1E286C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B27C7"/>
    <w:multiLevelType w:val="hybridMultilevel"/>
    <w:tmpl w:val="97A2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0126D"/>
    <w:multiLevelType w:val="hybridMultilevel"/>
    <w:tmpl w:val="383CE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2D"/>
    <w:rsid w:val="000042FC"/>
    <w:rsid w:val="000116FD"/>
    <w:rsid w:val="00014FB9"/>
    <w:rsid w:val="00016BF4"/>
    <w:rsid w:val="00030233"/>
    <w:rsid w:val="00047442"/>
    <w:rsid w:val="000611F7"/>
    <w:rsid w:val="00061268"/>
    <w:rsid w:val="0008177D"/>
    <w:rsid w:val="000823A4"/>
    <w:rsid w:val="00090555"/>
    <w:rsid w:val="00090B3F"/>
    <w:rsid w:val="00095EB9"/>
    <w:rsid w:val="000B5D8E"/>
    <w:rsid w:val="000C20C7"/>
    <w:rsid w:val="000C6F49"/>
    <w:rsid w:val="000F1C04"/>
    <w:rsid w:val="00100099"/>
    <w:rsid w:val="00104309"/>
    <w:rsid w:val="00110134"/>
    <w:rsid w:val="00117B42"/>
    <w:rsid w:val="00121331"/>
    <w:rsid w:val="001235FB"/>
    <w:rsid w:val="0014207A"/>
    <w:rsid w:val="00145BE9"/>
    <w:rsid w:val="001533DC"/>
    <w:rsid w:val="00162CA1"/>
    <w:rsid w:val="00165E07"/>
    <w:rsid w:val="00183CE6"/>
    <w:rsid w:val="00193ED6"/>
    <w:rsid w:val="001A5CBA"/>
    <w:rsid w:val="001B57E2"/>
    <w:rsid w:val="001C38C3"/>
    <w:rsid w:val="001D0D45"/>
    <w:rsid w:val="001D5723"/>
    <w:rsid w:val="001E0D6B"/>
    <w:rsid w:val="001F3A27"/>
    <w:rsid w:val="002115ED"/>
    <w:rsid w:val="0021231A"/>
    <w:rsid w:val="00217B37"/>
    <w:rsid w:val="00220CDA"/>
    <w:rsid w:val="002212EE"/>
    <w:rsid w:val="00232C49"/>
    <w:rsid w:val="00240237"/>
    <w:rsid w:val="00241F14"/>
    <w:rsid w:val="002538DB"/>
    <w:rsid w:val="00266FF6"/>
    <w:rsid w:val="002705AF"/>
    <w:rsid w:val="00274142"/>
    <w:rsid w:val="00277BCC"/>
    <w:rsid w:val="002B338A"/>
    <w:rsid w:val="002C5417"/>
    <w:rsid w:val="002D5717"/>
    <w:rsid w:val="002E48B1"/>
    <w:rsid w:val="003160B2"/>
    <w:rsid w:val="0034782D"/>
    <w:rsid w:val="00355AAB"/>
    <w:rsid w:val="0037284C"/>
    <w:rsid w:val="00384A06"/>
    <w:rsid w:val="003B29C2"/>
    <w:rsid w:val="003C0404"/>
    <w:rsid w:val="003C1AFE"/>
    <w:rsid w:val="004047A6"/>
    <w:rsid w:val="00415EF7"/>
    <w:rsid w:val="0042718F"/>
    <w:rsid w:val="00446A32"/>
    <w:rsid w:val="00465FCA"/>
    <w:rsid w:val="00482272"/>
    <w:rsid w:val="00486A3E"/>
    <w:rsid w:val="00491A35"/>
    <w:rsid w:val="0049365D"/>
    <w:rsid w:val="004C7B17"/>
    <w:rsid w:val="004F4FB3"/>
    <w:rsid w:val="00515292"/>
    <w:rsid w:val="00520DC7"/>
    <w:rsid w:val="0052648F"/>
    <w:rsid w:val="00532D4E"/>
    <w:rsid w:val="0054596A"/>
    <w:rsid w:val="0055651A"/>
    <w:rsid w:val="0057054F"/>
    <w:rsid w:val="00577E4A"/>
    <w:rsid w:val="00581959"/>
    <w:rsid w:val="00583F41"/>
    <w:rsid w:val="0058464D"/>
    <w:rsid w:val="005974DB"/>
    <w:rsid w:val="005A67B3"/>
    <w:rsid w:val="005B6286"/>
    <w:rsid w:val="005D3396"/>
    <w:rsid w:val="005D7319"/>
    <w:rsid w:val="005F285F"/>
    <w:rsid w:val="00611CA7"/>
    <w:rsid w:val="00622E1D"/>
    <w:rsid w:val="00632C76"/>
    <w:rsid w:val="00644C03"/>
    <w:rsid w:val="00650AAF"/>
    <w:rsid w:val="006512C6"/>
    <w:rsid w:val="006544D2"/>
    <w:rsid w:val="00656DC1"/>
    <w:rsid w:val="006664B7"/>
    <w:rsid w:val="00681C68"/>
    <w:rsid w:val="00697824"/>
    <w:rsid w:val="006B1188"/>
    <w:rsid w:val="006C72FC"/>
    <w:rsid w:val="006D40A6"/>
    <w:rsid w:val="006D5041"/>
    <w:rsid w:val="006E34E1"/>
    <w:rsid w:val="006F2B89"/>
    <w:rsid w:val="006F3343"/>
    <w:rsid w:val="007034F1"/>
    <w:rsid w:val="0071578D"/>
    <w:rsid w:val="00716A23"/>
    <w:rsid w:val="00723636"/>
    <w:rsid w:val="007247AC"/>
    <w:rsid w:val="00726721"/>
    <w:rsid w:val="007374C2"/>
    <w:rsid w:val="00755D49"/>
    <w:rsid w:val="00771436"/>
    <w:rsid w:val="00787171"/>
    <w:rsid w:val="00794040"/>
    <w:rsid w:val="00794228"/>
    <w:rsid w:val="007A02D1"/>
    <w:rsid w:val="007A07F0"/>
    <w:rsid w:val="007B419C"/>
    <w:rsid w:val="007B5022"/>
    <w:rsid w:val="007B7D7E"/>
    <w:rsid w:val="007C79CC"/>
    <w:rsid w:val="007D7A23"/>
    <w:rsid w:val="007E3B9F"/>
    <w:rsid w:val="007E4BCD"/>
    <w:rsid w:val="007E5B83"/>
    <w:rsid w:val="00803693"/>
    <w:rsid w:val="00804081"/>
    <w:rsid w:val="00833A31"/>
    <w:rsid w:val="00837CDD"/>
    <w:rsid w:val="00855A8D"/>
    <w:rsid w:val="00857C2B"/>
    <w:rsid w:val="008751AD"/>
    <w:rsid w:val="008768FB"/>
    <w:rsid w:val="00893F07"/>
    <w:rsid w:val="00894B41"/>
    <w:rsid w:val="008A2BE6"/>
    <w:rsid w:val="008D020F"/>
    <w:rsid w:val="0090016D"/>
    <w:rsid w:val="00900181"/>
    <w:rsid w:val="00931B6A"/>
    <w:rsid w:val="00932CA6"/>
    <w:rsid w:val="00950868"/>
    <w:rsid w:val="00975492"/>
    <w:rsid w:val="0098023D"/>
    <w:rsid w:val="00986065"/>
    <w:rsid w:val="00986FD9"/>
    <w:rsid w:val="00987B56"/>
    <w:rsid w:val="009B0C5A"/>
    <w:rsid w:val="009B6504"/>
    <w:rsid w:val="009D7F52"/>
    <w:rsid w:val="009E070A"/>
    <w:rsid w:val="009E5A9F"/>
    <w:rsid w:val="009F59E2"/>
    <w:rsid w:val="00A03E17"/>
    <w:rsid w:val="00A1122D"/>
    <w:rsid w:val="00A14440"/>
    <w:rsid w:val="00A22076"/>
    <w:rsid w:val="00A37A69"/>
    <w:rsid w:val="00A469E4"/>
    <w:rsid w:val="00A66780"/>
    <w:rsid w:val="00A75C5F"/>
    <w:rsid w:val="00A8316C"/>
    <w:rsid w:val="00A91B2A"/>
    <w:rsid w:val="00A955A3"/>
    <w:rsid w:val="00AA1018"/>
    <w:rsid w:val="00AB088C"/>
    <w:rsid w:val="00AD47D2"/>
    <w:rsid w:val="00AE172E"/>
    <w:rsid w:val="00AF28B7"/>
    <w:rsid w:val="00AF485F"/>
    <w:rsid w:val="00B01F0E"/>
    <w:rsid w:val="00B0583E"/>
    <w:rsid w:val="00B214AB"/>
    <w:rsid w:val="00B22CF2"/>
    <w:rsid w:val="00B265B0"/>
    <w:rsid w:val="00B27FF4"/>
    <w:rsid w:val="00B3114F"/>
    <w:rsid w:val="00B32266"/>
    <w:rsid w:val="00B359BF"/>
    <w:rsid w:val="00B3776A"/>
    <w:rsid w:val="00B50B19"/>
    <w:rsid w:val="00B8411D"/>
    <w:rsid w:val="00BB2911"/>
    <w:rsid w:val="00BB310B"/>
    <w:rsid w:val="00C051B4"/>
    <w:rsid w:val="00C053B8"/>
    <w:rsid w:val="00C268F4"/>
    <w:rsid w:val="00C54B47"/>
    <w:rsid w:val="00C55B8C"/>
    <w:rsid w:val="00C740B2"/>
    <w:rsid w:val="00C81ED1"/>
    <w:rsid w:val="00CA6183"/>
    <w:rsid w:val="00CC307D"/>
    <w:rsid w:val="00CD7F9C"/>
    <w:rsid w:val="00CF67FA"/>
    <w:rsid w:val="00D03E2F"/>
    <w:rsid w:val="00D33193"/>
    <w:rsid w:val="00D61C93"/>
    <w:rsid w:val="00D75799"/>
    <w:rsid w:val="00D75C27"/>
    <w:rsid w:val="00D97657"/>
    <w:rsid w:val="00DB6F48"/>
    <w:rsid w:val="00DB768E"/>
    <w:rsid w:val="00DC5DDE"/>
    <w:rsid w:val="00DD6915"/>
    <w:rsid w:val="00DE632A"/>
    <w:rsid w:val="00DF3A4E"/>
    <w:rsid w:val="00E04939"/>
    <w:rsid w:val="00E070C2"/>
    <w:rsid w:val="00E07188"/>
    <w:rsid w:val="00E15936"/>
    <w:rsid w:val="00E319D6"/>
    <w:rsid w:val="00EA64AE"/>
    <w:rsid w:val="00EA79B6"/>
    <w:rsid w:val="00EC5E1E"/>
    <w:rsid w:val="00ED30EF"/>
    <w:rsid w:val="00ED5657"/>
    <w:rsid w:val="00EF6929"/>
    <w:rsid w:val="00F11FBA"/>
    <w:rsid w:val="00F17DC6"/>
    <w:rsid w:val="00F32E80"/>
    <w:rsid w:val="00F54BC5"/>
    <w:rsid w:val="00F723D6"/>
    <w:rsid w:val="00F94B9F"/>
    <w:rsid w:val="00FB0001"/>
    <w:rsid w:val="00FB0EA4"/>
    <w:rsid w:val="00FB6AE0"/>
    <w:rsid w:val="00FD1A3F"/>
    <w:rsid w:val="00FF28DC"/>
    <w:rsid w:val="00FF3283"/>
    <w:rsid w:val="00FF3425"/>
  </w:rsids>
  <m:mathPr>
    <m:mathFont m:val="Cambria Math"/>
    <m:brkBin m:val="before"/>
    <m:brkBinSub m:val="--"/>
    <m:smallFrac m:val="0"/>
    <m:dispDef/>
    <m:lMargin m:val="0"/>
    <m:rMargin m:val="0"/>
    <m:defJc m:val="centerGroup"/>
    <m:wrapIndent m:val="1440"/>
    <m:intLim m:val="subSup"/>
    <m:naryLim m:val="undOvr"/>
  </m:mathPr>
  <w:themeFontLang w:val="nl-NL"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2DAFF"/>
  <w15:chartTrackingRefBased/>
  <w15:docId w15:val="{1FA3F529-3AD0-47BB-A383-000B01E0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22D"/>
    <w:pPr>
      <w:ind w:left="720"/>
      <w:contextualSpacing/>
    </w:pPr>
  </w:style>
  <w:style w:type="character" w:customStyle="1" w:styleId="ListParagraphChar">
    <w:name w:val="List Paragraph Char"/>
    <w:link w:val="ListParagraph"/>
    <w:uiPriority w:val="34"/>
    <w:locked/>
    <w:rsid w:val="00A1122D"/>
    <w:rPr>
      <w:rFonts w:ascii="Verdana" w:hAnsi="Verdana"/>
      <w:lang w:val="en-US" w:eastAsia="en-US"/>
    </w:rPr>
  </w:style>
  <w:style w:type="character" w:styleId="Emphasis">
    <w:name w:val="Emphasis"/>
    <w:basedOn w:val="DefaultParagraphFont"/>
    <w:uiPriority w:val="20"/>
    <w:qFormat/>
    <w:rsid w:val="00A1122D"/>
    <w:rPr>
      <w:i/>
      <w:iCs/>
    </w:rPr>
  </w:style>
  <w:style w:type="character" w:styleId="Strong">
    <w:name w:val="Strong"/>
    <w:basedOn w:val="DefaultParagraphFont"/>
    <w:uiPriority w:val="22"/>
    <w:qFormat/>
    <w:rsid w:val="00A1122D"/>
    <w:rPr>
      <w:b/>
      <w:bCs/>
    </w:rPr>
  </w:style>
  <w:style w:type="character" w:styleId="Hyperlink">
    <w:name w:val="Hyperlink"/>
    <w:basedOn w:val="DefaultParagraphFont"/>
    <w:uiPriority w:val="99"/>
    <w:unhideWhenUsed/>
    <w:rsid w:val="00A1122D"/>
    <w:rPr>
      <w:color w:val="0000FF"/>
      <w:u w:val="single"/>
    </w:rPr>
  </w:style>
  <w:style w:type="character" w:customStyle="1" w:styleId="article-title1">
    <w:name w:val="article-title1"/>
    <w:basedOn w:val="DefaultParagraphFont"/>
    <w:rsid w:val="00A1122D"/>
    <w:rPr>
      <w:b/>
      <w:bCs/>
    </w:rPr>
  </w:style>
  <w:style w:type="paragraph" w:styleId="NormalWeb">
    <w:name w:val="Normal (Web)"/>
    <w:basedOn w:val="Normal"/>
    <w:uiPriority w:val="99"/>
    <w:unhideWhenUsed/>
    <w:rsid w:val="00A1122D"/>
    <w:pPr>
      <w:spacing w:before="100" w:beforeAutospacing="1" w:after="100" w:afterAutospacing="1"/>
    </w:pPr>
    <w:rPr>
      <w:rFonts w:ascii="Times New Roman" w:hAnsi="Times New Roman"/>
      <w:sz w:val="24"/>
      <w:szCs w:val="24"/>
      <w:lang w:val="en-GB" w:eastAsia="en-GB" w:bidi="hi-IN"/>
    </w:rPr>
  </w:style>
  <w:style w:type="paragraph" w:customStyle="1" w:styleId="Default">
    <w:name w:val="Default"/>
    <w:rsid w:val="00A1122D"/>
    <w:pPr>
      <w:autoSpaceDE w:val="0"/>
      <w:autoSpaceDN w:val="0"/>
      <w:adjustRightInd w:val="0"/>
    </w:pPr>
    <w:rPr>
      <w:rFonts w:ascii="Myriad Pro Light" w:hAnsi="Myriad Pro Light" w:cs="Myriad Pro Light"/>
      <w:color w:val="000000"/>
      <w:sz w:val="24"/>
      <w:szCs w:val="24"/>
      <w:lang w:val="en-GB" w:eastAsia="en-GB" w:bidi="hi-IN"/>
    </w:rPr>
  </w:style>
  <w:style w:type="paragraph" w:customStyle="1" w:styleId="Pa0">
    <w:name w:val="Pa0"/>
    <w:basedOn w:val="Default"/>
    <w:next w:val="Default"/>
    <w:uiPriority w:val="99"/>
    <w:rsid w:val="00A1122D"/>
    <w:pPr>
      <w:spacing w:line="241" w:lineRule="atLeast"/>
    </w:pPr>
    <w:rPr>
      <w:rFonts w:cs="Mangal"/>
      <w:color w:val="auto"/>
    </w:rPr>
  </w:style>
  <w:style w:type="character" w:customStyle="1" w:styleId="A0">
    <w:name w:val="A0"/>
    <w:uiPriority w:val="99"/>
    <w:rsid w:val="00A1122D"/>
    <w:rPr>
      <w:rFonts w:cs="Myriad Pro Light"/>
      <w:color w:val="000000"/>
      <w:sz w:val="50"/>
      <w:szCs w:val="50"/>
    </w:rPr>
  </w:style>
  <w:style w:type="character" w:customStyle="1" w:styleId="A1">
    <w:name w:val="A1"/>
    <w:uiPriority w:val="99"/>
    <w:rsid w:val="00A1122D"/>
    <w:rPr>
      <w:rFonts w:ascii="Myriad Pro" w:hAnsi="Myriad Pro" w:cs="Myriad Pro"/>
      <w:color w:val="000000"/>
      <w:sz w:val="31"/>
      <w:szCs w:val="31"/>
    </w:rPr>
  </w:style>
  <w:style w:type="character" w:customStyle="1" w:styleId="A4">
    <w:name w:val="A4"/>
    <w:uiPriority w:val="99"/>
    <w:rsid w:val="00A1122D"/>
    <w:rPr>
      <w:rFonts w:cs="Myriad Pro Light"/>
      <w:b/>
      <w:bCs/>
      <w:i/>
      <w:iCs/>
      <w:color w:val="000000"/>
      <w:sz w:val="36"/>
      <w:szCs w:val="36"/>
    </w:rPr>
  </w:style>
  <w:style w:type="character" w:styleId="HTMLCite">
    <w:name w:val="HTML Cite"/>
    <w:basedOn w:val="DefaultParagraphFont"/>
    <w:uiPriority w:val="99"/>
    <w:unhideWhenUsed/>
    <w:rsid w:val="00A1122D"/>
    <w:rPr>
      <w:i/>
      <w:iCs/>
    </w:rPr>
  </w:style>
  <w:style w:type="character" w:customStyle="1" w:styleId="cit-pub-date">
    <w:name w:val="cit-pub-date"/>
    <w:basedOn w:val="DefaultParagraphFont"/>
    <w:rsid w:val="00A1122D"/>
  </w:style>
  <w:style w:type="character" w:customStyle="1" w:styleId="cit-source">
    <w:name w:val="cit-source"/>
    <w:basedOn w:val="DefaultParagraphFont"/>
    <w:rsid w:val="00A1122D"/>
  </w:style>
  <w:style w:type="character" w:customStyle="1" w:styleId="cit-vol5">
    <w:name w:val="cit-vol5"/>
    <w:basedOn w:val="DefaultParagraphFont"/>
    <w:rsid w:val="00A1122D"/>
  </w:style>
  <w:style w:type="character" w:customStyle="1" w:styleId="cit-fpage">
    <w:name w:val="cit-fpage"/>
    <w:basedOn w:val="DefaultParagraphFont"/>
    <w:rsid w:val="00A1122D"/>
  </w:style>
  <w:style w:type="character" w:customStyle="1" w:styleId="nlmyear">
    <w:name w:val="nlm_year"/>
    <w:basedOn w:val="DefaultParagraphFont"/>
    <w:rsid w:val="00A1122D"/>
  </w:style>
  <w:style w:type="character" w:customStyle="1" w:styleId="st">
    <w:name w:val="st"/>
    <w:basedOn w:val="DefaultParagraphFont"/>
    <w:rsid w:val="00A1122D"/>
  </w:style>
  <w:style w:type="character" w:styleId="CommentReference">
    <w:name w:val="annotation reference"/>
    <w:basedOn w:val="DefaultParagraphFont"/>
    <w:rsid w:val="00A1122D"/>
    <w:rPr>
      <w:sz w:val="16"/>
      <w:szCs w:val="16"/>
    </w:rPr>
  </w:style>
  <w:style w:type="paragraph" w:styleId="CommentText">
    <w:name w:val="annotation text"/>
    <w:basedOn w:val="Normal"/>
    <w:link w:val="CommentTextChar"/>
    <w:rsid w:val="00A1122D"/>
  </w:style>
  <w:style w:type="character" w:customStyle="1" w:styleId="CommentTextChar">
    <w:name w:val="Comment Text Char"/>
    <w:basedOn w:val="DefaultParagraphFont"/>
    <w:link w:val="CommentText"/>
    <w:rsid w:val="00A1122D"/>
    <w:rPr>
      <w:rFonts w:ascii="Verdana" w:hAnsi="Verdana"/>
      <w:lang w:val="en-US" w:eastAsia="en-US"/>
    </w:rPr>
  </w:style>
  <w:style w:type="paragraph" w:styleId="CommentSubject">
    <w:name w:val="annotation subject"/>
    <w:basedOn w:val="CommentText"/>
    <w:next w:val="CommentText"/>
    <w:link w:val="CommentSubjectChar"/>
    <w:rsid w:val="00A1122D"/>
    <w:rPr>
      <w:b/>
      <w:bCs/>
    </w:rPr>
  </w:style>
  <w:style w:type="character" w:customStyle="1" w:styleId="CommentSubjectChar">
    <w:name w:val="Comment Subject Char"/>
    <w:basedOn w:val="CommentTextChar"/>
    <w:link w:val="CommentSubject"/>
    <w:rsid w:val="00A1122D"/>
    <w:rPr>
      <w:rFonts w:ascii="Verdana" w:hAnsi="Verdana"/>
      <w:b/>
      <w:bCs/>
      <w:lang w:val="en-US" w:eastAsia="en-US"/>
    </w:rPr>
  </w:style>
  <w:style w:type="paragraph" w:styleId="BalloonText">
    <w:name w:val="Balloon Text"/>
    <w:basedOn w:val="Normal"/>
    <w:link w:val="BalloonTextChar"/>
    <w:rsid w:val="00A1122D"/>
    <w:rPr>
      <w:rFonts w:ascii="Tahoma" w:hAnsi="Tahoma" w:cs="Tahoma"/>
      <w:sz w:val="16"/>
      <w:szCs w:val="16"/>
    </w:rPr>
  </w:style>
  <w:style w:type="character" w:customStyle="1" w:styleId="BalloonTextChar">
    <w:name w:val="Balloon Text Char"/>
    <w:basedOn w:val="DefaultParagraphFont"/>
    <w:link w:val="BalloonText"/>
    <w:rsid w:val="00A1122D"/>
    <w:rPr>
      <w:rFonts w:ascii="Tahoma" w:hAnsi="Tahoma" w:cs="Tahoma"/>
      <w:sz w:val="16"/>
      <w:szCs w:val="16"/>
      <w:lang w:val="en-US" w:eastAsia="en-US"/>
    </w:rPr>
  </w:style>
  <w:style w:type="character" w:customStyle="1" w:styleId="slug-vol">
    <w:name w:val="slug-vol"/>
    <w:basedOn w:val="DefaultParagraphFont"/>
    <w:rsid w:val="00A1122D"/>
  </w:style>
  <w:style w:type="character" w:customStyle="1" w:styleId="slug-issue">
    <w:name w:val="slug-issue"/>
    <w:basedOn w:val="DefaultParagraphFont"/>
    <w:rsid w:val="00A1122D"/>
  </w:style>
  <w:style w:type="paragraph" w:styleId="Revision">
    <w:name w:val="Revision"/>
    <w:hidden/>
    <w:uiPriority w:val="99"/>
    <w:semiHidden/>
    <w:rsid w:val="00A1122D"/>
    <w:rPr>
      <w:rFonts w:ascii="Verdana" w:hAnsi="Verdana"/>
      <w:lang w:val="en-US" w:eastAsia="en-US"/>
    </w:rPr>
  </w:style>
  <w:style w:type="paragraph" w:styleId="FootnoteText">
    <w:name w:val="footnote text"/>
    <w:basedOn w:val="Normal"/>
    <w:link w:val="FootnoteTextChar"/>
    <w:rsid w:val="007A07F0"/>
  </w:style>
  <w:style w:type="character" w:customStyle="1" w:styleId="FootnoteTextChar">
    <w:name w:val="Footnote Text Char"/>
    <w:basedOn w:val="DefaultParagraphFont"/>
    <w:link w:val="FootnoteText"/>
    <w:rsid w:val="007A07F0"/>
    <w:rPr>
      <w:rFonts w:ascii="Verdana" w:hAnsi="Verdana"/>
      <w:lang w:val="en-US" w:eastAsia="en-US"/>
    </w:rPr>
  </w:style>
  <w:style w:type="character" w:styleId="FootnoteReference">
    <w:name w:val="footnote reference"/>
    <w:basedOn w:val="DefaultParagraphFont"/>
    <w:rsid w:val="007A07F0"/>
    <w:rPr>
      <w:vertAlign w:val="superscript"/>
    </w:rPr>
  </w:style>
  <w:style w:type="character" w:styleId="FollowedHyperlink">
    <w:name w:val="FollowedHyperlink"/>
    <w:basedOn w:val="DefaultParagraphFont"/>
    <w:rsid w:val="00986FD9"/>
    <w:rPr>
      <w:color w:val="954F72" w:themeColor="followedHyperlink"/>
      <w:u w:val="single"/>
    </w:rPr>
  </w:style>
  <w:style w:type="character" w:styleId="LineNumber">
    <w:name w:val="line number"/>
    <w:basedOn w:val="DefaultParagraphFont"/>
    <w:rsid w:val="00FB0001"/>
  </w:style>
  <w:style w:type="table" w:styleId="TableGrid">
    <w:name w:val="Table Grid"/>
    <w:basedOn w:val="TableNormal"/>
    <w:uiPriority w:val="59"/>
    <w:rsid w:val="009B6504"/>
    <w:rPr>
      <w:rFonts w:ascii="Calibri" w:eastAsia="Calibri" w:hAnsi="Calibri" w:cs="Vrind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68/970" TargetMode="External"/><Relationship Id="rId13" Type="http://schemas.openxmlformats.org/officeDocument/2006/relationships/hyperlink" Target="http://www.scielosp.org/scielo.php?script=sci_arttext&amp;pid=S0042-96862013001100847&amp;lng=en&amp;nrm=iso&amp;tlng=en" TargetMode="External"/><Relationship Id="rId18" Type="http://schemas.openxmlformats.org/officeDocument/2006/relationships/hyperlink" Target="http://www.millenniumvillages.org/uploads/ReportPaper/1mCHW_TechnicalTaskForce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sp.org/scielo.php?script=sci_arttext&amp;pid=S0042-96862013001100847&amp;lng=en&amp;nrm=iso&amp;tlng=en" TargetMode="External"/><Relationship Id="rId17" Type="http://schemas.openxmlformats.org/officeDocument/2006/relationships/hyperlink" Target="http://www.scielosp.org/scielo.php?script=sci_arttext&amp;pid=S0042-96862013001100847&amp;lng=en&amp;nrm=iso&amp;tlng=en" TargetMode="External"/><Relationship Id="rId2" Type="http://schemas.openxmlformats.org/officeDocument/2006/relationships/numbering" Target="numbering.xml"/><Relationship Id="rId16" Type="http://schemas.openxmlformats.org/officeDocument/2006/relationships/hyperlink" Target="http://www.scielosp.org/scielo.php?script=sci_arttext&amp;pid=S0042-96862013001100847&amp;lng=en&amp;nrm=iso&amp;tl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outconsortium.org/media/2859/reachout-inter-country-analysis-and-framework-report.pdf" TargetMode="External"/><Relationship Id="rId5" Type="http://schemas.openxmlformats.org/officeDocument/2006/relationships/webSettings" Target="webSettings.xml"/><Relationship Id="rId15" Type="http://schemas.openxmlformats.org/officeDocument/2006/relationships/hyperlink" Target="http://www.scielosp.org/scielo.php?script=sci_arttext&amp;pid=S0042-96862013001100847&amp;lng=en&amp;nrm=iso&amp;tlng=en" TargetMode="External"/><Relationship Id="rId10" Type="http://schemas.openxmlformats.org/officeDocument/2006/relationships/hyperlink" Target="http://www.coregroup.org/storage/Program_Learning/Community_Health_Workers/review%20of%20chw%20effectiveness%20for%20mdgs-sept20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choutconsortium.org/media/2856/reachout-international-literature-review.pdf" TargetMode="External"/><Relationship Id="rId14" Type="http://schemas.openxmlformats.org/officeDocument/2006/relationships/hyperlink" Target="http://www.scielosp.org/scielo.php?script=sci_arttext&amp;pid=S0042-96862013001100847&amp;lng=en&amp;nrm=iso&amp;tl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2B76-3777-43BC-A63C-D36A37A4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7823</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Sumit</dc:creator>
  <cp:keywords/>
  <dc:description/>
  <cp:lastModifiedBy>Jessica Jones</cp:lastModifiedBy>
  <cp:revision>2</cp:revision>
  <dcterms:created xsi:type="dcterms:W3CDTF">2016-08-05T08:35:00Z</dcterms:created>
  <dcterms:modified xsi:type="dcterms:W3CDTF">2016-08-05T08:35:00Z</dcterms:modified>
</cp:coreProperties>
</file>