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1B940" w14:textId="77777777" w:rsidR="00C94099" w:rsidRDefault="00C94099" w:rsidP="00AB3C53">
      <w:pPr>
        <w:jc w:val="center"/>
        <w:rPr>
          <w:b/>
        </w:rPr>
      </w:pPr>
      <w:r>
        <w:rPr>
          <w:b/>
        </w:rPr>
        <w:t xml:space="preserve">Tailoring mass drug administration to context: Implementation research is critical in achieving equitable progress in the control and elimination of helminth neglected tropical diseases in </w:t>
      </w:r>
      <w:r w:rsidR="00510772">
        <w:rPr>
          <w:b/>
        </w:rPr>
        <w:t>s</w:t>
      </w:r>
      <w:r>
        <w:rPr>
          <w:b/>
        </w:rPr>
        <w:t>ub-Saharan Africa</w:t>
      </w:r>
    </w:p>
    <w:p w14:paraId="161EBF9C" w14:textId="77777777" w:rsidR="00C94099" w:rsidRPr="0061407B" w:rsidRDefault="00C94099" w:rsidP="005C4324">
      <w:pPr>
        <w:jc w:val="center"/>
        <w:outlineLvl w:val="0"/>
        <w:rPr>
          <w:i/>
        </w:rPr>
      </w:pPr>
      <w:r>
        <w:rPr>
          <w:i/>
        </w:rPr>
        <w:t>Laura Dean</w:t>
      </w:r>
      <w:r w:rsidRPr="002756EE">
        <w:rPr>
          <w:i/>
          <w:vertAlign w:val="superscript"/>
        </w:rPr>
        <w:t>a</w:t>
      </w:r>
      <w:r>
        <w:rPr>
          <w:i/>
          <w:vertAlign w:val="superscript"/>
        </w:rPr>
        <w:t>*</w:t>
      </w:r>
      <w:r w:rsidRPr="0061407B">
        <w:rPr>
          <w:i/>
        </w:rPr>
        <w:t>, Samantha Page</w:t>
      </w:r>
      <w:r w:rsidRPr="002756EE">
        <w:rPr>
          <w:i/>
          <w:vertAlign w:val="superscript"/>
        </w:rPr>
        <w:t>a</w:t>
      </w:r>
      <w:r w:rsidRPr="0061407B">
        <w:rPr>
          <w:i/>
        </w:rPr>
        <w:t>, Kate Hawkins</w:t>
      </w:r>
      <w:r w:rsidRPr="002756EE">
        <w:rPr>
          <w:i/>
          <w:vertAlign w:val="superscript"/>
        </w:rPr>
        <w:t>b</w:t>
      </w:r>
      <w:r w:rsidRPr="0061407B">
        <w:rPr>
          <w:i/>
        </w:rPr>
        <w:t>, Russell Stothard</w:t>
      </w:r>
      <w:r w:rsidRPr="002756EE">
        <w:rPr>
          <w:i/>
          <w:vertAlign w:val="superscript"/>
        </w:rPr>
        <w:t>a</w:t>
      </w:r>
      <w:r w:rsidRPr="0061407B">
        <w:rPr>
          <w:i/>
        </w:rPr>
        <w:t>,</w:t>
      </w:r>
      <w:r>
        <w:rPr>
          <w:i/>
        </w:rPr>
        <w:t xml:space="preserve"> Rachael Thomson</w:t>
      </w:r>
      <w:r w:rsidRPr="002756EE">
        <w:rPr>
          <w:i/>
          <w:vertAlign w:val="superscript"/>
        </w:rPr>
        <w:t>a</w:t>
      </w:r>
      <w:r>
        <w:rPr>
          <w:i/>
        </w:rPr>
        <w:t>,</w:t>
      </w:r>
      <w:r w:rsidRPr="0061407B">
        <w:rPr>
          <w:i/>
        </w:rPr>
        <w:t xml:space="preserve"> Samuel Wanji</w:t>
      </w:r>
      <w:r w:rsidRPr="006577C1">
        <w:rPr>
          <w:i/>
          <w:vertAlign w:val="superscript"/>
        </w:rPr>
        <w:t>c</w:t>
      </w:r>
      <w:r w:rsidRPr="0061407B">
        <w:rPr>
          <w:i/>
        </w:rPr>
        <w:t>, Margaret Gyapong</w:t>
      </w:r>
      <w:r w:rsidRPr="006577C1">
        <w:rPr>
          <w:i/>
          <w:vertAlign w:val="superscript"/>
        </w:rPr>
        <w:t>d</w:t>
      </w:r>
      <w:r w:rsidRPr="0061407B">
        <w:rPr>
          <w:i/>
        </w:rPr>
        <w:t>, Ifeoma Anagbogu</w:t>
      </w:r>
      <w:r w:rsidRPr="006577C1">
        <w:rPr>
          <w:i/>
          <w:vertAlign w:val="superscript"/>
        </w:rPr>
        <w:t>e</w:t>
      </w:r>
      <w:r w:rsidRPr="0061407B">
        <w:rPr>
          <w:i/>
        </w:rPr>
        <w:t>, David Molyneux</w:t>
      </w:r>
      <w:r w:rsidRPr="002756EE">
        <w:rPr>
          <w:i/>
          <w:vertAlign w:val="superscript"/>
        </w:rPr>
        <w:t>a</w:t>
      </w:r>
      <w:r w:rsidRPr="0061407B">
        <w:rPr>
          <w:i/>
        </w:rPr>
        <w:t xml:space="preserve"> and Sally Theobald</w:t>
      </w:r>
      <w:r w:rsidRPr="002756EE">
        <w:rPr>
          <w:i/>
          <w:vertAlign w:val="superscript"/>
        </w:rPr>
        <w:t>a</w:t>
      </w:r>
    </w:p>
    <w:p w14:paraId="34A9816B" w14:textId="77777777" w:rsidR="00C94099" w:rsidRDefault="00C94099" w:rsidP="00921F97">
      <w:r w:rsidRPr="002756EE">
        <w:rPr>
          <w:i/>
          <w:vertAlign w:val="superscript"/>
        </w:rPr>
        <w:t>a</w:t>
      </w:r>
      <w:r>
        <w:rPr>
          <w:i/>
          <w:vertAlign w:val="superscript"/>
        </w:rPr>
        <w:t xml:space="preserve"> </w:t>
      </w:r>
      <w:r>
        <w:rPr>
          <w:i/>
        </w:rPr>
        <w:t xml:space="preserve"> </w:t>
      </w:r>
      <w:r>
        <w:t xml:space="preserve">Liverpool </w:t>
      </w:r>
      <w:smartTag w:uri="urn:schemas-microsoft-com:office:smarttags" w:element="place">
        <w:smartTag w:uri="urn:schemas-microsoft-com:office:smarttags" w:element="PlaceType">
          <w:r>
            <w:t>School</w:t>
          </w:r>
        </w:smartTag>
        <w:r>
          <w:t xml:space="preserve"> of </w:t>
        </w:r>
        <w:smartTag w:uri="urn:schemas-microsoft-com:office:smarttags" w:element="PlaceName">
          <w:r>
            <w:t>Tropical</w:t>
          </w:r>
        </w:smartTag>
      </w:smartTag>
      <w:r>
        <w:t xml:space="preserve"> Medicine, </w:t>
      </w:r>
      <w:smartTag w:uri="urn:schemas-microsoft-com:office:smarttags" w:element="address">
        <w:smartTag w:uri="urn:schemas-microsoft-com:office:smarttags" w:element="Street">
          <w:r>
            <w:t>Pembroke Place</w:t>
          </w:r>
        </w:smartTag>
        <w:r>
          <w:t xml:space="preserve">, </w:t>
        </w:r>
        <w:smartTag w:uri="urn:schemas-microsoft-com:office:smarttags" w:element="City">
          <w:r>
            <w:t>Liverpool</w:t>
          </w:r>
        </w:smartTag>
        <w:r>
          <w:t xml:space="preserve">, </w:t>
        </w:r>
        <w:smartTag w:uri="urn:schemas-microsoft-com:office:smarttags" w:element="PostalCode">
          <w:r>
            <w:t>L3 5QA</w:t>
          </w:r>
        </w:smartTag>
      </w:smartTag>
    </w:p>
    <w:p w14:paraId="65D6A3C3" w14:textId="77777777" w:rsidR="00C94099" w:rsidRDefault="00C94099" w:rsidP="00921F97">
      <w:r w:rsidRPr="002756EE">
        <w:rPr>
          <w:vertAlign w:val="superscript"/>
        </w:rPr>
        <w:t>b</w:t>
      </w:r>
      <w:r>
        <w:rPr>
          <w:vertAlign w:val="superscript"/>
        </w:rPr>
        <w:t xml:space="preserve"> </w:t>
      </w:r>
      <w:r>
        <w:t xml:space="preserve">Pamoja Communications, </w:t>
      </w:r>
    </w:p>
    <w:p w14:paraId="76554B06" w14:textId="77777777" w:rsidR="00C94099" w:rsidRPr="00A24F02" w:rsidRDefault="00C94099" w:rsidP="00921F97">
      <w:r w:rsidRPr="006577C1">
        <w:rPr>
          <w:vertAlign w:val="superscript"/>
        </w:rPr>
        <w:t>c</w:t>
      </w:r>
      <w:r>
        <w:rPr>
          <w:vertAlign w:val="superscript"/>
        </w:rPr>
        <w:t xml:space="preserve">  </w:t>
      </w:r>
      <w:r>
        <w:t xml:space="preserve">Research Foundation in Tropical Diseases and Environment,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Buea</w:t>
          </w:r>
        </w:smartTag>
      </w:smartTag>
      <w:r>
        <w:t xml:space="preserve">, </w:t>
      </w:r>
      <w:smartTag w:uri="urn:schemas-microsoft-com:office:smarttags" w:element="address">
        <w:smartTag w:uri="urn:schemas-microsoft-com:office:smarttags" w:element="Street">
          <w:r>
            <w:t>P.O. Box 63</w:t>
          </w:r>
        </w:smartTag>
        <w:r>
          <w:t xml:space="preserve">, </w:t>
        </w:r>
        <w:smartTag w:uri="urn:schemas-microsoft-com:office:smarttags" w:element="City">
          <w:r>
            <w:t>Buea</w:t>
          </w:r>
        </w:smartTag>
        <w:r>
          <w:t xml:space="preserve">, </w:t>
        </w:r>
        <w:smartTag w:uri="urn:schemas-microsoft-com:office:smarttags" w:element="country-region">
          <w:r>
            <w:t>Cameroon</w:t>
          </w:r>
        </w:smartTag>
      </w:smartTag>
    </w:p>
    <w:p w14:paraId="412C278E" w14:textId="77777777" w:rsidR="00C94099" w:rsidRPr="009A584B" w:rsidRDefault="00C94099" w:rsidP="00921F97">
      <w:r>
        <w:rPr>
          <w:vertAlign w:val="superscript"/>
        </w:rPr>
        <w:t xml:space="preserve">d </w:t>
      </w:r>
      <w:r>
        <w:t xml:space="preserve">Dodowa Health Research </w:t>
      </w:r>
      <w:smartTag w:uri="urn:schemas-microsoft-com:office:smarttags" w:element="place">
        <w:smartTag w:uri="urn:schemas-microsoft-com:office:smarttags" w:element="City">
          <w:r>
            <w:t>Centre</w:t>
          </w:r>
        </w:smartTag>
        <w:r>
          <w:t xml:space="preserve">, </w:t>
        </w:r>
        <w:smartTag w:uri="urn:schemas-microsoft-com:office:smarttags" w:element="country-region">
          <w:r>
            <w:t>Ghana</w:t>
          </w:r>
        </w:smartTag>
      </w:smartTag>
      <w:r>
        <w:t xml:space="preserve"> Health Service</w:t>
      </w:r>
    </w:p>
    <w:p w14:paraId="55F64E86" w14:textId="77777777" w:rsidR="00C94099" w:rsidRPr="009A584B" w:rsidRDefault="00C94099" w:rsidP="00921F97">
      <w:r>
        <w:rPr>
          <w:vertAlign w:val="superscript"/>
        </w:rPr>
        <w:t xml:space="preserve">e  </w:t>
      </w:r>
      <w:r>
        <w:t xml:space="preserve">Federal Ministry of </w:t>
      </w:r>
      <w:smartTag w:uri="urn:schemas-microsoft-com:office:smarttags" w:element="place">
        <w:smartTag w:uri="urn:schemas-microsoft-com:office:smarttags" w:element="City">
          <w:r>
            <w:t>Health</w:t>
          </w:r>
        </w:smartTag>
        <w:r>
          <w:t xml:space="preserve">, </w:t>
        </w:r>
        <w:smartTag w:uri="urn:schemas-microsoft-com:office:smarttags" w:element="country-region">
          <w:r>
            <w:t>Nigeria</w:t>
          </w:r>
        </w:smartTag>
      </w:smartTag>
    </w:p>
    <w:p w14:paraId="652F3FA5" w14:textId="77777777" w:rsidR="00C94099" w:rsidRDefault="00C94099" w:rsidP="00921F97">
      <w:r w:rsidRPr="002756EE">
        <w:rPr>
          <w:vertAlign w:val="superscript"/>
        </w:rPr>
        <w:t>*</w:t>
      </w:r>
      <w:r>
        <w:rPr>
          <w:vertAlign w:val="superscript"/>
        </w:rPr>
        <w:t xml:space="preserve"> </w:t>
      </w:r>
      <w:r>
        <w:t xml:space="preserve">Corresponding author: email: </w:t>
      </w:r>
      <w:hyperlink r:id="rId7" w:history="1">
        <w:r w:rsidRPr="00A567D6">
          <w:rPr>
            <w:rStyle w:val="Hyperlink"/>
          </w:rPr>
          <w:t>laura.dean@lstmed.ac.uk</w:t>
        </w:r>
      </w:hyperlink>
    </w:p>
    <w:p w14:paraId="60A99C65" w14:textId="77777777" w:rsidR="00C94099" w:rsidRDefault="00C94099" w:rsidP="00921F97">
      <w:pPr>
        <w:rPr>
          <w:b/>
        </w:rPr>
      </w:pPr>
    </w:p>
    <w:p w14:paraId="65E1A768" w14:textId="77777777" w:rsidR="00C94099" w:rsidRDefault="00C94099" w:rsidP="00921F97">
      <w:pPr>
        <w:rPr>
          <w:b/>
        </w:rPr>
      </w:pPr>
    </w:p>
    <w:p w14:paraId="1CE01D05" w14:textId="77777777" w:rsidR="00C94099" w:rsidRDefault="00C94099" w:rsidP="00921F97">
      <w:pPr>
        <w:rPr>
          <w:b/>
        </w:rPr>
      </w:pPr>
    </w:p>
    <w:p w14:paraId="5CC6134B" w14:textId="77777777" w:rsidR="00C94099" w:rsidRDefault="00C94099" w:rsidP="00921F97">
      <w:pPr>
        <w:rPr>
          <w:b/>
        </w:rPr>
      </w:pPr>
    </w:p>
    <w:p w14:paraId="35DF1337" w14:textId="77777777" w:rsidR="00C94099" w:rsidRDefault="00C94099" w:rsidP="00921F97">
      <w:pPr>
        <w:rPr>
          <w:b/>
        </w:rPr>
      </w:pPr>
    </w:p>
    <w:p w14:paraId="49F0FF32" w14:textId="77777777" w:rsidR="00C94099" w:rsidRDefault="00C94099" w:rsidP="00921F97">
      <w:pPr>
        <w:rPr>
          <w:b/>
        </w:rPr>
      </w:pPr>
    </w:p>
    <w:p w14:paraId="3D7AEF51" w14:textId="77777777" w:rsidR="00C94099" w:rsidRDefault="00C94099" w:rsidP="00921F97">
      <w:pPr>
        <w:rPr>
          <w:b/>
        </w:rPr>
      </w:pPr>
    </w:p>
    <w:p w14:paraId="303BBB36" w14:textId="77777777" w:rsidR="00C94099" w:rsidRDefault="00C94099" w:rsidP="00921F97">
      <w:pPr>
        <w:rPr>
          <w:b/>
        </w:rPr>
      </w:pPr>
    </w:p>
    <w:p w14:paraId="7E89D6B6" w14:textId="77777777" w:rsidR="00C94099" w:rsidRDefault="00C94099" w:rsidP="00921F97">
      <w:pPr>
        <w:rPr>
          <w:b/>
        </w:rPr>
      </w:pPr>
    </w:p>
    <w:p w14:paraId="08FF0AFE" w14:textId="77777777" w:rsidR="00C94099" w:rsidRDefault="00C94099" w:rsidP="00921F97">
      <w:pPr>
        <w:rPr>
          <w:b/>
        </w:rPr>
      </w:pPr>
    </w:p>
    <w:p w14:paraId="3B5563F4" w14:textId="77777777" w:rsidR="00C94099" w:rsidRDefault="00C94099" w:rsidP="00921F97">
      <w:pPr>
        <w:rPr>
          <w:b/>
        </w:rPr>
      </w:pPr>
    </w:p>
    <w:p w14:paraId="55E84B86" w14:textId="77777777" w:rsidR="00C94099" w:rsidRDefault="00C94099" w:rsidP="00921F97">
      <w:pPr>
        <w:rPr>
          <w:b/>
        </w:rPr>
      </w:pPr>
    </w:p>
    <w:p w14:paraId="4BA6433F" w14:textId="77777777" w:rsidR="00C94099" w:rsidRDefault="00C94099" w:rsidP="00921F97">
      <w:pPr>
        <w:rPr>
          <w:b/>
        </w:rPr>
      </w:pPr>
    </w:p>
    <w:p w14:paraId="446EB37C" w14:textId="77777777" w:rsidR="00C94099" w:rsidRDefault="00C94099" w:rsidP="00921F97">
      <w:pPr>
        <w:rPr>
          <w:b/>
        </w:rPr>
      </w:pPr>
    </w:p>
    <w:p w14:paraId="65E86F97" w14:textId="77777777" w:rsidR="00C94099" w:rsidRDefault="00C94099" w:rsidP="00921F97">
      <w:pPr>
        <w:rPr>
          <w:b/>
        </w:rPr>
      </w:pPr>
    </w:p>
    <w:p w14:paraId="210DE201" w14:textId="77777777" w:rsidR="00C94099" w:rsidRDefault="00C94099" w:rsidP="00921F97">
      <w:pPr>
        <w:rPr>
          <w:b/>
        </w:rPr>
      </w:pPr>
    </w:p>
    <w:p w14:paraId="2CA3F44A" w14:textId="77777777" w:rsidR="00C94099" w:rsidRDefault="00C94099" w:rsidP="00921F97">
      <w:pPr>
        <w:rPr>
          <w:b/>
        </w:rPr>
      </w:pPr>
    </w:p>
    <w:p w14:paraId="28DF9001" w14:textId="77777777" w:rsidR="00C94099" w:rsidRDefault="00C94099" w:rsidP="00921F97">
      <w:pPr>
        <w:rPr>
          <w:b/>
        </w:rPr>
      </w:pPr>
    </w:p>
    <w:p w14:paraId="23A43707" w14:textId="77777777" w:rsidR="00C94099" w:rsidRDefault="00C94099" w:rsidP="00921F97">
      <w:pPr>
        <w:rPr>
          <w:b/>
        </w:rPr>
      </w:pPr>
    </w:p>
    <w:p w14:paraId="6DDFD803" w14:textId="77777777" w:rsidR="00C94099" w:rsidRDefault="00C94099" w:rsidP="00921F97">
      <w:pPr>
        <w:rPr>
          <w:b/>
        </w:rPr>
      </w:pPr>
    </w:p>
    <w:p w14:paraId="3F6EEE71" w14:textId="77777777" w:rsidR="00C94099" w:rsidRDefault="00C94099" w:rsidP="00921F97">
      <w:pPr>
        <w:rPr>
          <w:b/>
        </w:rPr>
      </w:pPr>
    </w:p>
    <w:p w14:paraId="1DBE2890" w14:textId="77777777" w:rsidR="00C94099" w:rsidRPr="006577C1" w:rsidRDefault="00C94099" w:rsidP="005C4324">
      <w:pPr>
        <w:outlineLvl w:val="0"/>
        <w:rPr>
          <w:b/>
        </w:rPr>
      </w:pPr>
      <w:r w:rsidRPr="006577C1">
        <w:rPr>
          <w:b/>
        </w:rPr>
        <w:t>Abstract</w:t>
      </w:r>
    </w:p>
    <w:p w14:paraId="2326E90B" w14:textId="12550571" w:rsidR="00C94099" w:rsidRDefault="00C94099" w:rsidP="00C118BF">
      <w:r>
        <w:t xml:space="preserve">The concept of a technological quick fix or ‘magic-bullet’ for control and elimination of Neglected Tropical Diseases (NTDs) is flawed. NTDs are embedded within complex biological and social systems that are shaped by ecological and political contexts. </w:t>
      </w:r>
      <w:r w:rsidRPr="002E248C">
        <w:t>This commentary emphasises the need for implementation research to address implementation gap</w:t>
      </w:r>
      <w:r>
        <w:t>s</w:t>
      </w:r>
      <w:r w:rsidRPr="002E248C">
        <w:t xml:space="preserve"> in the control of NTDs. With a </w:t>
      </w:r>
      <w:r>
        <w:t>specific</w:t>
      </w:r>
      <w:r w:rsidRPr="002E248C">
        <w:t xml:space="preserve"> focus </w:t>
      </w:r>
      <w:r>
        <w:t xml:space="preserve">on </w:t>
      </w:r>
      <w:r w:rsidR="00510772">
        <w:t>s</w:t>
      </w:r>
      <w:r>
        <w:t>ub-Saharan Africa and helminth diseases amenable to preven</w:t>
      </w:r>
      <w:r w:rsidRPr="002E248C">
        <w:t xml:space="preserve">tive chemotherapy through mass drug administration, we explore the </w:t>
      </w:r>
      <w:r>
        <w:t xml:space="preserve">important </w:t>
      </w:r>
      <w:r w:rsidRPr="002E248C">
        <w:t>role of</w:t>
      </w:r>
      <w:r>
        <w:t xml:space="preserve"> c</w:t>
      </w:r>
      <w:r w:rsidRPr="002E248C">
        <w:t>ontext</w:t>
      </w:r>
      <w:r>
        <w:t>,</w:t>
      </w:r>
      <w:r w:rsidRPr="002E248C">
        <w:t xml:space="preserve"> </w:t>
      </w:r>
      <w:r>
        <w:t>programme partnerships and community</w:t>
      </w:r>
      <w:r w:rsidRPr="002E248C">
        <w:t xml:space="preserve"> in achieving equitable</w:t>
      </w:r>
      <w:r>
        <w:t xml:space="preserve"> and effective</w:t>
      </w:r>
      <w:r w:rsidRPr="002E248C">
        <w:t xml:space="preserve"> NTD control. </w:t>
      </w:r>
    </w:p>
    <w:p w14:paraId="26C6FE79" w14:textId="77777777" w:rsidR="00C94099" w:rsidRDefault="00C94099" w:rsidP="0083770F">
      <w:pPr>
        <w:rPr>
          <w:b/>
        </w:rPr>
      </w:pPr>
      <w:r>
        <w:rPr>
          <w:b/>
        </w:rPr>
        <w:t xml:space="preserve">Keywords: </w:t>
      </w:r>
      <w:r w:rsidRPr="001A384C">
        <w:t>Neglected Tropical Diseases, Implementation Research, Mass Drug Administration, Equity</w:t>
      </w:r>
    </w:p>
    <w:p w14:paraId="3B1D39A1" w14:textId="77777777" w:rsidR="00C94099" w:rsidRDefault="00C94099" w:rsidP="00C118BF">
      <w:pPr>
        <w:rPr>
          <w:b/>
        </w:rPr>
      </w:pPr>
    </w:p>
    <w:p w14:paraId="6B38AEE0" w14:textId="77777777" w:rsidR="00C94099" w:rsidRDefault="00C94099" w:rsidP="00C118BF">
      <w:pPr>
        <w:rPr>
          <w:b/>
        </w:rPr>
      </w:pPr>
    </w:p>
    <w:p w14:paraId="7899BBF6" w14:textId="77777777" w:rsidR="00C94099" w:rsidRDefault="00C94099" w:rsidP="00C118BF">
      <w:pPr>
        <w:rPr>
          <w:b/>
        </w:rPr>
      </w:pPr>
    </w:p>
    <w:p w14:paraId="3CCCBE7C" w14:textId="77777777" w:rsidR="00C94099" w:rsidRDefault="00C94099" w:rsidP="00C118BF">
      <w:pPr>
        <w:rPr>
          <w:b/>
        </w:rPr>
      </w:pPr>
    </w:p>
    <w:p w14:paraId="15B4671A" w14:textId="77777777" w:rsidR="00C94099" w:rsidRDefault="00C94099" w:rsidP="00C118BF">
      <w:pPr>
        <w:rPr>
          <w:b/>
        </w:rPr>
      </w:pPr>
    </w:p>
    <w:p w14:paraId="44E411EF" w14:textId="77777777" w:rsidR="00C94099" w:rsidRDefault="00C94099" w:rsidP="00C118BF">
      <w:pPr>
        <w:rPr>
          <w:b/>
        </w:rPr>
      </w:pPr>
    </w:p>
    <w:p w14:paraId="7C90CE38" w14:textId="77777777" w:rsidR="00C94099" w:rsidRDefault="00C94099" w:rsidP="00C118BF">
      <w:pPr>
        <w:rPr>
          <w:b/>
        </w:rPr>
      </w:pPr>
    </w:p>
    <w:p w14:paraId="5A4436B9" w14:textId="77777777" w:rsidR="00C94099" w:rsidRDefault="00C94099" w:rsidP="00C118BF">
      <w:pPr>
        <w:rPr>
          <w:b/>
        </w:rPr>
      </w:pPr>
    </w:p>
    <w:p w14:paraId="05F44521" w14:textId="77777777" w:rsidR="00C94099" w:rsidRDefault="00C94099" w:rsidP="00C118BF">
      <w:pPr>
        <w:rPr>
          <w:b/>
        </w:rPr>
      </w:pPr>
    </w:p>
    <w:p w14:paraId="070CC860" w14:textId="77777777" w:rsidR="00C94099" w:rsidRDefault="00C94099" w:rsidP="00C118BF">
      <w:pPr>
        <w:rPr>
          <w:b/>
        </w:rPr>
      </w:pPr>
    </w:p>
    <w:p w14:paraId="106FC5FF" w14:textId="77777777" w:rsidR="00C94099" w:rsidRDefault="00C94099" w:rsidP="00C118BF">
      <w:pPr>
        <w:rPr>
          <w:b/>
        </w:rPr>
      </w:pPr>
    </w:p>
    <w:p w14:paraId="2B0B872D" w14:textId="77777777" w:rsidR="00C94099" w:rsidRDefault="00C94099" w:rsidP="00C118BF">
      <w:pPr>
        <w:rPr>
          <w:b/>
        </w:rPr>
      </w:pPr>
    </w:p>
    <w:p w14:paraId="744DA462" w14:textId="77777777" w:rsidR="00C94099" w:rsidRDefault="00C94099" w:rsidP="00C118BF">
      <w:pPr>
        <w:rPr>
          <w:b/>
        </w:rPr>
      </w:pPr>
    </w:p>
    <w:p w14:paraId="61A8380A" w14:textId="77777777" w:rsidR="00C94099" w:rsidRDefault="00C94099" w:rsidP="00C118BF">
      <w:pPr>
        <w:rPr>
          <w:b/>
        </w:rPr>
      </w:pPr>
    </w:p>
    <w:p w14:paraId="0D7ABBF7" w14:textId="77777777" w:rsidR="00C94099" w:rsidRDefault="00C94099" w:rsidP="00C118BF">
      <w:pPr>
        <w:rPr>
          <w:b/>
        </w:rPr>
      </w:pPr>
    </w:p>
    <w:p w14:paraId="3889AE86" w14:textId="77777777" w:rsidR="00C94099" w:rsidRDefault="00C94099" w:rsidP="00C118BF">
      <w:pPr>
        <w:rPr>
          <w:b/>
        </w:rPr>
      </w:pPr>
    </w:p>
    <w:p w14:paraId="14F92293" w14:textId="77777777" w:rsidR="00C94099" w:rsidRDefault="00C94099" w:rsidP="00C118BF">
      <w:pPr>
        <w:rPr>
          <w:b/>
        </w:rPr>
      </w:pPr>
    </w:p>
    <w:p w14:paraId="34B0175A" w14:textId="77777777" w:rsidR="00C94099" w:rsidRDefault="00C94099" w:rsidP="00C118BF">
      <w:pPr>
        <w:rPr>
          <w:b/>
        </w:rPr>
      </w:pPr>
    </w:p>
    <w:p w14:paraId="627CA924" w14:textId="77777777" w:rsidR="00C94099" w:rsidRDefault="00C94099" w:rsidP="00C118BF">
      <w:pPr>
        <w:rPr>
          <w:b/>
        </w:rPr>
      </w:pPr>
    </w:p>
    <w:p w14:paraId="6371B4ED" w14:textId="77777777" w:rsidR="00C94099" w:rsidRDefault="00C94099" w:rsidP="00C118BF">
      <w:pPr>
        <w:rPr>
          <w:b/>
        </w:rPr>
      </w:pPr>
    </w:p>
    <w:p w14:paraId="1C36C2B0" w14:textId="77777777" w:rsidR="00C94099" w:rsidRDefault="00C94099" w:rsidP="00C118BF">
      <w:pPr>
        <w:rPr>
          <w:b/>
        </w:rPr>
      </w:pPr>
    </w:p>
    <w:p w14:paraId="648DA763" w14:textId="77777777" w:rsidR="00C94099" w:rsidRDefault="00C94099" w:rsidP="00921F97">
      <w:pPr>
        <w:rPr>
          <w:b/>
        </w:rPr>
      </w:pPr>
    </w:p>
    <w:p w14:paraId="295B7D33" w14:textId="77777777" w:rsidR="00C94099" w:rsidRDefault="00C94099" w:rsidP="00921F97">
      <w:pPr>
        <w:rPr>
          <w:b/>
        </w:rPr>
      </w:pPr>
    </w:p>
    <w:p w14:paraId="35DEC726" w14:textId="77777777" w:rsidR="00C94099" w:rsidRPr="00906046" w:rsidRDefault="00C94099" w:rsidP="005C4324">
      <w:pPr>
        <w:outlineLvl w:val="0"/>
        <w:rPr>
          <w:b/>
        </w:rPr>
      </w:pPr>
      <w:r w:rsidRPr="00906046">
        <w:rPr>
          <w:b/>
        </w:rPr>
        <w:t>Introduction</w:t>
      </w:r>
    </w:p>
    <w:p w14:paraId="6D84BEB1" w14:textId="4CEF91FF" w:rsidR="00C94099" w:rsidRDefault="00C94099" w:rsidP="00622563">
      <w:r>
        <w:t>Control and elimination of Neglected Tropical Diseases (NTDs) pose significant challenges to the health system, especially in low- and middle-income countries (LMICs).</w:t>
      </w:r>
      <w:r w:rsidRPr="0002293D">
        <w:rPr>
          <w:vertAlign w:val="superscript"/>
        </w:rPr>
        <w:t>1</w:t>
      </w:r>
      <w:r>
        <w:t xml:space="preserve"> During a recent meeting, </w:t>
      </w:r>
      <w:r w:rsidR="00E30014">
        <w:t>“</w:t>
      </w:r>
      <w:r w:rsidR="00F67DB5">
        <w:t>T</w:t>
      </w:r>
      <w:r>
        <w:t>he disease elimination agenda: the role of science and advocacy</w:t>
      </w:r>
      <w:r w:rsidR="00F67DB5">
        <w:t>”</w:t>
      </w:r>
      <w:r>
        <w:t xml:space="preserve"> hosted by the Royal Society of Tropical Medicine and Hygiene, a ses</w:t>
      </w:r>
      <w:r>
        <w:lastRenderedPageBreak/>
        <w:t xml:space="preserve">sion focused on ‘magic bullets’ and technological quick fixes that may change the landscape of NTDs. This commentary is based on a presentation given </w:t>
      </w:r>
      <w:r w:rsidR="00E30014">
        <w:t xml:space="preserve">at that meeting </w:t>
      </w:r>
      <w:r>
        <w:t>which contests the idea that a single ‘magic bullet’ approach would necessarily impact the</w:t>
      </w:r>
      <w:r w:rsidR="00F67DB5">
        <w:t xml:space="preserve"> NTD</w:t>
      </w:r>
      <w:r>
        <w:t xml:space="preserve"> landscape</w:t>
      </w:r>
      <w:r w:rsidR="00F67DB5">
        <w:t xml:space="preserve">, </w:t>
      </w:r>
      <w:r>
        <w:t>arg</w:t>
      </w:r>
      <w:r w:rsidR="00F67DB5">
        <w:t>uing</w:t>
      </w:r>
      <w:r>
        <w:t xml:space="preserve"> that implementation research to understand how to maximise impact from existing NTD interventions is required. We do this through the example of preventive chemotherapy (PC) strategies which offer expanded access to anthelminthics.</w:t>
      </w:r>
    </w:p>
    <w:p w14:paraId="18947940" w14:textId="0F473EB9" w:rsidR="00C94099" w:rsidRDefault="00C94099">
      <w:r>
        <w:t xml:space="preserve">PC interventions, usually through mass drug administration (MDA), have become the primary public health intervention in meeting the NTD roadmap targets for control and elimination of helminth infections. The helminth diseases amenable to PC </w:t>
      </w:r>
      <w:r w:rsidR="0063427C">
        <w:t>are;</w:t>
      </w:r>
      <w:r>
        <w:t xml:space="preserve"> lymphatic filariasis (LF), onchocerciasis, soil-transmitted helminthiasis (STH) and schistosomiasis.  Trachoma (caused by the Chlamydia infection) includes MDA as part of its broader SAFE strategy. Recent reports of drug treatment coverage show that national MDA campaigns have been successful</w:t>
      </w:r>
      <w:r w:rsidR="00E30014">
        <w:t>,</w:t>
      </w:r>
      <w:r>
        <w:t xml:space="preserve"> reaching a significant  proportion of those in need.</w:t>
      </w:r>
      <w:r w:rsidRPr="0002293D">
        <w:rPr>
          <w:vertAlign w:val="superscript"/>
        </w:rPr>
        <w:t>2, 3</w:t>
      </w:r>
      <w:r>
        <w:t xml:space="preserve"> However, segments of the population remain unreached and areas of persistent disease and parasite transmission remain.</w:t>
      </w:r>
      <w:r>
        <w:rPr>
          <w:vertAlign w:val="superscript"/>
        </w:rPr>
        <w:t>4</w:t>
      </w:r>
      <w:r>
        <w:t xml:space="preserve"> Furthermore, PC NTD landscapes are dynamic and complex as political, social, economic, demographic and ecological processes contribute to transmission as well as the responses at the household and community level. Implementation research to support the control and elimination of helminth infections is therefore needed to </w:t>
      </w:r>
      <w:r w:rsidR="0063427C">
        <w:t>refine</w:t>
      </w:r>
      <w:r>
        <w:t xml:space="preserve"> and adapt existing strategies</w:t>
      </w:r>
      <w:r w:rsidR="00E30014">
        <w:t>,</w:t>
      </w:r>
      <w:r>
        <w:t xml:space="preserve"> and to assess intervention scale</w:t>
      </w:r>
      <w:r w:rsidR="00E30014">
        <w:t>-</w:t>
      </w:r>
      <w:r>
        <w:t xml:space="preserve">up and sustainability. This would address what has </w:t>
      </w:r>
      <w:r w:rsidR="00B329C0">
        <w:t>been describe</w:t>
      </w:r>
      <w:r>
        <w:t xml:space="preserve">d as a key ‘implementation gap’ </w:t>
      </w:r>
      <w:r>
        <w:lastRenderedPageBreak/>
        <w:t>in existing policy and programming for control and elimination of PC NTDs</w:t>
      </w:r>
      <w:r w:rsidR="00E30014">
        <w:t>.</w:t>
      </w:r>
      <w:r w:rsidRPr="0002293D">
        <w:rPr>
          <w:vertAlign w:val="superscript"/>
        </w:rPr>
        <w:t>1</w:t>
      </w:r>
      <w:r>
        <w:t xml:space="preserve"> We focus on three critical areas </w:t>
      </w:r>
      <w:r w:rsidRPr="00C118BF">
        <w:t xml:space="preserve">that need to be </w:t>
      </w:r>
      <w:r>
        <w:t xml:space="preserve">addressed </w:t>
      </w:r>
      <w:r w:rsidRPr="00C118BF">
        <w:t xml:space="preserve">to achieve equitable and context appropriate </w:t>
      </w:r>
      <w:r>
        <w:t>delivery</w:t>
      </w:r>
      <w:r w:rsidRPr="00C118BF">
        <w:t xml:space="preserve"> of MDA and other NTD control strategies</w:t>
      </w:r>
      <w:r>
        <w:t xml:space="preserve"> specific to helminth infections</w:t>
      </w:r>
      <w:r w:rsidRPr="00C118BF">
        <w:t>.</w:t>
      </w:r>
      <w:r w:rsidRPr="0002293D">
        <w:rPr>
          <w:vertAlign w:val="superscript"/>
        </w:rPr>
        <w:t>3</w:t>
      </w:r>
      <w:r>
        <w:rPr>
          <w:vertAlign w:val="superscript"/>
        </w:rPr>
        <w:t xml:space="preserve"> </w:t>
      </w:r>
      <w:r>
        <w:t xml:space="preserve">Our case study examples focus on </w:t>
      </w:r>
      <w:r w:rsidR="0063427C">
        <w:t>the COU</w:t>
      </w:r>
      <w:r w:rsidR="0063427C" w:rsidRPr="00FD3B54">
        <w:rPr>
          <w:b/>
        </w:rPr>
        <w:t>NTD</w:t>
      </w:r>
      <w:r w:rsidR="0063427C">
        <w:t>OWN consortium within s</w:t>
      </w:r>
      <w:r>
        <w:t>ub-Saharan Africa and therefore arguments made are of specific relevance to this region.</w:t>
      </w:r>
    </w:p>
    <w:p w14:paraId="12FC43ED" w14:textId="77777777" w:rsidR="00C94099" w:rsidRDefault="00C94099" w:rsidP="005C4324">
      <w:pPr>
        <w:outlineLvl w:val="0"/>
        <w:rPr>
          <w:b/>
        </w:rPr>
      </w:pPr>
      <w:r>
        <w:rPr>
          <w:b/>
        </w:rPr>
        <w:t>Context matters</w:t>
      </w:r>
    </w:p>
    <w:p w14:paraId="72C68CFF" w14:textId="434C6DC9" w:rsidR="00C94099" w:rsidRDefault="00C94099">
      <w:r>
        <w:t>Context is critical in the design and implementation of NTD control programmes, particularly those reliant on community directed treatment strategies. In Ghana, coverage of the combined LF and onchocerciasis MDA programme in the Greater Accra region is only 71% compared to an average of 82% in surrounding regions.</w:t>
      </w:r>
      <w:r w:rsidRPr="00254A33">
        <w:rPr>
          <w:vertAlign w:val="superscript"/>
        </w:rPr>
        <w:t>5</w:t>
      </w:r>
      <w:r>
        <w:t xml:space="preserve"> This programme relies on community directed treatment through MDA based on community structures present in rural areas. Greater </w:t>
      </w:r>
      <w:smartTag w:uri="urn:schemas-microsoft-com:office:smarttags" w:element="place">
        <w:smartTag w:uri="urn:schemas-microsoft-com:office:smarttags" w:element="City">
          <w:r>
            <w:t>Accra</w:t>
          </w:r>
        </w:smartTag>
      </w:smartTag>
      <w:r>
        <w:t>, in common with many urban settings, has a mixed population with varying social, cultural, and gender norms. Urbanisation presents less resilient and diverse community structures which bring challenges to the successful implementation of community directed treatment for MDA implementation in urban and peri-urban areas.  Implementation research is therefore needed to explore how existing strategies, largely successful in rural settings, can be adapted to address these new, complex and changing community structures which emerge from migration into urban and peri-urban settings.</w:t>
      </w:r>
      <w:r>
        <w:rPr>
          <w:vertAlign w:val="superscript"/>
        </w:rPr>
        <w:t>6</w:t>
      </w:r>
    </w:p>
    <w:p w14:paraId="555A2815" w14:textId="69C8AEE3" w:rsidR="00C94099" w:rsidRDefault="00C94099" w:rsidP="005C4324">
      <w:pPr>
        <w:tabs>
          <w:tab w:val="center" w:pos="4513"/>
        </w:tabs>
        <w:outlineLvl w:val="0"/>
        <w:rPr>
          <w:b/>
        </w:rPr>
      </w:pPr>
      <w:r>
        <w:rPr>
          <w:b/>
        </w:rPr>
        <w:t xml:space="preserve">National </w:t>
      </w:r>
      <w:r w:rsidRPr="00C118BF">
        <w:rPr>
          <w:b/>
        </w:rPr>
        <w:t>Health Sector Partnerships are Paramount</w:t>
      </w:r>
    </w:p>
    <w:p w14:paraId="3DB4BA43" w14:textId="11CE368E" w:rsidR="00C94099" w:rsidRDefault="00C94099" w:rsidP="00681399">
      <w:pPr>
        <w:tabs>
          <w:tab w:val="center" w:pos="4513"/>
        </w:tabs>
      </w:pPr>
      <w:r>
        <w:lastRenderedPageBreak/>
        <w:t>Health sector partnerships are crucial in achieving gains in helminth NTD control and elimination. Nigeria, like many sub-Saharan African countries, relies on donations of essential drugs for MDA from pharmaceutical companies, as well as implementation support and co-ordination from non-governmental organisations. Global public-private partnerships have been critically important in achieving progress toward the control and elimination of helminth NTDs through MDA.</w:t>
      </w:r>
      <w:r>
        <w:rPr>
          <w:vertAlign w:val="superscript"/>
        </w:rPr>
        <w:t>7</w:t>
      </w:r>
      <w:r>
        <w:t xml:space="preserve"> In addition, Nigeria has recently operationalised a strategic partnership between the LF and malaria programme</w:t>
      </w:r>
      <w:r w:rsidR="00A277A0">
        <w:t>s</w:t>
      </w:r>
      <w:r>
        <w:t xml:space="preserve"> based on the benefit of long-lasting insecticidal nets (LLIN) to both programmes.</w:t>
      </w:r>
      <w:r>
        <w:rPr>
          <w:vertAlign w:val="superscript"/>
        </w:rPr>
        <w:t>8</w:t>
      </w:r>
      <w:r>
        <w:t xml:space="preserve"> </w:t>
      </w:r>
      <w:r w:rsidRPr="00312F3D">
        <w:t>However,</w:t>
      </w:r>
      <w:r w:rsidRPr="00624419">
        <w:t xml:space="preserve"> </w:t>
      </w:r>
      <w:r>
        <w:t>all such</w:t>
      </w:r>
      <w:r w:rsidRPr="00312F3D">
        <w:t xml:space="preserve"> partnerships</w:t>
      </w:r>
      <w:r>
        <w:t xml:space="preserve"> </w:t>
      </w:r>
      <w:r w:rsidRPr="00622563">
        <w:t>take time and energy</w:t>
      </w:r>
      <w:r>
        <w:t xml:space="preserve"> to develop</w:t>
      </w:r>
      <w:r w:rsidRPr="00622563">
        <w:t>: r</w:t>
      </w:r>
      <w:r w:rsidRPr="0061680D">
        <w:t xml:space="preserve">eflections from stakeholders in Nigeria highlight how  perseverance, political commitment and trust are critical to establishing new </w:t>
      </w:r>
      <w:r w:rsidRPr="00312F3D">
        <w:t xml:space="preserve">collaborative </w:t>
      </w:r>
      <w:r w:rsidRPr="00624419">
        <w:t>approaches</w:t>
      </w:r>
      <w:r>
        <w:t xml:space="preserve"> and sustaining them</w:t>
      </w:r>
      <w:r w:rsidRPr="00624419">
        <w:t>.</w:t>
      </w:r>
      <w:r>
        <w:t xml:space="preserve"> For example, the success of research on LF transmission has persuaded the Ministry of Health to endorse policy change to ensure a synergistic approach of LLIN</w:t>
      </w:r>
      <w:r w:rsidR="008E53EA">
        <w:t xml:space="preserve"> distribution</w:t>
      </w:r>
      <w:r>
        <w:t xml:space="preserve"> and MDA (with ivermectin and albendazole)</w:t>
      </w:r>
      <w:r w:rsidR="008E53EA">
        <w:t xml:space="preserve"> which</w:t>
      </w:r>
      <w:r>
        <w:t xml:space="preserve"> is seen as the first step on a long pathway to achieve benefits in disease control and elimination (I. Anagbogu, personal communication). </w:t>
      </w:r>
      <w:r>
        <w:rPr>
          <w:vertAlign w:val="superscript"/>
        </w:rPr>
        <w:t xml:space="preserve">8 </w:t>
      </w:r>
      <w:r>
        <w:t>Implementation research focusing on securing and maintaining partnership functionality between the public and private</w:t>
      </w:r>
      <w:r w:rsidR="001E1B19">
        <w:t xml:space="preserve"> </w:t>
      </w:r>
      <w:r>
        <w:t>sector, as well as disease programmes within and outside the NTD sector, ensures</w:t>
      </w:r>
      <w:r w:rsidRPr="00593EBC">
        <w:t xml:space="preserve"> more cost effective, equitable and sustainable</w:t>
      </w:r>
      <w:r>
        <w:t xml:space="preserve"> elimination efforts through pooling resources, communication between partners and extending outreach. </w:t>
      </w:r>
    </w:p>
    <w:p w14:paraId="595A78E0" w14:textId="77777777" w:rsidR="00C94099" w:rsidRDefault="00C94099" w:rsidP="005C4324">
      <w:pPr>
        <w:outlineLvl w:val="0"/>
        <w:rPr>
          <w:b/>
        </w:rPr>
      </w:pPr>
      <w:r>
        <w:rPr>
          <w:b/>
        </w:rPr>
        <w:t>Community o</w:t>
      </w:r>
      <w:r w:rsidRPr="008D5F4F">
        <w:rPr>
          <w:b/>
        </w:rPr>
        <w:t>wnership</w:t>
      </w:r>
      <w:r>
        <w:rPr>
          <w:b/>
        </w:rPr>
        <w:t xml:space="preserve"> critical to context embedded approaches </w:t>
      </w:r>
    </w:p>
    <w:p w14:paraId="7EDC0FB9" w14:textId="18244E22" w:rsidR="00C94099" w:rsidRDefault="00C94099" w:rsidP="00AC1AE5">
      <w:r>
        <w:lastRenderedPageBreak/>
        <w:t xml:space="preserve">The African Programme for Onchocerciasis </w:t>
      </w:r>
      <w:r w:rsidR="00DC3B95">
        <w:t xml:space="preserve">Control </w:t>
      </w:r>
      <w:r>
        <w:t>(APOC) pioneered the key role of community engagement in NTD control strategies through the use of Community Directed Treatment with Ivermectin (CDTI).</w:t>
      </w:r>
      <w:r>
        <w:rPr>
          <w:vertAlign w:val="superscript"/>
        </w:rPr>
        <w:t>9</w:t>
      </w:r>
      <w:r>
        <w:t xml:space="preserve"> Community ownership becomes even more critical when we consider uptake of more complicated drug regimes. In the Littoral </w:t>
      </w:r>
      <w:r w:rsidR="00157F32">
        <w:t>r</w:t>
      </w:r>
      <w:r>
        <w:t>egion in Cameroon, onc</w:t>
      </w:r>
      <w:r w:rsidR="00157F32">
        <w:t>hocerciasis is co-endemic with l</w:t>
      </w:r>
      <w:r>
        <w:t>oiasis.</w:t>
      </w:r>
      <w:r>
        <w:rPr>
          <w:vertAlign w:val="superscript"/>
        </w:rPr>
        <w:t>10</w:t>
      </w:r>
      <w:r>
        <w:t xml:space="preserve"> Co-endemicity increases occurrence of severe adverse events during MDA with ivermectin and therefore alternative strategies such as short course administration of the anti</w:t>
      </w:r>
      <w:r w:rsidR="00DC3B95">
        <w:t>-</w:t>
      </w:r>
      <w:bookmarkStart w:id="0" w:name="_GoBack"/>
      <w:r w:rsidRPr="00FD3B54">
        <w:rPr>
          <w:i/>
        </w:rPr>
        <w:t>Wolbachia</w:t>
      </w:r>
      <w:bookmarkEnd w:id="0"/>
      <w:r>
        <w:t xml:space="preserve"> antibiotic, doxycycline</w:t>
      </w:r>
      <w:r w:rsidR="00DC3B95">
        <w:t>,</w:t>
      </w:r>
      <w:r>
        <w:t xml:space="preserve"> are needed. Acceptance of doxycycline was supported by early community engagement through awareness campaigns and active involvement of community health implementers within drug delivery processes. Community members felt that their engagement in the selection of community health implementers built trust and was a motivating factor in the high community uptake of treatment.</w:t>
      </w:r>
      <w:r>
        <w:rPr>
          <w:vertAlign w:val="superscript"/>
        </w:rPr>
        <w:t>10</w:t>
      </w:r>
      <w:r>
        <w:t xml:space="preserve"> We have to become accustomed to the idea that community ownership is an essential element of NTD control, but communities are dynamic with complex power structures that may need better understanding and research in real time. If interventions are designed and implemented with the community as active partners rather than passive bystanders, interventions are likely to be both more successful and equitable.</w:t>
      </w:r>
      <w:r>
        <w:rPr>
          <w:vertAlign w:val="superscript"/>
        </w:rPr>
        <w:t>9</w:t>
      </w:r>
      <w:r w:rsidRPr="00060FB6">
        <w:rPr>
          <w:vertAlign w:val="superscript"/>
        </w:rPr>
        <w:t xml:space="preserve"> </w:t>
      </w:r>
    </w:p>
    <w:p w14:paraId="47EAC1DF" w14:textId="77777777" w:rsidR="00C94099" w:rsidRDefault="00C94099" w:rsidP="005C4324">
      <w:pPr>
        <w:tabs>
          <w:tab w:val="center" w:pos="4513"/>
        </w:tabs>
        <w:outlineLvl w:val="0"/>
        <w:rPr>
          <w:b/>
        </w:rPr>
      </w:pPr>
      <w:r>
        <w:rPr>
          <w:b/>
        </w:rPr>
        <w:t>The way f</w:t>
      </w:r>
      <w:r w:rsidRPr="004D3EA5">
        <w:rPr>
          <w:b/>
        </w:rPr>
        <w:t>orward</w:t>
      </w:r>
    </w:p>
    <w:p w14:paraId="141C7569" w14:textId="15159A16" w:rsidR="00C94099" w:rsidRDefault="00C94099">
      <w:r>
        <w:lastRenderedPageBreak/>
        <w:t>The way in which NTD interventions are implemented is key to their success.  Context; strong approaches to community engagement; and inter-sectoral partnerships, are key to understanding and addressing the ‘implementation gap’ for PC interventions. Implementation research has the potential to provide us with an improved understanding of these areas and others</w:t>
      </w:r>
      <w:r w:rsidR="00DC3B95">
        <w:t>; i</w:t>
      </w:r>
      <w:r>
        <w:t xml:space="preserve">t should be prioritised to optimise and achieve more effective and equitable scale-up of interventions against NTDs. </w:t>
      </w:r>
    </w:p>
    <w:p w14:paraId="22D0F81D" w14:textId="77777777" w:rsidR="00C94099" w:rsidRDefault="00C94099"/>
    <w:p w14:paraId="45CB4880" w14:textId="77777777" w:rsidR="00C94099" w:rsidRDefault="00C94099"/>
    <w:p w14:paraId="22A939C8" w14:textId="77777777" w:rsidR="00C94099" w:rsidRDefault="00C94099"/>
    <w:p w14:paraId="511A7AFB" w14:textId="77777777" w:rsidR="00C94099" w:rsidRDefault="00C94099"/>
    <w:p w14:paraId="7A8BBA41" w14:textId="77777777" w:rsidR="00C94099" w:rsidRDefault="00C94099">
      <w:pPr>
        <w:rPr>
          <w:b/>
        </w:rPr>
      </w:pPr>
    </w:p>
    <w:p w14:paraId="5D755C67" w14:textId="77777777" w:rsidR="00C94099" w:rsidRDefault="00C94099">
      <w:r>
        <w:rPr>
          <w:b/>
        </w:rPr>
        <w:t xml:space="preserve">Authors Contributions: </w:t>
      </w:r>
      <w:r>
        <w:t xml:space="preserve">LD wrote and revised the manuscript. All other authors added ideas and content and reviewed the draft. </w:t>
      </w:r>
    </w:p>
    <w:p w14:paraId="7A66C0F1" w14:textId="77777777" w:rsidR="00C94099" w:rsidRDefault="00C94099">
      <w:r w:rsidRPr="0048096F">
        <w:rPr>
          <w:b/>
        </w:rPr>
        <w:t>Funding</w:t>
      </w:r>
      <w:r>
        <w:rPr>
          <w:b/>
        </w:rPr>
        <w:t xml:space="preserve">: </w:t>
      </w:r>
      <w:r>
        <w:t>All authors are associated with the COU</w:t>
      </w:r>
      <w:r w:rsidRPr="00FD3B54">
        <w:rPr>
          <w:b/>
        </w:rPr>
        <w:t>NTD</w:t>
      </w:r>
      <w:r>
        <w:t xml:space="preserve">OWN consortium funded through Department for International Development. </w:t>
      </w:r>
    </w:p>
    <w:p w14:paraId="5304E279" w14:textId="77777777" w:rsidR="00C94099" w:rsidRDefault="00C94099" w:rsidP="005C4324">
      <w:pPr>
        <w:outlineLvl w:val="0"/>
      </w:pPr>
      <w:r w:rsidRPr="0048096F">
        <w:rPr>
          <w:b/>
        </w:rPr>
        <w:lastRenderedPageBreak/>
        <w:t>Competing Interests:</w:t>
      </w:r>
      <w:r>
        <w:t xml:space="preserve"> None</w:t>
      </w:r>
    </w:p>
    <w:p w14:paraId="7D711EC9" w14:textId="77777777" w:rsidR="00C94099" w:rsidRPr="0048096F" w:rsidRDefault="00C94099" w:rsidP="005C4324">
      <w:pPr>
        <w:outlineLvl w:val="0"/>
      </w:pPr>
      <w:r w:rsidRPr="0048096F">
        <w:rPr>
          <w:b/>
        </w:rPr>
        <w:t>Ethical Approval:</w:t>
      </w:r>
      <w:r>
        <w:t xml:space="preserve"> Not Required</w:t>
      </w:r>
    </w:p>
    <w:p w14:paraId="77B6F542" w14:textId="77777777" w:rsidR="00C94099" w:rsidRDefault="00C94099">
      <w:pPr>
        <w:rPr>
          <w:b/>
        </w:rPr>
      </w:pPr>
    </w:p>
    <w:p w14:paraId="40EBE913" w14:textId="77777777" w:rsidR="00C94099" w:rsidRDefault="00C94099">
      <w:pPr>
        <w:rPr>
          <w:b/>
        </w:rPr>
      </w:pPr>
    </w:p>
    <w:p w14:paraId="355960BC" w14:textId="77777777" w:rsidR="00C94099" w:rsidRDefault="00C94099">
      <w:pPr>
        <w:rPr>
          <w:b/>
        </w:rPr>
      </w:pPr>
    </w:p>
    <w:p w14:paraId="40E0D62D" w14:textId="77777777" w:rsidR="00C94099" w:rsidRDefault="00C94099">
      <w:pPr>
        <w:rPr>
          <w:b/>
        </w:rPr>
      </w:pPr>
    </w:p>
    <w:p w14:paraId="0C8559F0" w14:textId="77777777" w:rsidR="00C94099" w:rsidRDefault="00C94099">
      <w:pPr>
        <w:rPr>
          <w:b/>
        </w:rPr>
      </w:pPr>
    </w:p>
    <w:p w14:paraId="72D7FAA4" w14:textId="77777777" w:rsidR="00C94099" w:rsidRDefault="00C94099">
      <w:pPr>
        <w:rPr>
          <w:b/>
        </w:rPr>
      </w:pPr>
    </w:p>
    <w:p w14:paraId="62B75718" w14:textId="77777777" w:rsidR="00C94099" w:rsidRDefault="00C94099">
      <w:pPr>
        <w:rPr>
          <w:b/>
        </w:rPr>
      </w:pPr>
    </w:p>
    <w:p w14:paraId="2E9514C1" w14:textId="77777777" w:rsidR="00C94099" w:rsidRDefault="00C94099">
      <w:pPr>
        <w:rPr>
          <w:b/>
        </w:rPr>
      </w:pPr>
    </w:p>
    <w:p w14:paraId="2849EC35" w14:textId="77777777" w:rsidR="00C94099" w:rsidRDefault="00C94099">
      <w:pPr>
        <w:rPr>
          <w:b/>
        </w:rPr>
      </w:pPr>
    </w:p>
    <w:p w14:paraId="36F77AA8" w14:textId="77777777" w:rsidR="00C94099" w:rsidRDefault="00C94099">
      <w:pPr>
        <w:rPr>
          <w:b/>
        </w:rPr>
      </w:pPr>
    </w:p>
    <w:p w14:paraId="4F294ADC" w14:textId="77777777" w:rsidR="00C94099" w:rsidRDefault="00C94099">
      <w:pPr>
        <w:rPr>
          <w:b/>
        </w:rPr>
      </w:pPr>
    </w:p>
    <w:p w14:paraId="7E29ACDD" w14:textId="77777777" w:rsidR="00C94099" w:rsidRDefault="00C94099">
      <w:pPr>
        <w:rPr>
          <w:b/>
        </w:rPr>
      </w:pPr>
    </w:p>
    <w:p w14:paraId="1FD99D69" w14:textId="77777777" w:rsidR="00C94099" w:rsidRDefault="00C94099">
      <w:pPr>
        <w:rPr>
          <w:b/>
        </w:rPr>
      </w:pPr>
    </w:p>
    <w:p w14:paraId="7A789A2F" w14:textId="77777777" w:rsidR="00C94099" w:rsidRDefault="00C94099">
      <w:pPr>
        <w:rPr>
          <w:b/>
        </w:rPr>
      </w:pPr>
    </w:p>
    <w:p w14:paraId="7FC0037E" w14:textId="77777777" w:rsidR="00C94099" w:rsidRDefault="00C94099">
      <w:pPr>
        <w:rPr>
          <w:b/>
        </w:rPr>
      </w:pPr>
    </w:p>
    <w:p w14:paraId="0452F3E2" w14:textId="77777777" w:rsidR="00C94099" w:rsidRDefault="00C94099">
      <w:pPr>
        <w:rPr>
          <w:b/>
        </w:rPr>
      </w:pPr>
    </w:p>
    <w:p w14:paraId="7D62E95C" w14:textId="77777777" w:rsidR="00C94099" w:rsidRDefault="00C94099">
      <w:pPr>
        <w:rPr>
          <w:b/>
        </w:rPr>
      </w:pPr>
    </w:p>
    <w:p w14:paraId="569F5A78" w14:textId="77777777" w:rsidR="00C94099" w:rsidRDefault="00C94099">
      <w:pPr>
        <w:rPr>
          <w:b/>
        </w:rPr>
      </w:pPr>
    </w:p>
    <w:p w14:paraId="3A5E84BC" w14:textId="77777777" w:rsidR="00C94099" w:rsidRDefault="00C94099">
      <w:pPr>
        <w:rPr>
          <w:b/>
        </w:rPr>
      </w:pPr>
    </w:p>
    <w:p w14:paraId="571703A7" w14:textId="77777777" w:rsidR="00C94099" w:rsidRDefault="00C94099">
      <w:pPr>
        <w:rPr>
          <w:b/>
        </w:rPr>
      </w:pPr>
    </w:p>
    <w:p w14:paraId="28F3F1F7" w14:textId="77777777" w:rsidR="00C94099" w:rsidRDefault="00C94099">
      <w:pPr>
        <w:rPr>
          <w:b/>
        </w:rPr>
      </w:pPr>
    </w:p>
    <w:p w14:paraId="31965178" w14:textId="77777777" w:rsidR="00C94099" w:rsidRDefault="00C94099">
      <w:pPr>
        <w:rPr>
          <w:b/>
        </w:rPr>
      </w:pPr>
    </w:p>
    <w:p w14:paraId="6EC04008" w14:textId="77777777" w:rsidR="00C94099" w:rsidRDefault="00C94099">
      <w:pPr>
        <w:rPr>
          <w:b/>
        </w:rPr>
      </w:pPr>
    </w:p>
    <w:p w14:paraId="60657222" w14:textId="77777777" w:rsidR="00C94099" w:rsidRDefault="00C94099">
      <w:pPr>
        <w:rPr>
          <w:b/>
        </w:rPr>
      </w:pPr>
    </w:p>
    <w:p w14:paraId="2ED86CAD" w14:textId="77777777" w:rsidR="00C94099" w:rsidRDefault="00C94099">
      <w:pPr>
        <w:rPr>
          <w:b/>
        </w:rPr>
      </w:pPr>
    </w:p>
    <w:p w14:paraId="3FCDF905" w14:textId="77777777" w:rsidR="00C94099" w:rsidRDefault="00C94099">
      <w:pPr>
        <w:rPr>
          <w:b/>
        </w:rPr>
      </w:pPr>
    </w:p>
    <w:p w14:paraId="5BD71C4A" w14:textId="77777777" w:rsidR="00C94099" w:rsidRDefault="00C94099" w:rsidP="005C4324">
      <w:pPr>
        <w:outlineLvl w:val="0"/>
        <w:rPr>
          <w:b/>
        </w:rPr>
      </w:pPr>
      <w:r w:rsidRPr="00395515">
        <w:rPr>
          <w:b/>
        </w:rPr>
        <w:t>References</w:t>
      </w:r>
    </w:p>
    <w:p w14:paraId="66653D2A" w14:textId="77777777" w:rsidR="00C94099" w:rsidRDefault="00C94099" w:rsidP="00395515">
      <w:pPr>
        <w:pStyle w:val="ListParagraph"/>
        <w:numPr>
          <w:ilvl w:val="0"/>
          <w:numId w:val="2"/>
        </w:numPr>
      </w:pPr>
      <w:r>
        <w:t xml:space="preserve">Molyneux, D. Neglected tropical diseases: now more than just ‘other diseases’ – the post-2015 agenda. </w:t>
      </w:r>
      <w:r>
        <w:rPr>
          <w:i/>
        </w:rPr>
        <w:t xml:space="preserve">Int Health </w:t>
      </w:r>
      <w:r>
        <w:t xml:space="preserve">2014; (6)3:172-180. </w:t>
      </w:r>
    </w:p>
    <w:p w14:paraId="54E85EE1" w14:textId="77777777" w:rsidR="00C94099" w:rsidRPr="0085633C" w:rsidRDefault="00C94099" w:rsidP="00395515">
      <w:pPr>
        <w:pStyle w:val="ListParagraph"/>
        <w:numPr>
          <w:ilvl w:val="0"/>
          <w:numId w:val="2"/>
        </w:numPr>
      </w:pPr>
      <w:r w:rsidRPr="00AC455A">
        <w:rPr>
          <w:rFonts w:cs="Calibri"/>
          <w:noProof/>
        </w:rPr>
        <w:t xml:space="preserve">Accelerating work to overcome the global impact of neglected tropical diseases. A roadmap for implementation. Geneva: World Health Organisation; 2011. </w:t>
      </w:r>
      <w:hyperlink r:id="rId8" w:history="1">
        <w:r w:rsidRPr="00AC455A">
          <w:rPr>
            <w:rStyle w:val="Hyperlink"/>
            <w:rFonts w:cs="Calibri"/>
            <w:noProof/>
          </w:rPr>
          <w:t>http://www.who.int/neglected_diseases/NTD_RoadMap_2012_Fullversion.pdf</w:t>
        </w:r>
      </w:hyperlink>
      <w:r w:rsidRPr="00AC455A">
        <w:rPr>
          <w:rFonts w:cs="Calibri"/>
          <w:noProof/>
        </w:rPr>
        <w:t xml:space="preserve"> </w:t>
      </w:r>
      <w:r>
        <w:rPr>
          <w:rFonts w:cs="Calibri"/>
          <w:noProof/>
        </w:rPr>
        <w:t xml:space="preserve">[accessed </w:t>
      </w:r>
      <w:r w:rsidRPr="00AC455A">
        <w:rPr>
          <w:rFonts w:cs="Calibri"/>
          <w:noProof/>
        </w:rPr>
        <w:t>Jan 20</w:t>
      </w:r>
      <w:r>
        <w:rPr>
          <w:rFonts w:cs="Calibri"/>
          <w:noProof/>
        </w:rPr>
        <w:t xml:space="preserve"> 2016</w:t>
      </w:r>
      <w:r w:rsidRPr="00AC455A">
        <w:rPr>
          <w:rFonts w:cs="Calibri"/>
          <w:noProof/>
        </w:rPr>
        <w:t>]</w:t>
      </w:r>
    </w:p>
    <w:p w14:paraId="718CC9C8" w14:textId="77777777" w:rsidR="00C94099" w:rsidRPr="0085633C" w:rsidRDefault="00C94099" w:rsidP="00395515">
      <w:pPr>
        <w:pStyle w:val="ListParagraph"/>
        <w:numPr>
          <w:ilvl w:val="0"/>
          <w:numId w:val="2"/>
        </w:numPr>
      </w:pPr>
      <w:r>
        <w:rPr>
          <w:rFonts w:cs="Calibri"/>
          <w:noProof/>
        </w:rPr>
        <w:t xml:space="preserve">Bockarie, M., Kelly-Hope, L.A., Rebollo, M., and Molyneux, D.H. Preventive chemotherapy as a strategy of neglected tropical parasitic diseases: endgame challenges. </w:t>
      </w:r>
      <w:r>
        <w:rPr>
          <w:rFonts w:cs="Calibri"/>
          <w:i/>
          <w:noProof/>
        </w:rPr>
        <w:t>Phil Trans R Soc B</w:t>
      </w:r>
      <w:r>
        <w:rPr>
          <w:rFonts w:cs="Calibri"/>
          <w:noProof/>
        </w:rPr>
        <w:t xml:space="preserve"> 2013; 368.</w:t>
      </w:r>
    </w:p>
    <w:p w14:paraId="4125FB03" w14:textId="71E29375" w:rsidR="00C94099" w:rsidRPr="0085633C" w:rsidRDefault="00C94099" w:rsidP="00395515">
      <w:pPr>
        <w:pStyle w:val="ListParagraph"/>
        <w:numPr>
          <w:ilvl w:val="0"/>
          <w:numId w:val="2"/>
        </w:numPr>
      </w:pPr>
      <w:r>
        <w:rPr>
          <w:rFonts w:cs="Calibri"/>
          <w:noProof/>
        </w:rPr>
        <w:t xml:space="preserve">Webster, J.P., Molyneux, D.H., Hotez, P.J., and Fenwick, A. The contribution of mass drug administration to global health: past, present and future. </w:t>
      </w:r>
      <w:r>
        <w:rPr>
          <w:rFonts w:cs="Calibri"/>
          <w:i/>
          <w:noProof/>
        </w:rPr>
        <w:t xml:space="preserve">Phil. Trans. R. Soc. B </w:t>
      </w:r>
      <w:r>
        <w:rPr>
          <w:rFonts w:cs="Calibri"/>
          <w:noProof/>
        </w:rPr>
        <w:t>2014; 369: 20130434.</w:t>
      </w:r>
    </w:p>
    <w:p w14:paraId="691B7795" w14:textId="77777777" w:rsidR="00C94099" w:rsidRPr="00020DBD" w:rsidRDefault="00C94099" w:rsidP="00020DBD">
      <w:pPr>
        <w:pStyle w:val="ListParagraph"/>
        <w:numPr>
          <w:ilvl w:val="0"/>
          <w:numId w:val="2"/>
        </w:numPr>
      </w:pPr>
      <w:r>
        <w:rPr>
          <w:rFonts w:cs="Calibri"/>
          <w:noProof/>
        </w:rPr>
        <w:t xml:space="preserve">Ghana Health Service. 2014 Annual Report. July 2015. </w:t>
      </w:r>
      <w:hyperlink r:id="rId9" w:history="1">
        <w:r w:rsidRPr="00A46C35">
          <w:rPr>
            <w:rStyle w:val="Hyperlink"/>
            <w:rFonts w:cs="Calibri"/>
            <w:noProof/>
          </w:rPr>
          <w:t>http://www.ghanahealthservice.org/downloads/Ghana_Health_Service_2014_Annual_Report.pdf</w:t>
        </w:r>
      </w:hyperlink>
      <w:r>
        <w:rPr>
          <w:rFonts w:cs="Calibri"/>
          <w:noProof/>
        </w:rPr>
        <w:t xml:space="preserve"> [accessed Jan 24 2016]</w:t>
      </w:r>
    </w:p>
    <w:p w14:paraId="5DC772A2" w14:textId="2AE444C9" w:rsidR="00C94099" w:rsidRPr="00020DBD" w:rsidRDefault="00C94099" w:rsidP="00020DBD">
      <w:pPr>
        <w:pStyle w:val="ListParagraph"/>
        <w:numPr>
          <w:ilvl w:val="0"/>
          <w:numId w:val="2"/>
        </w:numPr>
      </w:pPr>
      <w:r>
        <w:rPr>
          <w:rFonts w:cs="Calibri"/>
          <w:noProof/>
        </w:rPr>
        <w:lastRenderedPageBreak/>
        <w:t xml:space="preserve">Hotez, P.J., and Kamath, A. Neglected tropical disease in Sub-Saharan Africa: Review of their prevalence, distribution, and disease burden. </w:t>
      </w:r>
      <w:r>
        <w:rPr>
          <w:rFonts w:cs="Calibri"/>
          <w:i/>
          <w:noProof/>
        </w:rPr>
        <w:t>PLoS Negl Trop Dis</w:t>
      </w:r>
      <w:r>
        <w:rPr>
          <w:rFonts w:cs="Calibri"/>
          <w:noProof/>
        </w:rPr>
        <w:t xml:space="preserve"> 2009; 3(8):412. </w:t>
      </w:r>
    </w:p>
    <w:p w14:paraId="47859315" w14:textId="77777777" w:rsidR="00C94099" w:rsidRPr="00CF4FEA" w:rsidRDefault="00C94099" w:rsidP="00020DBD">
      <w:pPr>
        <w:pStyle w:val="ListParagraph"/>
        <w:numPr>
          <w:ilvl w:val="0"/>
          <w:numId w:val="2"/>
        </w:numPr>
        <w:rPr>
          <w:rFonts w:cs="Calibri"/>
          <w:noProof/>
        </w:rPr>
      </w:pPr>
      <w:r>
        <w:rPr>
          <w:rFonts w:cs="Calibri"/>
          <w:noProof/>
        </w:rPr>
        <w:t xml:space="preserve">Molyneux, D.H., and Nantulya, V. Public-private partnerships in blindness prevention: reaching beyond the eye. </w:t>
      </w:r>
      <w:r>
        <w:rPr>
          <w:rFonts w:cs="Calibri"/>
          <w:i/>
          <w:noProof/>
        </w:rPr>
        <w:t xml:space="preserve">Eye </w:t>
      </w:r>
      <w:r>
        <w:rPr>
          <w:rFonts w:cs="Calibri"/>
          <w:noProof/>
        </w:rPr>
        <w:t>2005; 19:1050-1056.</w:t>
      </w:r>
    </w:p>
    <w:p w14:paraId="6A686B7C" w14:textId="77777777" w:rsidR="00C94099" w:rsidRPr="00395515" w:rsidRDefault="00C94099" w:rsidP="004C57F4">
      <w:pPr>
        <w:pStyle w:val="ListParagraph"/>
        <w:numPr>
          <w:ilvl w:val="0"/>
          <w:numId w:val="2"/>
        </w:numPr>
      </w:pPr>
      <w:r>
        <w:t>Eigege, A., et al. Long-lasting insecticidal nets are synergistic with mass drug administration for interruption of lymphatic filariasis transmission in Nigeria.</w:t>
      </w:r>
      <w:r>
        <w:rPr>
          <w:i/>
        </w:rPr>
        <w:t xml:space="preserve"> PLoS Negl Trop Dis </w:t>
      </w:r>
      <w:r>
        <w:t xml:space="preserve">2013;7(10):2508. </w:t>
      </w:r>
    </w:p>
    <w:p w14:paraId="42F0729A" w14:textId="122F957C" w:rsidR="00C94099" w:rsidRDefault="00C94099">
      <w:pPr>
        <w:pStyle w:val="ListParagraph"/>
        <w:numPr>
          <w:ilvl w:val="0"/>
          <w:numId w:val="2"/>
        </w:numPr>
      </w:pPr>
      <w:r w:rsidRPr="00754692">
        <w:rPr>
          <w:rFonts w:cs="Calibri"/>
          <w:noProof/>
        </w:rPr>
        <w:t>CDI Study Group</w:t>
      </w:r>
      <w:r>
        <w:rPr>
          <w:rFonts w:cs="Calibri"/>
          <w:noProof/>
        </w:rPr>
        <w:t xml:space="preserve">. Community-directed interventions for priority health problems in Africa: results of a multi-country study. </w:t>
      </w:r>
      <w:r>
        <w:rPr>
          <w:rFonts w:cs="Calibri"/>
          <w:i/>
          <w:noProof/>
        </w:rPr>
        <w:t xml:space="preserve">Bull World Health Org </w:t>
      </w:r>
      <w:r>
        <w:rPr>
          <w:rFonts w:cs="Calibri"/>
          <w:noProof/>
        </w:rPr>
        <w:t>2010; 88(7): 509-518.</w:t>
      </w:r>
    </w:p>
    <w:p w14:paraId="1D694FC5" w14:textId="77777777" w:rsidR="00C94099" w:rsidRPr="00BB01D9" w:rsidRDefault="00C94099" w:rsidP="00020DBD">
      <w:pPr>
        <w:pStyle w:val="ListParagraph"/>
        <w:numPr>
          <w:ilvl w:val="0"/>
          <w:numId w:val="2"/>
        </w:numPr>
      </w:pPr>
      <w:r>
        <w:rPr>
          <w:rFonts w:cs="Calibri"/>
          <w:noProof/>
        </w:rPr>
        <w:t xml:space="preserve">Wanji, S., et al. Community-directed delivery of doxycycline for the treatment of onchocerciasis in areas of co-endemnicity with loiasis in Cameroon. </w:t>
      </w:r>
      <w:r>
        <w:rPr>
          <w:rFonts w:cs="Calibri"/>
          <w:i/>
          <w:noProof/>
        </w:rPr>
        <w:t xml:space="preserve">Parasites and Vectors </w:t>
      </w:r>
      <w:r>
        <w:rPr>
          <w:rFonts w:cs="Calibri"/>
          <w:noProof/>
        </w:rPr>
        <w:t xml:space="preserve">2009; 2:39. </w:t>
      </w:r>
    </w:p>
    <w:p w14:paraId="07E29C65" w14:textId="13F500C9" w:rsidR="00C94099" w:rsidRPr="00395515" w:rsidRDefault="00C94099" w:rsidP="00FD3B54">
      <w:pPr>
        <w:pStyle w:val="ListParagraph"/>
      </w:pPr>
    </w:p>
    <w:sectPr w:rsidR="00C94099" w:rsidRPr="00395515" w:rsidSect="003B44BD">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75537" w14:textId="77777777" w:rsidR="009407BB" w:rsidRDefault="009407BB" w:rsidP="00B4785C">
      <w:pPr>
        <w:spacing w:after="0" w:line="240" w:lineRule="auto"/>
      </w:pPr>
      <w:r>
        <w:separator/>
      </w:r>
    </w:p>
  </w:endnote>
  <w:endnote w:type="continuationSeparator" w:id="0">
    <w:p w14:paraId="777D337A" w14:textId="77777777" w:rsidR="009407BB" w:rsidRDefault="009407BB" w:rsidP="00B47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40B31" w14:textId="77777777" w:rsidR="009407BB" w:rsidRDefault="009407BB" w:rsidP="00B4785C">
      <w:pPr>
        <w:spacing w:after="0" w:line="240" w:lineRule="auto"/>
      </w:pPr>
      <w:r>
        <w:separator/>
      </w:r>
    </w:p>
  </w:footnote>
  <w:footnote w:type="continuationSeparator" w:id="0">
    <w:p w14:paraId="137C79FB" w14:textId="77777777" w:rsidR="009407BB" w:rsidRDefault="009407BB" w:rsidP="00B478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55926"/>
    <w:multiLevelType w:val="hybridMultilevel"/>
    <w:tmpl w:val="9716B32C"/>
    <w:lvl w:ilvl="0" w:tplc="3B0E1B66">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7C059E"/>
    <w:multiLevelType w:val="hybridMultilevel"/>
    <w:tmpl w:val="4CC822C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F97"/>
    <w:rsid w:val="00002123"/>
    <w:rsid w:val="00003F6B"/>
    <w:rsid w:val="00011704"/>
    <w:rsid w:val="00012B1B"/>
    <w:rsid w:val="00020DBD"/>
    <w:rsid w:val="00021CB9"/>
    <w:rsid w:val="0002230D"/>
    <w:rsid w:val="0002293D"/>
    <w:rsid w:val="00031A11"/>
    <w:rsid w:val="00040AE1"/>
    <w:rsid w:val="00042C30"/>
    <w:rsid w:val="00055EF4"/>
    <w:rsid w:val="00060FB6"/>
    <w:rsid w:val="00070C7E"/>
    <w:rsid w:val="00081939"/>
    <w:rsid w:val="00081980"/>
    <w:rsid w:val="0008752E"/>
    <w:rsid w:val="000A5A71"/>
    <w:rsid w:val="000B060C"/>
    <w:rsid w:val="000B68E0"/>
    <w:rsid w:val="000C5EF5"/>
    <w:rsid w:val="000D2D68"/>
    <w:rsid w:val="000E34FF"/>
    <w:rsid w:val="000F58A5"/>
    <w:rsid w:val="00106B21"/>
    <w:rsid w:val="00115791"/>
    <w:rsid w:val="00142FFE"/>
    <w:rsid w:val="00157F32"/>
    <w:rsid w:val="001677F8"/>
    <w:rsid w:val="00170016"/>
    <w:rsid w:val="001846A3"/>
    <w:rsid w:val="0018543F"/>
    <w:rsid w:val="0019697C"/>
    <w:rsid w:val="001A384C"/>
    <w:rsid w:val="001A77A6"/>
    <w:rsid w:val="001D1ECD"/>
    <w:rsid w:val="001E1B19"/>
    <w:rsid w:val="001F359F"/>
    <w:rsid w:val="001F7815"/>
    <w:rsid w:val="002103FE"/>
    <w:rsid w:val="0023005C"/>
    <w:rsid w:val="00236CDE"/>
    <w:rsid w:val="00242669"/>
    <w:rsid w:val="0025185E"/>
    <w:rsid w:val="00254A33"/>
    <w:rsid w:val="00262A16"/>
    <w:rsid w:val="0026581B"/>
    <w:rsid w:val="002756EE"/>
    <w:rsid w:val="002765B8"/>
    <w:rsid w:val="00280298"/>
    <w:rsid w:val="00281ACF"/>
    <w:rsid w:val="00284B28"/>
    <w:rsid w:val="002850C8"/>
    <w:rsid w:val="0029479F"/>
    <w:rsid w:val="002951BB"/>
    <w:rsid w:val="002A6717"/>
    <w:rsid w:val="002B2FD7"/>
    <w:rsid w:val="002B47E1"/>
    <w:rsid w:val="002B618F"/>
    <w:rsid w:val="002B7EA5"/>
    <w:rsid w:val="002C1D4B"/>
    <w:rsid w:val="002D4497"/>
    <w:rsid w:val="002D6439"/>
    <w:rsid w:val="002E248C"/>
    <w:rsid w:val="002E4755"/>
    <w:rsid w:val="002E7322"/>
    <w:rsid w:val="002F3336"/>
    <w:rsid w:val="002F4722"/>
    <w:rsid w:val="002F6013"/>
    <w:rsid w:val="00306E66"/>
    <w:rsid w:val="00306E9E"/>
    <w:rsid w:val="00312F3D"/>
    <w:rsid w:val="0031451A"/>
    <w:rsid w:val="00321D8C"/>
    <w:rsid w:val="00326308"/>
    <w:rsid w:val="003275F5"/>
    <w:rsid w:val="00334253"/>
    <w:rsid w:val="0033712F"/>
    <w:rsid w:val="003373EE"/>
    <w:rsid w:val="00342F0C"/>
    <w:rsid w:val="00343C80"/>
    <w:rsid w:val="003457A0"/>
    <w:rsid w:val="00354776"/>
    <w:rsid w:val="003550D6"/>
    <w:rsid w:val="00360A8B"/>
    <w:rsid w:val="00371E43"/>
    <w:rsid w:val="00384749"/>
    <w:rsid w:val="00387611"/>
    <w:rsid w:val="00395515"/>
    <w:rsid w:val="00395A0D"/>
    <w:rsid w:val="00397A11"/>
    <w:rsid w:val="003A2DC2"/>
    <w:rsid w:val="003A76CE"/>
    <w:rsid w:val="003B215B"/>
    <w:rsid w:val="003B44BD"/>
    <w:rsid w:val="003C22E0"/>
    <w:rsid w:val="003D5671"/>
    <w:rsid w:val="003E43E2"/>
    <w:rsid w:val="003E4595"/>
    <w:rsid w:val="003E4812"/>
    <w:rsid w:val="003E5ED6"/>
    <w:rsid w:val="003E71AC"/>
    <w:rsid w:val="004003F8"/>
    <w:rsid w:val="00405CBA"/>
    <w:rsid w:val="0041664F"/>
    <w:rsid w:val="00425E2C"/>
    <w:rsid w:val="00431810"/>
    <w:rsid w:val="004324CD"/>
    <w:rsid w:val="00433358"/>
    <w:rsid w:val="004360ED"/>
    <w:rsid w:val="00454150"/>
    <w:rsid w:val="00454C49"/>
    <w:rsid w:val="0046079D"/>
    <w:rsid w:val="00467FD2"/>
    <w:rsid w:val="00470E82"/>
    <w:rsid w:val="0048096F"/>
    <w:rsid w:val="00492EE8"/>
    <w:rsid w:val="004A5E77"/>
    <w:rsid w:val="004A78D3"/>
    <w:rsid w:val="004B20C0"/>
    <w:rsid w:val="004C27E8"/>
    <w:rsid w:val="004C57F4"/>
    <w:rsid w:val="004D3EA5"/>
    <w:rsid w:val="004E2EE1"/>
    <w:rsid w:val="004E31E1"/>
    <w:rsid w:val="004E4963"/>
    <w:rsid w:val="004E4E2D"/>
    <w:rsid w:val="004E750E"/>
    <w:rsid w:val="00510772"/>
    <w:rsid w:val="0051238C"/>
    <w:rsid w:val="00513D8A"/>
    <w:rsid w:val="005165D8"/>
    <w:rsid w:val="00517D25"/>
    <w:rsid w:val="00522F53"/>
    <w:rsid w:val="005308C6"/>
    <w:rsid w:val="00531ECD"/>
    <w:rsid w:val="00534DC9"/>
    <w:rsid w:val="00550FBC"/>
    <w:rsid w:val="005537C4"/>
    <w:rsid w:val="00555DB7"/>
    <w:rsid w:val="00556F7B"/>
    <w:rsid w:val="005610FF"/>
    <w:rsid w:val="00565157"/>
    <w:rsid w:val="00570F2C"/>
    <w:rsid w:val="005853D9"/>
    <w:rsid w:val="00592A4B"/>
    <w:rsid w:val="00593EBC"/>
    <w:rsid w:val="005A11BB"/>
    <w:rsid w:val="005B6030"/>
    <w:rsid w:val="005C4324"/>
    <w:rsid w:val="005E213C"/>
    <w:rsid w:val="005E682A"/>
    <w:rsid w:val="005F0596"/>
    <w:rsid w:val="005F2FA5"/>
    <w:rsid w:val="005F63F2"/>
    <w:rsid w:val="00600088"/>
    <w:rsid w:val="006055E9"/>
    <w:rsid w:val="00605A2F"/>
    <w:rsid w:val="006112DA"/>
    <w:rsid w:val="0061407B"/>
    <w:rsid w:val="0061659B"/>
    <w:rsid w:val="0061680D"/>
    <w:rsid w:val="006171DF"/>
    <w:rsid w:val="00620E02"/>
    <w:rsid w:val="00622563"/>
    <w:rsid w:val="00624419"/>
    <w:rsid w:val="006246D4"/>
    <w:rsid w:val="00631D3E"/>
    <w:rsid w:val="00633A25"/>
    <w:rsid w:val="0063427C"/>
    <w:rsid w:val="00643B4A"/>
    <w:rsid w:val="00646DCB"/>
    <w:rsid w:val="00652797"/>
    <w:rsid w:val="00654A34"/>
    <w:rsid w:val="00656A96"/>
    <w:rsid w:val="006577C1"/>
    <w:rsid w:val="00665702"/>
    <w:rsid w:val="00670994"/>
    <w:rsid w:val="006712D8"/>
    <w:rsid w:val="00672726"/>
    <w:rsid w:val="00681399"/>
    <w:rsid w:val="00681F45"/>
    <w:rsid w:val="006A205C"/>
    <w:rsid w:val="006A5C16"/>
    <w:rsid w:val="006A67AE"/>
    <w:rsid w:val="006B1474"/>
    <w:rsid w:val="006C4B38"/>
    <w:rsid w:val="006C6FBC"/>
    <w:rsid w:val="006D6140"/>
    <w:rsid w:val="006E1B4A"/>
    <w:rsid w:val="006F1110"/>
    <w:rsid w:val="006F58EB"/>
    <w:rsid w:val="00701F30"/>
    <w:rsid w:val="007062D1"/>
    <w:rsid w:val="00714AE7"/>
    <w:rsid w:val="007245BB"/>
    <w:rsid w:val="00731A32"/>
    <w:rsid w:val="00737C16"/>
    <w:rsid w:val="0075443E"/>
    <w:rsid w:val="00754692"/>
    <w:rsid w:val="00755AD4"/>
    <w:rsid w:val="00757975"/>
    <w:rsid w:val="0076089A"/>
    <w:rsid w:val="00764FFD"/>
    <w:rsid w:val="007755EA"/>
    <w:rsid w:val="00777FDD"/>
    <w:rsid w:val="007800EE"/>
    <w:rsid w:val="0078552F"/>
    <w:rsid w:val="007939D1"/>
    <w:rsid w:val="007970BE"/>
    <w:rsid w:val="007A48FA"/>
    <w:rsid w:val="007A6D20"/>
    <w:rsid w:val="007B4C56"/>
    <w:rsid w:val="007C4314"/>
    <w:rsid w:val="007D267F"/>
    <w:rsid w:val="007D3D64"/>
    <w:rsid w:val="007D623F"/>
    <w:rsid w:val="007D64ED"/>
    <w:rsid w:val="007E2466"/>
    <w:rsid w:val="007E61B2"/>
    <w:rsid w:val="007F045B"/>
    <w:rsid w:val="007F40F8"/>
    <w:rsid w:val="007F4B3C"/>
    <w:rsid w:val="00801F4B"/>
    <w:rsid w:val="00802B36"/>
    <w:rsid w:val="00810EFA"/>
    <w:rsid w:val="00816069"/>
    <w:rsid w:val="00826351"/>
    <w:rsid w:val="00831828"/>
    <w:rsid w:val="0083770F"/>
    <w:rsid w:val="0085633C"/>
    <w:rsid w:val="00867980"/>
    <w:rsid w:val="0087022D"/>
    <w:rsid w:val="00880A3A"/>
    <w:rsid w:val="00885BB8"/>
    <w:rsid w:val="00887DCD"/>
    <w:rsid w:val="00890A55"/>
    <w:rsid w:val="008A6910"/>
    <w:rsid w:val="008A7EA8"/>
    <w:rsid w:val="008B03F3"/>
    <w:rsid w:val="008C02BF"/>
    <w:rsid w:val="008C09E5"/>
    <w:rsid w:val="008D169E"/>
    <w:rsid w:val="008D2040"/>
    <w:rsid w:val="008D3C9C"/>
    <w:rsid w:val="008D3E17"/>
    <w:rsid w:val="008D4E64"/>
    <w:rsid w:val="008D540D"/>
    <w:rsid w:val="008D5F4F"/>
    <w:rsid w:val="008E07AD"/>
    <w:rsid w:val="008E32B7"/>
    <w:rsid w:val="008E53EA"/>
    <w:rsid w:val="009027FD"/>
    <w:rsid w:val="00904F75"/>
    <w:rsid w:val="00906046"/>
    <w:rsid w:val="00911A01"/>
    <w:rsid w:val="0091395E"/>
    <w:rsid w:val="00921F97"/>
    <w:rsid w:val="009221E9"/>
    <w:rsid w:val="00922775"/>
    <w:rsid w:val="009354EE"/>
    <w:rsid w:val="00936E76"/>
    <w:rsid w:val="00937147"/>
    <w:rsid w:val="009400E8"/>
    <w:rsid w:val="009407BB"/>
    <w:rsid w:val="00940C31"/>
    <w:rsid w:val="00966254"/>
    <w:rsid w:val="009677E6"/>
    <w:rsid w:val="0097104A"/>
    <w:rsid w:val="00995FFA"/>
    <w:rsid w:val="009A584B"/>
    <w:rsid w:val="009A5897"/>
    <w:rsid w:val="009C17D9"/>
    <w:rsid w:val="009D72BB"/>
    <w:rsid w:val="009F76B0"/>
    <w:rsid w:val="00A24F02"/>
    <w:rsid w:val="00A2540C"/>
    <w:rsid w:val="00A277A0"/>
    <w:rsid w:val="00A36F19"/>
    <w:rsid w:val="00A378FD"/>
    <w:rsid w:val="00A42A98"/>
    <w:rsid w:val="00A46C35"/>
    <w:rsid w:val="00A50EE5"/>
    <w:rsid w:val="00A567D6"/>
    <w:rsid w:val="00A64DF0"/>
    <w:rsid w:val="00A66222"/>
    <w:rsid w:val="00A869D7"/>
    <w:rsid w:val="00A94319"/>
    <w:rsid w:val="00A94A19"/>
    <w:rsid w:val="00AA4FEA"/>
    <w:rsid w:val="00AA5279"/>
    <w:rsid w:val="00AA5BB9"/>
    <w:rsid w:val="00AB3C53"/>
    <w:rsid w:val="00AC1AE5"/>
    <w:rsid w:val="00AC2056"/>
    <w:rsid w:val="00AC2DC7"/>
    <w:rsid w:val="00AC455A"/>
    <w:rsid w:val="00AE2D63"/>
    <w:rsid w:val="00B06303"/>
    <w:rsid w:val="00B11668"/>
    <w:rsid w:val="00B13682"/>
    <w:rsid w:val="00B21A7C"/>
    <w:rsid w:val="00B2713B"/>
    <w:rsid w:val="00B329C0"/>
    <w:rsid w:val="00B3315B"/>
    <w:rsid w:val="00B4785C"/>
    <w:rsid w:val="00B723B7"/>
    <w:rsid w:val="00B75B15"/>
    <w:rsid w:val="00B90086"/>
    <w:rsid w:val="00B9591B"/>
    <w:rsid w:val="00B969D3"/>
    <w:rsid w:val="00BB01D9"/>
    <w:rsid w:val="00BB3DC5"/>
    <w:rsid w:val="00BC01B8"/>
    <w:rsid w:val="00BC6179"/>
    <w:rsid w:val="00BD1FFF"/>
    <w:rsid w:val="00BE6219"/>
    <w:rsid w:val="00BE7905"/>
    <w:rsid w:val="00BF2A42"/>
    <w:rsid w:val="00BF5BA4"/>
    <w:rsid w:val="00BF6AD7"/>
    <w:rsid w:val="00C02AC2"/>
    <w:rsid w:val="00C0466E"/>
    <w:rsid w:val="00C06C95"/>
    <w:rsid w:val="00C07C7D"/>
    <w:rsid w:val="00C118BF"/>
    <w:rsid w:val="00C26469"/>
    <w:rsid w:val="00C27895"/>
    <w:rsid w:val="00C400AF"/>
    <w:rsid w:val="00C41127"/>
    <w:rsid w:val="00C5433E"/>
    <w:rsid w:val="00C61D79"/>
    <w:rsid w:val="00C6524D"/>
    <w:rsid w:val="00C67E14"/>
    <w:rsid w:val="00C73673"/>
    <w:rsid w:val="00C75CFA"/>
    <w:rsid w:val="00C80F9F"/>
    <w:rsid w:val="00C93D7B"/>
    <w:rsid w:val="00C94099"/>
    <w:rsid w:val="00CA3BFF"/>
    <w:rsid w:val="00CE150F"/>
    <w:rsid w:val="00CE45D6"/>
    <w:rsid w:val="00CF1B83"/>
    <w:rsid w:val="00CF3C12"/>
    <w:rsid w:val="00CF4FEA"/>
    <w:rsid w:val="00D11230"/>
    <w:rsid w:val="00D16292"/>
    <w:rsid w:val="00D17BE2"/>
    <w:rsid w:val="00D22442"/>
    <w:rsid w:val="00D35563"/>
    <w:rsid w:val="00D42845"/>
    <w:rsid w:val="00D468BF"/>
    <w:rsid w:val="00D56C2E"/>
    <w:rsid w:val="00D628AD"/>
    <w:rsid w:val="00D646E1"/>
    <w:rsid w:val="00D67D0F"/>
    <w:rsid w:val="00D76FD6"/>
    <w:rsid w:val="00D845F4"/>
    <w:rsid w:val="00D92D72"/>
    <w:rsid w:val="00D9667C"/>
    <w:rsid w:val="00DA6FD1"/>
    <w:rsid w:val="00DB57D2"/>
    <w:rsid w:val="00DB5BF4"/>
    <w:rsid w:val="00DC3B95"/>
    <w:rsid w:val="00DC4EC7"/>
    <w:rsid w:val="00DC5FFD"/>
    <w:rsid w:val="00DD0E80"/>
    <w:rsid w:val="00DD1962"/>
    <w:rsid w:val="00DD2B17"/>
    <w:rsid w:val="00DF1AA0"/>
    <w:rsid w:val="00DF3DA1"/>
    <w:rsid w:val="00E00498"/>
    <w:rsid w:val="00E07628"/>
    <w:rsid w:val="00E17398"/>
    <w:rsid w:val="00E17E2F"/>
    <w:rsid w:val="00E24E0F"/>
    <w:rsid w:val="00E26B3A"/>
    <w:rsid w:val="00E26FD1"/>
    <w:rsid w:val="00E30014"/>
    <w:rsid w:val="00E43D25"/>
    <w:rsid w:val="00E4694C"/>
    <w:rsid w:val="00E51806"/>
    <w:rsid w:val="00E64091"/>
    <w:rsid w:val="00E72C66"/>
    <w:rsid w:val="00E8362E"/>
    <w:rsid w:val="00E839B4"/>
    <w:rsid w:val="00E95BA9"/>
    <w:rsid w:val="00E97E72"/>
    <w:rsid w:val="00EA465E"/>
    <w:rsid w:val="00EB36B5"/>
    <w:rsid w:val="00EC5E0F"/>
    <w:rsid w:val="00ED13C7"/>
    <w:rsid w:val="00EE0314"/>
    <w:rsid w:val="00EE2B20"/>
    <w:rsid w:val="00EE4AC0"/>
    <w:rsid w:val="00EE56D9"/>
    <w:rsid w:val="00EF4E6D"/>
    <w:rsid w:val="00EF5B04"/>
    <w:rsid w:val="00EF70FC"/>
    <w:rsid w:val="00F232EA"/>
    <w:rsid w:val="00F333C9"/>
    <w:rsid w:val="00F34C78"/>
    <w:rsid w:val="00F409FA"/>
    <w:rsid w:val="00F42DA5"/>
    <w:rsid w:val="00F44689"/>
    <w:rsid w:val="00F541BC"/>
    <w:rsid w:val="00F54BA0"/>
    <w:rsid w:val="00F67DB5"/>
    <w:rsid w:val="00F67FF3"/>
    <w:rsid w:val="00F75614"/>
    <w:rsid w:val="00F770DA"/>
    <w:rsid w:val="00F77957"/>
    <w:rsid w:val="00F8711D"/>
    <w:rsid w:val="00F97BA5"/>
    <w:rsid w:val="00FA2E2E"/>
    <w:rsid w:val="00FA6E2E"/>
    <w:rsid w:val="00FB5482"/>
    <w:rsid w:val="00FC0168"/>
    <w:rsid w:val="00FC7F69"/>
    <w:rsid w:val="00FD3B54"/>
    <w:rsid w:val="00FD6AA9"/>
    <w:rsid w:val="00FE0234"/>
    <w:rsid w:val="00FE07A8"/>
    <w:rsid w:val="00FE5B32"/>
    <w:rsid w:val="00FF2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6562AD9"/>
  <w15:docId w15:val="{70EF77A7-651A-4FB8-8086-2283BFB10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F97"/>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921F97"/>
    <w:rPr>
      <w:rFonts w:cs="Times New Roman"/>
      <w:sz w:val="16"/>
      <w:szCs w:val="16"/>
    </w:rPr>
  </w:style>
  <w:style w:type="paragraph" w:styleId="CommentText">
    <w:name w:val="annotation text"/>
    <w:basedOn w:val="Normal"/>
    <w:link w:val="CommentTextChar"/>
    <w:uiPriority w:val="99"/>
    <w:semiHidden/>
    <w:rsid w:val="00921F9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21F97"/>
    <w:rPr>
      <w:rFonts w:cs="Times New Roman"/>
      <w:sz w:val="20"/>
      <w:szCs w:val="20"/>
    </w:rPr>
  </w:style>
  <w:style w:type="paragraph" w:styleId="BalloonText">
    <w:name w:val="Balloon Text"/>
    <w:basedOn w:val="Normal"/>
    <w:link w:val="BalloonTextChar"/>
    <w:uiPriority w:val="99"/>
    <w:semiHidden/>
    <w:rsid w:val="00921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21F97"/>
    <w:rPr>
      <w:rFonts w:ascii="Segoe UI" w:hAnsi="Segoe UI" w:cs="Segoe UI"/>
      <w:sz w:val="18"/>
      <w:szCs w:val="18"/>
    </w:rPr>
  </w:style>
  <w:style w:type="paragraph" w:styleId="CommentSubject">
    <w:name w:val="annotation subject"/>
    <w:basedOn w:val="CommentText"/>
    <w:next w:val="CommentText"/>
    <w:link w:val="CommentSubjectChar"/>
    <w:uiPriority w:val="99"/>
    <w:semiHidden/>
    <w:rsid w:val="005A11BB"/>
    <w:rPr>
      <w:b/>
      <w:bCs/>
    </w:rPr>
  </w:style>
  <w:style w:type="character" w:customStyle="1" w:styleId="CommentSubjectChar">
    <w:name w:val="Comment Subject Char"/>
    <w:basedOn w:val="CommentTextChar"/>
    <w:link w:val="CommentSubject"/>
    <w:uiPriority w:val="99"/>
    <w:semiHidden/>
    <w:locked/>
    <w:rsid w:val="005A11BB"/>
    <w:rPr>
      <w:rFonts w:cs="Times New Roman"/>
      <w:b/>
      <w:bCs/>
      <w:sz w:val="20"/>
      <w:szCs w:val="20"/>
    </w:rPr>
  </w:style>
  <w:style w:type="paragraph" w:styleId="ListParagraph">
    <w:name w:val="List Paragraph"/>
    <w:basedOn w:val="Normal"/>
    <w:uiPriority w:val="99"/>
    <w:qFormat/>
    <w:rsid w:val="002756EE"/>
    <w:pPr>
      <w:ind w:left="720"/>
      <w:contextualSpacing/>
    </w:pPr>
  </w:style>
  <w:style w:type="character" w:styleId="Hyperlink">
    <w:name w:val="Hyperlink"/>
    <w:basedOn w:val="DefaultParagraphFont"/>
    <w:uiPriority w:val="99"/>
    <w:rsid w:val="006577C1"/>
    <w:rPr>
      <w:rFonts w:cs="Times New Roman"/>
      <w:color w:val="0563C1"/>
      <w:u w:val="single"/>
    </w:rPr>
  </w:style>
  <w:style w:type="paragraph" w:styleId="FootnoteText">
    <w:name w:val="footnote text"/>
    <w:basedOn w:val="Normal"/>
    <w:link w:val="FootnoteTextChar"/>
    <w:uiPriority w:val="99"/>
    <w:semiHidden/>
    <w:rsid w:val="00B4785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4785C"/>
    <w:rPr>
      <w:rFonts w:cs="Times New Roman"/>
      <w:sz w:val="20"/>
      <w:szCs w:val="20"/>
    </w:rPr>
  </w:style>
  <w:style w:type="character" w:styleId="FootnoteReference">
    <w:name w:val="footnote reference"/>
    <w:basedOn w:val="DefaultParagraphFont"/>
    <w:uiPriority w:val="99"/>
    <w:semiHidden/>
    <w:rsid w:val="00B4785C"/>
    <w:rPr>
      <w:rFonts w:cs="Times New Roman"/>
      <w:vertAlign w:val="superscript"/>
    </w:rPr>
  </w:style>
  <w:style w:type="character" w:styleId="LineNumber">
    <w:name w:val="line number"/>
    <w:basedOn w:val="DefaultParagraphFont"/>
    <w:uiPriority w:val="99"/>
    <w:semiHidden/>
    <w:rsid w:val="003B44BD"/>
    <w:rPr>
      <w:rFonts w:cs="Times New Roman"/>
    </w:rPr>
  </w:style>
  <w:style w:type="paragraph" w:styleId="EndnoteText">
    <w:name w:val="endnote text"/>
    <w:basedOn w:val="Normal"/>
    <w:link w:val="EndnoteTextChar"/>
    <w:uiPriority w:val="99"/>
    <w:semiHidden/>
    <w:rsid w:val="004E31E1"/>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4E31E1"/>
    <w:rPr>
      <w:rFonts w:cs="Times New Roman"/>
      <w:sz w:val="20"/>
      <w:szCs w:val="20"/>
    </w:rPr>
  </w:style>
  <w:style w:type="character" w:styleId="EndnoteReference">
    <w:name w:val="endnote reference"/>
    <w:basedOn w:val="DefaultParagraphFont"/>
    <w:uiPriority w:val="99"/>
    <w:semiHidden/>
    <w:rsid w:val="004E31E1"/>
    <w:rPr>
      <w:rFonts w:cs="Times New Roman"/>
      <w:vertAlign w:val="superscript"/>
    </w:rPr>
  </w:style>
  <w:style w:type="paragraph" w:styleId="DocumentMap">
    <w:name w:val="Document Map"/>
    <w:basedOn w:val="Normal"/>
    <w:link w:val="DocumentMapChar"/>
    <w:uiPriority w:val="99"/>
    <w:semiHidden/>
    <w:rsid w:val="005C432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o.int/neglected_diseases/NTD_RoadMap_2012_Fullversion.pdf" TargetMode="External"/><Relationship Id="rId3" Type="http://schemas.openxmlformats.org/officeDocument/2006/relationships/settings" Target="settings.xml"/><Relationship Id="rId7" Type="http://schemas.openxmlformats.org/officeDocument/2006/relationships/hyperlink" Target="mailto:laura.dean@lstmed.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hanahealthservice.org/downloads/Ghana_Health_Service_2014_Annual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1483</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Tailoring mass drug administration to context: Implementation research is critical in achieving equitable progress in the control and elimination of helminth neglected tropical diseases in Sub-Saharan Africa</vt:lpstr>
    </vt:vector>
  </TitlesOfParts>
  <Company>LSTM</Company>
  <LinksUpToDate>false</LinksUpToDate>
  <CharactersWithSpaces>11026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Tailoring mass drug administration to context: Implementation research is critical in achieving equitable progress in the control and elimination of helminth neglected tropical diseases in Sub-Saharan Africa</dc:title>
  <dc:subject/>
  <dc:creator>Laura Dean</dc:creator>
  <cp:keywords/>
  <dc:description/>
  <cp:lastModifiedBy>Laura Dean</cp:lastModifiedBy>
  <cp:revision>3</cp:revision>
  <cp:lastPrinted>2016-05-12T11:40:00Z</cp:lastPrinted>
  <dcterms:created xsi:type="dcterms:W3CDTF">2016-05-20T10:23:00Z</dcterms:created>
  <dcterms:modified xsi:type="dcterms:W3CDTF">2016-05-20T10:23:00Z</dcterms:modified>
</cp:coreProperties>
</file>