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BB68" w14:textId="50970CFD" w:rsidR="00CF331E" w:rsidRPr="0037502B" w:rsidRDefault="004962AC" w:rsidP="0037502B">
      <w:pPr>
        <w:rPr>
          <w:b/>
          <w:sz w:val="32"/>
          <w:szCs w:val="32"/>
        </w:rPr>
      </w:pPr>
      <w:r w:rsidRPr="0037502B">
        <w:rPr>
          <w:b/>
          <w:sz w:val="32"/>
          <w:szCs w:val="32"/>
        </w:rPr>
        <w:t xml:space="preserve">The </w:t>
      </w:r>
      <w:r w:rsidR="00046B6E" w:rsidRPr="0037502B">
        <w:rPr>
          <w:b/>
          <w:sz w:val="32"/>
          <w:szCs w:val="32"/>
        </w:rPr>
        <w:t>impact of m</w:t>
      </w:r>
      <w:r w:rsidR="007155A1" w:rsidRPr="0037502B">
        <w:rPr>
          <w:b/>
          <w:sz w:val="32"/>
          <w:szCs w:val="32"/>
        </w:rPr>
        <w:t xml:space="preserve">ass </w:t>
      </w:r>
      <w:r w:rsidR="00777D53" w:rsidRPr="0037502B">
        <w:rPr>
          <w:b/>
          <w:sz w:val="32"/>
          <w:szCs w:val="32"/>
        </w:rPr>
        <w:t>deworming programmes</w:t>
      </w:r>
      <w:r w:rsidR="00893EB5" w:rsidRPr="0037502B">
        <w:rPr>
          <w:b/>
          <w:sz w:val="32"/>
          <w:szCs w:val="32"/>
        </w:rPr>
        <w:t xml:space="preserve"> </w:t>
      </w:r>
      <w:r w:rsidR="00FF2BA4" w:rsidRPr="0037502B">
        <w:rPr>
          <w:b/>
          <w:sz w:val="32"/>
          <w:szCs w:val="32"/>
        </w:rPr>
        <w:t>on schooling and economic development</w:t>
      </w:r>
      <w:r w:rsidR="00777D53" w:rsidRPr="0037502B">
        <w:rPr>
          <w:b/>
          <w:sz w:val="32"/>
          <w:szCs w:val="32"/>
        </w:rPr>
        <w:t xml:space="preserve">: </w:t>
      </w:r>
      <w:r w:rsidR="00927786" w:rsidRPr="0037502B">
        <w:rPr>
          <w:b/>
          <w:sz w:val="32"/>
          <w:szCs w:val="32"/>
        </w:rPr>
        <w:t>an a</w:t>
      </w:r>
      <w:r w:rsidR="00853AF8" w:rsidRPr="0037502B">
        <w:rPr>
          <w:b/>
          <w:sz w:val="32"/>
          <w:szCs w:val="32"/>
        </w:rPr>
        <w:t>ppraisal</w:t>
      </w:r>
      <w:r w:rsidR="006720C0" w:rsidRPr="0037502B">
        <w:rPr>
          <w:b/>
          <w:sz w:val="32"/>
          <w:szCs w:val="32"/>
        </w:rPr>
        <w:t xml:space="preserve"> of </w:t>
      </w:r>
      <w:r w:rsidRPr="0037502B">
        <w:rPr>
          <w:b/>
          <w:sz w:val="32"/>
          <w:szCs w:val="32"/>
        </w:rPr>
        <w:t xml:space="preserve">long-term </w:t>
      </w:r>
      <w:r w:rsidR="00FF2BA4" w:rsidRPr="0037502B">
        <w:rPr>
          <w:b/>
          <w:sz w:val="32"/>
          <w:szCs w:val="32"/>
        </w:rPr>
        <w:t>studies</w:t>
      </w:r>
    </w:p>
    <w:p w14:paraId="0CAFD2BD" w14:textId="77777777" w:rsidR="003B02F4" w:rsidRDefault="003B02F4" w:rsidP="00851BC2">
      <w:pPr>
        <w:spacing w:before="120" w:after="120" w:line="240" w:lineRule="auto"/>
        <w:rPr>
          <w:b/>
        </w:rPr>
      </w:pPr>
    </w:p>
    <w:p w14:paraId="503445DF" w14:textId="77777777" w:rsidR="003B02F4" w:rsidRDefault="003B02F4" w:rsidP="00851BC2">
      <w:pPr>
        <w:spacing w:before="120" w:after="120" w:line="240" w:lineRule="auto"/>
        <w:rPr>
          <w:b/>
        </w:rPr>
      </w:pPr>
    </w:p>
    <w:p w14:paraId="0069521C" w14:textId="77777777" w:rsidR="003B02F4" w:rsidRDefault="003B02F4" w:rsidP="00851BC2">
      <w:pPr>
        <w:spacing w:before="120" w:after="120" w:line="240" w:lineRule="auto"/>
        <w:rPr>
          <w:b/>
        </w:rPr>
      </w:pPr>
    </w:p>
    <w:p w14:paraId="6F58AF3E" w14:textId="30683AD4" w:rsidR="0039683F" w:rsidRPr="00421962" w:rsidRDefault="0039683F" w:rsidP="00851BC2">
      <w:pPr>
        <w:spacing w:before="120" w:after="120" w:line="240" w:lineRule="auto"/>
        <w:rPr>
          <w:b/>
        </w:rPr>
      </w:pPr>
      <w:r w:rsidRPr="00421962">
        <w:rPr>
          <w:b/>
        </w:rPr>
        <w:t>Sophie Jullien, David Sinclair, Paul Garner</w:t>
      </w:r>
      <w:r w:rsidR="0023200E" w:rsidRPr="00421962">
        <w:rPr>
          <w:b/>
        </w:rPr>
        <w:t>*</w:t>
      </w:r>
    </w:p>
    <w:p w14:paraId="0D34E488" w14:textId="333A337F" w:rsidR="000D0C67" w:rsidRPr="00421962" w:rsidRDefault="000D0C67" w:rsidP="00851BC2">
      <w:pPr>
        <w:spacing w:before="120" w:after="120" w:line="240" w:lineRule="auto"/>
      </w:pPr>
      <w:r w:rsidRPr="00421962">
        <w:t>Author affiliations</w:t>
      </w:r>
    </w:p>
    <w:p w14:paraId="11D13FEC" w14:textId="4D6B774D" w:rsidR="000D0C67" w:rsidRPr="00421962" w:rsidRDefault="000D0C67" w:rsidP="00851BC2">
      <w:pPr>
        <w:spacing w:before="120" w:after="120" w:line="240" w:lineRule="auto"/>
      </w:pPr>
      <w:r w:rsidRPr="00421962">
        <w:t xml:space="preserve">Centre for Evidence Synthesis in Global Health, Department of Clinical Sciences, Liverpool School of Tropical Medicine </w:t>
      </w:r>
    </w:p>
    <w:p w14:paraId="2ECCA87B" w14:textId="498F891F" w:rsidR="000D0C67" w:rsidRDefault="0023200E" w:rsidP="00851BC2">
      <w:pPr>
        <w:spacing w:before="120" w:after="120" w:line="240" w:lineRule="auto"/>
      </w:pPr>
      <w:r w:rsidRPr="0023200E">
        <w:t>*</w:t>
      </w:r>
      <w:r w:rsidR="000D0C67" w:rsidRPr="00421962">
        <w:t xml:space="preserve">Corresponding author:  Centre for Evidence Synthesis in Global Health, Department of Clinical Sciences, Liverpool School of Tropical Medicine, Pembroke Place, Liverpool L3 5QA, UK. E-mail: </w:t>
      </w:r>
      <w:hyperlink r:id="rId8" w:history="1">
        <w:r w:rsidR="003B02F4" w:rsidRPr="00B81A58">
          <w:rPr>
            <w:rStyle w:val="Hyperlink"/>
          </w:rPr>
          <w:t>Paul.Garner@lstmed.ac.uk</w:t>
        </w:r>
      </w:hyperlink>
    </w:p>
    <w:p w14:paraId="13B6DC59" w14:textId="77777777" w:rsidR="00637BEA" w:rsidRDefault="00637BEA" w:rsidP="00851BC2">
      <w:pPr>
        <w:spacing w:before="120" w:after="120" w:line="240" w:lineRule="auto"/>
      </w:pPr>
    </w:p>
    <w:p w14:paraId="157B064D" w14:textId="4058BA1F" w:rsidR="00F016FD" w:rsidRDefault="00637BEA" w:rsidP="00851BC2">
      <w:pPr>
        <w:spacing w:before="120" w:after="120" w:line="240" w:lineRule="auto"/>
      </w:pPr>
      <w:r>
        <w:t>4 Sept 2016</w:t>
      </w:r>
    </w:p>
    <w:p w14:paraId="6562C74C" w14:textId="51DB57E2" w:rsidR="003B02F4" w:rsidRPr="00F142A7" w:rsidRDefault="003B02F4" w:rsidP="00F142A7">
      <w:pPr>
        <w:pStyle w:val="NoSpacing"/>
      </w:pPr>
      <w:bookmarkStart w:id="0" w:name="_Toc437853520"/>
      <w:r w:rsidRPr="00F142A7">
        <w:br w:type="page"/>
      </w:r>
    </w:p>
    <w:p w14:paraId="2EE0015B" w14:textId="77777777" w:rsidR="003C139E" w:rsidRPr="0037502B" w:rsidRDefault="003C139E" w:rsidP="0037502B">
      <w:pPr>
        <w:rPr>
          <w:b/>
        </w:rPr>
      </w:pPr>
      <w:r w:rsidRPr="0037502B">
        <w:rPr>
          <w:b/>
        </w:rPr>
        <w:lastRenderedPageBreak/>
        <w:t>Background</w:t>
      </w:r>
    </w:p>
    <w:p w14:paraId="62A0C8BD" w14:textId="2D2F9039" w:rsidR="003C139E" w:rsidRDefault="00637BEA" w:rsidP="003C139E">
      <w:pPr>
        <w:spacing w:before="120" w:after="120" w:line="240" w:lineRule="auto"/>
      </w:pPr>
      <w:r>
        <w:t>Documents from a</w:t>
      </w:r>
      <w:r w:rsidR="003C139E" w:rsidRPr="00421962">
        <w:t xml:space="preserve">dvocacy and fund-raising </w:t>
      </w:r>
      <w:r>
        <w:t>organizations</w:t>
      </w:r>
      <w:r w:rsidR="00670A98">
        <w:t xml:space="preserve"> </w:t>
      </w:r>
      <w:r w:rsidR="003C139E" w:rsidRPr="00421962">
        <w:t xml:space="preserve">for </w:t>
      </w:r>
      <w:r w:rsidR="0003712C">
        <w:t xml:space="preserve">child </w:t>
      </w:r>
      <w:r w:rsidR="003C139E" w:rsidRPr="00421962">
        <w:t xml:space="preserve">mass deworming programmes </w:t>
      </w:r>
      <w:r w:rsidR="003C139E">
        <w:t xml:space="preserve">in low and </w:t>
      </w:r>
      <w:r w:rsidR="00357DDC">
        <w:t>middle-</w:t>
      </w:r>
      <w:r w:rsidR="003C139E">
        <w:t>income countries</w:t>
      </w:r>
      <w:r w:rsidR="003C139E" w:rsidRPr="00421962">
        <w:t xml:space="preserve"> </w:t>
      </w:r>
      <w:r w:rsidR="003C139E">
        <w:t xml:space="preserve">cite unpublished economic studies claiming </w:t>
      </w:r>
      <w:r w:rsidR="003C139E" w:rsidRPr="00421962">
        <w:t>long-term effects on</w:t>
      </w:r>
      <w:r w:rsidR="003C139E">
        <w:t xml:space="preserve"> health,</w:t>
      </w:r>
      <w:r w:rsidR="003C139E" w:rsidRPr="00421962">
        <w:t xml:space="preserve"> schooling and economic development</w:t>
      </w:r>
      <w:r w:rsidR="003C139E">
        <w:t>.</w:t>
      </w:r>
      <w:r w:rsidR="003C139E" w:rsidRPr="00421962">
        <w:t xml:space="preserve"> </w:t>
      </w:r>
    </w:p>
    <w:p w14:paraId="4D41DBD7" w14:textId="77777777" w:rsidR="003C139E" w:rsidRPr="0037502B" w:rsidRDefault="003C139E" w:rsidP="0037502B">
      <w:pPr>
        <w:rPr>
          <w:b/>
        </w:rPr>
      </w:pPr>
      <w:r w:rsidRPr="0037502B">
        <w:rPr>
          <w:b/>
        </w:rPr>
        <w:t>Methods</w:t>
      </w:r>
    </w:p>
    <w:p w14:paraId="729BB77F" w14:textId="63071796" w:rsidR="003C139E" w:rsidRPr="00421962" w:rsidRDefault="003C139E" w:rsidP="003C139E">
      <w:pPr>
        <w:spacing w:before="120" w:after="120" w:line="240" w:lineRule="auto"/>
      </w:pPr>
      <w:r>
        <w:t xml:space="preserve">To </w:t>
      </w:r>
      <w:r w:rsidR="00CA53CE">
        <w:t xml:space="preserve">summarise and </w:t>
      </w:r>
      <w:r>
        <w:t xml:space="preserve">appraise these studies, we </w:t>
      </w:r>
      <w:r w:rsidR="00670A98">
        <w:t xml:space="preserve">searched for and </w:t>
      </w:r>
      <w:r>
        <w:t xml:space="preserve">included all </w:t>
      </w:r>
      <w:r w:rsidRPr="00421962">
        <w:t>long-term follow-up studies</w:t>
      </w:r>
      <w:r>
        <w:t>,</w:t>
      </w:r>
      <w:r w:rsidRPr="00421962">
        <w:t xml:space="preserve"> based on cluster-randomized trials included </w:t>
      </w:r>
      <w:r w:rsidR="0003712C">
        <w:t>in</w:t>
      </w:r>
      <w:r w:rsidRPr="00421962">
        <w:t xml:space="preserve"> </w:t>
      </w:r>
      <w:r w:rsidR="00D94217">
        <w:t>a</w:t>
      </w:r>
      <w:r w:rsidR="00D94217" w:rsidRPr="00421962">
        <w:t xml:space="preserve"> </w:t>
      </w:r>
      <w:r w:rsidRPr="00421962">
        <w:t xml:space="preserve">2015 Cochrane </w:t>
      </w:r>
      <w:r w:rsidR="00D94217">
        <w:t>review on deworming</w:t>
      </w:r>
      <w:r>
        <w:t>.</w:t>
      </w:r>
      <w:r w:rsidRPr="00421962">
        <w:t xml:space="preserve"> We</w:t>
      </w:r>
      <w:r w:rsidR="00CA53CE">
        <w:t xml:space="preserve"> </w:t>
      </w:r>
      <w:r>
        <w:t xml:space="preserve">used </w:t>
      </w:r>
      <w:r w:rsidRPr="00421962">
        <w:t xml:space="preserve">Cochrane </w:t>
      </w:r>
      <w:r>
        <w:t>methods to assess</w:t>
      </w:r>
      <w:r w:rsidRPr="00421962">
        <w:t xml:space="preserve"> risk of bias, and </w:t>
      </w:r>
      <w:r>
        <w:t>appraised</w:t>
      </w:r>
      <w:r w:rsidRPr="00421962">
        <w:t xml:space="preserve"> the c</w:t>
      </w:r>
      <w:r>
        <w:t xml:space="preserve">redibility </w:t>
      </w:r>
      <w:r w:rsidRPr="00421962">
        <w:t>of the main findings</w:t>
      </w:r>
      <w:r w:rsidR="00670A98">
        <w:t xml:space="preserve">. Where necessary we contacted study authors for clarifications. </w:t>
      </w:r>
    </w:p>
    <w:p w14:paraId="5ADB6EA8" w14:textId="77777777" w:rsidR="003C139E" w:rsidRPr="0037502B" w:rsidRDefault="003C139E" w:rsidP="0037502B">
      <w:pPr>
        <w:rPr>
          <w:b/>
        </w:rPr>
      </w:pPr>
      <w:r w:rsidRPr="0037502B">
        <w:rPr>
          <w:b/>
        </w:rPr>
        <w:t>Results</w:t>
      </w:r>
    </w:p>
    <w:p w14:paraId="2F31160C" w14:textId="1CC1476D" w:rsidR="003C139E" w:rsidRDefault="003C139E" w:rsidP="003C139E">
      <w:pPr>
        <w:spacing w:before="120" w:after="120" w:line="240" w:lineRule="auto"/>
      </w:pPr>
      <w:r>
        <w:t xml:space="preserve">We identified three </w:t>
      </w:r>
      <w:r w:rsidRPr="00421962">
        <w:t xml:space="preserve">studies </w:t>
      </w:r>
      <w:r>
        <w:t xml:space="preserve">(Baird 2016, Ozier 2016, and Croke 2014), </w:t>
      </w:r>
      <w:r w:rsidR="00925F57">
        <w:t xml:space="preserve">evaluating effects </w:t>
      </w:r>
      <w:r w:rsidR="00E22865">
        <w:t xml:space="preserve">more than </w:t>
      </w:r>
      <w:r w:rsidR="00925F57">
        <w:t xml:space="preserve">nine years after </w:t>
      </w:r>
      <w:r w:rsidRPr="00421962">
        <w:t>cluster-randomized trials</w:t>
      </w:r>
      <w:r>
        <w:t xml:space="preserve"> </w:t>
      </w:r>
      <w:r w:rsidR="00925F57">
        <w:t>in</w:t>
      </w:r>
      <w:r>
        <w:t xml:space="preserve"> </w:t>
      </w:r>
      <w:r w:rsidRPr="00421962">
        <w:t>Kenya and</w:t>
      </w:r>
      <w:r>
        <w:t xml:space="preserve"> </w:t>
      </w:r>
      <w:r w:rsidRPr="00421962">
        <w:t xml:space="preserve">Uganda. </w:t>
      </w:r>
      <w:r w:rsidR="00EC3F93">
        <w:t>Baird and Croke</w:t>
      </w:r>
      <w:r w:rsidR="00CA53CE">
        <w:t xml:space="preserve"> </w:t>
      </w:r>
      <w:r>
        <w:t>evaluate short additional exposures to deworming programmes in settings where all children were dewormed</w:t>
      </w:r>
      <w:r w:rsidR="003101C2">
        <w:t xml:space="preserve"> multiple times</w:t>
      </w:r>
      <w:r>
        <w:t xml:space="preserve">. </w:t>
      </w:r>
      <w:r w:rsidR="00EC3F93">
        <w:t xml:space="preserve">Ozier </w:t>
      </w:r>
      <w:r w:rsidR="00E22865">
        <w:t xml:space="preserve">evaluates </w:t>
      </w:r>
      <w:r w:rsidR="00EC3F93">
        <w:t xml:space="preserve">potential spin-off effects </w:t>
      </w:r>
      <w:r w:rsidR="00E22865">
        <w:t>to</w:t>
      </w:r>
      <w:r w:rsidR="00EC3F93">
        <w:t xml:space="preserve"> </w:t>
      </w:r>
      <w:r w:rsidR="00127FDC">
        <w:t xml:space="preserve">infants </w:t>
      </w:r>
      <w:r w:rsidR="00E22865">
        <w:t>living in areas with school-based deworming</w:t>
      </w:r>
      <w:r w:rsidR="00EC3F93">
        <w:t xml:space="preserve">. </w:t>
      </w:r>
      <w:r>
        <w:t xml:space="preserve">None of the studies </w:t>
      </w:r>
      <w:r w:rsidR="00637BEA">
        <w:t>used pre-planned protocol</w:t>
      </w:r>
      <w:r w:rsidR="00127FDC">
        <w:t>s,</w:t>
      </w:r>
      <w:r w:rsidR="00637BEA">
        <w:t xml:space="preserve"> </w:t>
      </w:r>
      <w:r w:rsidR="00127FDC">
        <w:t xml:space="preserve">or blinded the </w:t>
      </w:r>
      <w:r w:rsidR="00637BEA">
        <w:t xml:space="preserve">analysis </w:t>
      </w:r>
      <w:r w:rsidR="003101C2">
        <w:t>to treatment allocation</w:t>
      </w:r>
      <w:r w:rsidR="00637BEA">
        <w:t>.</w:t>
      </w:r>
    </w:p>
    <w:p w14:paraId="09279D3C" w14:textId="3DDDEAA1" w:rsidR="003C139E" w:rsidRDefault="003C139E" w:rsidP="003C139E">
      <w:pPr>
        <w:spacing w:before="120" w:after="120" w:line="240" w:lineRule="auto"/>
      </w:pPr>
      <w:r>
        <w:t xml:space="preserve">Baird 2016 </w:t>
      </w:r>
      <w:r w:rsidR="00670A98">
        <w:t xml:space="preserve">has been presented on-line in </w:t>
      </w:r>
      <w:r w:rsidR="00FE6DB5">
        <w:t xml:space="preserve">six </w:t>
      </w:r>
      <w:r w:rsidR="00670A98">
        <w:t>iterations</w:t>
      </w:r>
      <w:r w:rsidR="00CA53CE">
        <w:t>. It is at high risk of reporting bias and selective reporting, and there are</w:t>
      </w:r>
      <w:r>
        <w:t xml:space="preserve"> substantive changes between versions</w:t>
      </w:r>
      <w:r w:rsidR="00CA53CE">
        <w:t>.</w:t>
      </w:r>
      <w:r>
        <w:t xml:space="preserve"> The main cited effects on secondary school attendance and job sector a</w:t>
      </w:r>
      <w:r w:rsidR="0003712C">
        <w:t>llocation are from post-hoc sub-</w:t>
      </w:r>
      <w:r>
        <w:t xml:space="preserve">group analyses, which the study was not powered to assess. The study finds no evidence of effect on nutritional status, cognitive tests, </w:t>
      </w:r>
      <w:r w:rsidR="00CD4E19">
        <w:t xml:space="preserve">or </w:t>
      </w:r>
      <w:r>
        <w:t xml:space="preserve">school grades achieved, but </w:t>
      </w:r>
      <w:r w:rsidR="00CA53CE">
        <w:t xml:space="preserve">these are not reported in the </w:t>
      </w:r>
      <w:r>
        <w:t>abstract</w:t>
      </w:r>
      <w:r w:rsidR="00CA53CE">
        <w:t>s</w:t>
      </w:r>
      <w:r>
        <w:t xml:space="preserve">. </w:t>
      </w:r>
    </w:p>
    <w:p w14:paraId="4FC7B63A" w14:textId="24B1120C" w:rsidR="003C139E" w:rsidRDefault="003C139E" w:rsidP="003C139E">
      <w:pPr>
        <w:spacing w:before="120" w:after="120" w:line="240" w:lineRule="auto"/>
      </w:pPr>
      <w:r>
        <w:t xml:space="preserve">Ozier 2016 </w:t>
      </w:r>
      <w:r w:rsidR="00670A98">
        <w:t xml:space="preserve">has been presented on-line </w:t>
      </w:r>
      <w:r w:rsidR="00ED7C58">
        <w:t xml:space="preserve">in four </w:t>
      </w:r>
      <w:r w:rsidR="00670A98">
        <w:t>iterations</w:t>
      </w:r>
      <w:r w:rsidR="00ED7C58">
        <w:t>, without subs</w:t>
      </w:r>
      <w:r w:rsidR="003101C2">
        <w:t xml:space="preserve">tantive </w:t>
      </w:r>
      <w:r w:rsidR="00EC3F93">
        <w:t>differences between versions</w:t>
      </w:r>
      <w:r w:rsidR="008925C7">
        <w:t>.</w:t>
      </w:r>
      <w:r w:rsidR="00ED7C58">
        <w:t xml:space="preserve"> </w:t>
      </w:r>
      <w:r w:rsidR="00B414F9">
        <w:t>H</w:t>
      </w:r>
      <w:r w:rsidR="00EC3F93">
        <w:t xml:space="preserve">igher </w:t>
      </w:r>
      <w:r>
        <w:t>cognitive test scores</w:t>
      </w:r>
      <w:r w:rsidR="00D94217">
        <w:t xml:space="preserve"> were associated with deworming but were only beyond the play of chance with inclusion of the non-randomised data.</w:t>
      </w:r>
      <w:r w:rsidR="00C07F5F">
        <w:t xml:space="preserve"> </w:t>
      </w:r>
      <w:r w:rsidR="0003712C">
        <w:t xml:space="preserve">The </w:t>
      </w:r>
      <w:r w:rsidR="00E22865">
        <w:t>size of the stated effect</w:t>
      </w:r>
      <w:r w:rsidR="004B4428">
        <w:t xml:space="preserve"> seems inconsistent with the s</w:t>
      </w:r>
      <w:r w:rsidR="00C93A5D">
        <w:t>hort</w:t>
      </w:r>
      <w:r w:rsidR="00E22865">
        <w:t xml:space="preserve"> and indirect </w:t>
      </w:r>
      <w:r w:rsidR="004B4428">
        <w:t xml:space="preserve">nature of the </w:t>
      </w:r>
      <w:r w:rsidR="00C93A5D">
        <w:t xml:space="preserve">exposure </w:t>
      </w:r>
      <w:r w:rsidR="00E22865">
        <w:t>to deworming</w:t>
      </w:r>
      <w:r w:rsidR="004B4428">
        <w:t xml:space="preserve">, and a causal </w:t>
      </w:r>
      <w:r w:rsidR="00EC3F93">
        <w:t>pathway</w:t>
      </w:r>
      <w:r w:rsidR="004B4428">
        <w:t xml:space="preserve"> for this effect is unclear</w:t>
      </w:r>
      <w:r w:rsidR="006271C5">
        <w:t>.</w:t>
      </w:r>
    </w:p>
    <w:p w14:paraId="3BA6A816" w14:textId="77777777" w:rsidR="003C139E" w:rsidRPr="00421962" w:rsidRDefault="003C139E" w:rsidP="003C139E">
      <w:pPr>
        <w:spacing w:before="120" w:after="120" w:line="240" w:lineRule="auto"/>
      </w:pPr>
      <w:r>
        <w:t>Croke 2014 utilizes a data set unrelated to the base trial to report improvements in English and maths test scores. The analysis is at high risk of attrition bias, due to loss of clusters, and is substantially underpowered to assess these effects.</w:t>
      </w:r>
    </w:p>
    <w:p w14:paraId="038B25BE" w14:textId="77777777" w:rsidR="003C139E" w:rsidRPr="0037502B" w:rsidRDefault="003C139E" w:rsidP="0037502B">
      <w:pPr>
        <w:rPr>
          <w:b/>
        </w:rPr>
      </w:pPr>
      <w:r w:rsidRPr="0037502B">
        <w:rPr>
          <w:b/>
        </w:rPr>
        <w:t>Conclusion</w:t>
      </w:r>
    </w:p>
    <w:p w14:paraId="0C33A405" w14:textId="490AC88F" w:rsidR="003C139E" w:rsidRDefault="003C139E" w:rsidP="003C139E">
      <w:pPr>
        <w:spacing w:before="120" w:after="120" w:line="240" w:lineRule="auto"/>
      </w:pPr>
      <w:r>
        <w:t xml:space="preserve">In the context of reliable epidemiological methods, all three studies are at risk of </w:t>
      </w:r>
      <w:r w:rsidRPr="002C0462">
        <w:t xml:space="preserve">substantial </w:t>
      </w:r>
      <w:r>
        <w:t>methodological bias</w:t>
      </w:r>
      <w:r w:rsidR="00C93A5D">
        <w:t xml:space="preserve">. They therefore help in generating </w:t>
      </w:r>
      <w:r>
        <w:t>hypothesis</w:t>
      </w:r>
      <w:r w:rsidR="00C93A5D">
        <w:t xml:space="preserve">, but should not be </w:t>
      </w:r>
      <w:r w:rsidR="00925F57">
        <w:t>considered</w:t>
      </w:r>
      <w:r>
        <w:t xml:space="preserve"> reliable evidence of effects.</w:t>
      </w:r>
      <w:r w:rsidR="00BA3C04">
        <w:t xml:space="preserve"> </w:t>
      </w:r>
    </w:p>
    <w:p w14:paraId="69385CA8" w14:textId="3D952878" w:rsidR="00C90C53" w:rsidRPr="0037502B" w:rsidRDefault="00C90C53" w:rsidP="0037502B">
      <w:pPr>
        <w:rPr>
          <w:b/>
        </w:rPr>
      </w:pPr>
      <w:r w:rsidRPr="0037502B">
        <w:rPr>
          <w:b/>
        </w:rPr>
        <w:t>Keywords</w:t>
      </w:r>
    </w:p>
    <w:p w14:paraId="73B14D2A" w14:textId="7610C15A" w:rsidR="00C90C53" w:rsidRPr="00421962" w:rsidRDefault="00792DE7" w:rsidP="00851BC2">
      <w:pPr>
        <w:spacing w:before="120" w:after="120" w:line="240" w:lineRule="auto"/>
      </w:pPr>
      <w:r w:rsidRPr="00421962">
        <w:t xml:space="preserve">Helminths, </w:t>
      </w:r>
      <w:r w:rsidR="00E6316D" w:rsidRPr="00421962">
        <w:t xml:space="preserve">parasitic worms, </w:t>
      </w:r>
      <w:r w:rsidRPr="00421962">
        <w:t>children</w:t>
      </w:r>
      <w:r w:rsidR="00E6316D" w:rsidRPr="00421962">
        <w:t>, cluster analyses, bias</w:t>
      </w:r>
    </w:p>
    <w:p w14:paraId="6DF5B802" w14:textId="77777777" w:rsidR="00C93A5D" w:rsidRDefault="00C93A5D">
      <w:pPr>
        <w:rPr>
          <w:rFonts w:asciiTheme="majorHAnsi" w:eastAsiaTheme="majorEastAsia" w:hAnsiTheme="majorHAnsi" w:cstheme="majorBidi"/>
          <w:b/>
          <w:sz w:val="24"/>
          <w:szCs w:val="24"/>
        </w:rPr>
      </w:pPr>
      <w:r>
        <w:br w:type="page"/>
      </w:r>
    </w:p>
    <w:p w14:paraId="6E2A9F38" w14:textId="3416E902" w:rsidR="00C90C53" w:rsidRPr="0037502B" w:rsidRDefault="00C90C53" w:rsidP="0037502B">
      <w:pPr>
        <w:rPr>
          <w:b/>
        </w:rPr>
      </w:pPr>
      <w:r w:rsidRPr="0037502B">
        <w:rPr>
          <w:b/>
        </w:rPr>
        <w:lastRenderedPageBreak/>
        <w:t>Key messages</w:t>
      </w:r>
    </w:p>
    <w:p w14:paraId="360FB552" w14:textId="0B9ABF31" w:rsidR="00F12EC3" w:rsidRPr="00E14453" w:rsidRDefault="004B4428" w:rsidP="00851BC2">
      <w:pPr>
        <w:pStyle w:val="ListParagraph"/>
        <w:numPr>
          <w:ilvl w:val="0"/>
          <w:numId w:val="1"/>
        </w:numPr>
        <w:spacing w:after="120"/>
        <w:contextualSpacing w:val="0"/>
        <w:rPr>
          <w:rFonts w:asciiTheme="minorHAnsi" w:hAnsiTheme="minorHAnsi"/>
        </w:rPr>
      </w:pPr>
      <w:r w:rsidRPr="00E14453">
        <w:rPr>
          <w:rFonts w:asciiTheme="minorHAnsi" w:hAnsiTheme="minorHAnsi"/>
        </w:rPr>
        <w:t xml:space="preserve">The </w:t>
      </w:r>
      <w:r w:rsidR="003509AD" w:rsidRPr="00E14453">
        <w:rPr>
          <w:rFonts w:asciiTheme="minorHAnsi" w:hAnsiTheme="minorHAnsi"/>
        </w:rPr>
        <w:t xml:space="preserve">long-term </w:t>
      </w:r>
      <w:r w:rsidRPr="00E14453">
        <w:rPr>
          <w:rFonts w:asciiTheme="minorHAnsi" w:hAnsiTheme="minorHAnsi"/>
        </w:rPr>
        <w:t xml:space="preserve">societal effects of </w:t>
      </w:r>
      <w:r w:rsidR="00E6316D" w:rsidRPr="00E14453">
        <w:rPr>
          <w:rFonts w:asciiTheme="minorHAnsi" w:hAnsiTheme="minorHAnsi"/>
        </w:rPr>
        <w:t>mass deworming programmes</w:t>
      </w:r>
      <w:r w:rsidR="00637BEA">
        <w:rPr>
          <w:rFonts w:asciiTheme="minorHAnsi" w:hAnsiTheme="minorHAnsi"/>
        </w:rPr>
        <w:t xml:space="preserve"> for </w:t>
      </w:r>
      <w:r w:rsidR="001F6A9F">
        <w:rPr>
          <w:rFonts w:asciiTheme="minorHAnsi" w:hAnsiTheme="minorHAnsi"/>
        </w:rPr>
        <w:t>soil transmitted</w:t>
      </w:r>
      <w:r w:rsidR="00637BEA">
        <w:rPr>
          <w:rFonts w:asciiTheme="minorHAnsi" w:hAnsiTheme="minorHAnsi"/>
        </w:rPr>
        <w:t xml:space="preserve"> helminths</w:t>
      </w:r>
      <w:r w:rsidR="00E6316D" w:rsidRPr="00E14453">
        <w:rPr>
          <w:rFonts w:asciiTheme="minorHAnsi" w:hAnsiTheme="minorHAnsi"/>
        </w:rPr>
        <w:t xml:space="preserve"> </w:t>
      </w:r>
      <w:r w:rsidR="005679D3" w:rsidRPr="00E14453">
        <w:rPr>
          <w:rFonts w:asciiTheme="minorHAnsi" w:hAnsiTheme="minorHAnsi"/>
        </w:rPr>
        <w:t>in low</w:t>
      </w:r>
      <w:r w:rsidR="00E16815" w:rsidRPr="00E14453">
        <w:rPr>
          <w:rFonts w:asciiTheme="minorHAnsi" w:hAnsiTheme="minorHAnsi"/>
        </w:rPr>
        <w:t xml:space="preserve"> and middle</w:t>
      </w:r>
      <w:r w:rsidR="006740D4" w:rsidRPr="00E14453">
        <w:rPr>
          <w:rFonts w:asciiTheme="minorHAnsi" w:hAnsiTheme="minorHAnsi"/>
        </w:rPr>
        <w:t xml:space="preserve"> </w:t>
      </w:r>
      <w:r w:rsidR="00E16815" w:rsidRPr="00E14453">
        <w:rPr>
          <w:rFonts w:asciiTheme="minorHAnsi" w:hAnsiTheme="minorHAnsi"/>
        </w:rPr>
        <w:t xml:space="preserve">income countries </w:t>
      </w:r>
      <w:r w:rsidRPr="00E14453">
        <w:rPr>
          <w:rFonts w:asciiTheme="minorHAnsi" w:hAnsiTheme="minorHAnsi"/>
        </w:rPr>
        <w:t>are contested</w:t>
      </w:r>
      <w:r w:rsidR="003509AD" w:rsidRPr="00E14453">
        <w:rPr>
          <w:rFonts w:asciiTheme="minorHAnsi" w:hAnsiTheme="minorHAnsi"/>
        </w:rPr>
        <w:t xml:space="preserve">. </w:t>
      </w:r>
    </w:p>
    <w:p w14:paraId="76FD5BC3" w14:textId="31101EED" w:rsidR="00F12EC3" w:rsidRPr="00E14453" w:rsidRDefault="003509AD" w:rsidP="00851BC2">
      <w:pPr>
        <w:pStyle w:val="ListParagraph"/>
        <w:numPr>
          <w:ilvl w:val="0"/>
          <w:numId w:val="1"/>
        </w:numPr>
        <w:spacing w:after="120"/>
        <w:contextualSpacing w:val="0"/>
        <w:rPr>
          <w:rFonts w:asciiTheme="minorHAnsi" w:hAnsiTheme="minorHAnsi"/>
        </w:rPr>
      </w:pPr>
      <w:r w:rsidRPr="00E14453">
        <w:rPr>
          <w:rFonts w:asciiTheme="minorHAnsi" w:hAnsiTheme="minorHAnsi"/>
        </w:rPr>
        <w:t xml:space="preserve">Advocates cite economic studies reporting </w:t>
      </w:r>
      <w:r w:rsidR="003048BD" w:rsidRPr="00E14453">
        <w:rPr>
          <w:rFonts w:asciiTheme="minorHAnsi" w:hAnsiTheme="minorHAnsi"/>
        </w:rPr>
        <w:t>long-term</w:t>
      </w:r>
      <w:r w:rsidR="008364B9" w:rsidRPr="00E14453">
        <w:rPr>
          <w:rFonts w:asciiTheme="minorHAnsi" w:hAnsiTheme="minorHAnsi"/>
        </w:rPr>
        <w:t xml:space="preserve"> </w:t>
      </w:r>
      <w:r w:rsidR="003048BD" w:rsidRPr="00E14453">
        <w:rPr>
          <w:rFonts w:asciiTheme="minorHAnsi" w:hAnsiTheme="minorHAnsi"/>
        </w:rPr>
        <w:t>effects on health, schooling, and economic development</w:t>
      </w:r>
      <w:r w:rsidRPr="00E14453">
        <w:rPr>
          <w:rFonts w:asciiTheme="minorHAnsi" w:hAnsiTheme="minorHAnsi"/>
        </w:rPr>
        <w:t>. We sought and appraised these studies</w:t>
      </w:r>
      <w:r w:rsidR="00E16815" w:rsidRPr="00E14453">
        <w:rPr>
          <w:rFonts w:asciiTheme="minorHAnsi" w:hAnsiTheme="minorHAnsi"/>
        </w:rPr>
        <w:t xml:space="preserve"> using </w:t>
      </w:r>
      <w:r w:rsidR="004E39E1" w:rsidRPr="00E14453">
        <w:rPr>
          <w:rFonts w:asciiTheme="minorHAnsi" w:hAnsiTheme="minorHAnsi"/>
        </w:rPr>
        <w:t xml:space="preserve">health technology assessment methods based on </w:t>
      </w:r>
      <w:r w:rsidR="00E16815" w:rsidRPr="00E14453">
        <w:rPr>
          <w:rFonts w:asciiTheme="minorHAnsi" w:hAnsiTheme="minorHAnsi"/>
        </w:rPr>
        <w:t>epidemiological principles.</w:t>
      </w:r>
    </w:p>
    <w:p w14:paraId="7125A294" w14:textId="5A8C01BE" w:rsidR="00F12EC3" w:rsidRPr="00E14453" w:rsidRDefault="00041A7E" w:rsidP="00851BC2">
      <w:pPr>
        <w:pStyle w:val="ListParagraph"/>
        <w:numPr>
          <w:ilvl w:val="0"/>
          <w:numId w:val="1"/>
        </w:numPr>
        <w:spacing w:after="120"/>
        <w:contextualSpacing w:val="0"/>
        <w:rPr>
          <w:rFonts w:asciiTheme="minorHAnsi" w:hAnsiTheme="minorHAnsi"/>
        </w:rPr>
      </w:pPr>
      <w:r w:rsidRPr="00E14453">
        <w:rPr>
          <w:rFonts w:asciiTheme="minorHAnsi" w:hAnsiTheme="minorHAnsi"/>
        </w:rPr>
        <w:t xml:space="preserve">In the </w:t>
      </w:r>
      <w:r w:rsidR="00637BEA">
        <w:rPr>
          <w:rFonts w:asciiTheme="minorHAnsi" w:hAnsiTheme="minorHAnsi"/>
        </w:rPr>
        <w:t>eleven</w:t>
      </w:r>
      <w:r w:rsidR="00637BEA" w:rsidRPr="00E14453">
        <w:rPr>
          <w:rFonts w:asciiTheme="minorHAnsi" w:hAnsiTheme="minorHAnsi"/>
        </w:rPr>
        <w:t xml:space="preserve"> </w:t>
      </w:r>
      <w:r w:rsidRPr="00E14453">
        <w:rPr>
          <w:rFonts w:asciiTheme="minorHAnsi" w:hAnsiTheme="minorHAnsi"/>
        </w:rPr>
        <w:t xml:space="preserve">reports from </w:t>
      </w:r>
      <w:r w:rsidR="003509AD" w:rsidRPr="00E14453">
        <w:rPr>
          <w:rFonts w:asciiTheme="minorHAnsi" w:hAnsiTheme="minorHAnsi"/>
        </w:rPr>
        <w:t>three</w:t>
      </w:r>
      <w:r w:rsidRPr="00E14453">
        <w:rPr>
          <w:rFonts w:asciiTheme="minorHAnsi" w:hAnsiTheme="minorHAnsi"/>
        </w:rPr>
        <w:t xml:space="preserve"> studies, w</w:t>
      </w:r>
      <w:r w:rsidR="00E16815" w:rsidRPr="00E14453">
        <w:rPr>
          <w:rFonts w:asciiTheme="minorHAnsi" w:hAnsiTheme="minorHAnsi"/>
        </w:rPr>
        <w:t>e found</w:t>
      </w:r>
      <w:r w:rsidR="006920EB" w:rsidRPr="00E14453">
        <w:rPr>
          <w:rFonts w:asciiTheme="minorHAnsi" w:hAnsiTheme="minorHAnsi"/>
        </w:rPr>
        <w:t xml:space="preserve"> multiple</w:t>
      </w:r>
      <w:r w:rsidR="008364B9" w:rsidRPr="00E14453">
        <w:rPr>
          <w:rFonts w:asciiTheme="minorHAnsi" w:hAnsiTheme="minorHAnsi"/>
        </w:rPr>
        <w:t xml:space="preserve"> </w:t>
      </w:r>
      <w:r w:rsidR="00D14926" w:rsidRPr="00E14453">
        <w:rPr>
          <w:rFonts w:asciiTheme="minorHAnsi" w:hAnsiTheme="minorHAnsi"/>
        </w:rPr>
        <w:t>potential sources</w:t>
      </w:r>
      <w:r w:rsidR="008364B9" w:rsidRPr="00E14453">
        <w:rPr>
          <w:rFonts w:asciiTheme="minorHAnsi" w:hAnsiTheme="minorHAnsi"/>
        </w:rPr>
        <w:t xml:space="preserve"> of bias</w:t>
      </w:r>
      <w:r w:rsidR="003509AD" w:rsidRPr="00E14453">
        <w:rPr>
          <w:rFonts w:asciiTheme="minorHAnsi" w:hAnsiTheme="minorHAnsi"/>
        </w:rPr>
        <w:t>;</w:t>
      </w:r>
      <w:r w:rsidR="008364B9" w:rsidRPr="00E14453">
        <w:rPr>
          <w:rFonts w:asciiTheme="minorHAnsi" w:hAnsiTheme="minorHAnsi"/>
        </w:rPr>
        <w:t xml:space="preserve"> in the </w:t>
      </w:r>
      <w:r w:rsidR="00F12EC3" w:rsidRPr="00E14453">
        <w:rPr>
          <w:rFonts w:asciiTheme="minorHAnsi" w:hAnsiTheme="minorHAnsi"/>
        </w:rPr>
        <w:t>stud</w:t>
      </w:r>
      <w:r w:rsidR="008364B9" w:rsidRPr="00E14453">
        <w:rPr>
          <w:rFonts w:asciiTheme="minorHAnsi" w:hAnsiTheme="minorHAnsi"/>
        </w:rPr>
        <w:t>y methods, analysis, and reporting.</w:t>
      </w:r>
      <w:r w:rsidR="003048BD" w:rsidRPr="00E14453">
        <w:rPr>
          <w:rFonts w:asciiTheme="minorHAnsi" w:hAnsiTheme="minorHAnsi"/>
        </w:rPr>
        <w:t xml:space="preserve"> </w:t>
      </w:r>
      <w:r w:rsidR="00F12EC3" w:rsidRPr="00E14453">
        <w:rPr>
          <w:rFonts w:asciiTheme="minorHAnsi" w:hAnsiTheme="minorHAnsi"/>
        </w:rPr>
        <w:t xml:space="preserve">Of particular concern </w:t>
      </w:r>
      <w:r w:rsidR="00AA5651" w:rsidRPr="00E14453">
        <w:rPr>
          <w:rFonts w:asciiTheme="minorHAnsi" w:hAnsiTheme="minorHAnsi"/>
        </w:rPr>
        <w:t>are</w:t>
      </w:r>
      <w:r w:rsidR="008364B9" w:rsidRPr="00E14453">
        <w:rPr>
          <w:rFonts w:asciiTheme="minorHAnsi" w:hAnsiTheme="minorHAnsi"/>
        </w:rPr>
        <w:t xml:space="preserve"> the</w:t>
      </w:r>
      <w:r w:rsidR="00B85F41" w:rsidRPr="00E14453">
        <w:rPr>
          <w:rFonts w:asciiTheme="minorHAnsi" w:hAnsiTheme="minorHAnsi"/>
        </w:rPr>
        <w:t xml:space="preserve"> lack of </w:t>
      </w:r>
      <w:r w:rsidR="00DB0BDE" w:rsidRPr="00E14453">
        <w:rPr>
          <w:rFonts w:asciiTheme="minorHAnsi" w:hAnsiTheme="minorHAnsi"/>
        </w:rPr>
        <w:t>pre-planned</w:t>
      </w:r>
      <w:r w:rsidR="00B85F41" w:rsidRPr="00E14453">
        <w:rPr>
          <w:rFonts w:asciiTheme="minorHAnsi" w:hAnsiTheme="minorHAnsi"/>
        </w:rPr>
        <w:t xml:space="preserve"> </w:t>
      </w:r>
      <w:r w:rsidR="00DB0BDE" w:rsidRPr="00E14453">
        <w:rPr>
          <w:rFonts w:asciiTheme="minorHAnsi" w:hAnsiTheme="minorHAnsi"/>
        </w:rPr>
        <w:t>protocols</w:t>
      </w:r>
      <w:r w:rsidR="00B85F41" w:rsidRPr="00E14453">
        <w:rPr>
          <w:rFonts w:asciiTheme="minorHAnsi" w:hAnsiTheme="minorHAnsi"/>
        </w:rPr>
        <w:t xml:space="preserve">, multiple hypothesis testing followed by </w:t>
      </w:r>
      <w:r w:rsidR="008364B9" w:rsidRPr="00E14453">
        <w:rPr>
          <w:rFonts w:asciiTheme="minorHAnsi" w:hAnsiTheme="minorHAnsi"/>
        </w:rPr>
        <w:t>selective reporting of favourable results,</w:t>
      </w:r>
      <w:r w:rsidR="00F12EC3" w:rsidRPr="00E14453">
        <w:rPr>
          <w:rFonts w:asciiTheme="minorHAnsi" w:hAnsiTheme="minorHAnsi"/>
        </w:rPr>
        <w:t xml:space="preserve"> </w:t>
      </w:r>
      <w:r w:rsidR="008364B9" w:rsidRPr="00E14453">
        <w:rPr>
          <w:rFonts w:asciiTheme="minorHAnsi" w:hAnsiTheme="minorHAnsi"/>
        </w:rPr>
        <w:t>and post-hoc sub</w:t>
      </w:r>
      <w:r w:rsidR="004E015E" w:rsidRPr="00E14453">
        <w:rPr>
          <w:rFonts w:asciiTheme="minorHAnsi" w:hAnsiTheme="minorHAnsi"/>
        </w:rPr>
        <w:t>-</w:t>
      </w:r>
      <w:r w:rsidR="008364B9" w:rsidRPr="00E14453">
        <w:rPr>
          <w:rFonts w:asciiTheme="minorHAnsi" w:hAnsiTheme="minorHAnsi"/>
        </w:rPr>
        <w:t>group analyses.</w:t>
      </w:r>
      <w:r w:rsidR="00F12EC3" w:rsidRPr="00E14453">
        <w:rPr>
          <w:rFonts w:asciiTheme="minorHAnsi" w:hAnsiTheme="minorHAnsi"/>
        </w:rPr>
        <w:t xml:space="preserve"> </w:t>
      </w:r>
    </w:p>
    <w:p w14:paraId="09BB66C1" w14:textId="2D36F724" w:rsidR="00153DE8" w:rsidRPr="00E14453" w:rsidRDefault="009B1A44" w:rsidP="006740D4">
      <w:pPr>
        <w:pStyle w:val="ListParagraph"/>
        <w:numPr>
          <w:ilvl w:val="0"/>
          <w:numId w:val="1"/>
        </w:numPr>
        <w:spacing w:after="120"/>
        <w:contextualSpacing w:val="0"/>
        <w:rPr>
          <w:rFonts w:asciiTheme="minorHAnsi" w:hAnsiTheme="minorHAnsi"/>
        </w:rPr>
      </w:pPr>
      <w:r w:rsidRPr="00E14453">
        <w:rPr>
          <w:rFonts w:asciiTheme="minorHAnsi" w:hAnsiTheme="minorHAnsi"/>
        </w:rPr>
        <w:t>Our interpretation is that t</w:t>
      </w:r>
      <w:r w:rsidR="00511C0A" w:rsidRPr="00E14453">
        <w:rPr>
          <w:rFonts w:asciiTheme="minorHAnsi" w:hAnsiTheme="minorHAnsi"/>
        </w:rPr>
        <w:t>he</w:t>
      </w:r>
      <w:r w:rsidR="004E015E" w:rsidRPr="00E14453">
        <w:rPr>
          <w:rFonts w:asciiTheme="minorHAnsi" w:hAnsiTheme="minorHAnsi"/>
        </w:rPr>
        <w:t>se</w:t>
      </w:r>
      <w:r w:rsidR="00511C0A" w:rsidRPr="00E14453">
        <w:rPr>
          <w:rFonts w:asciiTheme="minorHAnsi" w:hAnsiTheme="minorHAnsi"/>
        </w:rPr>
        <w:t xml:space="preserve"> </w:t>
      </w:r>
      <w:r w:rsidR="008364B9" w:rsidRPr="00E14453">
        <w:rPr>
          <w:rFonts w:asciiTheme="minorHAnsi" w:hAnsiTheme="minorHAnsi"/>
        </w:rPr>
        <w:t>trials do not provide credible evidence</w:t>
      </w:r>
      <w:r w:rsidR="00511C0A" w:rsidRPr="00E14453">
        <w:rPr>
          <w:rFonts w:asciiTheme="minorHAnsi" w:hAnsiTheme="minorHAnsi"/>
        </w:rPr>
        <w:t xml:space="preserve"> to </w:t>
      </w:r>
      <w:r w:rsidR="008364B9" w:rsidRPr="00E14453">
        <w:rPr>
          <w:rFonts w:asciiTheme="minorHAnsi" w:hAnsiTheme="minorHAnsi"/>
        </w:rPr>
        <w:t xml:space="preserve">support the </w:t>
      </w:r>
      <w:r w:rsidR="00511C0A" w:rsidRPr="00E14453">
        <w:rPr>
          <w:rFonts w:asciiTheme="minorHAnsi" w:hAnsiTheme="minorHAnsi"/>
        </w:rPr>
        <w:t>claims o</w:t>
      </w:r>
      <w:r w:rsidR="008364B9" w:rsidRPr="00E14453">
        <w:rPr>
          <w:rFonts w:asciiTheme="minorHAnsi" w:hAnsiTheme="minorHAnsi"/>
        </w:rPr>
        <w:t>f long-term effects</w:t>
      </w:r>
      <w:r w:rsidR="003509AD" w:rsidRPr="00E14453">
        <w:rPr>
          <w:rFonts w:asciiTheme="minorHAnsi" w:hAnsiTheme="minorHAnsi"/>
        </w:rPr>
        <w:t>.</w:t>
      </w:r>
      <w:r w:rsidR="00985ED7" w:rsidRPr="00E14453">
        <w:rPr>
          <w:rFonts w:asciiTheme="minorHAnsi" w:hAnsiTheme="minorHAnsi"/>
        </w:rPr>
        <w:t xml:space="preserve"> However, they raise interesting hypotheses that could be considered in further research. </w:t>
      </w:r>
      <w:r w:rsidR="00153DE8" w:rsidRPr="00E14453">
        <w:rPr>
          <w:rFonts w:asciiTheme="minorHAnsi" w:hAnsiTheme="minorHAnsi"/>
        </w:rPr>
        <w:br w:type="page"/>
      </w:r>
    </w:p>
    <w:p w14:paraId="45AECDD0" w14:textId="37E07911" w:rsidR="009E268A" w:rsidRPr="00E14453" w:rsidRDefault="009E268A" w:rsidP="0037502B">
      <w:pPr>
        <w:rPr>
          <w:b/>
          <w:color w:val="000000" w:themeColor="text1"/>
          <w:sz w:val="28"/>
          <w:szCs w:val="28"/>
        </w:rPr>
      </w:pPr>
      <w:r w:rsidRPr="00E14453">
        <w:rPr>
          <w:b/>
          <w:color w:val="000000" w:themeColor="text1"/>
          <w:sz w:val="28"/>
          <w:szCs w:val="28"/>
        </w:rPr>
        <w:lastRenderedPageBreak/>
        <w:t>Introduction</w:t>
      </w:r>
    </w:p>
    <w:bookmarkEnd w:id="0"/>
    <w:p w14:paraId="3A8A02F2" w14:textId="0CB59EDD" w:rsidR="00D174E5" w:rsidRDefault="00B8124C" w:rsidP="006740D4">
      <w:pPr>
        <w:spacing w:before="120" w:after="120" w:line="240" w:lineRule="auto"/>
      </w:pPr>
      <w:r>
        <w:t xml:space="preserve">Soil transmitted helminths </w:t>
      </w:r>
      <w:r w:rsidR="00D174E5">
        <w:t>remain</w:t>
      </w:r>
      <w:r>
        <w:t xml:space="preserve"> common in many low and middle</w:t>
      </w:r>
      <w:r w:rsidR="00D174E5">
        <w:t>-</w:t>
      </w:r>
      <w:r>
        <w:t xml:space="preserve">income countries, </w:t>
      </w:r>
      <w:r w:rsidR="00D174E5">
        <w:t>despite some evidence that g</w:t>
      </w:r>
      <w:r>
        <w:t xml:space="preserve">lobal infection intensity may be declining </w:t>
      </w:r>
      <w:r w:rsidR="00237DCA">
        <w:t>[</w:t>
      </w:r>
      <w:r w:rsidR="00755D84">
        <w:t>1</w:t>
      </w:r>
      <w:r w:rsidR="00237DCA">
        <w:t>]</w:t>
      </w:r>
      <w:r w:rsidR="006740D4">
        <w:t>.</w:t>
      </w:r>
      <w:r>
        <w:t xml:space="preserve"> </w:t>
      </w:r>
      <w:r w:rsidR="00D174E5">
        <w:t>The worms are</w:t>
      </w:r>
      <w:r w:rsidR="00D2504E">
        <w:t xml:space="preserve"> unpleasant, cause </w:t>
      </w:r>
      <w:r w:rsidR="001145F3">
        <w:t>discomfort,</w:t>
      </w:r>
      <w:r w:rsidR="001145F3" w:rsidRPr="00421962">
        <w:t xml:space="preserve"> and</w:t>
      </w:r>
      <w:r w:rsidR="001145F3">
        <w:t xml:space="preserve"> </w:t>
      </w:r>
      <w:r w:rsidR="00D2504E">
        <w:t xml:space="preserve">with </w:t>
      </w:r>
      <w:r w:rsidR="004962AC">
        <w:t xml:space="preserve">heavy </w:t>
      </w:r>
      <w:r w:rsidR="001145F3">
        <w:t>infections</w:t>
      </w:r>
      <w:r w:rsidR="001145F3" w:rsidRPr="00421962">
        <w:t xml:space="preserve"> </w:t>
      </w:r>
      <w:r w:rsidR="00D174E5">
        <w:t xml:space="preserve">can </w:t>
      </w:r>
      <w:r w:rsidR="001145F3" w:rsidRPr="00421962">
        <w:t>undermine nutrition</w:t>
      </w:r>
      <w:r w:rsidR="00D2504E">
        <w:t>al status</w:t>
      </w:r>
      <w:r w:rsidR="004962AC">
        <w:t xml:space="preserve"> and</w:t>
      </w:r>
      <w:r w:rsidR="001145F3">
        <w:t xml:space="preserve"> </w:t>
      </w:r>
      <w:r w:rsidR="00AA5651">
        <w:t>lead to</w:t>
      </w:r>
      <w:r w:rsidR="001145F3">
        <w:t xml:space="preserve"> </w:t>
      </w:r>
      <w:r w:rsidR="004962AC">
        <w:t xml:space="preserve">serious </w:t>
      </w:r>
      <w:r w:rsidR="001145F3">
        <w:t>complications</w:t>
      </w:r>
      <w:r w:rsidR="00441691">
        <w:t xml:space="preserve"> [2</w:t>
      </w:r>
      <w:r w:rsidR="001145F3">
        <w:t>]</w:t>
      </w:r>
      <w:r w:rsidR="00441691">
        <w:t>[3</w:t>
      </w:r>
      <w:r w:rsidR="000E4D39">
        <w:t>].</w:t>
      </w:r>
      <w:r w:rsidR="00526B34">
        <w:t xml:space="preserve"> </w:t>
      </w:r>
      <w:r w:rsidR="00D174E5">
        <w:t xml:space="preserve">It is therefore obvious that children with symptomatic infection should be treated. </w:t>
      </w:r>
      <w:r w:rsidR="004962AC" w:rsidRPr="00E404AC">
        <w:t xml:space="preserve">It is also obvious that </w:t>
      </w:r>
      <w:r w:rsidR="00D174E5">
        <w:t xml:space="preserve">repeated </w:t>
      </w:r>
      <w:r w:rsidR="004962AC" w:rsidRPr="00E404AC">
        <w:t>mass treatment of whole communities</w:t>
      </w:r>
      <w:r w:rsidR="006E51D0">
        <w:t xml:space="preserve"> with effective drugs</w:t>
      </w:r>
      <w:r w:rsidR="004962AC" w:rsidRPr="00E404AC">
        <w:t xml:space="preserve"> will reduce the overall worm burden</w:t>
      </w:r>
      <w:r w:rsidR="00D174E5">
        <w:t>,</w:t>
      </w:r>
      <w:r w:rsidR="006E51D0">
        <w:t xml:space="preserve"> where helminths are common</w:t>
      </w:r>
      <w:r w:rsidR="004962AC" w:rsidRPr="00E404AC">
        <w:t>, at least in the short term</w:t>
      </w:r>
      <w:r w:rsidR="004962AC">
        <w:t xml:space="preserve"> </w:t>
      </w:r>
      <w:r w:rsidR="00441691">
        <w:t>[4</w:t>
      </w:r>
      <w:r w:rsidR="003223B4">
        <w:t>]</w:t>
      </w:r>
      <w:r w:rsidR="004962AC">
        <w:t>[</w:t>
      </w:r>
      <w:r w:rsidR="00441691">
        <w:t>5</w:t>
      </w:r>
      <w:r w:rsidR="00556CC8">
        <w:t>]</w:t>
      </w:r>
      <w:r w:rsidR="004962AC">
        <w:t xml:space="preserve">. </w:t>
      </w:r>
    </w:p>
    <w:p w14:paraId="2DC98208" w14:textId="5869CE53" w:rsidR="00237DCA" w:rsidRDefault="004A593A" w:rsidP="006740D4">
      <w:pPr>
        <w:spacing w:before="120" w:after="120" w:line="240" w:lineRule="auto"/>
      </w:pPr>
      <w:r>
        <w:t xml:space="preserve">What is less obvious is </w:t>
      </w:r>
      <w:r w:rsidR="00190CF8">
        <w:t>wh</w:t>
      </w:r>
      <w:r w:rsidR="004962AC">
        <w:t xml:space="preserve">ether </w:t>
      </w:r>
      <w:r w:rsidRPr="00C6622B">
        <w:t xml:space="preserve">mass </w:t>
      </w:r>
      <w:r w:rsidR="00517AE5">
        <w:t>deworming</w:t>
      </w:r>
      <w:r w:rsidRPr="00C6622B">
        <w:t xml:space="preserve"> </w:t>
      </w:r>
      <w:r w:rsidRPr="00493CE5">
        <w:t>programmes</w:t>
      </w:r>
      <w:r>
        <w:t xml:space="preserve"> </w:t>
      </w:r>
      <w:r w:rsidR="004962AC">
        <w:t>have any measurable long-term effect on health and nutrit</w:t>
      </w:r>
      <w:r w:rsidR="00532FEB">
        <w:t>ion at the community-level</w:t>
      </w:r>
      <w:r w:rsidRPr="00493CE5">
        <w:t xml:space="preserve">. </w:t>
      </w:r>
      <w:r w:rsidR="00295E4B">
        <w:t>A</w:t>
      </w:r>
      <w:r w:rsidR="00D8234C" w:rsidRPr="00C6622B">
        <w:t xml:space="preserve"> </w:t>
      </w:r>
      <w:r w:rsidR="00017229">
        <w:t>2015</w:t>
      </w:r>
      <w:r w:rsidR="00017229" w:rsidRPr="00C6622B">
        <w:t xml:space="preserve"> </w:t>
      </w:r>
      <w:r w:rsidR="00D8234C" w:rsidRPr="00C6622B">
        <w:t>Cochrane review of trials administering multiple rounds of deworming treatment found little</w:t>
      </w:r>
      <w:r w:rsidR="00D8234C" w:rsidRPr="00421962">
        <w:t xml:space="preserve"> or no </w:t>
      </w:r>
      <w:r w:rsidR="0090612F">
        <w:t xml:space="preserve">effect on </w:t>
      </w:r>
      <w:r w:rsidR="00D8234C" w:rsidRPr="00421962">
        <w:t>average weight gain</w:t>
      </w:r>
      <w:r w:rsidR="00017229">
        <w:t xml:space="preserve"> </w:t>
      </w:r>
      <w:r w:rsidR="00295E4B">
        <w:t>or</w:t>
      </w:r>
      <w:r w:rsidR="0090612F">
        <w:t xml:space="preserve"> average</w:t>
      </w:r>
      <w:r w:rsidR="00D2504E">
        <w:t xml:space="preserve"> haemoglobin</w:t>
      </w:r>
      <w:r w:rsidR="00D8234C" w:rsidRPr="00421962">
        <w:t xml:space="preserve"> across 10 trials with</w:t>
      </w:r>
      <w:r w:rsidR="00D8234C">
        <w:t xml:space="preserve"> more </w:t>
      </w:r>
      <w:r w:rsidR="00D8234C" w:rsidRPr="00DE0E30">
        <w:t>than 38 000 participants</w:t>
      </w:r>
      <w:r w:rsidR="00441691">
        <w:t xml:space="preserve"> [6</w:t>
      </w:r>
      <w:r w:rsidR="00532FEB">
        <w:t>]</w:t>
      </w:r>
      <w:r w:rsidR="00D8234C" w:rsidRPr="00421962">
        <w:t>. The review authors (whi</w:t>
      </w:r>
      <w:r w:rsidR="00D8234C">
        <w:t xml:space="preserve">ch include one of the authors </w:t>
      </w:r>
      <w:r w:rsidR="00295E4B">
        <w:t>of</w:t>
      </w:r>
      <w:r w:rsidR="00D8234C" w:rsidRPr="00421962">
        <w:t xml:space="preserve"> this paper) interpreted this as reasonable evidence of no effect, but others have claimed the trials </w:t>
      </w:r>
      <w:r w:rsidR="00D2504E">
        <w:t>we</w:t>
      </w:r>
      <w:r w:rsidR="00D8234C" w:rsidRPr="00421962">
        <w:t xml:space="preserve">re simply too short, or </w:t>
      </w:r>
      <w:r w:rsidR="00D8234C">
        <w:t xml:space="preserve">poorly </w:t>
      </w:r>
      <w:r w:rsidR="00D8234C" w:rsidRPr="00421962">
        <w:t>designed</w:t>
      </w:r>
      <w:r w:rsidR="00D8234C">
        <w:t xml:space="preserve"> for detecting effects once infected children are diluted among uninfected children</w:t>
      </w:r>
      <w:r w:rsidR="00D8234C" w:rsidRPr="00421962">
        <w:t xml:space="preserve"> </w:t>
      </w:r>
      <w:r w:rsidR="00441691">
        <w:t>[7</w:t>
      </w:r>
      <w:r w:rsidR="00532FEB">
        <w:t>]</w:t>
      </w:r>
      <w:r w:rsidR="00441691">
        <w:t>[8</w:t>
      </w:r>
      <w:r w:rsidR="00D8234C" w:rsidRPr="00421962">
        <w:t>]</w:t>
      </w:r>
      <w:r w:rsidR="00237DCA">
        <w:t xml:space="preserve">. </w:t>
      </w:r>
    </w:p>
    <w:p w14:paraId="46D93EA2" w14:textId="40978BCD" w:rsidR="00670A98" w:rsidRDefault="00755DBF" w:rsidP="006740D4">
      <w:r>
        <w:t>However, m</w:t>
      </w:r>
      <w:r w:rsidR="00190CF8" w:rsidRPr="00421962">
        <w:t>uch of the advocacy and</w:t>
      </w:r>
      <w:r w:rsidR="00017229">
        <w:t xml:space="preserve"> </w:t>
      </w:r>
      <w:r w:rsidR="00D174E5">
        <w:t xml:space="preserve">fund-raising for </w:t>
      </w:r>
      <w:r w:rsidR="00017229">
        <w:t xml:space="preserve">mass deworming programmes </w:t>
      </w:r>
      <w:r w:rsidR="00D174E5">
        <w:t xml:space="preserve">in children has </w:t>
      </w:r>
      <w:r w:rsidR="00FF27AF">
        <w:t xml:space="preserve">drawn on studies reporting </w:t>
      </w:r>
      <w:r w:rsidR="004A6BA6">
        <w:t>long-term effects on school attendance and economic development</w:t>
      </w:r>
      <w:r w:rsidR="00D174E5">
        <w:t xml:space="preserve"> </w:t>
      </w:r>
      <w:r w:rsidR="00441691">
        <w:t>[9][10][11][12</w:t>
      </w:r>
      <w:r w:rsidR="00175B3C">
        <w:t>]</w:t>
      </w:r>
      <w:r w:rsidR="004A6BA6">
        <w:t>. Th</w:t>
      </w:r>
      <w:r>
        <w:t xml:space="preserve">is advocacy </w:t>
      </w:r>
      <w:r w:rsidR="00FF27AF">
        <w:t xml:space="preserve">contributed to the decision by </w:t>
      </w:r>
      <w:r w:rsidR="00293EE4" w:rsidRPr="006740D4">
        <w:t>India to run the largest national deworming program</w:t>
      </w:r>
      <w:r w:rsidR="00610A0B">
        <w:t>me</w:t>
      </w:r>
      <w:r w:rsidR="00293EE4" w:rsidRPr="006740D4">
        <w:t xml:space="preserve"> in the world</w:t>
      </w:r>
      <w:r w:rsidR="00670A98">
        <w:t xml:space="preserve"> (</w:t>
      </w:r>
      <w:r w:rsidR="00293EE4" w:rsidRPr="006740D4">
        <w:t>targeting 270 million children in schools and preschools in 2016</w:t>
      </w:r>
      <w:r w:rsidR="00670A98">
        <w:t>), and t</w:t>
      </w:r>
      <w:r w:rsidR="0090612F">
        <w:t xml:space="preserve">he </w:t>
      </w:r>
      <w:r w:rsidR="00190CF8" w:rsidRPr="00421962">
        <w:t xml:space="preserve">Cochrane review has been </w:t>
      </w:r>
      <w:r w:rsidR="0090612F">
        <w:t xml:space="preserve">criticised for excluding </w:t>
      </w:r>
      <w:r w:rsidR="00190CF8" w:rsidRPr="00421962">
        <w:t>the stu</w:t>
      </w:r>
      <w:r w:rsidR="00441691">
        <w:t xml:space="preserve">dies cited for these effects </w:t>
      </w:r>
      <w:r w:rsidR="00670A98">
        <w:t>[10]</w:t>
      </w:r>
      <w:r w:rsidR="00441691">
        <w:t>[13</w:t>
      </w:r>
      <w:r w:rsidR="00190CF8" w:rsidRPr="00421962">
        <w:t>]</w:t>
      </w:r>
      <w:r w:rsidR="00293EE4">
        <w:t xml:space="preserve">. </w:t>
      </w:r>
    </w:p>
    <w:p w14:paraId="0C5BE8DC" w14:textId="67D37BAB" w:rsidR="00190CF8" w:rsidRDefault="00295E4B" w:rsidP="006740D4">
      <w:r>
        <w:t xml:space="preserve">The objective of this paper is therefore to use health technology assessment methods, based on epidemiological principles, </w:t>
      </w:r>
      <w:r w:rsidR="00FF27AF">
        <w:t>to appraise the</w:t>
      </w:r>
      <w:r w:rsidR="001F65E7">
        <w:t xml:space="preserve"> methods of the</w:t>
      </w:r>
      <w:r w:rsidR="00FF27AF">
        <w:t>se studies, and interpret the</w:t>
      </w:r>
      <w:r w:rsidR="00670A98">
        <w:t>ir</w:t>
      </w:r>
      <w:r w:rsidR="00FF27AF">
        <w:t xml:space="preserve"> findings in the light of th</w:t>
      </w:r>
      <w:r w:rsidR="001F65E7">
        <w:t>is appraisal</w:t>
      </w:r>
      <w:r w:rsidR="00FF27AF">
        <w:t>.</w:t>
      </w:r>
    </w:p>
    <w:p w14:paraId="589065BF" w14:textId="77777777" w:rsidR="003F0D74" w:rsidRPr="0037502B" w:rsidRDefault="003F0D74" w:rsidP="0037502B">
      <w:pPr>
        <w:rPr>
          <w:b/>
          <w:sz w:val="28"/>
          <w:szCs w:val="28"/>
        </w:rPr>
      </w:pPr>
      <w:bookmarkStart w:id="1" w:name="_Toc437853522"/>
      <w:r w:rsidRPr="0037502B">
        <w:rPr>
          <w:b/>
          <w:sz w:val="28"/>
          <w:szCs w:val="28"/>
        </w:rPr>
        <w:t>Methods</w:t>
      </w:r>
    </w:p>
    <w:p w14:paraId="1CDD2FEF" w14:textId="59750F13" w:rsidR="00CA54C9" w:rsidRPr="0037502B" w:rsidRDefault="006173AC" w:rsidP="0037502B">
      <w:pPr>
        <w:rPr>
          <w:b/>
          <w:sz w:val="24"/>
          <w:szCs w:val="24"/>
        </w:rPr>
      </w:pPr>
      <w:bookmarkStart w:id="2" w:name="_Toc437853523"/>
      <w:bookmarkEnd w:id="1"/>
      <w:r w:rsidRPr="0037502B">
        <w:rPr>
          <w:b/>
          <w:sz w:val="24"/>
          <w:szCs w:val="24"/>
        </w:rPr>
        <w:t>Inclusion criteria</w:t>
      </w:r>
      <w:bookmarkEnd w:id="2"/>
    </w:p>
    <w:p w14:paraId="6F6756AB" w14:textId="77777777" w:rsidR="00112F4A" w:rsidRDefault="003F3859" w:rsidP="00851BC2">
      <w:pPr>
        <w:spacing w:before="120" w:after="120" w:line="240" w:lineRule="auto"/>
      </w:pPr>
      <w:r w:rsidRPr="00421962">
        <w:t>All</w:t>
      </w:r>
      <w:r w:rsidR="00263380" w:rsidRPr="00421962">
        <w:t xml:space="preserve"> </w:t>
      </w:r>
      <w:r w:rsidR="006173AC" w:rsidRPr="00421962">
        <w:t>f</w:t>
      </w:r>
      <w:r w:rsidR="003F0D74" w:rsidRPr="00421962">
        <w:t>ollow-</w:t>
      </w:r>
      <w:r w:rsidR="00AA5651">
        <w:t xml:space="preserve">up studies </w:t>
      </w:r>
      <w:r w:rsidR="003F0D74" w:rsidRPr="00421962">
        <w:t xml:space="preserve">based on randomized or quasi-randomized experimental </w:t>
      </w:r>
      <w:r w:rsidR="00AA5651">
        <w:t>trials</w:t>
      </w:r>
      <w:r w:rsidR="00AA5651" w:rsidRPr="00421962">
        <w:t xml:space="preserve"> </w:t>
      </w:r>
      <w:r w:rsidR="00017229">
        <w:t xml:space="preserve">(termed “base trials”) </w:t>
      </w:r>
      <w:r w:rsidR="003F0D74" w:rsidRPr="00421962">
        <w:t>inc</w:t>
      </w:r>
      <w:r w:rsidR="00FB7168" w:rsidRPr="00421962">
        <w:t xml:space="preserve">luded </w:t>
      </w:r>
      <w:r w:rsidR="00263380" w:rsidRPr="00421962">
        <w:t xml:space="preserve">in </w:t>
      </w:r>
      <w:r w:rsidR="00FB7168" w:rsidRPr="00421962">
        <w:t>the 2015 Cochrane r</w:t>
      </w:r>
      <w:r w:rsidR="003F0D74" w:rsidRPr="00421962">
        <w:t>eview</w:t>
      </w:r>
      <w:r w:rsidR="00127FDC">
        <w:t xml:space="preserve">. </w:t>
      </w:r>
    </w:p>
    <w:p w14:paraId="4256A6D8" w14:textId="42B9C634" w:rsidR="00CA54C9" w:rsidRPr="00421962" w:rsidRDefault="00127FDC">
      <w:pPr>
        <w:spacing w:before="120" w:after="120" w:line="240" w:lineRule="auto"/>
      </w:pPr>
      <w:r>
        <w:t xml:space="preserve">We included </w:t>
      </w:r>
      <w:r w:rsidR="00112F4A">
        <w:t>all outcome domains identified by the literature in this field as important for decision-making, and included in the Cochrane review (see figure 1):</w:t>
      </w:r>
      <w:r w:rsidR="00DD3267">
        <w:t xml:space="preserve"> nutritional status (measured by weight, height and haemoglobin); physical well-being (measured by exercise tolerance or self-reported measures); school attendance (measured by </w:t>
      </w:r>
      <w:r w:rsidR="00DD3267" w:rsidRPr="00D844D8">
        <w:t>days present at school or years of school enrolment</w:t>
      </w:r>
      <w:r w:rsidR="00DD3267">
        <w:t>); cognition and school performance (measured by formal tests and exam performance)</w:t>
      </w:r>
      <w:r w:rsidR="00670A98">
        <w:t xml:space="preserve"> [6].</w:t>
      </w:r>
      <w:r w:rsidR="00DD3267">
        <w:t xml:space="preserve"> </w:t>
      </w:r>
      <w:r w:rsidR="00112F4A">
        <w:t xml:space="preserve">In addition, we </w:t>
      </w:r>
      <w:r w:rsidR="00DD3267">
        <w:t xml:space="preserve">included all </w:t>
      </w:r>
      <w:r w:rsidR="00112F4A">
        <w:t xml:space="preserve">economic </w:t>
      </w:r>
      <w:r w:rsidR="00DD3267">
        <w:t>productivity outcomes the author team</w:t>
      </w:r>
      <w:r w:rsidR="00112F4A">
        <w:t>s</w:t>
      </w:r>
      <w:r w:rsidR="00DD3267">
        <w:t xml:space="preserve"> deemed reasonable overall measures.</w:t>
      </w:r>
    </w:p>
    <w:p w14:paraId="4FE3FE21" w14:textId="0B158654" w:rsidR="00CA54C9" w:rsidRPr="0037502B" w:rsidRDefault="00CA54C9" w:rsidP="0037502B">
      <w:pPr>
        <w:rPr>
          <w:b/>
          <w:sz w:val="24"/>
          <w:szCs w:val="24"/>
        </w:rPr>
      </w:pPr>
      <w:bookmarkStart w:id="3" w:name="_Toc437853526"/>
      <w:r w:rsidRPr="0037502B">
        <w:rPr>
          <w:b/>
          <w:sz w:val="24"/>
          <w:szCs w:val="24"/>
        </w:rPr>
        <w:t>Search strategy</w:t>
      </w:r>
      <w:bookmarkEnd w:id="3"/>
    </w:p>
    <w:p w14:paraId="2D5B0CA1" w14:textId="346CDDC4" w:rsidR="005E34B3" w:rsidRDefault="00F61220" w:rsidP="00851BC2">
      <w:pPr>
        <w:spacing w:before="120" w:after="120" w:line="240" w:lineRule="auto"/>
      </w:pPr>
      <w:r w:rsidRPr="005E34B3">
        <w:t xml:space="preserve">We </w:t>
      </w:r>
      <w:r w:rsidR="00524788" w:rsidRPr="005E34B3">
        <w:t>identified the main unpublished studies being cited</w:t>
      </w:r>
      <w:r w:rsidR="00967709">
        <w:t>,</w:t>
      </w:r>
      <w:r w:rsidR="00524788" w:rsidRPr="005E34B3">
        <w:t xml:space="preserve"> by reviewing the reference</w:t>
      </w:r>
      <w:r w:rsidR="00441691">
        <w:t xml:space="preserve"> lists of prominent papers [9][13</w:t>
      </w:r>
      <w:r w:rsidR="00556CC8">
        <w:t xml:space="preserve">], </w:t>
      </w:r>
      <w:r w:rsidR="00295E4B">
        <w:t xml:space="preserve">and </w:t>
      </w:r>
      <w:r w:rsidR="00967709">
        <w:t xml:space="preserve">the webpages of </w:t>
      </w:r>
      <w:r w:rsidR="00524788" w:rsidRPr="005E34B3">
        <w:t xml:space="preserve">deworming </w:t>
      </w:r>
      <w:r w:rsidR="007242BF">
        <w:t>advocates</w:t>
      </w:r>
      <w:r w:rsidR="00524788" w:rsidRPr="005E34B3">
        <w:t xml:space="preserve"> </w:t>
      </w:r>
      <w:r w:rsidR="00441691">
        <w:t>[10</w:t>
      </w:r>
      <w:r w:rsidR="005E34B3">
        <w:t>]</w:t>
      </w:r>
      <w:r w:rsidR="00441691">
        <w:t>[11</w:t>
      </w:r>
      <w:r w:rsidR="007242BF">
        <w:t>]</w:t>
      </w:r>
      <w:r w:rsidR="00524788" w:rsidRPr="005E34B3">
        <w:t>[</w:t>
      </w:r>
      <w:r w:rsidR="00441691">
        <w:t>14</w:t>
      </w:r>
      <w:r w:rsidR="00524788" w:rsidRPr="005E34B3">
        <w:t xml:space="preserve">]. </w:t>
      </w:r>
    </w:p>
    <w:p w14:paraId="21AD9084" w14:textId="6A3C2B3F" w:rsidR="005E34B3" w:rsidRDefault="005E34B3" w:rsidP="00851BC2">
      <w:pPr>
        <w:spacing w:before="120" w:after="120" w:line="240" w:lineRule="auto"/>
      </w:pPr>
      <w:r>
        <w:t>We also searched P</w:t>
      </w:r>
      <w:r w:rsidR="00524788" w:rsidRPr="005E34B3">
        <w:t xml:space="preserve">ubmed for published follow-up studies </w:t>
      </w:r>
      <w:r>
        <w:t>to</w:t>
      </w:r>
      <w:r w:rsidR="00524788" w:rsidRPr="005E34B3">
        <w:t xml:space="preserve"> all cluster-randomized studies included in the Cochrane review </w:t>
      </w:r>
      <w:r>
        <w:t xml:space="preserve">by </w:t>
      </w:r>
      <w:r w:rsidR="00524788" w:rsidRPr="005E34B3">
        <w:t xml:space="preserve">using the search </w:t>
      </w:r>
      <w:r w:rsidR="00524788" w:rsidRPr="00B343F7">
        <w:t>terms</w:t>
      </w:r>
      <w:r w:rsidR="00AA5651">
        <w:t>:</w:t>
      </w:r>
      <w:r w:rsidR="00B343F7">
        <w:t xml:space="preserve"> </w:t>
      </w:r>
      <w:r w:rsidR="00B343F7" w:rsidRPr="00B343F7">
        <w:t>((deworm*[Title/Abstract] OR helminth*[Title/Abstract]) AND (Alderman[Author] OR Awasthi[Author] OR Hall[Author] OR Stoltzfus[Author] OR Wiria[Author] OR Rousham[Author] OR Miguel[Author])).</w:t>
      </w:r>
    </w:p>
    <w:p w14:paraId="07044837" w14:textId="4A5310FD" w:rsidR="00532FEB" w:rsidRDefault="00532FEB" w:rsidP="00851BC2">
      <w:pPr>
        <w:spacing w:before="120" w:after="120" w:line="240" w:lineRule="auto"/>
      </w:pPr>
      <w:r>
        <w:t>Two authors independently screened the search results and applied the inclusion criteria.</w:t>
      </w:r>
    </w:p>
    <w:p w14:paraId="6B2DEE42" w14:textId="20D02DFB" w:rsidR="000163D1" w:rsidRPr="0037502B" w:rsidRDefault="002F5278" w:rsidP="0037502B">
      <w:pPr>
        <w:rPr>
          <w:b/>
          <w:sz w:val="24"/>
          <w:szCs w:val="24"/>
        </w:rPr>
      </w:pPr>
      <w:r w:rsidRPr="0037502B">
        <w:rPr>
          <w:b/>
          <w:sz w:val="24"/>
          <w:szCs w:val="24"/>
        </w:rPr>
        <w:t>R</w:t>
      </w:r>
      <w:r w:rsidR="000163D1" w:rsidRPr="0037502B">
        <w:rPr>
          <w:b/>
          <w:sz w:val="24"/>
          <w:szCs w:val="24"/>
        </w:rPr>
        <w:t>isk of bias</w:t>
      </w:r>
      <w:r w:rsidRPr="0037502B">
        <w:rPr>
          <w:b/>
          <w:sz w:val="24"/>
          <w:szCs w:val="24"/>
        </w:rPr>
        <w:t xml:space="preserve"> assessment</w:t>
      </w:r>
    </w:p>
    <w:p w14:paraId="14031FB1" w14:textId="27F6C342" w:rsidR="006173AC" w:rsidRPr="00421962" w:rsidRDefault="000163D1" w:rsidP="00851BC2">
      <w:pPr>
        <w:spacing w:before="120" w:after="120" w:line="240" w:lineRule="auto"/>
      </w:pPr>
      <w:r w:rsidRPr="00421962">
        <w:lastRenderedPageBreak/>
        <w:t>For the base trial</w:t>
      </w:r>
      <w:r w:rsidR="00C97DA6" w:rsidRPr="00421962">
        <w:t>s, we describe</w:t>
      </w:r>
      <w:r w:rsidR="00DE141A">
        <w:t>d</w:t>
      </w:r>
      <w:r w:rsidRPr="00421962">
        <w:t xml:space="preserve"> the </w:t>
      </w:r>
      <w:r w:rsidR="00A30D79" w:rsidRPr="00421962">
        <w:t xml:space="preserve">study design, setting, </w:t>
      </w:r>
      <w:r w:rsidR="00C738A3" w:rsidRPr="00421962">
        <w:t>population, intervention a</w:t>
      </w:r>
      <w:r w:rsidR="00A30D79" w:rsidRPr="00421962">
        <w:t>nd control</w:t>
      </w:r>
      <w:r w:rsidR="008919F2">
        <w:t xml:space="preserve">. </w:t>
      </w:r>
      <w:r w:rsidRPr="00421962">
        <w:t xml:space="preserve">We </w:t>
      </w:r>
      <w:r w:rsidR="00C97DA6" w:rsidRPr="00421962">
        <w:t>assess</w:t>
      </w:r>
      <w:r w:rsidR="00DE141A">
        <w:t>ed</w:t>
      </w:r>
      <w:r w:rsidRPr="00421962">
        <w:t xml:space="preserve"> the risk of bias using the Cochrane tool for appraising randomize</w:t>
      </w:r>
      <w:r w:rsidR="00C97DA6" w:rsidRPr="00421962">
        <w:t xml:space="preserve">d controlled trials </w:t>
      </w:r>
      <w:r w:rsidR="00B32093">
        <w:t>and consider</w:t>
      </w:r>
      <w:r w:rsidR="00DE141A">
        <w:t>ed</w:t>
      </w:r>
      <w:r w:rsidR="00B32093">
        <w:t xml:space="preserve"> the potential for bias to also </w:t>
      </w:r>
      <w:r w:rsidR="001145F3">
        <w:t>influence</w:t>
      </w:r>
      <w:r w:rsidR="00B32093">
        <w:t xml:space="preserve"> the results of the follow-up studies</w:t>
      </w:r>
      <w:r w:rsidR="00B32093" w:rsidRPr="00421962">
        <w:t xml:space="preserve"> </w:t>
      </w:r>
      <w:r w:rsidR="00441691">
        <w:t>[1</w:t>
      </w:r>
      <w:r w:rsidR="00A314EA">
        <w:t>5</w:t>
      </w:r>
      <w:r w:rsidR="0020406B" w:rsidRPr="00421962">
        <w:t>]</w:t>
      </w:r>
      <w:r w:rsidRPr="00421962">
        <w:t>.</w:t>
      </w:r>
    </w:p>
    <w:p w14:paraId="31394370" w14:textId="1CB2DF7C" w:rsidR="00C738A3" w:rsidRPr="00421962" w:rsidRDefault="000163D1" w:rsidP="00851BC2">
      <w:pPr>
        <w:spacing w:before="120" w:after="120" w:line="240" w:lineRule="auto"/>
      </w:pPr>
      <w:r w:rsidRPr="00421962">
        <w:t xml:space="preserve">For each follow-up study, we </w:t>
      </w:r>
      <w:r w:rsidR="00C97DA6" w:rsidRPr="00421962">
        <w:t>describe</w:t>
      </w:r>
      <w:r w:rsidR="00DE141A">
        <w:t>d</w:t>
      </w:r>
      <w:r w:rsidR="00C97DA6" w:rsidRPr="00421962">
        <w:t xml:space="preserve"> the</w:t>
      </w:r>
      <w:r w:rsidRPr="00421962">
        <w:t xml:space="preserve"> </w:t>
      </w:r>
      <w:r w:rsidR="00C738A3" w:rsidRPr="00421962">
        <w:t xml:space="preserve">study </w:t>
      </w:r>
      <w:r w:rsidR="00C97DA6" w:rsidRPr="00421962">
        <w:t>design</w:t>
      </w:r>
      <w:r w:rsidR="00C738A3" w:rsidRPr="00421962">
        <w:t xml:space="preserve">, </w:t>
      </w:r>
      <w:r w:rsidR="00C97DA6" w:rsidRPr="00421962">
        <w:t xml:space="preserve">population, </w:t>
      </w:r>
      <w:r w:rsidR="00C738A3" w:rsidRPr="00421962">
        <w:t xml:space="preserve">timing, </w:t>
      </w:r>
      <w:r w:rsidR="00C97DA6" w:rsidRPr="00421962">
        <w:t xml:space="preserve">intervention and control group exposure to mass deworming, </w:t>
      </w:r>
      <w:r w:rsidR="00C738A3" w:rsidRPr="00421962">
        <w:t xml:space="preserve">analytic approach, outcome measurement and reporting, and </w:t>
      </w:r>
      <w:r w:rsidR="00C97DA6" w:rsidRPr="00421962">
        <w:t>results</w:t>
      </w:r>
      <w:r w:rsidR="00C738A3" w:rsidRPr="00421962">
        <w:t>.</w:t>
      </w:r>
      <w:r w:rsidRPr="00421962">
        <w:t xml:space="preserve"> </w:t>
      </w:r>
      <w:r w:rsidR="00C97DA6" w:rsidRPr="00421962">
        <w:t xml:space="preserve">For the risk of bias assessment, we </w:t>
      </w:r>
      <w:r w:rsidR="00782956">
        <w:t>adapted</w:t>
      </w:r>
      <w:r w:rsidR="00782956" w:rsidRPr="00421962">
        <w:t xml:space="preserve"> </w:t>
      </w:r>
      <w:r w:rsidR="00C97DA6" w:rsidRPr="00421962">
        <w:t>the Cochrane tool for randomized controlled trials</w:t>
      </w:r>
      <w:r w:rsidR="00782956">
        <w:t xml:space="preserve"> to take into account the additional risks </w:t>
      </w:r>
      <w:r w:rsidR="001F65E7" w:rsidRPr="00755DBF">
        <w:t xml:space="preserve">posed by </w:t>
      </w:r>
      <w:r w:rsidR="00755DBF" w:rsidRPr="00755DBF">
        <w:t>cross-sectional sampling from communities, many years after the planned experiment finished:</w:t>
      </w:r>
    </w:p>
    <w:p w14:paraId="321565ED" w14:textId="639EE89F" w:rsidR="00586AA1" w:rsidRPr="00EC7B77" w:rsidRDefault="00C3436A" w:rsidP="00755DBF">
      <w:pPr>
        <w:pStyle w:val="ListParagraph"/>
        <w:numPr>
          <w:ilvl w:val="0"/>
          <w:numId w:val="19"/>
        </w:numPr>
        <w:spacing w:after="120"/>
        <w:rPr>
          <w:rFonts w:asciiTheme="minorHAnsi" w:hAnsiTheme="minorHAnsi"/>
        </w:rPr>
      </w:pPr>
      <w:r w:rsidRPr="00EC7B77">
        <w:rPr>
          <w:rFonts w:asciiTheme="minorHAnsi" w:hAnsiTheme="minorHAnsi"/>
          <w:u w:val="single"/>
        </w:rPr>
        <w:t>S</w:t>
      </w:r>
      <w:r w:rsidR="00736C19" w:rsidRPr="00EC7B77">
        <w:rPr>
          <w:rFonts w:asciiTheme="minorHAnsi" w:hAnsiTheme="minorHAnsi"/>
          <w:u w:val="single"/>
        </w:rPr>
        <w:t>election bias</w:t>
      </w:r>
      <w:r w:rsidR="008D6870" w:rsidRPr="00EC7B77">
        <w:rPr>
          <w:rFonts w:asciiTheme="minorHAnsi" w:hAnsiTheme="minorHAnsi"/>
        </w:rPr>
        <w:t>:</w:t>
      </w:r>
      <w:r w:rsidR="00586AA1" w:rsidRPr="00EC7B77">
        <w:rPr>
          <w:rFonts w:asciiTheme="minorHAnsi" w:hAnsiTheme="minorHAnsi"/>
        </w:rPr>
        <w:t xml:space="preserve"> </w:t>
      </w:r>
      <w:r w:rsidR="008200FB" w:rsidRPr="00EC7B77">
        <w:rPr>
          <w:rFonts w:asciiTheme="minorHAnsi" w:hAnsiTheme="minorHAnsi"/>
        </w:rPr>
        <w:t xml:space="preserve">we considered </w:t>
      </w:r>
      <w:r w:rsidR="00110574" w:rsidRPr="00EC7B77">
        <w:rPr>
          <w:rFonts w:asciiTheme="minorHAnsi" w:hAnsiTheme="minorHAnsi"/>
        </w:rPr>
        <w:t>the randomization process of the base trial</w:t>
      </w:r>
      <w:r w:rsidR="00586AA1" w:rsidRPr="00EC7B77">
        <w:rPr>
          <w:rFonts w:asciiTheme="minorHAnsi" w:hAnsiTheme="minorHAnsi"/>
        </w:rPr>
        <w:t xml:space="preserve">, </w:t>
      </w:r>
      <w:r w:rsidR="00110574" w:rsidRPr="00EC7B77">
        <w:rPr>
          <w:rFonts w:asciiTheme="minorHAnsi" w:hAnsiTheme="minorHAnsi"/>
        </w:rPr>
        <w:t xml:space="preserve">the </w:t>
      </w:r>
      <w:r w:rsidR="00586AA1" w:rsidRPr="00EC7B77">
        <w:rPr>
          <w:rFonts w:asciiTheme="minorHAnsi" w:hAnsiTheme="minorHAnsi"/>
        </w:rPr>
        <w:t>methods for selection of a proportional sample</w:t>
      </w:r>
      <w:r w:rsidR="00110574" w:rsidRPr="00EC7B77">
        <w:rPr>
          <w:rFonts w:asciiTheme="minorHAnsi" w:hAnsiTheme="minorHAnsi"/>
        </w:rPr>
        <w:t>,</w:t>
      </w:r>
      <w:r w:rsidR="00586AA1" w:rsidRPr="00EC7B77">
        <w:rPr>
          <w:rFonts w:asciiTheme="minorHAnsi" w:hAnsiTheme="minorHAnsi"/>
        </w:rPr>
        <w:t xml:space="preserve"> and </w:t>
      </w:r>
      <w:r w:rsidR="00110574" w:rsidRPr="00EC7B77">
        <w:rPr>
          <w:rFonts w:asciiTheme="minorHAnsi" w:hAnsiTheme="minorHAnsi"/>
        </w:rPr>
        <w:t xml:space="preserve">the </w:t>
      </w:r>
      <w:r w:rsidR="0064118B" w:rsidRPr="00EC7B77">
        <w:rPr>
          <w:rFonts w:asciiTheme="minorHAnsi" w:hAnsiTheme="minorHAnsi"/>
        </w:rPr>
        <w:t>balance of potential confounders between groups</w:t>
      </w:r>
      <w:r w:rsidR="00586AA1" w:rsidRPr="00EC7B77">
        <w:rPr>
          <w:rFonts w:asciiTheme="minorHAnsi" w:hAnsiTheme="minorHAnsi"/>
        </w:rPr>
        <w:t>.</w:t>
      </w:r>
    </w:p>
    <w:p w14:paraId="1E2FEFC9" w14:textId="3623A55E" w:rsidR="00586AA1" w:rsidRPr="00EC7B77" w:rsidRDefault="00B343F7" w:rsidP="00755DBF">
      <w:pPr>
        <w:pStyle w:val="ListParagraph"/>
        <w:numPr>
          <w:ilvl w:val="0"/>
          <w:numId w:val="19"/>
        </w:numPr>
        <w:spacing w:after="120"/>
        <w:rPr>
          <w:rFonts w:asciiTheme="minorHAnsi" w:hAnsiTheme="minorHAnsi"/>
        </w:rPr>
      </w:pPr>
      <w:r w:rsidRPr="00EC7B77">
        <w:rPr>
          <w:rFonts w:asciiTheme="minorHAnsi" w:hAnsiTheme="minorHAnsi"/>
          <w:u w:val="single"/>
        </w:rPr>
        <w:t>R</w:t>
      </w:r>
      <w:r w:rsidR="00736C19" w:rsidRPr="00EC7B77">
        <w:rPr>
          <w:rFonts w:asciiTheme="minorHAnsi" w:hAnsiTheme="minorHAnsi"/>
          <w:u w:val="single"/>
        </w:rPr>
        <w:t>eporting and detection bias</w:t>
      </w:r>
      <w:r w:rsidR="008D6870" w:rsidRPr="00EC7B77">
        <w:rPr>
          <w:rFonts w:asciiTheme="minorHAnsi" w:hAnsiTheme="minorHAnsi"/>
        </w:rPr>
        <w:t xml:space="preserve">: </w:t>
      </w:r>
      <w:r w:rsidR="00586AA1" w:rsidRPr="00EC7B77">
        <w:rPr>
          <w:rFonts w:asciiTheme="minorHAnsi" w:hAnsiTheme="minorHAnsi"/>
        </w:rPr>
        <w:t xml:space="preserve">we considered the methods </w:t>
      </w:r>
      <w:r w:rsidR="003A7A29" w:rsidRPr="00EC7B77">
        <w:rPr>
          <w:rFonts w:asciiTheme="minorHAnsi" w:hAnsiTheme="minorHAnsi"/>
        </w:rPr>
        <w:t xml:space="preserve">used to </w:t>
      </w:r>
      <w:r w:rsidR="00586AA1" w:rsidRPr="00EC7B77">
        <w:rPr>
          <w:rFonts w:asciiTheme="minorHAnsi" w:hAnsiTheme="minorHAnsi"/>
        </w:rPr>
        <w:t>blind those collecting and analysing the data</w:t>
      </w:r>
      <w:r w:rsidR="003A7A29" w:rsidRPr="00EC7B77">
        <w:rPr>
          <w:rFonts w:asciiTheme="minorHAnsi" w:hAnsiTheme="minorHAnsi"/>
        </w:rPr>
        <w:t xml:space="preserve"> from the treatment allocation</w:t>
      </w:r>
      <w:r w:rsidR="00586AA1" w:rsidRPr="00EC7B77">
        <w:rPr>
          <w:rFonts w:asciiTheme="minorHAnsi" w:hAnsiTheme="minorHAnsi"/>
        </w:rPr>
        <w:t>.</w:t>
      </w:r>
    </w:p>
    <w:p w14:paraId="37675F1A" w14:textId="79B8068C" w:rsidR="00586AA1" w:rsidRPr="00EC7B77" w:rsidRDefault="00B343F7" w:rsidP="00755DBF">
      <w:pPr>
        <w:pStyle w:val="ListParagraph"/>
        <w:numPr>
          <w:ilvl w:val="0"/>
          <w:numId w:val="19"/>
        </w:numPr>
        <w:spacing w:after="120"/>
        <w:rPr>
          <w:rFonts w:asciiTheme="minorHAnsi" w:hAnsiTheme="minorHAnsi"/>
        </w:rPr>
      </w:pPr>
      <w:r w:rsidRPr="00EC7B77">
        <w:rPr>
          <w:rFonts w:asciiTheme="minorHAnsi" w:hAnsiTheme="minorHAnsi"/>
          <w:u w:val="single"/>
        </w:rPr>
        <w:t>A</w:t>
      </w:r>
      <w:r w:rsidR="008D6870" w:rsidRPr="00EC7B77">
        <w:rPr>
          <w:rFonts w:asciiTheme="minorHAnsi" w:hAnsiTheme="minorHAnsi"/>
          <w:u w:val="single"/>
        </w:rPr>
        <w:t>ttrition bias</w:t>
      </w:r>
      <w:r w:rsidR="00586AA1" w:rsidRPr="00EC7B77">
        <w:rPr>
          <w:rFonts w:asciiTheme="minorHAnsi" w:hAnsiTheme="minorHAnsi"/>
        </w:rPr>
        <w:t xml:space="preserve">: </w:t>
      </w:r>
      <w:r w:rsidR="000F19A2" w:rsidRPr="00EC7B77">
        <w:rPr>
          <w:rFonts w:asciiTheme="minorHAnsi" w:hAnsiTheme="minorHAnsi"/>
        </w:rPr>
        <w:t>we considered loss of clusters</w:t>
      </w:r>
      <w:r w:rsidR="00943D24" w:rsidRPr="00EC7B77">
        <w:rPr>
          <w:rFonts w:asciiTheme="minorHAnsi" w:hAnsiTheme="minorHAnsi"/>
        </w:rPr>
        <w:t xml:space="preserve">, exclusion of participants after enrolment, </w:t>
      </w:r>
      <w:r w:rsidR="00AA5651" w:rsidRPr="00EC7B77">
        <w:rPr>
          <w:rFonts w:asciiTheme="minorHAnsi" w:hAnsiTheme="minorHAnsi"/>
        </w:rPr>
        <w:t xml:space="preserve">migration in and out of the study area, </w:t>
      </w:r>
      <w:r w:rsidR="00943D24" w:rsidRPr="00EC7B77">
        <w:rPr>
          <w:rFonts w:asciiTheme="minorHAnsi" w:hAnsiTheme="minorHAnsi"/>
        </w:rPr>
        <w:t xml:space="preserve">and </w:t>
      </w:r>
      <w:r w:rsidR="00C738A3" w:rsidRPr="00EC7B77">
        <w:rPr>
          <w:rFonts w:asciiTheme="minorHAnsi" w:hAnsiTheme="minorHAnsi"/>
        </w:rPr>
        <w:t>the proportion and potential impact of missing</w:t>
      </w:r>
      <w:r w:rsidR="00943D24" w:rsidRPr="00EC7B77">
        <w:rPr>
          <w:rFonts w:asciiTheme="minorHAnsi" w:hAnsiTheme="minorHAnsi"/>
        </w:rPr>
        <w:t xml:space="preserve"> outcome</w:t>
      </w:r>
      <w:r w:rsidR="00C738A3" w:rsidRPr="00EC7B77">
        <w:rPr>
          <w:rFonts w:asciiTheme="minorHAnsi" w:hAnsiTheme="minorHAnsi"/>
        </w:rPr>
        <w:t xml:space="preserve"> data.</w:t>
      </w:r>
    </w:p>
    <w:p w14:paraId="3C3DC7BC" w14:textId="737F5BB0" w:rsidR="00C738A3" w:rsidRPr="00EC7B77" w:rsidRDefault="00586AA1" w:rsidP="00755DBF">
      <w:pPr>
        <w:pStyle w:val="ListParagraph"/>
        <w:numPr>
          <w:ilvl w:val="0"/>
          <w:numId w:val="19"/>
        </w:numPr>
        <w:spacing w:after="120"/>
        <w:rPr>
          <w:rFonts w:asciiTheme="minorHAnsi" w:hAnsiTheme="minorHAnsi"/>
        </w:rPr>
      </w:pPr>
      <w:r w:rsidRPr="00EC7B77">
        <w:rPr>
          <w:rFonts w:asciiTheme="minorHAnsi" w:hAnsiTheme="minorHAnsi"/>
          <w:u w:val="single"/>
        </w:rPr>
        <w:t>S</w:t>
      </w:r>
      <w:r w:rsidR="006173AC" w:rsidRPr="00EC7B77">
        <w:rPr>
          <w:rFonts w:asciiTheme="minorHAnsi" w:hAnsiTheme="minorHAnsi"/>
          <w:u w:val="single"/>
        </w:rPr>
        <w:t>elective</w:t>
      </w:r>
      <w:r w:rsidR="00C3436A" w:rsidRPr="00EC7B77">
        <w:rPr>
          <w:rFonts w:asciiTheme="minorHAnsi" w:hAnsiTheme="minorHAnsi"/>
          <w:u w:val="single"/>
        </w:rPr>
        <w:t xml:space="preserve"> reporting</w:t>
      </w:r>
      <w:r w:rsidR="00736C19" w:rsidRPr="00EC7B77">
        <w:rPr>
          <w:rFonts w:asciiTheme="minorHAnsi" w:hAnsiTheme="minorHAnsi"/>
          <w:u w:val="single"/>
        </w:rPr>
        <w:t xml:space="preserve"> bias</w:t>
      </w:r>
      <w:r w:rsidR="008200FB" w:rsidRPr="00EC7B77">
        <w:rPr>
          <w:rFonts w:asciiTheme="minorHAnsi" w:hAnsiTheme="minorHAnsi"/>
          <w:u w:val="single"/>
        </w:rPr>
        <w:t>:</w:t>
      </w:r>
      <w:r w:rsidRPr="00EC7B77">
        <w:rPr>
          <w:rFonts w:asciiTheme="minorHAnsi" w:hAnsiTheme="minorHAnsi"/>
        </w:rPr>
        <w:t xml:space="preserve"> we considered</w:t>
      </w:r>
      <w:r w:rsidR="0010397B" w:rsidRPr="00EC7B77">
        <w:rPr>
          <w:rFonts w:asciiTheme="minorHAnsi" w:hAnsiTheme="minorHAnsi"/>
        </w:rPr>
        <w:t xml:space="preserve"> </w:t>
      </w:r>
      <w:r w:rsidR="008200FB" w:rsidRPr="00EC7B77">
        <w:rPr>
          <w:rFonts w:asciiTheme="minorHAnsi" w:hAnsiTheme="minorHAnsi"/>
        </w:rPr>
        <w:t xml:space="preserve">the </w:t>
      </w:r>
      <w:r w:rsidRPr="00EC7B77">
        <w:rPr>
          <w:rFonts w:asciiTheme="minorHAnsi" w:hAnsiTheme="minorHAnsi"/>
        </w:rPr>
        <w:t>use of a</w:t>
      </w:r>
      <w:r w:rsidR="00A50907" w:rsidRPr="00EC7B77">
        <w:rPr>
          <w:rFonts w:asciiTheme="minorHAnsi" w:hAnsiTheme="minorHAnsi"/>
        </w:rPr>
        <w:t xml:space="preserve"> pre-planned protocol</w:t>
      </w:r>
      <w:r w:rsidRPr="00EC7B77">
        <w:rPr>
          <w:rFonts w:asciiTheme="minorHAnsi" w:hAnsiTheme="minorHAnsi"/>
        </w:rPr>
        <w:t xml:space="preserve">, </w:t>
      </w:r>
      <w:r w:rsidR="00C738A3" w:rsidRPr="00EC7B77">
        <w:rPr>
          <w:rFonts w:asciiTheme="minorHAnsi" w:hAnsiTheme="minorHAnsi"/>
        </w:rPr>
        <w:t>the number of outcomes assessed</w:t>
      </w:r>
      <w:r w:rsidR="00943D24" w:rsidRPr="00EC7B77">
        <w:rPr>
          <w:rFonts w:asciiTheme="minorHAnsi" w:hAnsiTheme="minorHAnsi"/>
        </w:rPr>
        <w:t xml:space="preserve"> and the potential for false positive results</w:t>
      </w:r>
      <w:r w:rsidR="00C738A3" w:rsidRPr="00EC7B77">
        <w:rPr>
          <w:rFonts w:asciiTheme="minorHAnsi" w:hAnsiTheme="minorHAnsi"/>
        </w:rPr>
        <w:t>, changes in the reporting of outcomes over time</w:t>
      </w:r>
      <w:r w:rsidR="00736C19" w:rsidRPr="00EC7B77">
        <w:rPr>
          <w:rFonts w:asciiTheme="minorHAnsi" w:hAnsiTheme="minorHAnsi"/>
        </w:rPr>
        <w:t xml:space="preserve">, and </w:t>
      </w:r>
      <w:r w:rsidR="005A25D1" w:rsidRPr="00EC7B77">
        <w:rPr>
          <w:rFonts w:asciiTheme="minorHAnsi" w:hAnsiTheme="minorHAnsi"/>
        </w:rPr>
        <w:t xml:space="preserve">inclusion of important </w:t>
      </w:r>
      <w:r w:rsidR="00736C19" w:rsidRPr="00EC7B77">
        <w:rPr>
          <w:rFonts w:asciiTheme="minorHAnsi" w:hAnsiTheme="minorHAnsi"/>
        </w:rPr>
        <w:t>findings</w:t>
      </w:r>
      <w:r w:rsidR="00782956" w:rsidRPr="00EC7B77">
        <w:rPr>
          <w:rFonts w:asciiTheme="minorHAnsi" w:hAnsiTheme="minorHAnsi"/>
        </w:rPr>
        <w:t xml:space="preserve"> (showing association, or showing a lack of association)</w:t>
      </w:r>
      <w:r w:rsidR="00736C19" w:rsidRPr="00EC7B77">
        <w:rPr>
          <w:rFonts w:asciiTheme="minorHAnsi" w:hAnsiTheme="minorHAnsi"/>
        </w:rPr>
        <w:t xml:space="preserve"> in</w:t>
      </w:r>
      <w:r w:rsidR="00A005BD" w:rsidRPr="00EC7B77">
        <w:rPr>
          <w:rFonts w:asciiTheme="minorHAnsi" w:hAnsiTheme="minorHAnsi"/>
        </w:rPr>
        <w:t xml:space="preserve"> the abstract</w:t>
      </w:r>
      <w:r w:rsidR="00736C19" w:rsidRPr="00EC7B77">
        <w:rPr>
          <w:rFonts w:asciiTheme="minorHAnsi" w:hAnsiTheme="minorHAnsi"/>
        </w:rPr>
        <w:t>.</w:t>
      </w:r>
    </w:p>
    <w:p w14:paraId="53D91B08" w14:textId="3EAC9995" w:rsidR="00853B9E" w:rsidRDefault="008D6870">
      <w:pPr>
        <w:pStyle w:val="Heading3"/>
        <w:spacing w:before="120" w:line="240" w:lineRule="auto"/>
        <w:rPr>
          <w:rFonts w:asciiTheme="minorHAnsi" w:hAnsiTheme="minorHAnsi"/>
          <w:b w:val="0"/>
          <w:color w:val="auto"/>
          <w:sz w:val="22"/>
          <w:szCs w:val="22"/>
        </w:rPr>
      </w:pPr>
      <w:r w:rsidRPr="00421962">
        <w:rPr>
          <w:rFonts w:asciiTheme="minorHAnsi" w:hAnsiTheme="minorHAnsi"/>
          <w:b w:val="0"/>
          <w:color w:val="auto"/>
          <w:sz w:val="22"/>
          <w:szCs w:val="22"/>
        </w:rPr>
        <w:t>For each dom</w:t>
      </w:r>
      <w:r w:rsidR="00537CA0" w:rsidRPr="00421962">
        <w:rPr>
          <w:rFonts w:asciiTheme="minorHAnsi" w:hAnsiTheme="minorHAnsi"/>
          <w:b w:val="0"/>
          <w:color w:val="auto"/>
          <w:sz w:val="22"/>
          <w:szCs w:val="22"/>
        </w:rPr>
        <w:t xml:space="preserve">ain, we </w:t>
      </w:r>
      <w:r w:rsidR="00755DBF">
        <w:rPr>
          <w:rFonts w:asciiTheme="minorHAnsi" w:hAnsiTheme="minorHAnsi"/>
          <w:b w:val="0"/>
          <w:color w:val="auto"/>
          <w:sz w:val="22"/>
          <w:szCs w:val="22"/>
        </w:rPr>
        <w:t xml:space="preserve">classified </w:t>
      </w:r>
      <w:r w:rsidR="00537CA0" w:rsidRPr="00421962">
        <w:rPr>
          <w:rFonts w:asciiTheme="minorHAnsi" w:hAnsiTheme="minorHAnsi"/>
          <w:b w:val="0"/>
          <w:color w:val="auto"/>
          <w:sz w:val="22"/>
          <w:szCs w:val="22"/>
        </w:rPr>
        <w:t xml:space="preserve">studies </w:t>
      </w:r>
      <w:r w:rsidR="00755DBF">
        <w:rPr>
          <w:rFonts w:asciiTheme="minorHAnsi" w:hAnsiTheme="minorHAnsi"/>
          <w:b w:val="0"/>
          <w:color w:val="auto"/>
          <w:sz w:val="22"/>
          <w:szCs w:val="22"/>
        </w:rPr>
        <w:t>as</w:t>
      </w:r>
      <w:r w:rsidR="00537CA0" w:rsidRPr="00421962">
        <w:rPr>
          <w:rFonts w:asciiTheme="minorHAnsi" w:hAnsiTheme="minorHAnsi"/>
          <w:b w:val="0"/>
          <w:color w:val="auto"/>
          <w:sz w:val="22"/>
          <w:szCs w:val="22"/>
        </w:rPr>
        <w:t xml:space="preserve"> ‘l</w:t>
      </w:r>
      <w:r w:rsidRPr="00421962">
        <w:rPr>
          <w:rFonts w:asciiTheme="minorHAnsi" w:hAnsiTheme="minorHAnsi"/>
          <w:b w:val="0"/>
          <w:color w:val="auto"/>
          <w:sz w:val="22"/>
          <w:szCs w:val="22"/>
        </w:rPr>
        <w:t>ow risk’</w:t>
      </w:r>
      <w:r w:rsidR="00755DBF">
        <w:rPr>
          <w:rFonts w:asciiTheme="minorHAnsi" w:hAnsiTheme="minorHAnsi"/>
          <w:b w:val="0"/>
          <w:color w:val="auto"/>
          <w:sz w:val="22"/>
          <w:szCs w:val="22"/>
        </w:rPr>
        <w:t xml:space="preserve"> </w:t>
      </w:r>
      <w:r w:rsidRPr="00421962">
        <w:rPr>
          <w:rFonts w:asciiTheme="minorHAnsi" w:hAnsiTheme="minorHAnsi"/>
          <w:b w:val="0"/>
          <w:color w:val="auto"/>
          <w:sz w:val="22"/>
          <w:szCs w:val="22"/>
        </w:rPr>
        <w:t>when appropriate methods were described to reduce the potential for bias</w:t>
      </w:r>
      <w:r w:rsidR="00782956">
        <w:rPr>
          <w:rFonts w:asciiTheme="minorHAnsi" w:hAnsiTheme="minorHAnsi"/>
          <w:b w:val="0"/>
          <w:color w:val="auto"/>
          <w:sz w:val="22"/>
          <w:szCs w:val="22"/>
        </w:rPr>
        <w:t>;</w:t>
      </w:r>
      <w:r w:rsidRPr="00421962">
        <w:rPr>
          <w:rFonts w:asciiTheme="minorHAnsi" w:hAnsiTheme="minorHAnsi"/>
          <w:b w:val="0"/>
          <w:color w:val="auto"/>
          <w:sz w:val="22"/>
          <w:szCs w:val="22"/>
        </w:rPr>
        <w:t xml:space="preserve"> ‘</w:t>
      </w:r>
      <w:r w:rsidR="00537CA0" w:rsidRPr="00421962">
        <w:rPr>
          <w:rFonts w:asciiTheme="minorHAnsi" w:hAnsiTheme="minorHAnsi"/>
          <w:b w:val="0"/>
          <w:color w:val="auto"/>
          <w:sz w:val="22"/>
          <w:szCs w:val="22"/>
        </w:rPr>
        <w:t>h</w:t>
      </w:r>
      <w:r w:rsidRPr="00421962">
        <w:rPr>
          <w:rFonts w:asciiTheme="minorHAnsi" w:hAnsiTheme="minorHAnsi"/>
          <w:b w:val="0"/>
          <w:color w:val="auto"/>
          <w:sz w:val="22"/>
          <w:szCs w:val="22"/>
        </w:rPr>
        <w:t>igh risk’ when the methods described</w:t>
      </w:r>
      <w:r w:rsidR="00782956">
        <w:rPr>
          <w:rFonts w:asciiTheme="minorHAnsi" w:hAnsiTheme="minorHAnsi"/>
          <w:b w:val="0"/>
          <w:color w:val="auto"/>
          <w:sz w:val="22"/>
          <w:szCs w:val="22"/>
        </w:rPr>
        <w:t xml:space="preserve"> </w:t>
      </w:r>
      <w:r w:rsidR="00755DBF">
        <w:rPr>
          <w:rFonts w:asciiTheme="minorHAnsi" w:hAnsiTheme="minorHAnsi"/>
          <w:b w:val="0"/>
          <w:color w:val="auto"/>
          <w:sz w:val="22"/>
          <w:szCs w:val="22"/>
        </w:rPr>
        <w:t>were inadequate to negate the potential for bias</w:t>
      </w:r>
      <w:r w:rsidR="00782956">
        <w:rPr>
          <w:rFonts w:asciiTheme="minorHAnsi" w:hAnsiTheme="minorHAnsi"/>
          <w:b w:val="0"/>
          <w:color w:val="auto"/>
          <w:sz w:val="22"/>
          <w:szCs w:val="22"/>
        </w:rPr>
        <w:t xml:space="preserve"> </w:t>
      </w:r>
      <w:r w:rsidR="00755DBF">
        <w:rPr>
          <w:rFonts w:asciiTheme="minorHAnsi" w:hAnsiTheme="minorHAnsi"/>
          <w:b w:val="0"/>
          <w:color w:val="auto"/>
          <w:sz w:val="22"/>
          <w:szCs w:val="22"/>
        </w:rPr>
        <w:t xml:space="preserve">to </w:t>
      </w:r>
      <w:r w:rsidR="00782956">
        <w:rPr>
          <w:rFonts w:asciiTheme="minorHAnsi" w:hAnsiTheme="minorHAnsi"/>
          <w:b w:val="0"/>
          <w:color w:val="auto"/>
          <w:sz w:val="22"/>
          <w:szCs w:val="22"/>
        </w:rPr>
        <w:t>influenc</w:t>
      </w:r>
      <w:r w:rsidR="00755DBF">
        <w:rPr>
          <w:rFonts w:asciiTheme="minorHAnsi" w:hAnsiTheme="minorHAnsi"/>
          <w:b w:val="0"/>
          <w:color w:val="auto"/>
          <w:sz w:val="22"/>
          <w:szCs w:val="22"/>
        </w:rPr>
        <w:t>e</w:t>
      </w:r>
      <w:r w:rsidR="00782956">
        <w:rPr>
          <w:rFonts w:asciiTheme="minorHAnsi" w:hAnsiTheme="minorHAnsi"/>
          <w:b w:val="0"/>
          <w:color w:val="auto"/>
          <w:sz w:val="22"/>
          <w:szCs w:val="22"/>
        </w:rPr>
        <w:t xml:space="preserve"> the results</w:t>
      </w:r>
      <w:r w:rsidRPr="00421962">
        <w:rPr>
          <w:rFonts w:asciiTheme="minorHAnsi" w:hAnsiTheme="minorHAnsi"/>
          <w:b w:val="0"/>
          <w:color w:val="auto"/>
          <w:sz w:val="22"/>
          <w:szCs w:val="22"/>
        </w:rPr>
        <w:t>, and ‘</w:t>
      </w:r>
      <w:r w:rsidR="00537CA0" w:rsidRPr="00421962">
        <w:rPr>
          <w:rFonts w:asciiTheme="minorHAnsi" w:hAnsiTheme="minorHAnsi"/>
          <w:b w:val="0"/>
          <w:color w:val="auto"/>
          <w:sz w:val="22"/>
          <w:szCs w:val="22"/>
        </w:rPr>
        <w:t>u</w:t>
      </w:r>
      <w:r w:rsidRPr="00421962">
        <w:rPr>
          <w:rFonts w:asciiTheme="minorHAnsi" w:hAnsiTheme="minorHAnsi"/>
          <w:b w:val="0"/>
          <w:color w:val="auto"/>
          <w:sz w:val="22"/>
          <w:szCs w:val="22"/>
        </w:rPr>
        <w:t>nclear risk’ when the</w:t>
      </w:r>
      <w:r w:rsidR="00943D24" w:rsidRPr="00421962">
        <w:rPr>
          <w:rFonts w:asciiTheme="minorHAnsi" w:hAnsiTheme="minorHAnsi"/>
          <w:b w:val="0"/>
          <w:color w:val="auto"/>
          <w:sz w:val="22"/>
          <w:szCs w:val="22"/>
        </w:rPr>
        <w:t xml:space="preserve"> impact of any methodological problems</w:t>
      </w:r>
      <w:r w:rsidR="00755DBF">
        <w:rPr>
          <w:rFonts w:asciiTheme="minorHAnsi" w:hAnsiTheme="minorHAnsi"/>
          <w:b w:val="0"/>
          <w:color w:val="auto"/>
          <w:sz w:val="22"/>
          <w:szCs w:val="22"/>
        </w:rPr>
        <w:t xml:space="preserve"> </w:t>
      </w:r>
      <w:r w:rsidR="00943D24" w:rsidRPr="00421962">
        <w:rPr>
          <w:rFonts w:asciiTheme="minorHAnsi" w:hAnsiTheme="minorHAnsi"/>
          <w:b w:val="0"/>
          <w:color w:val="auto"/>
          <w:sz w:val="22"/>
          <w:szCs w:val="22"/>
        </w:rPr>
        <w:t xml:space="preserve">was uncertain or there </w:t>
      </w:r>
      <w:r w:rsidRPr="00421962">
        <w:rPr>
          <w:rFonts w:asciiTheme="minorHAnsi" w:hAnsiTheme="minorHAnsi"/>
          <w:b w:val="0"/>
          <w:color w:val="auto"/>
          <w:sz w:val="22"/>
          <w:szCs w:val="22"/>
        </w:rPr>
        <w:t xml:space="preserve">was insufficient information to make a clear </w:t>
      </w:r>
      <w:r w:rsidRPr="009B1A44">
        <w:rPr>
          <w:rFonts w:asciiTheme="minorHAnsi" w:hAnsiTheme="minorHAnsi"/>
          <w:b w:val="0"/>
          <w:color w:val="auto"/>
          <w:sz w:val="22"/>
          <w:szCs w:val="22"/>
        </w:rPr>
        <w:t>judgment</w:t>
      </w:r>
      <w:r w:rsidRPr="005E34B3">
        <w:rPr>
          <w:rFonts w:asciiTheme="minorHAnsi" w:hAnsiTheme="minorHAnsi"/>
          <w:b w:val="0"/>
          <w:color w:val="auto"/>
          <w:sz w:val="22"/>
          <w:szCs w:val="22"/>
        </w:rPr>
        <w:t>.</w:t>
      </w:r>
      <w:r w:rsidR="00453410">
        <w:rPr>
          <w:rFonts w:asciiTheme="minorHAnsi" w:hAnsiTheme="minorHAnsi"/>
          <w:b w:val="0"/>
          <w:color w:val="auto"/>
          <w:sz w:val="22"/>
          <w:szCs w:val="22"/>
        </w:rPr>
        <w:t xml:space="preserve"> </w:t>
      </w:r>
      <w:r w:rsidR="00782956">
        <w:rPr>
          <w:rFonts w:asciiTheme="minorHAnsi" w:hAnsiTheme="minorHAnsi"/>
          <w:b w:val="0"/>
          <w:color w:val="auto"/>
          <w:sz w:val="22"/>
          <w:szCs w:val="22"/>
        </w:rPr>
        <w:t xml:space="preserve">We refined these assessments </w:t>
      </w:r>
      <w:r w:rsidR="00755DBF">
        <w:rPr>
          <w:rFonts w:asciiTheme="minorHAnsi" w:hAnsiTheme="minorHAnsi"/>
          <w:b w:val="0"/>
          <w:color w:val="auto"/>
          <w:sz w:val="22"/>
          <w:szCs w:val="22"/>
        </w:rPr>
        <w:t>after</w:t>
      </w:r>
      <w:r w:rsidR="00782956">
        <w:rPr>
          <w:rFonts w:asciiTheme="minorHAnsi" w:hAnsiTheme="minorHAnsi"/>
          <w:b w:val="0"/>
          <w:color w:val="auto"/>
          <w:sz w:val="22"/>
          <w:szCs w:val="22"/>
        </w:rPr>
        <w:t xml:space="preserve"> </w:t>
      </w:r>
      <w:r w:rsidR="00696426" w:rsidRPr="00B63672">
        <w:rPr>
          <w:rFonts w:asciiTheme="minorHAnsi" w:hAnsiTheme="minorHAnsi"/>
          <w:b w:val="0"/>
          <w:color w:val="auto"/>
          <w:sz w:val="22"/>
          <w:szCs w:val="22"/>
        </w:rPr>
        <w:t>contact</w:t>
      </w:r>
      <w:r w:rsidR="00782956">
        <w:rPr>
          <w:rFonts w:asciiTheme="minorHAnsi" w:hAnsiTheme="minorHAnsi"/>
          <w:b w:val="0"/>
          <w:color w:val="auto"/>
          <w:sz w:val="22"/>
          <w:szCs w:val="22"/>
        </w:rPr>
        <w:t xml:space="preserve">ing </w:t>
      </w:r>
      <w:r w:rsidR="00755DBF">
        <w:rPr>
          <w:rFonts w:asciiTheme="minorHAnsi" w:hAnsiTheme="minorHAnsi"/>
          <w:b w:val="0"/>
          <w:color w:val="auto"/>
          <w:sz w:val="22"/>
          <w:szCs w:val="22"/>
        </w:rPr>
        <w:t xml:space="preserve">the </w:t>
      </w:r>
      <w:r w:rsidR="00696426" w:rsidRPr="00B63672">
        <w:rPr>
          <w:rFonts w:asciiTheme="minorHAnsi" w:hAnsiTheme="minorHAnsi"/>
          <w:b w:val="0"/>
          <w:color w:val="auto"/>
          <w:sz w:val="22"/>
          <w:szCs w:val="22"/>
        </w:rPr>
        <w:t xml:space="preserve">study authors </w:t>
      </w:r>
      <w:r w:rsidR="00782956">
        <w:rPr>
          <w:rFonts w:asciiTheme="minorHAnsi" w:hAnsiTheme="minorHAnsi"/>
          <w:b w:val="0"/>
          <w:color w:val="auto"/>
          <w:sz w:val="22"/>
          <w:szCs w:val="22"/>
        </w:rPr>
        <w:t>for additional information</w:t>
      </w:r>
      <w:r w:rsidR="00755DBF">
        <w:rPr>
          <w:rFonts w:asciiTheme="minorHAnsi" w:hAnsiTheme="minorHAnsi"/>
          <w:b w:val="0"/>
          <w:color w:val="auto"/>
          <w:sz w:val="22"/>
          <w:szCs w:val="22"/>
        </w:rPr>
        <w:t>.</w:t>
      </w:r>
    </w:p>
    <w:p w14:paraId="4362017C" w14:textId="1F615D4F" w:rsidR="00DD3267" w:rsidRPr="0037502B" w:rsidRDefault="00DD3267" w:rsidP="00BC224A">
      <w:pPr>
        <w:tabs>
          <w:tab w:val="left" w:pos="6573"/>
        </w:tabs>
      </w:pPr>
      <w:r w:rsidRPr="0037502B">
        <w:rPr>
          <w:b/>
          <w:sz w:val="24"/>
          <w:szCs w:val="24"/>
        </w:rPr>
        <w:t xml:space="preserve">Outcome </w:t>
      </w:r>
      <w:r w:rsidR="00296A23" w:rsidRPr="0037502B">
        <w:rPr>
          <w:b/>
          <w:sz w:val="24"/>
          <w:szCs w:val="24"/>
        </w:rPr>
        <w:t>credibility assessment</w:t>
      </w:r>
      <w:r w:rsidR="00BC224A">
        <w:rPr>
          <w:b/>
          <w:sz w:val="24"/>
          <w:szCs w:val="24"/>
        </w:rPr>
        <w:tab/>
      </w:r>
    </w:p>
    <w:p w14:paraId="6D6570BD" w14:textId="77777777" w:rsidR="001F6A9F" w:rsidRDefault="001F6A9F" w:rsidP="001F6A9F">
      <w:pPr>
        <w:spacing w:before="120" w:after="120" w:line="240" w:lineRule="auto"/>
        <w:rPr>
          <w:b/>
        </w:rPr>
      </w:pPr>
      <w:r>
        <w:t xml:space="preserve">We first summarised the effect size and 95% confidence interval for all outcomes reported by the studies across the policy-important domains. </w:t>
      </w:r>
    </w:p>
    <w:p w14:paraId="475970C0" w14:textId="30C4C64B" w:rsidR="00296A23" w:rsidRDefault="004840E5" w:rsidP="009D6468">
      <w:pPr>
        <w:spacing w:before="120" w:after="120" w:line="240" w:lineRule="auto"/>
      </w:pPr>
      <w:r>
        <w:t>As the included studies are outside the scope of what would normally be included in a Cochrane Review, we familiariz</w:t>
      </w:r>
      <w:r w:rsidR="00755DBF">
        <w:t>ed ourselves</w:t>
      </w:r>
      <w:r>
        <w:t xml:space="preserve"> with the study methods and findings, and discuss</w:t>
      </w:r>
      <w:r w:rsidR="00755DBF">
        <w:t>ed</w:t>
      </w:r>
      <w:r>
        <w:t xml:space="preserve"> which factors </w:t>
      </w:r>
      <w:r w:rsidR="00755DBF">
        <w:t>would be</w:t>
      </w:r>
      <w:r>
        <w:t xml:space="preserve"> important </w:t>
      </w:r>
      <w:r w:rsidR="00755DBF">
        <w:t xml:space="preserve">when </w:t>
      </w:r>
      <w:r>
        <w:t>apprais</w:t>
      </w:r>
      <w:r w:rsidR="00755DBF">
        <w:t>ing</w:t>
      </w:r>
      <w:r>
        <w:t xml:space="preserve"> the results. We then applied this appraisal systematically across studies. </w:t>
      </w:r>
    </w:p>
    <w:p w14:paraId="4B4B44F2" w14:textId="25427C7F" w:rsidR="00586EA8" w:rsidRDefault="00296A23" w:rsidP="00586EA8">
      <w:pPr>
        <w:spacing w:before="120" w:after="120" w:line="240" w:lineRule="auto"/>
      </w:pPr>
      <w:r>
        <w:t>W</w:t>
      </w:r>
      <w:r w:rsidR="00853B9E">
        <w:t xml:space="preserve">e </w:t>
      </w:r>
      <w:r>
        <w:t xml:space="preserve">then further </w:t>
      </w:r>
      <w:r w:rsidR="004840E5">
        <w:t>assessed</w:t>
      </w:r>
      <w:r w:rsidR="007454FD" w:rsidRPr="00F7184E">
        <w:t xml:space="preserve"> the credibility of </w:t>
      </w:r>
      <w:r w:rsidR="00755DBF">
        <w:t xml:space="preserve">all </w:t>
      </w:r>
      <w:r w:rsidR="007454FD" w:rsidRPr="00F7184E">
        <w:t>the main findings reported in the abstract</w:t>
      </w:r>
      <w:r>
        <w:t>s</w:t>
      </w:r>
      <w:r w:rsidR="007454FD" w:rsidRPr="00F7184E">
        <w:t>, by considering</w:t>
      </w:r>
      <w:r w:rsidR="00755DBF">
        <w:t>:</w:t>
      </w:r>
      <w:r w:rsidR="00586EA8">
        <w:t xml:space="preserve"> </w:t>
      </w:r>
      <w:r w:rsidR="007914E9">
        <w:t>t</w:t>
      </w:r>
      <w:r w:rsidR="00F42A70" w:rsidRPr="00755DBF">
        <w:t xml:space="preserve">he evidence base for the stated effect </w:t>
      </w:r>
      <w:r w:rsidR="00755DBF">
        <w:t>from</w:t>
      </w:r>
      <w:r w:rsidR="00F42A70" w:rsidRPr="00755DBF">
        <w:t xml:space="preserve"> the main text</w:t>
      </w:r>
      <w:r w:rsidR="00586EA8">
        <w:t xml:space="preserve"> (w</w:t>
      </w:r>
      <w:r w:rsidR="00586EA8" w:rsidRPr="00755DBF">
        <w:t>e considered an ef</w:t>
      </w:r>
      <w:r w:rsidR="00586EA8">
        <w:t xml:space="preserve">fect to be present if P </w:t>
      </w:r>
      <w:r w:rsidR="00586EA8" w:rsidRPr="00586EA8">
        <w:t>&lt;</w:t>
      </w:r>
      <w:r w:rsidR="00586EA8">
        <w:t xml:space="preserve"> </w:t>
      </w:r>
      <w:r w:rsidR="00586EA8" w:rsidRPr="00586EA8">
        <w:t>0.05)</w:t>
      </w:r>
      <w:r w:rsidR="004840E5" w:rsidRPr="00755DBF">
        <w:t>;</w:t>
      </w:r>
      <w:r w:rsidR="00586EA8">
        <w:t xml:space="preserve"> t</w:t>
      </w:r>
      <w:r w:rsidR="004F1D3F" w:rsidRPr="00586EA8">
        <w:t>he</w:t>
      </w:r>
      <w:r w:rsidR="00F42A70" w:rsidRPr="00586EA8">
        <w:t xml:space="preserve"> </w:t>
      </w:r>
      <w:r w:rsidR="00586EA8">
        <w:t>power of the study to detect this effect; the consistency of the effect across sub-groups; the consistency of the effect across similar or related outcomes; and the robustness of the effect to adjustment for multiple inferences (although statistical adjustment for multiple testing is of limited value without a pre-planned analytic protocol, we considered th</w:t>
      </w:r>
      <w:r w:rsidR="00A314EA">
        <w:t>e effect to be robust if the FDR q-value &lt; 0.05) [16].</w:t>
      </w:r>
    </w:p>
    <w:p w14:paraId="3F3AD0D9" w14:textId="639BFE53" w:rsidR="00F95930" w:rsidRDefault="004840E5" w:rsidP="00851BC2">
      <w:pPr>
        <w:spacing w:before="120" w:after="120" w:line="240" w:lineRule="auto"/>
      </w:pPr>
      <w:r>
        <w:t xml:space="preserve">We </w:t>
      </w:r>
      <w:r w:rsidR="00F42A70">
        <w:t xml:space="preserve">also </w:t>
      </w:r>
      <w:r>
        <w:t xml:space="preserve">considered </w:t>
      </w:r>
      <w:r w:rsidR="00586EA8">
        <w:t>whether</w:t>
      </w:r>
      <w:r>
        <w:t xml:space="preserve"> intermediate effects </w:t>
      </w:r>
      <w:r w:rsidR="00291EBE">
        <w:t>were present or</w:t>
      </w:r>
      <w:r w:rsidR="00586EA8">
        <w:t xml:space="preserve"> absent on </w:t>
      </w:r>
      <w:r w:rsidR="007454FD" w:rsidRPr="00F7184E">
        <w:t>plausible causal pathway</w:t>
      </w:r>
      <w:r w:rsidR="00586EA8">
        <w:t>s</w:t>
      </w:r>
      <w:r w:rsidR="00F42A70">
        <w:t xml:space="preserve">, and </w:t>
      </w:r>
      <w:r w:rsidR="007454FD" w:rsidRPr="00F7184E">
        <w:t>the plausibility of the effect in relation to the in</w:t>
      </w:r>
      <w:r w:rsidR="007454FD">
        <w:t>tensity of the in</w:t>
      </w:r>
      <w:r w:rsidR="007454FD" w:rsidRPr="00F7184E">
        <w:t xml:space="preserve">tervention. </w:t>
      </w:r>
    </w:p>
    <w:p w14:paraId="4447BCB7" w14:textId="6F3FB8B2" w:rsidR="00296A23" w:rsidRPr="00421962" w:rsidRDefault="00296A23" w:rsidP="0026360F"/>
    <w:p w14:paraId="101ED0D4" w14:textId="6B5FC96C" w:rsidR="00777D53" w:rsidRPr="0037502B" w:rsidRDefault="00777D53" w:rsidP="0037502B">
      <w:pPr>
        <w:rPr>
          <w:b/>
          <w:sz w:val="28"/>
          <w:szCs w:val="28"/>
        </w:rPr>
      </w:pPr>
      <w:bookmarkStart w:id="4" w:name="_Toc437853529"/>
      <w:r w:rsidRPr="0037502B">
        <w:rPr>
          <w:b/>
          <w:sz w:val="28"/>
          <w:szCs w:val="28"/>
        </w:rPr>
        <w:t>Results</w:t>
      </w:r>
    </w:p>
    <w:bookmarkEnd w:id="4"/>
    <w:p w14:paraId="16D77E7A" w14:textId="77777777" w:rsidR="00112F4A" w:rsidRDefault="00D82301" w:rsidP="00112F4A">
      <w:pPr>
        <w:spacing w:before="120" w:after="120" w:line="240" w:lineRule="auto"/>
      </w:pPr>
      <w:r w:rsidRPr="00421962">
        <w:lastRenderedPageBreak/>
        <w:t>We identified three</w:t>
      </w:r>
      <w:r>
        <w:t xml:space="preserve"> unpublished,</w:t>
      </w:r>
      <w:r w:rsidRPr="00421962">
        <w:t xml:space="preserve"> </w:t>
      </w:r>
      <w:r w:rsidR="008F6284" w:rsidRPr="00421962">
        <w:t>long-</w:t>
      </w:r>
      <w:r w:rsidR="00096897" w:rsidRPr="00421962">
        <w:t xml:space="preserve">term follow-up studies </w:t>
      </w:r>
      <w:r w:rsidR="0050553F" w:rsidRPr="00421962">
        <w:t>[1</w:t>
      </w:r>
      <w:r w:rsidR="006F091C">
        <w:t>7</w:t>
      </w:r>
      <w:r w:rsidR="00441691">
        <w:t>][1</w:t>
      </w:r>
      <w:r w:rsidR="006F091C">
        <w:t>8</w:t>
      </w:r>
      <w:r w:rsidR="00441691">
        <w:t>][</w:t>
      </w:r>
      <w:r w:rsidR="006F091C">
        <w:t>19</w:t>
      </w:r>
      <w:r w:rsidR="0020406B" w:rsidRPr="00421962">
        <w:t>]</w:t>
      </w:r>
      <w:r w:rsidR="00096897" w:rsidRPr="00421962">
        <w:t xml:space="preserve">, based on two </w:t>
      </w:r>
      <w:r w:rsidR="008F6284" w:rsidRPr="00421962">
        <w:t xml:space="preserve">cluster-randomized trials </w:t>
      </w:r>
      <w:r w:rsidR="00096897" w:rsidRPr="00421962">
        <w:t xml:space="preserve">from Kenya </w:t>
      </w:r>
      <w:r w:rsidR="0050553F" w:rsidRPr="00421962">
        <w:t xml:space="preserve">and Uganda </w:t>
      </w:r>
      <w:r w:rsidR="00441691">
        <w:t>[2</w:t>
      </w:r>
      <w:r w:rsidR="006F091C">
        <w:t>0</w:t>
      </w:r>
      <w:r w:rsidR="00441691">
        <w:t>][</w:t>
      </w:r>
      <w:r w:rsidR="00441691" w:rsidRPr="00A2450F">
        <w:t>2</w:t>
      </w:r>
      <w:r w:rsidR="006F091C">
        <w:t>1</w:t>
      </w:r>
      <w:r w:rsidR="0020406B" w:rsidRPr="00A2450F">
        <w:t>]</w:t>
      </w:r>
      <w:r w:rsidR="008F6284" w:rsidRPr="00A2450F">
        <w:t xml:space="preserve"> (see table 1).</w:t>
      </w:r>
      <w:r w:rsidR="00F23293" w:rsidRPr="00A2450F">
        <w:t xml:space="preserve"> </w:t>
      </w:r>
      <w:r w:rsidR="00112F4A" w:rsidRPr="00421962">
        <w:t xml:space="preserve">One additional study was excluded, as it was not based on a randomized experiment </w:t>
      </w:r>
      <w:r w:rsidR="00112F4A">
        <w:t>[22</w:t>
      </w:r>
      <w:r w:rsidR="00112F4A" w:rsidRPr="00421962">
        <w:t xml:space="preserve">]. </w:t>
      </w:r>
    </w:p>
    <w:p w14:paraId="211FAA4F" w14:textId="417AB428" w:rsidR="009E15AD" w:rsidRDefault="00932BF5" w:rsidP="00851BC2">
      <w:pPr>
        <w:spacing w:before="120" w:after="120" w:line="240" w:lineRule="auto"/>
      </w:pPr>
      <w:r w:rsidRPr="00A2450F">
        <w:t>All three follow-</w:t>
      </w:r>
      <w:r w:rsidRPr="00421962">
        <w:t>up studies are economic working papers available on-line but not formally published</w:t>
      </w:r>
      <w:r w:rsidR="0053725A">
        <w:t xml:space="preserve"> (Appendix 1)</w:t>
      </w:r>
      <w:r w:rsidRPr="00421962">
        <w:t xml:space="preserve">. The study by Baird </w:t>
      </w:r>
      <w:r w:rsidR="00296A23">
        <w:t xml:space="preserve">has </w:t>
      </w:r>
      <w:r w:rsidR="003F1587">
        <w:t xml:space="preserve">been </w:t>
      </w:r>
      <w:r w:rsidR="00DE141A">
        <w:t>presented on-line in six iterations</w:t>
      </w:r>
      <w:r w:rsidR="00112F4A">
        <w:t xml:space="preserve">, </w:t>
      </w:r>
      <w:r w:rsidR="00DE141A">
        <w:t>although</w:t>
      </w:r>
      <w:r w:rsidR="00F67712">
        <w:t xml:space="preserve"> </w:t>
      </w:r>
      <w:r w:rsidR="00112F4A">
        <w:t>we were only able to access five (</w:t>
      </w:r>
      <w:r w:rsidR="00A80B8E" w:rsidRPr="00421962">
        <w:t>2011a, 2011b, 2012,</w:t>
      </w:r>
      <w:r w:rsidRPr="00421962">
        <w:t xml:space="preserve"> 2015</w:t>
      </w:r>
      <w:r w:rsidR="00AB4B4B">
        <w:t>, 2016</w:t>
      </w:r>
      <w:r w:rsidRPr="00421962">
        <w:t>)</w:t>
      </w:r>
      <w:r w:rsidR="00112F4A">
        <w:t>. T</w:t>
      </w:r>
      <w:r w:rsidRPr="00421962">
        <w:t>he stu</w:t>
      </w:r>
      <w:r w:rsidR="00A80B8E" w:rsidRPr="00421962">
        <w:t xml:space="preserve">dy by Ozier </w:t>
      </w:r>
      <w:r w:rsidR="00112F4A">
        <w:t xml:space="preserve">has been presented on-line </w:t>
      </w:r>
      <w:r w:rsidR="003F1587">
        <w:t xml:space="preserve">in </w:t>
      </w:r>
      <w:r w:rsidR="00F516D6">
        <w:t>four</w:t>
      </w:r>
      <w:r w:rsidR="00112F4A">
        <w:t xml:space="preserve"> iterations</w:t>
      </w:r>
      <w:r w:rsidR="00A80B8E" w:rsidRPr="00421962">
        <w:t xml:space="preserve"> (2011, 2014</w:t>
      </w:r>
      <w:r w:rsidRPr="00421962">
        <w:t>, 2015</w:t>
      </w:r>
      <w:r w:rsidR="00F516D6">
        <w:t>, 2016</w:t>
      </w:r>
      <w:r w:rsidRPr="00421962">
        <w:t xml:space="preserve">). </w:t>
      </w:r>
    </w:p>
    <w:p w14:paraId="5ECB9FB0" w14:textId="56866777" w:rsidR="007242BF" w:rsidRDefault="007242BF" w:rsidP="00851BC2">
      <w:pPr>
        <w:spacing w:before="120" w:after="120" w:line="240" w:lineRule="auto"/>
      </w:pPr>
      <w:r>
        <w:t xml:space="preserve">The search for published studies returned 94 records, of which none were </w:t>
      </w:r>
      <w:r w:rsidR="007B72D2">
        <w:t xml:space="preserve">judged </w:t>
      </w:r>
      <w:r>
        <w:t>relevant to this review: 8 reports corresponded to the base trials in the Cochrane review, 11 were studies older than the base trials, 40 were not relevant to deworming interventions, and the remaining 35 were not long-term follow-up studies.</w:t>
      </w:r>
    </w:p>
    <w:p w14:paraId="66D80EF8" w14:textId="7873FB4A" w:rsidR="00586025" w:rsidRPr="0037502B" w:rsidRDefault="00392ABD" w:rsidP="0037502B">
      <w:pPr>
        <w:rPr>
          <w:b/>
          <w:sz w:val="24"/>
          <w:szCs w:val="24"/>
        </w:rPr>
      </w:pPr>
      <w:r w:rsidRPr="0037502B">
        <w:rPr>
          <w:b/>
          <w:sz w:val="24"/>
          <w:szCs w:val="24"/>
        </w:rPr>
        <w:t>Kenya</w:t>
      </w:r>
      <w:r w:rsidR="00CE7F42" w:rsidRPr="0037502B">
        <w:rPr>
          <w:b/>
          <w:sz w:val="24"/>
          <w:szCs w:val="24"/>
        </w:rPr>
        <w:t xml:space="preserve"> trial</w:t>
      </w:r>
      <w:r w:rsidR="00466C1F" w:rsidRPr="0037502B">
        <w:rPr>
          <w:b/>
          <w:sz w:val="24"/>
          <w:szCs w:val="24"/>
        </w:rPr>
        <w:t xml:space="preserve"> (Miguel </w:t>
      </w:r>
      <w:r w:rsidR="002D1FF6" w:rsidRPr="0037502B">
        <w:rPr>
          <w:b/>
          <w:sz w:val="24"/>
          <w:szCs w:val="24"/>
        </w:rPr>
        <w:t xml:space="preserve">&amp; Kremer </w:t>
      </w:r>
      <w:r w:rsidR="00466C1F" w:rsidRPr="0037502B">
        <w:rPr>
          <w:b/>
          <w:sz w:val="24"/>
          <w:szCs w:val="24"/>
        </w:rPr>
        <w:t>2004)</w:t>
      </w:r>
    </w:p>
    <w:p w14:paraId="177E5F61" w14:textId="7D3C20BC" w:rsidR="00AC3CC7" w:rsidRPr="00421962" w:rsidRDefault="004F1213" w:rsidP="00851BC2">
      <w:pPr>
        <w:pStyle w:val="NoSpacing"/>
        <w:spacing w:before="120" w:after="120"/>
      </w:pPr>
      <w:r w:rsidRPr="005E34B3">
        <w:t xml:space="preserve">The base trial for </w:t>
      </w:r>
      <w:r w:rsidR="00D41F99" w:rsidRPr="005E34B3">
        <w:t xml:space="preserve">the first two </w:t>
      </w:r>
      <w:r w:rsidRPr="005E34B3">
        <w:t xml:space="preserve">studies was </w:t>
      </w:r>
      <w:r w:rsidR="009B1A44" w:rsidRPr="005E34B3">
        <w:t>conducted</w:t>
      </w:r>
      <w:r w:rsidR="00D41F99" w:rsidRPr="005E34B3">
        <w:t xml:space="preserve"> </w:t>
      </w:r>
      <w:r w:rsidR="009B1A44" w:rsidRPr="005E34B3">
        <w:t>in Busia District</w:t>
      </w:r>
      <w:r w:rsidR="00D41F99" w:rsidRPr="005E34B3">
        <w:t>,</w:t>
      </w:r>
      <w:r w:rsidR="009B1A44" w:rsidRPr="005E34B3">
        <w:t xml:space="preserve"> in Western Kenya</w:t>
      </w:r>
      <w:r w:rsidR="00D41F99" w:rsidRPr="005E34B3">
        <w:t>,</w:t>
      </w:r>
      <w:r w:rsidR="009B1A44" w:rsidRPr="005E34B3">
        <w:t xml:space="preserve"> </w:t>
      </w:r>
      <w:r w:rsidRPr="005E34B3">
        <w:t xml:space="preserve">by </w:t>
      </w:r>
      <w:r w:rsidR="00F06C1A" w:rsidRPr="005E34B3">
        <w:t xml:space="preserve">Miguel </w:t>
      </w:r>
      <w:r w:rsidR="00AA23E8">
        <w:t>and</w:t>
      </w:r>
      <w:r w:rsidR="002D1FF6" w:rsidRPr="005E34B3">
        <w:t xml:space="preserve"> Kremer</w:t>
      </w:r>
      <w:r w:rsidR="00D41F99" w:rsidRPr="005E34B3">
        <w:t xml:space="preserve">. </w:t>
      </w:r>
      <w:r w:rsidR="00D41F99" w:rsidRPr="005E34B3">
        <w:rPr>
          <w:bCs/>
          <w:color w:val="000000" w:themeColor="text1"/>
        </w:rPr>
        <w:t xml:space="preserve">The </w:t>
      </w:r>
      <w:r w:rsidR="00D41F99" w:rsidRPr="005E34B3">
        <w:rPr>
          <w:bCs/>
        </w:rPr>
        <w:t xml:space="preserve">intervention comprised deworming drugs administered every six months, plus regular </w:t>
      </w:r>
      <w:r w:rsidR="00D41F99" w:rsidRPr="005E34B3">
        <w:t xml:space="preserve">worm prevention education through public health lectures, wall charts, and training of teachers. Seventy-five schools, </w:t>
      </w:r>
      <w:r w:rsidR="00932BF5" w:rsidRPr="005E34B3">
        <w:t>with</w:t>
      </w:r>
      <w:r w:rsidR="00D25448" w:rsidRPr="005E34B3">
        <w:t xml:space="preserve"> 32</w:t>
      </w:r>
      <w:r w:rsidR="00312017">
        <w:t>,</w:t>
      </w:r>
      <w:r w:rsidR="00AC3CC7" w:rsidRPr="005E34B3">
        <w:t>565 pupils</w:t>
      </w:r>
      <w:r w:rsidR="00D41F99" w:rsidRPr="005E34B3">
        <w:t xml:space="preserve"> aged between 6 and 18 years,</w:t>
      </w:r>
      <w:r w:rsidR="00AC3CC7" w:rsidRPr="005E34B3">
        <w:t xml:space="preserve"> were </w:t>
      </w:r>
      <w:r w:rsidR="00AC3CC7" w:rsidRPr="005E34B3">
        <w:rPr>
          <w:bCs/>
        </w:rPr>
        <w:t xml:space="preserve">allocated sequentially to one of three treatment </w:t>
      </w:r>
      <w:r w:rsidR="00392ABD" w:rsidRPr="005E34B3">
        <w:rPr>
          <w:bCs/>
        </w:rPr>
        <w:t>groups</w:t>
      </w:r>
      <w:r w:rsidR="00AC3CC7" w:rsidRPr="005E34B3">
        <w:rPr>
          <w:bCs/>
        </w:rPr>
        <w:t>.</w:t>
      </w:r>
      <w:r w:rsidR="0087385F" w:rsidRPr="005E34B3">
        <w:rPr>
          <w:bCs/>
        </w:rPr>
        <w:t xml:space="preserve"> </w:t>
      </w:r>
      <w:r w:rsidR="00070CB5" w:rsidRPr="005E34B3">
        <w:t>Group 1 received the intervention from 1998, grou</w:t>
      </w:r>
      <w:r w:rsidR="005E1C9A" w:rsidRPr="005E34B3">
        <w:t>p</w:t>
      </w:r>
      <w:r w:rsidR="00070CB5" w:rsidRPr="005E34B3">
        <w:t xml:space="preserve"> 2 from 1999, and all groups received the intervention from 2001 onwards.</w:t>
      </w:r>
      <w:r w:rsidR="00070CB5" w:rsidRPr="00421962">
        <w:t xml:space="preserve"> </w:t>
      </w:r>
    </w:p>
    <w:p w14:paraId="3FE63D14" w14:textId="7A6F1D85" w:rsidR="00CE7F42" w:rsidRPr="00421962" w:rsidRDefault="00932BF5" w:rsidP="00851BC2">
      <w:pPr>
        <w:spacing w:before="120" w:after="120" w:line="240" w:lineRule="auto"/>
      </w:pPr>
      <w:r w:rsidRPr="00421962">
        <w:rPr>
          <w:b/>
        </w:rPr>
        <w:t>R</w:t>
      </w:r>
      <w:r w:rsidR="009D1561" w:rsidRPr="00421962">
        <w:rPr>
          <w:b/>
        </w:rPr>
        <w:t>isk of bias assessment:</w:t>
      </w:r>
      <w:r w:rsidR="00B00005" w:rsidRPr="00421962">
        <w:t xml:space="preserve"> </w:t>
      </w:r>
      <w:r w:rsidR="004E015E" w:rsidRPr="00421962">
        <w:t xml:space="preserve">The quasi-randomized design </w:t>
      </w:r>
      <w:r w:rsidR="008364B9" w:rsidRPr="00421962">
        <w:t>mean</w:t>
      </w:r>
      <w:r w:rsidR="004E015E" w:rsidRPr="00421962">
        <w:t>s</w:t>
      </w:r>
      <w:r w:rsidR="00BD187C" w:rsidRPr="00421962">
        <w:t xml:space="preserve"> that</w:t>
      </w:r>
      <w:r w:rsidR="008364B9" w:rsidRPr="00421962">
        <w:t xml:space="preserve"> </w:t>
      </w:r>
      <w:r w:rsidR="003B6730">
        <w:t xml:space="preserve">there is a </w:t>
      </w:r>
      <w:r w:rsidR="008364B9" w:rsidRPr="00421962">
        <w:t xml:space="preserve">small risk of systematic differences between groups, </w:t>
      </w:r>
      <w:r w:rsidR="006B7272">
        <w:t xml:space="preserve">and this risk </w:t>
      </w:r>
      <w:r w:rsidR="003B6730">
        <w:t xml:space="preserve">will </w:t>
      </w:r>
      <w:r w:rsidR="00291EBE">
        <w:t xml:space="preserve">probably </w:t>
      </w:r>
      <w:r w:rsidR="003B6730">
        <w:t xml:space="preserve">still be present in the follow-up studies. </w:t>
      </w:r>
      <w:r w:rsidR="006B7272">
        <w:t>In addition, a</w:t>
      </w:r>
      <w:r w:rsidR="003B6730">
        <w:t xml:space="preserve">ny effects observed in </w:t>
      </w:r>
      <w:r w:rsidR="00291EBE">
        <w:t xml:space="preserve">the </w:t>
      </w:r>
      <w:r w:rsidR="003B6730">
        <w:t xml:space="preserve">follow-up studies may be attributable to </w:t>
      </w:r>
      <w:r w:rsidR="00BE3C79">
        <w:t xml:space="preserve">the </w:t>
      </w:r>
      <w:r w:rsidR="007B72D2">
        <w:t xml:space="preserve">effects of </w:t>
      </w:r>
      <w:r w:rsidR="003B6730">
        <w:t>the public health education</w:t>
      </w:r>
      <w:r w:rsidR="007B72D2">
        <w:t xml:space="preserve"> </w:t>
      </w:r>
      <w:r w:rsidR="003B6730">
        <w:t>activities rather than the anti-helminthic drug</w:t>
      </w:r>
      <w:r w:rsidR="007F402C">
        <w:t>s</w:t>
      </w:r>
      <w:r w:rsidR="001A35BF">
        <w:t>. A</w:t>
      </w:r>
      <w:r w:rsidR="007F402C">
        <w:t xml:space="preserve">lthough some would argue this is part of the intervention, it is not the main component of </w:t>
      </w:r>
      <w:r w:rsidR="001A35BF">
        <w:t xml:space="preserve">most </w:t>
      </w:r>
      <w:r w:rsidR="007F402C">
        <w:t>large national deworming initiatives</w:t>
      </w:r>
      <w:r w:rsidR="00F82E5F">
        <w:t xml:space="preserve"> [10]</w:t>
      </w:r>
      <w:r w:rsidR="003B6730">
        <w:t xml:space="preserve">. </w:t>
      </w:r>
      <w:r w:rsidRPr="00421962">
        <w:t xml:space="preserve">A complete risk of bias assessment is </w:t>
      </w:r>
      <w:r w:rsidRPr="00A2450F">
        <w:t xml:space="preserve">available in </w:t>
      </w:r>
      <w:r w:rsidR="0053725A" w:rsidRPr="00A2450F">
        <w:t xml:space="preserve">table </w:t>
      </w:r>
      <w:r w:rsidR="00E14453">
        <w:t>2</w:t>
      </w:r>
      <w:r w:rsidRPr="00A2450F">
        <w:t>.</w:t>
      </w:r>
      <w:r w:rsidR="002219E7" w:rsidRPr="00A2450F">
        <w:t xml:space="preserve"> </w:t>
      </w:r>
      <w:r w:rsidR="00D126F8">
        <w:t>Of note, a</w:t>
      </w:r>
      <w:r w:rsidR="00477FC9">
        <w:t>n independent replication analysis of this</w:t>
      </w:r>
      <w:r w:rsidR="002219E7">
        <w:t xml:space="preserve"> trial </w:t>
      </w:r>
      <w:r w:rsidR="00477FC9">
        <w:t xml:space="preserve">was carried out </w:t>
      </w:r>
      <w:r w:rsidR="002219E7">
        <w:t>in 2015</w:t>
      </w:r>
      <w:r w:rsidR="00B63672">
        <w:t>,</w:t>
      </w:r>
      <w:r w:rsidR="002219E7">
        <w:t xml:space="preserve"> which found errors in the </w:t>
      </w:r>
      <w:r w:rsidR="007B72D2">
        <w:t xml:space="preserve">analysis </w:t>
      </w:r>
      <w:r w:rsidR="00291EBE">
        <w:t xml:space="preserve">of </w:t>
      </w:r>
      <w:r w:rsidR="00CD4E19">
        <w:t xml:space="preserve">reported </w:t>
      </w:r>
      <w:r w:rsidR="00291EBE">
        <w:t>effects on haemoglobin and nutritional status</w:t>
      </w:r>
      <w:r w:rsidR="003F1587">
        <w:t>,</w:t>
      </w:r>
      <w:r w:rsidR="00CD4E19">
        <w:t>;</w:t>
      </w:r>
      <w:r w:rsidR="003F1587">
        <w:t xml:space="preserve">the authors now acknowledge these effects are not </w:t>
      </w:r>
      <w:r w:rsidR="00CD2B0D">
        <w:t>“statistically significan</w:t>
      </w:r>
      <w:r w:rsidR="003F1587">
        <w:t>t</w:t>
      </w:r>
      <w:r w:rsidR="00CD2B0D">
        <w:t>”</w:t>
      </w:r>
      <w:r w:rsidR="00041A7E">
        <w:t xml:space="preserve">. In </w:t>
      </w:r>
      <w:r w:rsidR="00CD4E19">
        <w:t xml:space="preserve">a second </w:t>
      </w:r>
      <w:r w:rsidR="00041A7E">
        <w:t xml:space="preserve">replication </w:t>
      </w:r>
      <w:r w:rsidR="00477FC9">
        <w:t xml:space="preserve">that used </w:t>
      </w:r>
      <w:r w:rsidR="00041A7E">
        <w:t xml:space="preserve">the original authors analytical approach the externalities were </w:t>
      </w:r>
      <w:r w:rsidR="003F1587">
        <w:t xml:space="preserve">also </w:t>
      </w:r>
      <w:r w:rsidR="00041A7E">
        <w:t xml:space="preserve">not demonstrable, </w:t>
      </w:r>
      <w:r w:rsidR="003F1587">
        <w:t xml:space="preserve">but </w:t>
      </w:r>
      <w:r w:rsidR="00041A7E">
        <w:t xml:space="preserve">the original trial authors have adjusted the parameters, conducted new analyses, and contest this </w:t>
      </w:r>
      <w:r w:rsidR="00D17327">
        <w:t>[2</w:t>
      </w:r>
      <w:r w:rsidR="00BE41F2">
        <w:t>3</w:t>
      </w:r>
      <w:r w:rsidR="00D17327">
        <w:t>][2</w:t>
      </w:r>
      <w:r w:rsidR="00BE41F2">
        <w:t>4</w:t>
      </w:r>
      <w:r w:rsidR="00F54272">
        <w:t>]</w:t>
      </w:r>
      <w:r w:rsidR="00D17327">
        <w:t>[2</w:t>
      </w:r>
      <w:r w:rsidR="00BE41F2">
        <w:t>5</w:t>
      </w:r>
      <w:r w:rsidR="00364323">
        <w:t>]</w:t>
      </w:r>
      <w:r w:rsidR="00F54272">
        <w:t>.</w:t>
      </w:r>
    </w:p>
    <w:p w14:paraId="06186490" w14:textId="7465851D" w:rsidR="00CE7F42" w:rsidRPr="0037502B" w:rsidRDefault="00932BF5" w:rsidP="0037502B">
      <w:pPr>
        <w:rPr>
          <w:b/>
          <w:sz w:val="24"/>
          <w:szCs w:val="24"/>
        </w:rPr>
      </w:pPr>
      <w:r w:rsidRPr="0037502B">
        <w:rPr>
          <w:b/>
          <w:sz w:val="24"/>
          <w:szCs w:val="24"/>
        </w:rPr>
        <w:t>Baird</w:t>
      </w:r>
      <w:r w:rsidR="00CE7F42" w:rsidRPr="0037502B">
        <w:rPr>
          <w:b/>
          <w:sz w:val="24"/>
          <w:szCs w:val="24"/>
        </w:rPr>
        <w:t xml:space="preserve"> </w:t>
      </w:r>
      <w:r w:rsidR="0030348B" w:rsidRPr="0037502B">
        <w:rPr>
          <w:b/>
          <w:sz w:val="24"/>
          <w:szCs w:val="24"/>
        </w:rPr>
        <w:t xml:space="preserve">study (reported in a </w:t>
      </w:r>
      <w:r w:rsidR="00CE7F42" w:rsidRPr="0037502B">
        <w:rPr>
          <w:b/>
          <w:sz w:val="24"/>
          <w:szCs w:val="24"/>
        </w:rPr>
        <w:t>series</w:t>
      </w:r>
      <w:r w:rsidR="0030348B" w:rsidRPr="0037502B">
        <w:rPr>
          <w:b/>
          <w:sz w:val="24"/>
          <w:szCs w:val="24"/>
        </w:rPr>
        <w:t xml:space="preserve"> of papers </w:t>
      </w:r>
      <w:r w:rsidR="00C456F0" w:rsidRPr="0037502B">
        <w:rPr>
          <w:b/>
          <w:sz w:val="24"/>
          <w:szCs w:val="24"/>
        </w:rPr>
        <w:t>201</w:t>
      </w:r>
      <w:r w:rsidR="00A47AB5">
        <w:rPr>
          <w:b/>
          <w:sz w:val="24"/>
          <w:szCs w:val="24"/>
        </w:rPr>
        <w:t>0</w:t>
      </w:r>
      <w:r w:rsidR="00C456F0" w:rsidRPr="0037502B">
        <w:rPr>
          <w:b/>
          <w:sz w:val="24"/>
          <w:szCs w:val="24"/>
        </w:rPr>
        <w:t>-1</w:t>
      </w:r>
      <w:r w:rsidR="00F516D6" w:rsidRPr="0037502B">
        <w:rPr>
          <w:b/>
          <w:sz w:val="24"/>
          <w:szCs w:val="24"/>
        </w:rPr>
        <w:t>6</w:t>
      </w:r>
      <w:r w:rsidR="00B00005" w:rsidRPr="0037502B">
        <w:rPr>
          <w:b/>
          <w:sz w:val="24"/>
          <w:szCs w:val="24"/>
        </w:rPr>
        <w:t>)</w:t>
      </w:r>
    </w:p>
    <w:p w14:paraId="4DECFF8C" w14:textId="1D0AB71E" w:rsidR="00504322" w:rsidRDefault="00392ABD" w:rsidP="00851BC2">
      <w:pPr>
        <w:spacing w:before="120" w:after="120" w:line="240" w:lineRule="auto"/>
      </w:pPr>
      <w:r w:rsidRPr="00421962">
        <w:t>The Baird series</w:t>
      </w:r>
      <w:r w:rsidR="00C456F0" w:rsidRPr="00421962">
        <w:t xml:space="preserve"> </w:t>
      </w:r>
      <w:r w:rsidRPr="00421962">
        <w:t>analyse a questionnaire survey of 5084 adults, 9 to 11 years</w:t>
      </w:r>
      <w:r w:rsidR="00291EBE">
        <w:t xml:space="preserve"> after they participated in the Kenyan trial</w:t>
      </w:r>
      <w:r w:rsidR="00C92937">
        <w:t xml:space="preserve"> [20</w:t>
      </w:r>
      <w:r w:rsidR="003B0D31">
        <w:t>]</w:t>
      </w:r>
      <w:r w:rsidR="00BE3C79">
        <w:t>.</w:t>
      </w:r>
      <w:r w:rsidRPr="00421962">
        <w:t xml:space="preserve"> The analysis compares adults from schools who began receiving the intervention in 1998 and 1999, with adults from schools who </w:t>
      </w:r>
      <w:r w:rsidR="00EF21F2" w:rsidRPr="00421962">
        <w:t>did not</w:t>
      </w:r>
      <w:r w:rsidRPr="00421962">
        <w:t xml:space="preserve"> receive th</w:t>
      </w:r>
      <w:r w:rsidR="00BD187C" w:rsidRPr="00421962">
        <w:t>e intervention until 2001 (see A</w:t>
      </w:r>
      <w:r w:rsidR="00AD1C70" w:rsidRPr="00421962">
        <w:t>ppendix 2</w:t>
      </w:r>
      <w:r w:rsidR="000F579A">
        <w:t>).</w:t>
      </w:r>
    </w:p>
    <w:p w14:paraId="3038C837" w14:textId="11AB0FF5" w:rsidR="00392ABD" w:rsidRPr="00A2450F" w:rsidRDefault="00392ABD" w:rsidP="00851BC2">
      <w:pPr>
        <w:spacing w:before="120" w:after="120" w:line="240" w:lineRule="auto"/>
      </w:pPr>
      <w:r w:rsidRPr="00421962">
        <w:t xml:space="preserve">As all participants </w:t>
      </w:r>
      <w:r w:rsidR="001E2E25" w:rsidRPr="00421962">
        <w:t xml:space="preserve">eventually </w:t>
      </w:r>
      <w:r w:rsidRPr="00421962">
        <w:t>received the intervention, th</w:t>
      </w:r>
      <w:r w:rsidR="00504322">
        <w:t>is s</w:t>
      </w:r>
      <w:r w:rsidR="00291EBE">
        <w:t xml:space="preserve">tudy looks </w:t>
      </w:r>
      <w:r w:rsidR="00504322">
        <w:t xml:space="preserve">for effects attributable to the intervention group receiving an additional 2.4 years of </w:t>
      </w:r>
      <w:r w:rsidR="00291EBE">
        <w:t xml:space="preserve">the </w:t>
      </w:r>
      <w:r w:rsidR="00504322">
        <w:t>deworming</w:t>
      </w:r>
      <w:r w:rsidR="00291EBE">
        <w:t xml:space="preserve"> intervention</w:t>
      </w:r>
      <w:r w:rsidR="00504322">
        <w:t xml:space="preserve"> compared to the control </w:t>
      </w:r>
      <w:r w:rsidR="00504322" w:rsidRPr="00A2450F">
        <w:t>group (table 1).</w:t>
      </w:r>
      <w:r w:rsidR="001E2E25" w:rsidRPr="00A2450F">
        <w:t xml:space="preserve"> </w:t>
      </w:r>
      <w:r w:rsidR="00E26AD1" w:rsidRPr="00A2450F">
        <w:t>The</w:t>
      </w:r>
      <w:r w:rsidR="007434DB" w:rsidRPr="00A2450F">
        <w:t xml:space="preserve"> </w:t>
      </w:r>
      <w:r w:rsidR="00BD3368" w:rsidRPr="00A2450F">
        <w:t xml:space="preserve">paper presents </w:t>
      </w:r>
      <w:r w:rsidRPr="00A2450F">
        <w:t xml:space="preserve">data on nutritional, health, </w:t>
      </w:r>
      <w:r w:rsidR="00BD3368" w:rsidRPr="00A2450F">
        <w:t xml:space="preserve">schooling </w:t>
      </w:r>
      <w:r w:rsidRPr="00A2450F">
        <w:t xml:space="preserve">and labour market outcomes. </w:t>
      </w:r>
    </w:p>
    <w:p w14:paraId="659E851F" w14:textId="368C1312" w:rsidR="00F95930" w:rsidRDefault="00FC0821" w:rsidP="00851BC2">
      <w:pPr>
        <w:spacing w:before="120" w:after="120" w:line="240" w:lineRule="auto"/>
      </w:pPr>
      <w:r w:rsidRPr="00A2450F">
        <w:rPr>
          <w:b/>
        </w:rPr>
        <w:t xml:space="preserve">Risk of bias assessment: </w:t>
      </w:r>
      <w:r w:rsidR="00912E29" w:rsidRPr="00A2450F">
        <w:t xml:space="preserve">The </w:t>
      </w:r>
      <w:r w:rsidR="001E0BE5" w:rsidRPr="00A2450F">
        <w:t xml:space="preserve">survey sampled adults from a complete list of all children who attended the schools </w:t>
      </w:r>
      <w:r w:rsidR="0053725B" w:rsidRPr="00A2450F">
        <w:t>quasi-</w:t>
      </w:r>
      <w:r w:rsidR="001E0BE5" w:rsidRPr="00A2450F">
        <w:t>randomized</w:t>
      </w:r>
      <w:r w:rsidR="007E15C7" w:rsidRPr="00A2450F">
        <w:t xml:space="preserve"> </w:t>
      </w:r>
      <w:r w:rsidR="001E0BE5" w:rsidRPr="00A2450F">
        <w:t>in the base trial</w:t>
      </w:r>
      <w:r w:rsidR="001F76ED" w:rsidRPr="00A2450F">
        <w:t>,</w:t>
      </w:r>
      <w:r w:rsidR="001E0BE5" w:rsidRPr="00A2450F">
        <w:t xml:space="preserve"> u</w:t>
      </w:r>
      <w:r w:rsidR="001F76ED" w:rsidRPr="00A2450F">
        <w:t>sing computerized randomization</w:t>
      </w:r>
      <w:r w:rsidR="001E0BE5" w:rsidRPr="00A2450F">
        <w:t xml:space="preserve"> and </w:t>
      </w:r>
      <w:r w:rsidR="00912E29" w:rsidRPr="00A2450F">
        <w:t xml:space="preserve">stratified by school, grade and gender </w:t>
      </w:r>
      <w:r w:rsidR="0053725A" w:rsidRPr="00A2450F">
        <w:t xml:space="preserve">(see table </w:t>
      </w:r>
      <w:r w:rsidR="00E14453">
        <w:t>3</w:t>
      </w:r>
      <w:r w:rsidR="00717445" w:rsidRPr="00A2450F">
        <w:t>)</w:t>
      </w:r>
      <w:r w:rsidR="00303966" w:rsidRPr="00A2450F">
        <w:t xml:space="preserve">. </w:t>
      </w:r>
      <w:r w:rsidR="001E0BE5" w:rsidRPr="00A2450F">
        <w:t>Baseline data were presented for age and academic performance prior to the base trial, and although these</w:t>
      </w:r>
      <w:r w:rsidR="001E0BE5">
        <w:t xml:space="preserve"> appear balanced</w:t>
      </w:r>
      <w:r w:rsidR="00291EBE">
        <w:t xml:space="preserve"> this is probably insufficient to exclude the possibility of confounding due to the quasi-randomized design of the base trial</w:t>
      </w:r>
      <w:r w:rsidR="00504322">
        <w:t>. T</w:t>
      </w:r>
      <w:r w:rsidR="007B72D2">
        <w:t>he</w:t>
      </w:r>
      <w:r w:rsidR="00291EBE">
        <w:t xml:space="preserve"> analysis</w:t>
      </w:r>
      <w:r w:rsidR="001A35BF">
        <w:t xml:space="preserve"> </w:t>
      </w:r>
      <w:r w:rsidR="00504322">
        <w:t xml:space="preserve">did not </w:t>
      </w:r>
      <w:r w:rsidR="00291EBE">
        <w:t>follow</w:t>
      </w:r>
      <w:r w:rsidR="00504322">
        <w:t xml:space="preserve"> a pre-planned protocol</w:t>
      </w:r>
      <w:r w:rsidR="00291EBE">
        <w:t xml:space="preserve">, and those analysing the data were not blinded to treatment allocation. </w:t>
      </w:r>
    </w:p>
    <w:p w14:paraId="7BCD9838" w14:textId="55A5DEDA" w:rsidR="001F76ED" w:rsidRDefault="00F95930" w:rsidP="00851BC2">
      <w:pPr>
        <w:spacing w:before="120" w:after="120" w:line="240" w:lineRule="auto"/>
      </w:pPr>
      <w:r>
        <w:t>The five versions available on-line</w:t>
      </w:r>
      <w:r w:rsidR="00A47AB5">
        <w:t xml:space="preserve"> to mid-2016</w:t>
      </w:r>
      <w:r>
        <w:t xml:space="preserve"> contain substantially different analyses which appear exploratory, and there</w:t>
      </w:r>
      <w:r w:rsidRPr="005E34B3">
        <w:t xml:space="preserve"> is a high risk </w:t>
      </w:r>
      <w:r w:rsidRPr="005E34B3">
        <w:rPr>
          <w:color w:val="000000" w:themeColor="text1"/>
        </w:rPr>
        <w:t xml:space="preserve">of false positive results with the number of hypotheses tested for </w:t>
      </w:r>
      <w:r w:rsidRPr="005E34B3">
        <w:rPr>
          <w:color w:val="000000" w:themeColor="text1"/>
        </w:rPr>
        <w:lastRenderedPageBreak/>
        <w:t>statistical significance increasing from 228 in Baird 2011a to 650 in Baird 2016</w:t>
      </w:r>
      <w:r>
        <w:rPr>
          <w:color w:val="000000" w:themeColor="text1"/>
        </w:rPr>
        <w:t xml:space="preserve">, largely due to the introduction of sub-group </w:t>
      </w:r>
      <w:r w:rsidRPr="00A2450F">
        <w:rPr>
          <w:color w:val="000000" w:themeColor="text1"/>
        </w:rPr>
        <w:t xml:space="preserve">analyses (see Appendix </w:t>
      </w:r>
      <w:r w:rsidR="00CC7CA3">
        <w:rPr>
          <w:color w:val="000000" w:themeColor="text1"/>
        </w:rPr>
        <w:t>3</w:t>
      </w:r>
      <w:r w:rsidRPr="00A2450F">
        <w:rPr>
          <w:color w:val="000000" w:themeColor="text1"/>
        </w:rPr>
        <w:t>).</w:t>
      </w:r>
      <w:r w:rsidR="003F009D">
        <w:t xml:space="preserve"> This process appear</w:t>
      </w:r>
      <w:r w:rsidR="001842E2">
        <w:t>s</w:t>
      </w:r>
      <w:r w:rsidR="003F009D">
        <w:t xml:space="preserve"> to </w:t>
      </w:r>
      <w:r w:rsidR="001842E2">
        <w:t xml:space="preserve">be at </w:t>
      </w:r>
      <w:r w:rsidR="001A35BF">
        <w:t>high risk of reporting bias</w:t>
      </w:r>
      <w:r w:rsidR="00291EBE">
        <w:t xml:space="preserve">, </w:t>
      </w:r>
      <w:r w:rsidR="00A95F0E">
        <w:t xml:space="preserve">and </w:t>
      </w:r>
      <w:r>
        <w:t xml:space="preserve">a narrative analysis </w:t>
      </w:r>
      <w:r w:rsidR="001842E2">
        <w:t xml:space="preserve">suggests </w:t>
      </w:r>
      <w:r>
        <w:t xml:space="preserve">selective reporting: </w:t>
      </w:r>
    </w:p>
    <w:p w14:paraId="63737A3B" w14:textId="6A3AE28B" w:rsidR="001E2E25" w:rsidRPr="005E4895" w:rsidRDefault="0002533E" w:rsidP="005E4895">
      <w:pPr>
        <w:pStyle w:val="ListParagraph"/>
        <w:numPr>
          <w:ilvl w:val="0"/>
          <w:numId w:val="23"/>
        </w:numPr>
        <w:rPr>
          <w:rFonts w:asciiTheme="minorHAnsi" w:hAnsiTheme="minorHAnsi"/>
        </w:rPr>
      </w:pPr>
      <w:r w:rsidRPr="005E4895">
        <w:rPr>
          <w:rFonts w:asciiTheme="minorHAnsi" w:hAnsiTheme="minorHAnsi"/>
        </w:rPr>
        <w:t xml:space="preserve">Some outcomes </w:t>
      </w:r>
      <w:r w:rsidR="001E2E25" w:rsidRPr="005E4895">
        <w:rPr>
          <w:rFonts w:asciiTheme="minorHAnsi" w:hAnsiTheme="minorHAnsi"/>
        </w:rPr>
        <w:t>reported in</w:t>
      </w:r>
      <w:r w:rsidRPr="005E4895">
        <w:rPr>
          <w:rFonts w:asciiTheme="minorHAnsi" w:hAnsiTheme="minorHAnsi"/>
        </w:rPr>
        <w:t xml:space="preserve"> early versions </w:t>
      </w:r>
      <w:r w:rsidR="00A80B8E" w:rsidRPr="005E4895">
        <w:rPr>
          <w:rFonts w:asciiTheme="minorHAnsi" w:hAnsiTheme="minorHAnsi"/>
        </w:rPr>
        <w:t xml:space="preserve">were </w:t>
      </w:r>
      <w:r w:rsidR="00096897" w:rsidRPr="005E4895">
        <w:rPr>
          <w:rFonts w:asciiTheme="minorHAnsi" w:hAnsiTheme="minorHAnsi"/>
        </w:rPr>
        <w:t>dropped</w:t>
      </w:r>
      <w:r w:rsidR="00A80B8E" w:rsidRPr="005E4895">
        <w:rPr>
          <w:rFonts w:asciiTheme="minorHAnsi" w:hAnsiTheme="minorHAnsi"/>
        </w:rPr>
        <w:t xml:space="preserve"> from later versions</w:t>
      </w:r>
      <w:r w:rsidR="003E2AB9" w:rsidRPr="005E4895">
        <w:rPr>
          <w:rFonts w:asciiTheme="minorHAnsi" w:hAnsiTheme="minorHAnsi"/>
        </w:rPr>
        <w:t xml:space="preserve">. It is not clear to the reader why, but it </w:t>
      </w:r>
      <w:r w:rsidR="001A35BF" w:rsidRPr="005E4895">
        <w:rPr>
          <w:rFonts w:asciiTheme="minorHAnsi" w:hAnsiTheme="minorHAnsi"/>
        </w:rPr>
        <w:t xml:space="preserve">is likely </w:t>
      </w:r>
      <w:r w:rsidR="001A35BF" w:rsidRPr="001842E2">
        <w:rPr>
          <w:rFonts w:asciiTheme="minorHAnsi" w:hAnsiTheme="minorHAnsi"/>
        </w:rPr>
        <w:t xml:space="preserve">to </w:t>
      </w:r>
      <w:r w:rsidR="003E2AB9" w:rsidRPr="001842E2">
        <w:rPr>
          <w:rFonts w:asciiTheme="minorHAnsi" w:hAnsiTheme="minorHAnsi"/>
        </w:rPr>
        <w:t xml:space="preserve">be </w:t>
      </w:r>
      <w:r w:rsidR="00A80B8E" w:rsidRPr="001842E2">
        <w:rPr>
          <w:rFonts w:asciiTheme="minorHAnsi" w:hAnsiTheme="minorHAnsi"/>
        </w:rPr>
        <w:t xml:space="preserve">due to </w:t>
      </w:r>
      <w:r w:rsidR="00096897" w:rsidRPr="001842E2">
        <w:rPr>
          <w:rFonts w:asciiTheme="minorHAnsi" w:hAnsiTheme="minorHAnsi"/>
        </w:rPr>
        <w:t xml:space="preserve">the </w:t>
      </w:r>
      <w:r w:rsidR="001842E2">
        <w:rPr>
          <w:rFonts w:asciiTheme="minorHAnsi" w:hAnsiTheme="minorHAnsi"/>
        </w:rPr>
        <w:t>failure to demonstrate an</w:t>
      </w:r>
      <w:r w:rsidR="001842E2" w:rsidRPr="00945D72">
        <w:rPr>
          <w:rFonts w:asciiTheme="minorHAnsi" w:hAnsiTheme="minorHAnsi"/>
        </w:rPr>
        <w:t xml:space="preserve"> effect</w:t>
      </w:r>
      <w:r w:rsidR="00CD2B0D" w:rsidRPr="005E4895">
        <w:rPr>
          <w:rFonts w:asciiTheme="minorHAnsi" w:hAnsiTheme="minorHAnsi"/>
        </w:rPr>
        <w:t xml:space="preserve"> </w:t>
      </w:r>
      <w:r w:rsidR="00096897" w:rsidRPr="005E4895">
        <w:rPr>
          <w:rFonts w:asciiTheme="minorHAnsi" w:hAnsiTheme="minorHAnsi"/>
        </w:rPr>
        <w:t>(</w:t>
      </w:r>
      <w:r w:rsidR="009F1417" w:rsidRPr="005E4895">
        <w:rPr>
          <w:rFonts w:asciiTheme="minorHAnsi" w:hAnsiTheme="minorHAnsi"/>
        </w:rPr>
        <w:t xml:space="preserve">for example, </w:t>
      </w:r>
      <w:r w:rsidRPr="005E4895">
        <w:rPr>
          <w:rFonts w:asciiTheme="minorHAnsi" w:hAnsiTheme="minorHAnsi"/>
        </w:rPr>
        <w:t>cognitive test results reported in 2011a</w:t>
      </w:r>
      <w:r w:rsidR="00F3632A" w:rsidRPr="005E4895">
        <w:rPr>
          <w:rFonts w:asciiTheme="minorHAnsi" w:hAnsiTheme="minorHAnsi"/>
        </w:rPr>
        <w:t>, but absent in 201</w:t>
      </w:r>
      <w:r w:rsidR="00C13771" w:rsidRPr="005E4895">
        <w:rPr>
          <w:rFonts w:asciiTheme="minorHAnsi" w:hAnsiTheme="minorHAnsi"/>
        </w:rPr>
        <w:t>6</w:t>
      </w:r>
      <w:r w:rsidR="00096897" w:rsidRPr="005E4895">
        <w:rPr>
          <w:rFonts w:asciiTheme="minorHAnsi" w:hAnsiTheme="minorHAnsi"/>
        </w:rPr>
        <w:t xml:space="preserve">; with </w:t>
      </w:r>
      <w:r w:rsidR="00FF48EA" w:rsidRPr="005E4895">
        <w:rPr>
          <w:rFonts w:asciiTheme="minorHAnsi" w:hAnsiTheme="minorHAnsi"/>
        </w:rPr>
        <w:t xml:space="preserve">no apparent effect on Ravens Matrices or </w:t>
      </w:r>
      <w:r w:rsidR="002D2DDD" w:rsidRPr="005E4895">
        <w:rPr>
          <w:rFonts w:asciiTheme="minorHAnsi" w:hAnsiTheme="minorHAnsi"/>
        </w:rPr>
        <w:t>English vocabulary</w:t>
      </w:r>
      <w:r w:rsidR="00FF48EA" w:rsidRPr="005E4895">
        <w:rPr>
          <w:rFonts w:asciiTheme="minorHAnsi" w:hAnsiTheme="minorHAnsi"/>
        </w:rPr>
        <w:t>)</w:t>
      </w:r>
      <w:r w:rsidR="007B72D2" w:rsidRPr="005E4895">
        <w:rPr>
          <w:rFonts w:asciiTheme="minorHAnsi" w:hAnsiTheme="minorHAnsi"/>
        </w:rPr>
        <w:t>;</w:t>
      </w:r>
    </w:p>
    <w:p w14:paraId="2311B224" w14:textId="74B74283" w:rsidR="00824FE4" w:rsidRPr="005E4895" w:rsidRDefault="001842E2" w:rsidP="005E4895">
      <w:pPr>
        <w:pStyle w:val="ListParagraph"/>
        <w:numPr>
          <w:ilvl w:val="0"/>
          <w:numId w:val="23"/>
        </w:numPr>
        <w:rPr>
          <w:rFonts w:asciiTheme="minorHAnsi" w:hAnsiTheme="minorHAnsi"/>
        </w:rPr>
      </w:pPr>
      <w:r>
        <w:rPr>
          <w:rFonts w:asciiTheme="minorHAnsi" w:hAnsiTheme="minorHAnsi"/>
          <w:color w:val="000000" w:themeColor="text1"/>
        </w:rPr>
        <w:t>E</w:t>
      </w:r>
      <w:r w:rsidR="00CD2B0D" w:rsidRPr="005E4895">
        <w:rPr>
          <w:rFonts w:asciiTheme="minorHAnsi" w:hAnsiTheme="minorHAnsi"/>
          <w:color w:val="000000" w:themeColor="text1"/>
        </w:rPr>
        <w:t xml:space="preserve">ffects </w:t>
      </w:r>
      <w:r w:rsidR="00824FE4" w:rsidRPr="005E4895">
        <w:rPr>
          <w:rFonts w:asciiTheme="minorHAnsi" w:hAnsiTheme="minorHAnsi"/>
          <w:color w:val="000000" w:themeColor="text1"/>
        </w:rPr>
        <w:t>are presented for outcomes which appear to be part of a larger undisclosed data set (</w:t>
      </w:r>
      <w:r w:rsidR="00532FEB" w:rsidRPr="005E4895">
        <w:rPr>
          <w:rFonts w:asciiTheme="minorHAnsi" w:hAnsiTheme="minorHAnsi"/>
          <w:color w:val="000000" w:themeColor="text1"/>
        </w:rPr>
        <w:t>for example, “</w:t>
      </w:r>
      <w:r w:rsidR="008D36D3" w:rsidRPr="005E4895">
        <w:rPr>
          <w:rFonts w:asciiTheme="minorHAnsi" w:hAnsiTheme="minorHAnsi"/>
          <w:color w:val="000000" w:themeColor="text1"/>
        </w:rPr>
        <w:t>self-</w:t>
      </w:r>
      <w:r w:rsidR="00824FE4" w:rsidRPr="005E4895">
        <w:rPr>
          <w:rFonts w:asciiTheme="minorHAnsi" w:hAnsiTheme="minorHAnsi"/>
          <w:color w:val="000000" w:themeColor="text1"/>
        </w:rPr>
        <w:t>rep</w:t>
      </w:r>
      <w:r w:rsidR="00532FEB" w:rsidRPr="005E4895">
        <w:rPr>
          <w:rFonts w:asciiTheme="minorHAnsi" w:hAnsiTheme="minorHAnsi"/>
          <w:color w:val="000000" w:themeColor="text1"/>
        </w:rPr>
        <w:t>orted health rated as very good”</w:t>
      </w:r>
      <w:r w:rsidR="00824FE4" w:rsidRPr="005E4895">
        <w:rPr>
          <w:rFonts w:asciiTheme="minorHAnsi" w:hAnsiTheme="minorHAnsi"/>
          <w:color w:val="000000" w:themeColor="text1"/>
        </w:rPr>
        <w:t xml:space="preserve"> presented without addition</w:t>
      </w:r>
      <w:r w:rsidR="00532FEB" w:rsidRPr="005E4895">
        <w:rPr>
          <w:rFonts w:asciiTheme="minorHAnsi" w:hAnsiTheme="minorHAnsi"/>
          <w:color w:val="000000" w:themeColor="text1"/>
        </w:rPr>
        <w:t>al categories</w:t>
      </w:r>
      <w:r w:rsidR="000F0593">
        <w:rPr>
          <w:rFonts w:asciiTheme="minorHAnsi" w:hAnsiTheme="minorHAnsi"/>
          <w:color w:val="000000" w:themeColor="text1"/>
        </w:rPr>
        <w:t>;</w:t>
      </w:r>
      <w:r w:rsidR="00532FEB" w:rsidRPr="005E4895">
        <w:rPr>
          <w:rFonts w:asciiTheme="minorHAnsi" w:hAnsiTheme="minorHAnsi"/>
          <w:color w:val="000000" w:themeColor="text1"/>
        </w:rPr>
        <w:t xml:space="preserve"> and</w:t>
      </w:r>
      <w:r w:rsidR="00312017">
        <w:rPr>
          <w:rFonts w:asciiTheme="minorHAnsi" w:hAnsiTheme="minorHAnsi"/>
          <w:color w:val="000000" w:themeColor="text1"/>
        </w:rPr>
        <w:t xml:space="preserve"> “Kenyan women who participated as girls have fewer miscarriages”</w:t>
      </w:r>
      <w:r w:rsidR="00824FE4" w:rsidRPr="005E4895">
        <w:rPr>
          <w:rFonts w:asciiTheme="minorHAnsi" w:hAnsiTheme="minorHAnsi"/>
          <w:color w:val="000000" w:themeColor="text1"/>
        </w:rPr>
        <w:t xml:space="preserve"> without </w:t>
      </w:r>
      <w:r w:rsidR="000F0593">
        <w:rPr>
          <w:rFonts w:asciiTheme="minorHAnsi" w:hAnsiTheme="minorHAnsi"/>
          <w:color w:val="000000" w:themeColor="text1"/>
        </w:rPr>
        <w:t xml:space="preserve">presenting </w:t>
      </w:r>
      <w:r w:rsidR="00824FE4" w:rsidRPr="005E4895">
        <w:rPr>
          <w:rFonts w:asciiTheme="minorHAnsi" w:hAnsiTheme="minorHAnsi"/>
          <w:color w:val="000000" w:themeColor="text1"/>
        </w:rPr>
        <w:t xml:space="preserve">other health </w:t>
      </w:r>
      <w:r w:rsidR="005E34B3" w:rsidRPr="005E4895">
        <w:rPr>
          <w:rFonts w:asciiTheme="minorHAnsi" w:hAnsiTheme="minorHAnsi"/>
          <w:color w:val="000000" w:themeColor="text1"/>
        </w:rPr>
        <w:t xml:space="preserve">related </w:t>
      </w:r>
      <w:r w:rsidR="00824FE4" w:rsidRPr="005E4895">
        <w:rPr>
          <w:rFonts w:asciiTheme="minorHAnsi" w:hAnsiTheme="minorHAnsi"/>
          <w:color w:val="000000" w:themeColor="text1"/>
        </w:rPr>
        <w:t>outcomes)</w:t>
      </w:r>
      <w:r w:rsidR="007434DB" w:rsidRPr="005E4895">
        <w:rPr>
          <w:rFonts w:asciiTheme="minorHAnsi" w:hAnsiTheme="minorHAnsi"/>
          <w:color w:val="000000" w:themeColor="text1"/>
        </w:rPr>
        <w:t>;</w:t>
      </w:r>
    </w:p>
    <w:p w14:paraId="26F5C30D" w14:textId="78D22FA2" w:rsidR="005D3371" w:rsidRPr="005E4895" w:rsidRDefault="00FF3FB8" w:rsidP="005E4895">
      <w:pPr>
        <w:pStyle w:val="ListParagraph"/>
        <w:numPr>
          <w:ilvl w:val="0"/>
          <w:numId w:val="23"/>
        </w:numPr>
        <w:rPr>
          <w:rFonts w:asciiTheme="minorHAnsi" w:hAnsiTheme="minorHAnsi"/>
        </w:rPr>
      </w:pPr>
      <w:r w:rsidRPr="005E4895">
        <w:rPr>
          <w:rFonts w:asciiTheme="minorHAnsi" w:hAnsiTheme="minorHAnsi"/>
        </w:rPr>
        <w:t xml:space="preserve">Results </w:t>
      </w:r>
      <w:r w:rsidR="00096897" w:rsidRPr="005E4895">
        <w:rPr>
          <w:rFonts w:asciiTheme="minorHAnsi" w:hAnsiTheme="minorHAnsi"/>
        </w:rPr>
        <w:t>from post-hoc sub-group analyses are given pr</w:t>
      </w:r>
      <w:r w:rsidRPr="005E4895">
        <w:rPr>
          <w:rFonts w:asciiTheme="minorHAnsi" w:hAnsiTheme="minorHAnsi"/>
        </w:rPr>
        <w:t>om</w:t>
      </w:r>
      <w:r w:rsidR="00096897" w:rsidRPr="005E4895">
        <w:rPr>
          <w:rFonts w:asciiTheme="minorHAnsi" w:hAnsiTheme="minorHAnsi"/>
        </w:rPr>
        <w:t>inence</w:t>
      </w:r>
      <w:r w:rsidRPr="005E4895">
        <w:rPr>
          <w:rFonts w:asciiTheme="minorHAnsi" w:hAnsiTheme="minorHAnsi"/>
        </w:rPr>
        <w:t xml:space="preserve"> in the abstract and results </w:t>
      </w:r>
      <w:r w:rsidR="007B7EFB" w:rsidRPr="005E4895">
        <w:rPr>
          <w:rFonts w:asciiTheme="minorHAnsi" w:hAnsiTheme="minorHAnsi"/>
        </w:rPr>
        <w:t>(</w:t>
      </w:r>
      <w:r w:rsidR="009F1417" w:rsidRPr="005E4895">
        <w:rPr>
          <w:rFonts w:asciiTheme="minorHAnsi" w:hAnsiTheme="minorHAnsi"/>
        </w:rPr>
        <w:t>for example,</w:t>
      </w:r>
      <w:r w:rsidR="00CD2B0D" w:rsidRPr="005E4895">
        <w:rPr>
          <w:rFonts w:asciiTheme="minorHAnsi" w:hAnsiTheme="minorHAnsi"/>
        </w:rPr>
        <w:t xml:space="preserve"> an </w:t>
      </w:r>
      <w:r w:rsidR="007B7EFB" w:rsidRPr="005E4895">
        <w:rPr>
          <w:rFonts w:asciiTheme="minorHAnsi" w:hAnsiTheme="minorHAnsi"/>
        </w:rPr>
        <w:t>increase in secondary school attendance in females</w:t>
      </w:r>
      <w:r w:rsidR="00C13771" w:rsidRPr="005E4895">
        <w:rPr>
          <w:rFonts w:asciiTheme="minorHAnsi" w:hAnsiTheme="minorHAnsi"/>
        </w:rPr>
        <w:t xml:space="preserve"> is stated in the 2016</w:t>
      </w:r>
      <w:r w:rsidR="00096897" w:rsidRPr="005E4895">
        <w:rPr>
          <w:rFonts w:asciiTheme="minorHAnsi" w:hAnsiTheme="minorHAnsi"/>
        </w:rPr>
        <w:t xml:space="preserve"> abstract</w:t>
      </w:r>
      <w:r w:rsidR="007B7EFB" w:rsidRPr="005E4895">
        <w:rPr>
          <w:rFonts w:asciiTheme="minorHAnsi" w:hAnsiTheme="minorHAnsi"/>
        </w:rPr>
        <w:t xml:space="preserve">, </w:t>
      </w:r>
      <w:r w:rsidR="00096897" w:rsidRPr="005E4895">
        <w:rPr>
          <w:rFonts w:asciiTheme="minorHAnsi" w:hAnsiTheme="minorHAnsi"/>
        </w:rPr>
        <w:t>but no effect was</w:t>
      </w:r>
      <w:r w:rsidR="007B7EFB" w:rsidRPr="005E4895">
        <w:rPr>
          <w:rFonts w:asciiTheme="minorHAnsi" w:hAnsiTheme="minorHAnsi"/>
        </w:rPr>
        <w:t xml:space="preserve"> apparent in the whole sample</w:t>
      </w:r>
      <w:r w:rsidR="00A80B8E" w:rsidRPr="005E4895">
        <w:rPr>
          <w:rFonts w:asciiTheme="minorHAnsi" w:hAnsiTheme="minorHAnsi"/>
        </w:rPr>
        <w:t>,</w:t>
      </w:r>
      <w:r w:rsidR="007B7EFB" w:rsidRPr="005E4895">
        <w:rPr>
          <w:rFonts w:asciiTheme="minorHAnsi" w:hAnsiTheme="minorHAnsi"/>
        </w:rPr>
        <w:t xml:space="preserve"> and </w:t>
      </w:r>
      <w:r w:rsidR="001E2E25" w:rsidRPr="005E4895">
        <w:rPr>
          <w:rFonts w:asciiTheme="minorHAnsi" w:hAnsiTheme="minorHAnsi"/>
        </w:rPr>
        <w:t xml:space="preserve">disaggregation by sex </w:t>
      </w:r>
      <w:r w:rsidR="007B7EFB" w:rsidRPr="005E4895">
        <w:rPr>
          <w:rFonts w:asciiTheme="minorHAnsi" w:hAnsiTheme="minorHAnsi"/>
        </w:rPr>
        <w:t xml:space="preserve">only </w:t>
      </w:r>
      <w:r w:rsidR="00096897" w:rsidRPr="005E4895">
        <w:rPr>
          <w:rFonts w:asciiTheme="minorHAnsi" w:hAnsiTheme="minorHAnsi"/>
        </w:rPr>
        <w:t>appeared</w:t>
      </w:r>
      <w:r w:rsidR="007B7EFB" w:rsidRPr="005E4895">
        <w:rPr>
          <w:rFonts w:asciiTheme="minorHAnsi" w:hAnsiTheme="minorHAnsi"/>
        </w:rPr>
        <w:t xml:space="preserve"> from </w:t>
      </w:r>
      <w:r w:rsidR="001E2E25" w:rsidRPr="005E4895">
        <w:rPr>
          <w:rFonts w:asciiTheme="minorHAnsi" w:hAnsiTheme="minorHAnsi"/>
        </w:rPr>
        <w:t>2012</w:t>
      </w:r>
      <w:r w:rsidR="007B7EFB" w:rsidRPr="005E4895">
        <w:rPr>
          <w:rFonts w:asciiTheme="minorHAnsi" w:hAnsiTheme="minorHAnsi"/>
        </w:rPr>
        <w:t xml:space="preserve"> onwards</w:t>
      </w:r>
      <w:r w:rsidR="001E2E25" w:rsidRPr="005E4895">
        <w:rPr>
          <w:rFonts w:asciiTheme="minorHAnsi" w:hAnsiTheme="minorHAnsi"/>
        </w:rPr>
        <w:t>)</w:t>
      </w:r>
      <w:r w:rsidR="007434DB" w:rsidRPr="005E4895">
        <w:rPr>
          <w:rFonts w:asciiTheme="minorHAnsi" w:hAnsiTheme="minorHAnsi"/>
        </w:rPr>
        <w:t>;</w:t>
      </w:r>
    </w:p>
    <w:p w14:paraId="20F0AB97" w14:textId="20611539" w:rsidR="00696426" w:rsidRPr="005E4895" w:rsidRDefault="001E2E25" w:rsidP="005E4895">
      <w:pPr>
        <w:pStyle w:val="ListParagraph"/>
        <w:numPr>
          <w:ilvl w:val="0"/>
          <w:numId w:val="23"/>
        </w:numPr>
        <w:rPr>
          <w:rFonts w:asciiTheme="minorHAnsi" w:hAnsiTheme="minorHAnsi"/>
        </w:rPr>
      </w:pPr>
      <w:r w:rsidRPr="005E4895">
        <w:rPr>
          <w:rFonts w:asciiTheme="minorHAnsi" w:hAnsiTheme="minorHAnsi"/>
          <w:color w:val="000000" w:themeColor="text1"/>
        </w:rPr>
        <w:t>The abstract changed substanti</w:t>
      </w:r>
      <w:r w:rsidR="00B00F65" w:rsidRPr="005E4895">
        <w:rPr>
          <w:rFonts w:asciiTheme="minorHAnsi" w:hAnsiTheme="minorHAnsi"/>
          <w:color w:val="000000" w:themeColor="text1"/>
        </w:rPr>
        <w:t xml:space="preserve">ally </w:t>
      </w:r>
      <w:r w:rsidR="007434DB" w:rsidRPr="005E4895">
        <w:rPr>
          <w:rFonts w:asciiTheme="minorHAnsi" w:hAnsiTheme="minorHAnsi"/>
          <w:color w:val="000000" w:themeColor="text1"/>
        </w:rPr>
        <w:t xml:space="preserve">between versions, </w:t>
      </w:r>
      <w:r w:rsidR="009F1417" w:rsidRPr="005E4895">
        <w:rPr>
          <w:rFonts w:asciiTheme="minorHAnsi" w:hAnsiTheme="minorHAnsi"/>
          <w:color w:val="000000" w:themeColor="text1"/>
        </w:rPr>
        <w:t xml:space="preserve">but </w:t>
      </w:r>
      <w:r w:rsidR="00A95F0E" w:rsidRPr="005E4895">
        <w:rPr>
          <w:rFonts w:asciiTheme="minorHAnsi" w:hAnsiTheme="minorHAnsi"/>
          <w:color w:val="000000" w:themeColor="text1"/>
        </w:rPr>
        <w:t>none</w:t>
      </w:r>
      <w:r w:rsidR="00853B9E" w:rsidRPr="005E4895">
        <w:rPr>
          <w:rFonts w:asciiTheme="minorHAnsi" w:hAnsiTheme="minorHAnsi"/>
          <w:color w:val="000000" w:themeColor="text1"/>
        </w:rPr>
        <w:t xml:space="preserve"> report</w:t>
      </w:r>
      <w:r w:rsidR="00A95F0E" w:rsidRPr="005E4895">
        <w:rPr>
          <w:rFonts w:asciiTheme="minorHAnsi" w:hAnsiTheme="minorHAnsi"/>
          <w:color w:val="000000" w:themeColor="text1"/>
        </w:rPr>
        <w:t>ed</w:t>
      </w:r>
      <w:r w:rsidR="00853B9E" w:rsidRPr="005E4895">
        <w:rPr>
          <w:rFonts w:asciiTheme="minorHAnsi" w:hAnsiTheme="minorHAnsi"/>
          <w:color w:val="000000" w:themeColor="text1"/>
        </w:rPr>
        <w:t xml:space="preserve"> important findings </w:t>
      </w:r>
      <w:r w:rsidR="00A95F0E" w:rsidRPr="005E4895">
        <w:rPr>
          <w:rFonts w:asciiTheme="minorHAnsi" w:hAnsiTheme="minorHAnsi"/>
          <w:color w:val="000000" w:themeColor="text1"/>
        </w:rPr>
        <w:t xml:space="preserve">of </w:t>
      </w:r>
      <w:r w:rsidR="00853B9E" w:rsidRPr="005E4895">
        <w:rPr>
          <w:rFonts w:asciiTheme="minorHAnsi" w:hAnsiTheme="minorHAnsi"/>
          <w:color w:val="000000" w:themeColor="text1"/>
        </w:rPr>
        <w:t xml:space="preserve">no </w:t>
      </w:r>
      <w:r w:rsidR="00A95F0E" w:rsidRPr="005E4895">
        <w:rPr>
          <w:rFonts w:asciiTheme="minorHAnsi" w:hAnsiTheme="minorHAnsi"/>
          <w:color w:val="000000" w:themeColor="text1"/>
        </w:rPr>
        <w:t>effect</w:t>
      </w:r>
      <w:r w:rsidR="00853B9E" w:rsidRPr="005E4895">
        <w:rPr>
          <w:rFonts w:asciiTheme="minorHAnsi" w:hAnsiTheme="minorHAnsi"/>
          <w:color w:val="000000" w:themeColor="text1"/>
        </w:rPr>
        <w:t xml:space="preserve"> </w:t>
      </w:r>
      <w:r w:rsidR="00096897" w:rsidRPr="005E4895">
        <w:rPr>
          <w:rFonts w:asciiTheme="minorHAnsi" w:hAnsiTheme="minorHAnsi"/>
          <w:color w:val="000000" w:themeColor="text1"/>
        </w:rPr>
        <w:t>(</w:t>
      </w:r>
      <w:r w:rsidR="009F1417" w:rsidRPr="005E4895">
        <w:rPr>
          <w:rFonts w:asciiTheme="minorHAnsi" w:hAnsiTheme="minorHAnsi"/>
          <w:color w:val="000000" w:themeColor="text1"/>
        </w:rPr>
        <w:t xml:space="preserve">for example, </w:t>
      </w:r>
      <w:r w:rsidR="0008055A" w:rsidRPr="005E4895">
        <w:rPr>
          <w:rFonts w:asciiTheme="minorHAnsi" w:hAnsiTheme="minorHAnsi"/>
          <w:color w:val="000000" w:themeColor="text1"/>
        </w:rPr>
        <w:t xml:space="preserve">there were no </w:t>
      </w:r>
      <w:r w:rsidR="007B7EFB" w:rsidRPr="005E4895">
        <w:rPr>
          <w:rFonts w:asciiTheme="minorHAnsi" w:hAnsiTheme="minorHAnsi"/>
        </w:rPr>
        <w:t>effects</w:t>
      </w:r>
      <w:r w:rsidR="0008055A" w:rsidRPr="005E4895">
        <w:rPr>
          <w:rFonts w:asciiTheme="minorHAnsi" w:hAnsiTheme="minorHAnsi"/>
        </w:rPr>
        <w:t xml:space="preserve"> apparent</w:t>
      </w:r>
      <w:r w:rsidR="007B7EFB" w:rsidRPr="005E4895">
        <w:rPr>
          <w:rFonts w:asciiTheme="minorHAnsi" w:hAnsiTheme="minorHAnsi"/>
        </w:rPr>
        <w:t xml:space="preserve"> on BMI or height</w:t>
      </w:r>
      <w:r w:rsidR="0008055A" w:rsidRPr="005E4895">
        <w:rPr>
          <w:rFonts w:asciiTheme="minorHAnsi" w:hAnsiTheme="minorHAnsi"/>
        </w:rPr>
        <w:t xml:space="preserve"> but these </w:t>
      </w:r>
      <w:r w:rsidR="009F1417" w:rsidRPr="005E4895">
        <w:rPr>
          <w:rFonts w:asciiTheme="minorHAnsi" w:hAnsiTheme="minorHAnsi"/>
        </w:rPr>
        <w:t xml:space="preserve">are not reported in any of the five </w:t>
      </w:r>
      <w:r w:rsidR="0008055A" w:rsidRPr="005E4895">
        <w:rPr>
          <w:rFonts w:asciiTheme="minorHAnsi" w:hAnsiTheme="minorHAnsi"/>
        </w:rPr>
        <w:t>abstract</w:t>
      </w:r>
      <w:r w:rsidR="00925F57" w:rsidRPr="005E4895">
        <w:rPr>
          <w:rFonts w:asciiTheme="minorHAnsi" w:hAnsiTheme="minorHAnsi"/>
        </w:rPr>
        <w:t>s</w:t>
      </w:r>
      <w:r w:rsidR="007434DB" w:rsidRPr="005E4895">
        <w:rPr>
          <w:rFonts w:asciiTheme="minorHAnsi" w:hAnsiTheme="minorHAnsi"/>
          <w:color w:val="000000" w:themeColor="text1"/>
        </w:rPr>
        <w:t xml:space="preserve">; </w:t>
      </w:r>
      <w:r w:rsidR="0060223E" w:rsidRPr="005E4895">
        <w:rPr>
          <w:rFonts w:asciiTheme="minorHAnsi" w:hAnsiTheme="minorHAnsi"/>
          <w:color w:val="000000" w:themeColor="text1"/>
        </w:rPr>
        <w:t xml:space="preserve">see </w:t>
      </w:r>
      <w:r w:rsidR="00485815">
        <w:rPr>
          <w:rFonts w:asciiTheme="minorHAnsi" w:hAnsiTheme="minorHAnsi"/>
          <w:color w:val="000000" w:themeColor="text1"/>
        </w:rPr>
        <w:t xml:space="preserve">table 4 and </w:t>
      </w:r>
      <w:r w:rsidR="0060223E" w:rsidRPr="005E4895">
        <w:rPr>
          <w:rFonts w:asciiTheme="minorHAnsi" w:hAnsiTheme="minorHAnsi"/>
          <w:color w:val="000000" w:themeColor="text1"/>
        </w:rPr>
        <w:t xml:space="preserve">Appendix </w:t>
      </w:r>
      <w:r w:rsidR="00CC7CA3" w:rsidRPr="005E4895">
        <w:rPr>
          <w:rFonts w:asciiTheme="minorHAnsi" w:hAnsiTheme="minorHAnsi"/>
          <w:color w:val="000000" w:themeColor="text1"/>
        </w:rPr>
        <w:t>4</w:t>
      </w:r>
      <w:r w:rsidR="0060223E" w:rsidRPr="005E4895">
        <w:rPr>
          <w:rFonts w:asciiTheme="minorHAnsi" w:hAnsiTheme="minorHAnsi"/>
          <w:color w:val="000000" w:themeColor="text1"/>
        </w:rPr>
        <w:t>)</w:t>
      </w:r>
      <w:r w:rsidR="007B7EFB" w:rsidRPr="005E4895">
        <w:rPr>
          <w:rFonts w:asciiTheme="minorHAnsi" w:hAnsiTheme="minorHAnsi"/>
        </w:rPr>
        <w:t>.</w:t>
      </w:r>
    </w:p>
    <w:p w14:paraId="5C380D91" w14:textId="0E496FDB" w:rsidR="00E14453" w:rsidRPr="003F009D" w:rsidRDefault="00522C33" w:rsidP="003F009D">
      <w:r w:rsidRPr="00945D72">
        <w:t xml:space="preserve">To further examine the influence of selective reporting we compared the “statistically significant” findings </w:t>
      </w:r>
      <w:r w:rsidR="008C72F3" w:rsidRPr="00945D72">
        <w:t xml:space="preserve">(P &lt; 0.05) </w:t>
      </w:r>
      <w:r w:rsidRPr="00945D72">
        <w:t xml:space="preserve">presented in the abstract, with the overall findings presented in Baird 2011a </w:t>
      </w:r>
      <w:r w:rsidR="003F009D" w:rsidRPr="00945D72">
        <w:t xml:space="preserve">(table </w:t>
      </w:r>
      <w:r w:rsidR="00E14453" w:rsidRPr="00945D72">
        <w:t>4</w:t>
      </w:r>
      <w:r w:rsidR="003F009D" w:rsidRPr="00945D72">
        <w:t xml:space="preserve">). In the abstract, Baird reports that physical well-being, school enrolment and attendance, and school performance or cognition are significantly higher in the group receiving earlier deworming. However, in the main text tables, </w:t>
      </w:r>
      <w:r w:rsidR="00295E4B" w:rsidRPr="00945D72">
        <w:t>o</w:t>
      </w:r>
      <w:r w:rsidRPr="00945D72">
        <w:t>nly o</w:t>
      </w:r>
      <w:r w:rsidR="00295E4B" w:rsidRPr="00945D72">
        <w:t>ne</w:t>
      </w:r>
      <w:r w:rsidR="006F7AE5" w:rsidRPr="00945D72">
        <w:t xml:space="preserve"> </w:t>
      </w:r>
      <w:r w:rsidR="000F0593">
        <w:t xml:space="preserve">of the seven </w:t>
      </w:r>
      <w:r w:rsidR="00FE47AA">
        <w:t xml:space="preserve">outcomes </w:t>
      </w:r>
      <w:r w:rsidR="000F0593">
        <w:t xml:space="preserve">measuring </w:t>
      </w:r>
      <w:r w:rsidR="003F009D" w:rsidRPr="00945D72">
        <w:t>school performance/cognition</w:t>
      </w:r>
      <w:r w:rsidR="000F0593">
        <w:t xml:space="preserve"> is statistically significant</w:t>
      </w:r>
      <w:r w:rsidR="00FE47AA">
        <w:t>. Similarly,</w:t>
      </w:r>
      <w:r w:rsidR="000F0593">
        <w:t xml:space="preserve"> f</w:t>
      </w:r>
      <w:r w:rsidR="003F009D" w:rsidRPr="00945D72">
        <w:t xml:space="preserve">or school attendance, </w:t>
      </w:r>
      <w:r w:rsidR="00FE47AA">
        <w:t>an effect was only apparent in one of the three outcomes reported</w:t>
      </w:r>
      <w:r w:rsidR="003F009D" w:rsidRPr="00945D72">
        <w:t>. Economic productivity was more complicated,</w:t>
      </w:r>
      <w:r w:rsidR="00FE47AA">
        <w:t xml:space="preserve"> as there </w:t>
      </w:r>
      <w:r w:rsidR="003F009D" w:rsidRPr="00945D72">
        <w:t xml:space="preserve">were numerous </w:t>
      </w:r>
      <w:r w:rsidR="00FE47AA">
        <w:t>sub-group analyses</w:t>
      </w:r>
      <w:r w:rsidR="00FE47AA" w:rsidRPr="00945D72">
        <w:t xml:space="preserve"> </w:t>
      </w:r>
      <w:r w:rsidR="003F009D" w:rsidRPr="00945D72">
        <w:t>and a variety of derivative measures; an effect</w:t>
      </w:r>
      <w:r w:rsidR="00FE47AA">
        <w:t xml:space="preserve"> was apparent</w:t>
      </w:r>
      <w:r w:rsidR="00FE47AA" w:rsidRPr="00945D72">
        <w:t xml:space="preserve"> </w:t>
      </w:r>
      <w:r w:rsidR="003F009D" w:rsidRPr="00945D72">
        <w:t xml:space="preserve">in 13 </w:t>
      </w:r>
      <w:r w:rsidR="00FE47AA">
        <w:t>outcomes</w:t>
      </w:r>
      <w:r w:rsidR="003F009D" w:rsidRPr="00945D72">
        <w:t>, with a further 19 reporting no statistical significant effect.</w:t>
      </w:r>
      <w:r w:rsidR="003F009D" w:rsidRPr="003F009D">
        <w:t xml:space="preserve"> </w:t>
      </w:r>
    </w:p>
    <w:p w14:paraId="744C791E" w14:textId="6ED0EC4C" w:rsidR="00FE47AA" w:rsidRDefault="007434DB" w:rsidP="00945D72">
      <w:pPr>
        <w:spacing w:after="120"/>
        <w:rPr>
          <w:color w:val="000000" w:themeColor="text1"/>
        </w:rPr>
      </w:pPr>
      <w:r>
        <w:rPr>
          <w:b/>
        </w:rPr>
        <w:t>Credibility assessment</w:t>
      </w:r>
      <w:r w:rsidR="00B32093" w:rsidRPr="00B32093">
        <w:rPr>
          <w:b/>
        </w:rPr>
        <w:t xml:space="preserve">: </w:t>
      </w:r>
      <w:r w:rsidR="00A57459">
        <w:t>In table 5 we attempt to provide a balanced presentation of the key results from Baird 2016, stratified by the policy-relevant outcome domains</w:t>
      </w:r>
      <w:r w:rsidR="00FE47AA">
        <w:t xml:space="preserve">, and in table 6 we present </w:t>
      </w:r>
      <w:r w:rsidR="00FE47AA">
        <w:rPr>
          <w:color w:val="000000" w:themeColor="text1"/>
        </w:rPr>
        <w:t>our</w:t>
      </w:r>
      <w:r w:rsidR="00E843CA" w:rsidRPr="00A2450F">
        <w:rPr>
          <w:color w:val="000000" w:themeColor="text1"/>
        </w:rPr>
        <w:t xml:space="preserve"> credibility</w:t>
      </w:r>
      <w:r w:rsidR="00E843CA">
        <w:rPr>
          <w:color w:val="000000" w:themeColor="text1"/>
        </w:rPr>
        <w:t xml:space="preserve"> assessment </w:t>
      </w:r>
      <w:r w:rsidR="00A95F0E">
        <w:rPr>
          <w:color w:val="000000" w:themeColor="text1"/>
        </w:rPr>
        <w:t xml:space="preserve">for </w:t>
      </w:r>
      <w:r w:rsidR="00FE47AA">
        <w:rPr>
          <w:color w:val="000000" w:themeColor="text1"/>
        </w:rPr>
        <w:t xml:space="preserve">the </w:t>
      </w:r>
      <w:r w:rsidR="00A95F0E">
        <w:rPr>
          <w:color w:val="000000" w:themeColor="text1"/>
        </w:rPr>
        <w:t>outcomes reported in the abstract of Baird 2016</w:t>
      </w:r>
      <w:r w:rsidR="00FE47AA">
        <w:rPr>
          <w:color w:val="000000" w:themeColor="text1"/>
        </w:rPr>
        <w:t>.</w:t>
      </w:r>
    </w:p>
    <w:p w14:paraId="52530ECC" w14:textId="6E7CEBB7" w:rsidR="00B32093" w:rsidRPr="005E34B3" w:rsidRDefault="00FE47AA" w:rsidP="00945D72">
      <w:pPr>
        <w:spacing w:after="120"/>
      </w:pPr>
      <w:r>
        <w:t>In</w:t>
      </w:r>
      <w:r w:rsidR="00B32093">
        <w:t xml:space="preserve"> their 2016</w:t>
      </w:r>
      <w:r w:rsidR="00B32093" w:rsidRPr="00421962">
        <w:t xml:space="preserve"> abstract, Baird et al state that men stayed “enrolled for more years of primary school”</w:t>
      </w:r>
      <w:r w:rsidR="00B32093">
        <w:t xml:space="preserve">, and </w:t>
      </w:r>
      <w:r w:rsidR="00B32093" w:rsidRPr="00421962">
        <w:t>women were “</w:t>
      </w:r>
      <w:r w:rsidR="00B32093">
        <w:t>approximately one quarter</w:t>
      </w:r>
      <w:r w:rsidR="00B32093" w:rsidRPr="00421962">
        <w:t xml:space="preserve"> more likely to have attended secondary school”</w:t>
      </w:r>
      <w:r w:rsidR="00CD2B0D">
        <w:t xml:space="preserve">. </w:t>
      </w:r>
      <w:r w:rsidR="00CD2B0D" w:rsidRPr="00E14453">
        <w:t>Th</w:t>
      </w:r>
      <w:r w:rsidR="00E14453" w:rsidRPr="00E14453">
        <w:t>ese</w:t>
      </w:r>
      <w:r w:rsidR="00CD2B0D" w:rsidRPr="00E14453">
        <w:t xml:space="preserve"> statement</w:t>
      </w:r>
      <w:r w:rsidR="00E14453" w:rsidRPr="00E14453">
        <w:t>s</w:t>
      </w:r>
      <w:r w:rsidR="00CD2B0D" w:rsidRPr="00E14453">
        <w:t xml:space="preserve"> a</w:t>
      </w:r>
      <w:r w:rsidR="00E14453" w:rsidRPr="00E14453">
        <w:t xml:space="preserve">re supported by “statistically </w:t>
      </w:r>
      <w:r w:rsidR="00CD2B0D" w:rsidRPr="00E14453">
        <w:t>significan</w:t>
      </w:r>
      <w:r w:rsidR="00E14453" w:rsidRPr="00E14453">
        <w:t>t” results within the text</w:t>
      </w:r>
      <w:r w:rsidR="00CD2B0D" w:rsidRPr="00E14453">
        <w:t xml:space="preserve">, but </w:t>
      </w:r>
      <w:r w:rsidR="00E14453" w:rsidRPr="00E14453">
        <w:t xml:space="preserve">presentation of these two results in isolation </w:t>
      </w:r>
      <w:r w:rsidR="00FC6F89" w:rsidRPr="00E14453">
        <w:t xml:space="preserve">could be regarded as misleading, as there is other information that is required for a </w:t>
      </w:r>
      <w:r w:rsidR="008D36D3" w:rsidRPr="00E14453">
        <w:t>balanced interpretation</w:t>
      </w:r>
      <w:r w:rsidR="00057D90" w:rsidRPr="005E34B3">
        <w:t xml:space="preserve">: </w:t>
      </w:r>
      <w:r w:rsidR="00B32093" w:rsidRPr="005E34B3">
        <w:t>1) The</w:t>
      </w:r>
      <w:r w:rsidR="00DC17C5" w:rsidRPr="005E34B3">
        <w:t xml:space="preserve">se </w:t>
      </w:r>
      <w:r w:rsidR="00E114A0">
        <w:t xml:space="preserve">effects were not present in the whole sample, and are only apparent in </w:t>
      </w:r>
      <w:r w:rsidR="00B32093" w:rsidRPr="005E34B3">
        <w:t>post-hoc sub-group analyses</w:t>
      </w:r>
      <w:r w:rsidR="00E26AD1">
        <w:t xml:space="preserve"> which the analysis was not adequately powered to examine</w:t>
      </w:r>
      <w:r w:rsidR="00B32093" w:rsidRPr="005E34B3">
        <w:t>; 2) Neither result is robust to the authors</w:t>
      </w:r>
      <w:r w:rsidR="00DC17C5" w:rsidRPr="005E34B3">
        <w:t>’</w:t>
      </w:r>
      <w:r w:rsidR="00B32093" w:rsidRPr="005E34B3">
        <w:t xml:space="preserve"> own adjustmen</w:t>
      </w:r>
      <w:r w:rsidR="005C6CD3" w:rsidRPr="005E34B3">
        <w:t>ts for multiple inferences</w:t>
      </w:r>
      <w:r w:rsidR="00B32093" w:rsidRPr="005E34B3">
        <w:t xml:space="preserve">; </w:t>
      </w:r>
      <w:r w:rsidR="00E26AD1">
        <w:t>3</w:t>
      </w:r>
      <w:r w:rsidR="00B32093" w:rsidRPr="005E34B3">
        <w:t>) The</w:t>
      </w:r>
      <w:r w:rsidR="005C6CD3" w:rsidRPr="005E34B3">
        <w:t>se</w:t>
      </w:r>
      <w:r w:rsidR="00B32093" w:rsidRPr="005E34B3">
        <w:t xml:space="preserve"> are selected positive findings among a group of results for similar or related outcomes</w:t>
      </w:r>
      <w:r w:rsidR="005C6CD3" w:rsidRPr="005E34B3">
        <w:t>,</w:t>
      </w:r>
      <w:r w:rsidR="00B32093" w:rsidRPr="005E34B3">
        <w:t xml:space="preserve"> </w:t>
      </w:r>
      <w:r w:rsidR="00DC17C5" w:rsidRPr="005E34B3">
        <w:t xml:space="preserve">that </w:t>
      </w:r>
      <w:r w:rsidR="005F6038">
        <w:t xml:space="preserve">either </w:t>
      </w:r>
      <w:r w:rsidR="00DC17C5" w:rsidRPr="005E34B3">
        <w:t xml:space="preserve">show no effect </w:t>
      </w:r>
      <w:r w:rsidR="00B32093" w:rsidRPr="005E34B3">
        <w:t>(there was no evidence of an increase in the number of school grades attained</w:t>
      </w:r>
      <w:r w:rsidR="005C6CD3" w:rsidRPr="005E34B3">
        <w:t xml:space="preserve"> in either sex)</w:t>
      </w:r>
      <w:r w:rsidR="00B32093" w:rsidRPr="005E34B3">
        <w:t>,</w:t>
      </w:r>
      <w:r w:rsidR="005C6CD3" w:rsidRPr="005E34B3">
        <w:t xml:space="preserve"> or provide an alternative explanation for these effects (</w:t>
      </w:r>
      <w:r w:rsidR="00B32093" w:rsidRPr="005E34B3">
        <w:t>those in the intervention group were actually more likely to have repeated a grade).</w:t>
      </w:r>
    </w:p>
    <w:p w14:paraId="2212FFC3" w14:textId="496BB102" w:rsidR="00696426" w:rsidRDefault="00B32093" w:rsidP="00851BC2">
      <w:pPr>
        <w:pStyle w:val="ListBullet"/>
        <w:numPr>
          <w:ilvl w:val="0"/>
          <w:numId w:val="0"/>
        </w:numPr>
        <w:spacing w:before="120" w:after="120" w:line="240" w:lineRule="auto"/>
        <w:contextualSpacing w:val="0"/>
      </w:pPr>
      <w:r w:rsidRPr="005E34B3">
        <w:t xml:space="preserve">The abstract </w:t>
      </w:r>
      <w:r w:rsidR="0090612F">
        <w:t xml:space="preserve">then </w:t>
      </w:r>
      <w:r w:rsidRPr="005E34B3">
        <w:t xml:space="preserve">uses these selected measures of educational effects to explain apparent shifts in the labour market, which are presented as beneficial. However, </w:t>
      </w:r>
      <w:r w:rsidR="005C6CD3" w:rsidRPr="005E34B3">
        <w:t>it</w:t>
      </w:r>
      <w:r w:rsidR="00DC17C5" w:rsidRPr="005E34B3">
        <w:t xml:space="preserve"> is not clear</w:t>
      </w:r>
      <w:r w:rsidR="005C6CD3" w:rsidRPr="005E34B3">
        <w:t xml:space="preserve"> </w:t>
      </w:r>
      <w:r w:rsidR="001A35BF">
        <w:t xml:space="preserve">to us </w:t>
      </w:r>
      <w:r w:rsidRPr="005E34B3">
        <w:t>which of these shifts represent a</w:t>
      </w:r>
      <w:r w:rsidR="00596199">
        <w:t xml:space="preserve"> genuine</w:t>
      </w:r>
      <w:r w:rsidRPr="005E34B3">
        <w:t xml:space="preserve"> economic improvement. For example, the number of ho</w:t>
      </w:r>
      <w:r w:rsidR="00AA1E3E" w:rsidRPr="005E34B3">
        <w:t>urs women worked in agriculture</w:t>
      </w:r>
      <w:r w:rsidR="00DC17C5" w:rsidRPr="005E34B3">
        <w:t xml:space="preserve"> appears lower in the </w:t>
      </w:r>
      <w:r w:rsidR="00057D90" w:rsidRPr="005E34B3">
        <w:t xml:space="preserve">intervention </w:t>
      </w:r>
      <w:r w:rsidR="00DC17C5" w:rsidRPr="005E34B3">
        <w:t>group</w:t>
      </w:r>
      <w:r w:rsidRPr="005E34B3">
        <w:t xml:space="preserve"> </w:t>
      </w:r>
      <w:r w:rsidR="00AA1E3E" w:rsidRPr="005E34B3">
        <w:t>and</w:t>
      </w:r>
      <w:r w:rsidRPr="005E34B3">
        <w:t xml:space="preserve"> is presented as a benefit, but </w:t>
      </w:r>
      <w:r w:rsidR="00057D90" w:rsidRPr="005E34B3">
        <w:t>the number of hours worked by men appears</w:t>
      </w:r>
      <w:r w:rsidR="00FC6F89">
        <w:t xml:space="preserve"> higher</w:t>
      </w:r>
      <w:r w:rsidRPr="005E34B3">
        <w:t xml:space="preserve">. In </w:t>
      </w:r>
      <w:r w:rsidR="003F009D">
        <w:t>reality</w:t>
      </w:r>
      <w:r w:rsidRPr="005E34B3">
        <w:t>, an effect in either direction cou</w:t>
      </w:r>
      <w:r w:rsidR="00532FEB">
        <w:t>ld be interpreted as a benefit</w:t>
      </w:r>
      <w:r w:rsidRPr="005E34B3">
        <w:t xml:space="preserve"> due to the alternative explanations of better health (enabling longer hours in </w:t>
      </w:r>
      <w:r w:rsidRPr="005E34B3">
        <w:lastRenderedPageBreak/>
        <w:t>manual work), or better education (enabling</w:t>
      </w:r>
      <w:r w:rsidR="005C6CD3" w:rsidRPr="005E34B3">
        <w:t xml:space="preserve"> a move to higher skilled work)</w:t>
      </w:r>
      <w:r w:rsidRPr="005E34B3">
        <w:t>. It is perhaps more useful to note that there was no evidence of an increase in hours worked in waged employment, and no evidence of an increase in non-agricultural earnings (waged earnings plus self-employed profits).</w:t>
      </w:r>
      <w:r w:rsidRPr="006874E2">
        <w:t xml:space="preserve"> </w:t>
      </w:r>
      <w:r w:rsidR="00037959">
        <w:t xml:space="preserve"> </w:t>
      </w:r>
    </w:p>
    <w:p w14:paraId="1C3A8EBA" w14:textId="07A6A6B2" w:rsidR="00A95F0E" w:rsidRPr="00421962" w:rsidRDefault="00A95F0E" w:rsidP="00851BC2">
      <w:pPr>
        <w:pStyle w:val="ListBullet"/>
        <w:numPr>
          <w:ilvl w:val="0"/>
          <w:numId w:val="0"/>
        </w:numPr>
        <w:spacing w:before="120" w:after="120" w:line="240" w:lineRule="auto"/>
        <w:contextualSpacing w:val="0"/>
      </w:pPr>
      <w:r>
        <w:rPr>
          <w:color w:val="000000" w:themeColor="text1"/>
        </w:rPr>
        <w:t xml:space="preserve">The authors clarified that </w:t>
      </w:r>
      <w:r>
        <w:t>the</w:t>
      </w:r>
      <w:r w:rsidRPr="00421962">
        <w:t xml:space="preserve"> </w:t>
      </w:r>
      <w:r>
        <w:t>sample size was calculated to detect a 15% relative increase in secondary school attendance in the whole sample</w:t>
      </w:r>
      <w:r w:rsidR="00027567">
        <w:t xml:space="preserve">. The analysis was therefore </w:t>
      </w:r>
      <w:r>
        <w:t xml:space="preserve">not powered to </w:t>
      </w:r>
      <w:r w:rsidR="00027567">
        <w:t xml:space="preserve">look for </w:t>
      </w:r>
      <w:r>
        <w:t>sub-group effects.</w:t>
      </w:r>
      <w:r w:rsidR="00027567">
        <w:t xml:space="preserve"> Furthermore, the </w:t>
      </w:r>
      <w:r>
        <w:t>sample size calculation does not seem to have been adjusted for the cluster design</w:t>
      </w:r>
      <w:r w:rsidRPr="00421962">
        <w:t>.</w:t>
      </w:r>
    </w:p>
    <w:p w14:paraId="7A74176B" w14:textId="2D209127" w:rsidR="008F6F19" w:rsidRPr="0037502B" w:rsidRDefault="008F6F19" w:rsidP="0037502B">
      <w:pPr>
        <w:rPr>
          <w:b/>
          <w:sz w:val="24"/>
          <w:szCs w:val="24"/>
        </w:rPr>
      </w:pPr>
      <w:r w:rsidRPr="0037502B">
        <w:rPr>
          <w:b/>
          <w:sz w:val="24"/>
          <w:szCs w:val="24"/>
        </w:rPr>
        <w:t>Ozier</w:t>
      </w:r>
      <w:r w:rsidR="0030348B" w:rsidRPr="0037502B">
        <w:rPr>
          <w:b/>
          <w:sz w:val="24"/>
          <w:szCs w:val="24"/>
        </w:rPr>
        <w:t xml:space="preserve"> study (reported in a series of papers </w:t>
      </w:r>
      <w:r w:rsidR="001E2E25" w:rsidRPr="0037502B">
        <w:rPr>
          <w:b/>
          <w:sz w:val="24"/>
          <w:szCs w:val="24"/>
        </w:rPr>
        <w:t>2011-1</w:t>
      </w:r>
      <w:r w:rsidR="00F516D6" w:rsidRPr="0037502B">
        <w:rPr>
          <w:b/>
          <w:sz w:val="24"/>
          <w:szCs w:val="24"/>
        </w:rPr>
        <w:t>6</w:t>
      </w:r>
      <w:r w:rsidR="001E2E25" w:rsidRPr="0037502B">
        <w:rPr>
          <w:b/>
          <w:sz w:val="24"/>
          <w:szCs w:val="24"/>
        </w:rPr>
        <w:t>)</w:t>
      </w:r>
    </w:p>
    <w:p w14:paraId="4787B7EF" w14:textId="40D264C3" w:rsidR="002673CB" w:rsidRPr="00421962" w:rsidRDefault="00392ABD" w:rsidP="002673CB">
      <w:pPr>
        <w:spacing w:before="120" w:after="120" w:line="240" w:lineRule="auto"/>
      </w:pPr>
      <w:r w:rsidRPr="00421962">
        <w:t xml:space="preserve">The Ozier series report a field survey of </w:t>
      </w:r>
      <w:r w:rsidRPr="00173A45">
        <w:t xml:space="preserve">21 </w:t>
      </w:r>
      <w:r w:rsidR="00173A45">
        <w:t>309</w:t>
      </w:r>
      <w:r w:rsidR="003A7A29">
        <w:t xml:space="preserve"> </w:t>
      </w:r>
      <w:r w:rsidRPr="00421962">
        <w:t xml:space="preserve">children attending the </w:t>
      </w:r>
      <w:r w:rsidR="00364E7C">
        <w:t xml:space="preserve">Kenyan trial </w:t>
      </w:r>
      <w:r w:rsidRPr="00421962">
        <w:t>11 to 12 years earlier</w:t>
      </w:r>
      <w:r w:rsidR="001F40D6">
        <w:t xml:space="preserve"> [20</w:t>
      </w:r>
      <w:r w:rsidR="006F7AE5">
        <w:t>]</w:t>
      </w:r>
      <w:r w:rsidRPr="00421962">
        <w:t>. These children were too young at the time of the original trial to have received deworming treatment through the school-based programme. The analysis compares outcomes within each birth cohort from 1995 to 2001. Children aged less than 1 year living in communities where the deworming intervention had</w:t>
      </w:r>
      <w:r w:rsidR="00532FEB">
        <w:t xml:space="preserve"> started are classified as the </w:t>
      </w:r>
      <w:r w:rsidRPr="00421962">
        <w:t>inte</w:t>
      </w:r>
      <w:r w:rsidR="00532FEB">
        <w:t>rvention group</w:t>
      </w:r>
      <w:r w:rsidRPr="00421962">
        <w:t>, and those living in communities where deworming had not yet star</w:t>
      </w:r>
      <w:r w:rsidR="00532FEB">
        <w:t>ted are classified as controls</w:t>
      </w:r>
      <w:r w:rsidRPr="00421962">
        <w:t xml:space="preserve">. The difference between these two groups is only that the children in the intervention group may have benefitted from decreased worm prevalence among older siblings and the community </w:t>
      </w:r>
      <w:r w:rsidR="002D2DDD" w:rsidRPr="00421962">
        <w:t>during the first year of life</w:t>
      </w:r>
      <w:r w:rsidRPr="00421962">
        <w:t>, while the children in the control group did not.</w:t>
      </w:r>
      <w:r w:rsidR="002673CB" w:rsidRPr="002673CB">
        <w:t xml:space="preserve"> </w:t>
      </w:r>
    </w:p>
    <w:p w14:paraId="262F2BF3" w14:textId="25E15D2E" w:rsidR="00F802AF" w:rsidRPr="00421962" w:rsidRDefault="00F802AF" w:rsidP="00851BC2">
      <w:pPr>
        <w:spacing w:before="120" w:after="120" w:line="240" w:lineRule="auto"/>
      </w:pPr>
      <w:r w:rsidRPr="00421962">
        <w:rPr>
          <w:b/>
        </w:rPr>
        <w:t xml:space="preserve">Risk of bias assessment: </w:t>
      </w:r>
      <w:r w:rsidR="001F76ED" w:rsidRPr="00F7184E">
        <w:t xml:space="preserve">The field survey </w:t>
      </w:r>
      <w:r w:rsidR="001F76ED">
        <w:t xml:space="preserve">conducted cognitive tests on a computer generated random sample representing </w:t>
      </w:r>
      <w:r w:rsidR="001B1712" w:rsidRPr="001B1712">
        <w:t>approximately 12 %</w:t>
      </w:r>
      <w:r w:rsidR="001B1712">
        <w:t xml:space="preserve"> </w:t>
      </w:r>
      <w:r w:rsidR="001F76ED">
        <w:t xml:space="preserve">of the eligible population. </w:t>
      </w:r>
      <w:r w:rsidR="003101C2">
        <w:t>This sample covered seven annual school cohorts from 1995 to 2001.</w:t>
      </w:r>
      <w:r w:rsidR="00985ED7">
        <w:t xml:space="preserve"> </w:t>
      </w:r>
      <w:r w:rsidR="00B23697">
        <w:t xml:space="preserve">Only the </w:t>
      </w:r>
      <w:r w:rsidR="004E484C">
        <w:t>1998 and 1999</w:t>
      </w:r>
      <w:r w:rsidR="00B23697">
        <w:t xml:space="preserve"> cohorts contain </w:t>
      </w:r>
      <w:r w:rsidR="00CD4E19">
        <w:t>quasi-</w:t>
      </w:r>
      <w:r w:rsidR="00B23697">
        <w:t xml:space="preserve">randomized comparisons relevant to the study question. </w:t>
      </w:r>
      <w:r w:rsidR="004E484C">
        <w:t xml:space="preserve">In the 1995 and 1996 cohorts </w:t>
      </w:r>
      <w:r w:rsidR="00985ED7">
        <w:t>none of the children lived in areas with active deworming programmes</w:t>
      </w:r>
      <w:r w:rsidR="00925F57">
        <w:t xml:space="preserve"> during the first year of life</w:t>
      </w:r>
      <w:r w:rsidR="00985ED7">
        <w:t xml:space="preserve">; and </w:t>
      </w:r>
      <w:r w:rsidR="004E484C">
        <w:t>in 2001</w:t>
      </w:r>
      <w:r w:rsidR="00985ED7">
        <w:t xml:space="preserve"> all the children lived in areas with active deworming programmes. </w:t>
      </w:r>
      <w:r w:rsidR="004E484C">
        <w:t xml:space="preserve">Analyses across the whole sample (seven cohorts) </w:t>
      </w:r>
      <w:r w:rsidR="00646FDF">
        <w:t>are thus secondary, observational analyses</w:t>
      </w:r>
      <w:r w:rsidR="004E484C">
        <w:t>,</w:t>
      </w:r>
      <w:r w:rsidR="00646FDF">
        <w:t xml:space="preserve"> with unknown secular changes potentially confounding the </w:t>
      </w:r>
      <w:r w:rsidR="00646FDF" w:rsidRPr="00A2450F">
        <w:t xml:space="preserve">findings </w:t>
      </w:r>
      <w:r w:rsidR="00161949" w:rsidRPr="00A2450F">
        <w:t>(see table 3</w:t>
      </w:r>
      <w:r w:rsidR="00D64E73" w:rsidRPr="00A2450F">
        <w:t xml:space="preserve">). </w:t>
      </w:r>
      <w:r w:rsidR="001F76ED" w:rsidRPr="00A2450F">
        <w:t>Data collection</w:t>
      </w:r>
      <w:r w:rsidR="001F76ED">
        <w:t xml:space="preserve"> was appropriately blinded to treatment allocation, but again data analysis was </w:t>
      </w:r>
      <w:r w:rsidR="00E870BB">
        <w:t xml:space="preserve">not </w:t>
      </w:r>
      <w:r w:rsidR="001F76ED">
        <w:t>blinded and was not guided by a</w:t>
      </w:r>
      <w:r w:rsidR="000222D5">
        <w:t xml:space="preserve"> pre-planned protocol</w:t>
      </w:r>
      <w:r w:rsidR="001F76ED">
        <w:t xml:space="preserve">. Important </w:t>
      </w:r>
      <w:r w:rsidRPr="00421962">
        <w:t>findings</w:t>
      </w:r>
      <w:r w:rsidR="009E3AEB" w:rsidRPr="00421962">
        <w:t xml:space="preserve"> of no apparent effect</w:t>
      </w:r>
      <w:r w:rsidR="00532FEB">
        <w:t xml:space="preserve"> on height and height-for-</w:t>
      </w:r>
      <w:r w:rsidRPr="00421962">
        <w:t>age were not reported in the abstract</w:t>
      </w:r>
      <w:r w:rsidR="00B55E2C">
        <w:t xml:space="preserve"> until the </w:t>
      </w:r>
      <w:r w:rsidR="00F15F9D">
        <w:t>2016 version</w:t>
      </w:r>
      <w:r w:rsidR="00FF7775">
        <w:t xml:space="preserve"> (despite being one of the main a-priori hypotheses</w:t>
      </w:r>
      <w:r w:rsidR="00FC6F89">
        <w:t>, according to</w:t>
      </w:r>
      <w:r w:rsidR="00EA4EA9">
        <w:t xml:space="preserve"> communication with</w:t>
      </w:r>
      <w:r w:rsidR="00FC6F89">
        <w:t xml:space="preserve"> the authors</w:t>
      </w:r>
      <w:r w:rsidR="00FF7775">
        <w:t>),</w:t>
      </w:r>
      <w:r w:rsidR="005B3935">
        <w:t xml:space="preserve"> </w:t>
      </w:r>
      <w:r w:rsidRPr="00421962">
        <w:t xml:space="preserve">and </w:t>
      </w:r>
      <w:r w:rsidR="009253BA">
        <w:t xml:space="preserve">although </w:t>
      </w:r>
      <w:r w:rsidRPr="00421962">
        <w:t>weight data</w:t>
      </w:r>
      <w:r w:rsidR="009253BA">
        <w:t xml:space="preserve"> were</w:t>
      </w:r>
      <w:r w:rsidR="00D64E73">
        <w:t xml:space="preserve"> collected </w:t>
      </w:r>
      <w:r w:rsidR="003B6730">
        <w:t xml:space="preserve">for </w:t>
      </w:r>
      <w:r w:rsidR="00D64E73">
        <w:t>21</w:t>
      </w:r>
      <w:r w:rsidR="00225786">
        <w:t xml:space="preserve"> </w:t>
      </w:r>
      <w:r w:rsidR="00B55E2C">
        <w:t>309</w:t>
      </w:r>
      <w:r w:rsidR="00D64E73">
        <w:t xml:space="preserve"> children,</w:t>
      </w:r>
      <w:r w:rsidRPr="00421962">
        <w:t xml:space="preserve"> </w:t>
      </w:r>
      <w:r w:rsidR="009253BA">
        <w:t xml:space="preserve">they </w:t>
      </w:r>
      <w:r w:rsidRPr="00421962">
        <w:t>were not</w:t>
      </w:r>
      <w:r w:rsidR="00C209CA">
        <w:t xml:space="preserve"> part of the analysis and not</w:t>
      </w:r>
      <w:r w:rsidR="00410CF6">
        <w:t xml:space="preserve"> presented.</w:t>
      </w:r>
    </w:p>
    <w:p w14:paraId="28ADE2F1" w14:textId="3819D6B1" w:rsidR="00FF7775" w:rsidRPr="00421962" w:rsidRDefault="00441F48" w:rsidP="00FF7775">
      <w:pPr>
        <w:spacing w:before="120" w:after="120" w:line="240" w:lineRule="auto"/>
      </w:pPr>
      <w:r>
        <w:rPr>
          <w:b/>
        </w:rPr>
        <w:t>Credibility assessment</w:t>
      </w:r>
      <w:r w:rsidR="00C878EC" w:rsidRPr="00421962">
        <w:rPr>
          <w:b/>
        </w:rPr>
        <w:t xml:space="preserve">: </w:t>
      </w:r>
      <w:r w:rsidR="00F802AF" w:rsidRPr="00421962">
        <w:t>In the 201</w:t>
      </w:r>
      <w:r w:rsidR="007E3F60">
        <w:t>6</w:t>
      </w:r>
      <w:r w:rsidR="00F802AF" w:rsidRPr="00421962">
        <w:t xml:space="preserve"> abstract, Ozier states that exposure to the spill over effects of deworming programmes during the first year of life produced “large cognitive effects, comparable to between 0.5 and 0.8 years of schooling”. This </w:t>
      </w:r>
      <w:r w:rsidR="00596199">
        <w:t>statement</w:t>
      </w:r>
      <w:r w:rsidR="00F802AF" w:rsidRPr="00421962">
        <w:t xml:space="preserve"> is based on </w:t>
      </w:r>
      <w:r w:rsidR="00596199">
        <w:t xml:space="preserve">demonstrable effects </w:t>
      </w:r>
      <w:r w:rsidR="00F802AF" w:rsidRPr="00421962">
        <w:t xml:space="preserve">on 2 out of 5 cognitive tests (Raven’s matrices and verbal fluency; P &lt; 0.05), and a trend towards benefit on all 5 tests. These positive effects </w:t>
      </w:r>
      <w:r w:rsidR="004E484C">
        <w:t>are taken from analyses across the whole sample, which inc</w:t>
      </w:r>
      <w:r w:rsidR="004B4428">
        <w:t>lude non-randomized data.</w:t>
      </w:r>
      <w:r w:rsidR="004E484C">
        <w:t xml:space="preserve"> There was a trend towards benefit on Ravens Matrices in the 1998 and 1999 annual cohorts. </w:t>
      </w:r>
      <w:r w:rsidR="00FF7775" w:rsidRPr="0027305D">
        <w:t xml:space="preserve">Clarification from the author stated that the analysis was powered to detect </w:t>
      </w:r>
      <w:r w:rsidR="00FF7775">
        <w:t xml:space="preserve">an improvement in tests of cognition of </w:t>
      </w:r>
      <w:r w:rsidR="00FF7775" w:rsidRPr="0027305D">
        <w:t xml:space="preserve">0.2 </w:t>
      </w:r>
      <w:r w:rsidR="00FF7775">
        <w:t>standard deviations in the whole sample, and is underpowered to evaluate effects within annual cohorts</w:t>
      </w:r>
      <w:r w:rsidR="00FF7775" w:rsidRPr="0027305D">
        <w:t>.</w:t>
      </w:r>
    </w:p>
    <w:p w14:paraId="3508C4FF" w14:textId="524E2854" w:rsidR="008E51F3" w:rsidRDefault="00DB0BDE" w:rsidP="00AE73AB">
      <w:pPr>
        <w:spacing w:before="120" w:after="120" w:line="240" w:lineRule="auto"/>
      </w:pPr>
      <w:r>
        <w:t>The authors themselves explain the lack of effect on height to be related to the low worm load in young children</w:t>
      </w:r>
      <w:r w:rsidR="00775413">
        <w:t>. We consider this observation, along with th</w:t>
      </w:r>
      <w:r>
        <w:t xml:space="preserve">e very low intensity of the intervention being tested, </w:t>
      </w:r>
      <w:r w:rsidR="00775413">
        <w:t xml:space="preserve">to question the plausibility of the </w:t>
      </w:r>
      <w:r w:rsidR="00CD4E19">
        <w:t xml:space="preserve">stated </w:t>
      </w:r>
      <w:r w:rsidR="00775413">
        <w:t>effect</w:t>
      </w:r>
      <w:r>
        <w:t xml:space="preserve">. </w:t>
      </w:r>
    </w:p>
    <w:p w14:paraId="32D598CB" w14:textId="20572F56" w:rsidR="00392ABD" w:rsidRPr="0037502B" w:rsidRDefault="00392ABD" w:rsidP="0037502B">
      <w:pPr>
        <w:rPr>
          <w:b/>
          <w:sz w:val="24"/>
          <w:szCs w:val="24"/>
        </w:rPr>
      </w:pPr>
      <w:r w:rsidRPr="0037502B">
        <w:rPr>
          <w:b/>
          <w:sz w:val="24"/>
          <w:szCs w:val="24"/>
        </w:rPr>
        <w:t xml:space="preserve">Uganda trial </w:t>
      </w:r>
      <w:r w:rsidR="00466C1F" w:rsidRPr="0037502B">
        <w:rPr>
          <w:b/>
          <w:sz w:val="24"/>
          <w:szCs w:val="24"/>
        </w:rPr>
        <w:t>(Alderman 2006)</w:t>
      </w:r>
    </w:p>
    <w:p w14:paraId="1239449B" w14:textId="472214A1" w:rsidR="00586025" w:rsidRPr="00421962" w:rsidRDefault="00E8293A" w:rsidP="00851BC2">
      <w:pPr>
        <w:spacing w:before="120" w:after="120" w:line="240" w:lineRule="auto"/>
      </w:pPr>
      <w:r w:rsidRPr="005E34B3">
        <w:t xml:space="preserve">The base trial for </w:t>
      </w:r>
      <w:r w:rsidR="00690172" w:rsidRPr="005E34B3">
        <w:t>the third</w:t>
      </w:r>
      <w:r w:rsidRPr="005E34B3">
        <w:t xml:space="preserve"> study </w:t>
      </w:r>
      <w:r w:rsidR="001F40D6">
        <w:t>[18</w:t>
      </w:r>
      <w:r w:rsidR="00EA4EA9">
        <w:t xml:space="preserve">] </w:t>
      </w:r>
      <w:r w:rsidRPr="005E34B3">
        <w:t xml:space="preserve">was </w:t>
      </w:r>
      <w:r w:rsidR="00690172" w:rsidRPr="005E34B3">
        <w:t xml:space="preserve">conducted in Eastern </w:t>
      </w:r>
      <w:r w:rsidRPr="005E34B3">
        <w:t>Uganda</w:t>
      </w:r>
      <w:r w:rsidR="00690172" w:rsidRPr="005E34B3">
        <w:t xml:space="preserve"> by </w:t>
      </w:r>
      <w:r w:rsidR="0008055A" w:rsidRPr="005E34B3">
        <w:t>Alderman et al</w:t>
      </w:r>
      <w:r w:rsidR="001F40D6">
        <w:t xml:space="preserve"> [21</w:t>
      </w:r>
      <w:r w:rsidR="00EA4EA9">
        <w:t>]</w:t>
      </w:r>
      <w:r w:rsidR="00690172" w:rsidRPr="005E34B3">
        <w:t xml:space="preserve">. The intervention was implemented through Child Health Days (CHD) and comprised albendazole 400mg every six months. Fifty parishes in five districts were identified as having heavy worm loads and randomly allocated to the intervention and control arms. </w:t>
      </w:r>
      <w:r w:rsidR="00F258C7" w:rsidRPr="005E34B3">
        <w:t>O</w:t>
      </w:r>
      <w:r w:rsidR="009D1561" w:rsidRPr="005E34B3">
        <w:t>ver the three</w:t>
      </w:r>
      <w:r w:rsidR="00A072AB" w:rsidRPr="005E34B3">
        <w:t>-</w:t>
      </w:r>
      <w:r w:rsidR="009D1561" w:rsidRPr="005E34B3">
        <w:t>year program</w:t>
      </w:r>
      <w:r w:rsidR="00B858AA" w:rsidRPr="005E34B3">
        <w:t>me</w:t>
      </w:r>
      <w:r w:rsidR="00690172" w:rsidRPr="005E34B3">
        <w:t xml:space="preserve"> from 2000 </w:t>
      </w:r>
      <w:r w:rsidR="00690172" w:rsidRPr="005E34B3">
        <w:lastRenderedPageBreak/>
        <w:t>to 2003</w:t>
      </w:r>
      <w:r w:rsidR="00F258C7" w:rsidRPr="005E34B3">
        <w:t>, children in both groups attended 1.74 CHDs in average,</w:t>
      </w:r>
      <w:r w:rsidR="00690172" w:rsidRPr="005E34B3">
        <w:t xml:space="preserve"> </w:t>
      </w:r>
      <w:r w:rsidR="00301574">
        <w:t xml:space="preserve">with only the intervention group scheduled to be dewormed, but both groups </w:t>
      </w:r>
      <w:r w:rsidR="00690172" w:rsidRPr="005E34B3">
        <w:t>receiv</w:t>
      </w:r>
      <w:r w:rsidR="00301574">
        <w:t>ing</w:t>
      </w:r>
      <w:r w:rsidR="00690172" w:rsidRPr="005E34B3">
        <w:t xml:space="preserve"> additional health services such as vaccination and health promotion. Participants were pre-school children aged between one and seven years</w:t>
      </w:r>
      <w:r w:rsidR="005E34B3" w:rsidRPr="005E34B3">
        <w:t xml:space="preserve">, </w:t>
      </w:r>
      <w:r w:rsidR="00F258C7" w:rsidRPr="005E34B3">
        <w:t>and d</w:t>
      </w:r>
      <w:r w:rsidR="00586025" w:rsidRPr="005E34B3">
        <w:t>eworming became routine and free for all shortly after the end of the study.</w:t>
      </w:r>
    </w:p>
    <w:p w14:paraId="30E7A5C9" w14:textId="781B3272" w:rsidR="00C456F0" w:rsidRPr="00421962" w:rsidRDefault="0002533E" w:rsidP="00851BC2">
      <w:pPr>
        <w:spacing w:before="120" w:after="120" w:line="240" w:lineRule="auto"/>
      </w:pPr>
      <w:r w:rsidRPr="00421962">
        <w:rPr>
          <w:b/>
        </w:rPr>
        <w:t>R</w:t>
      </w:r>
      <w:r w:rsidR="00C456F0" w:rsidRPr="00421962">
        <w:rPr>
          <w:b/>
        </w:rPr>
        <w:t xml:space="preserve">isk of bias assessment: </w:t>
      </w:r>
      <w:r w:rsidR="003048BD" w:rsidRPr="00421962">
        <w:t xml:space="preserve">The base trial </w:t>
      </w:r>
      <w:r w:rsidR="00251D5E" w:rsidRPr="00421962">
        <w:t>used a</w:t>
      </w:r>
      <w:r w:rsidR="00C456F0" w:rsidRPr="00421962">
        <w:t xml:space="preserve"> truly random method of allocation (a coin toss), </w:t>
      </w:r>
      <w:r w:rsidR="003048BD" w:rsidRPr="00421962">
        <w:t xml:space="preserve">but while deworming was the </w:t>
      </w:r>
      <w:r w:rsidR="00C456F0" w:rsidRPr="00421962">
        <w:t>intended difference between intervent</w:t>
      </w:r>
      <w:r w:rsidR="009D1561" w:rsidRPr="00421962">
        <w:t>io</w:t>
      </w:r>
      <w:r w:rsidR="003048BD" w:rsidRPr="00421962">
        <w:t>n and control groups, up to 35</w:t>
      </w:r>
      <w:r w:rsidR="00C456F0" w:rsidRPr="00421962">
        <w:t>% of those in control areas were also dewormed</w:t>
      </w:r>
      <w:r w:rsidR="00F258C7" w:rsidRPr="00421962">
        <w:t>, from private clinics or shops</w:t>
      </w:r>
      <w:r w:rsidR="00DF5768">
        <w:t xml:space="preserve"> </w:t>
      </w:r>
      <w:r w:rsidR="00A2450F">
        <w:t>(see table 2</w:t>
      </w:r>
      <w:r w:rsidR="009D1561" w:rsidRPr="00421962">
        <w:t>)</w:t>
      </w:r>
      <w:r w:rsidR="00C456F0" w:rsidRPr="00421962">
        <w:t>.</w:t>
      </w:r>
    </w:p>
    <w:p w14:paraId="317C253C" w14:textId="134665BD" w:rsidR="00EE38B0" w:rsidRPr="0037502B" w:rsidRDefault="00EE38B0" w:rsidP="0037502B">
      <w:pPr>
        <w:rPr>
          <w:b/>
          <w:sz w:val="24"/>
          <w:szCs w:val="24"/>
        </w:rPr>
      </w:pPr>
      <w:r w:rsidRPr="0037502B">
        <w:rPr>
          <w:b/>
          <w:sz w:val="24"/>
          <w:szCs w:val="24"/>
        </w:rPr>
        <w:t>Croke</w:t>
      </w:r>
      <w:r w:rsidR="0030348B" w:rsidRPr="0037502B">
        <w:rPr>
          <w:b/>
          <w:sz w:val="24"/>
          <w:szCs w:val="24"/>
        </w:rPr>
        <w:t xml:space="preserve"> study</w:t>
      </w:r>
      <w:r w:rsidRPr="0037502B">
        <w:rPr>
          <w:b/>
          <w:sz w:val="24"/>
          <w:szCs w:val="24"/>
        </w:rPr>
        <w:t xml:space="preserve"> </w:t>
      </w:r>
      <w:r w:rsidR="00C456F0" w:rsidRPr="0037502B">
        <w:rPr>
          <w:b/>
          <w:sz w:val="24"/>
          <w:szCs w:val="24"/>
        </w:rPr>
        <w:t>2014</w:t>
      </w:r>
    </w:p>
    <w:p w14:paraId="135540F6" w14:textId="640A2419" w:rsidR="004D5539" w:rsidRPr="00421962" w:rsidRDefault="00583EBD" w:rsidP="00851BC2">
      <w:pPr>
        <w:spacing w:before="120" w:after="120" w:line="240" w:lineRule="auto"/>
      </w:pPr>
      <w:r w:rsidRPr="00421962">
        <w:t>Croke</w:t>
      </w:r>
      <w:r w:rsidR="0008055A" w:rsidRPr="00421962">
        <w:t xml:space="preserve"> </w:t>
      </w:r>
      <w:r w:rsidR="006C21FF" w:rsidRPr="00421962">
        <w:t xml:space="preserve">utilizes a </w:t>
      </w:r>
      <w:r w:rsidR="00577DA7" w:rsidRPr="00421962">
        <w:t>large-scale</w:t>
      </w:r>
      <w:r w:rsidR="006C21FF" w:rsidRPr="00421962">
        <w:t xml:space="preserve"> </w:t>
      </w:r>
      <w:r w:rsidR="00701536" w:rsidRPr="00421962">
        <w:t xml:space="preserve">questionnaire survey conducted </w:t>
      </w:r>
      <w:r w:rsidR="006C21FF" w:rsidRPr="00421962">
        <w:t xml:space="preserve">in Uganda </w:t>
      </w:r>
      <w:r w:rsidR="00647583" w:rsidRPr="00421962">
        <w:t>seven to eight years after the en</w:t>
      </w:r>
      <w:r w:rsidR="0023279F" w:rsidRPr="00421962">
        <w:t>d of the trial by Alderman</w:t>
      </w:r>
      <w:r w:rsidR="001F40D6">
        <w:t xml:space="preserve"> [21</w:t>
      </w:r>
      <w:r w:rsidR="00EA4EA9">
        <w:t>]</w:t>
      </w:r>
      <w:r w:rsidR="004D5539" w:rsidRPr="00421962">
        <w:t xml:space="preserve">. The survey was unrelated to the base trial but covered some of the same parishes, and included </w:t>
      </w:r>
      <w:r w:rsidR="009E6EA3">
        <w:t>763</w:t>
      </w:r>
      <w:r w:rsidR="009E6EA3" w:rsidRPr="00421962">
        <w:t xml:space="preserve"> </w:t>
      </w:r>
      <w:r w:rsidR="004D5539" w:rsidRPr="00421962">
        <w:t xml:space="preserve">children who would have been aged between 1 and 7 years at the time of the base trial, and who therefore might have participated. The study compares children living within the intervention parishes of the base </w:t>
      </w:r>
      <w:r w:rsidR="00B13970">
        <w:t>trial</w:t>
      </w:r>
      <w:r w:rsidR="004D5539" w:rsidRPr="00421962">
        <w:t xml:space="preserve"> with children living in the control parishes. The difference between the two groups (ignoring migration in and out of the area) is therefore likely to be less than two </w:t>
      </w:r>
      <w:r w:rsidR="00925F57">
        <w:t xml:space="preserve">additional </w:t>
      </w:r>
      <w:r w:rsidR="004D5539" w:rsidRPr="00421962">
        <w:t>doses of albendazole during the 3 years of the program</w:t>
      </w:r>
      <w:r w:rsidR="00B858AA" w:rsidRPr="00421962">
        <w:t>me</w:t>
      </w:r>
      <w:r w:rsidR="004D5539" w:rsidRPr="00421962">
        <w:t xml:space="preserve">. </w:t>
      </w:r>
      <w:r w:rsidR="009E2FDF">
        <w:t>T</w:t>
      </w:r>
      <w:r w:rsidR="00A50907">
        <w:t xml:space="preserve">he analysis </w:t>
      </w:r>
      <w:r w:rsidR="004D5539" w:rsidRPr="00421962">
        <w:t>reports on numeracy and literacy test outcomes.</w:t>
      </w:r>
    </w:p>
    <w:p w14:paraId="5839EC19" w14:textId="35A35F0A" w:rsidR="00BE3B6C" w:rsidRPr="00421962" w:rsidRDefault="00EE38B0" w:rsidP="00851BC2">
      <w:pPr>
        <w:spacing w:before="120" w:after="120" w:line="240" w:lineRule="auto"/>
      </w:pPr>
      <w:r w:rsidRPr="00421962">
        <w:rPr>
          <w:b/>
        </w:rPr>
        <w:t xml:space="preserve">Risk of bias assessment: </w:t>
      </w:r>
      <w:r w:rsidR="00E26344" w:rsidRPr="007D1077">
        <w:t>T</w:t>
      </w:r>
      <w:r w:rsidR="00E26344">
        <w:t>he sampling method is reported as random, but t</w:t>
      </w:r>
      <w:r w:rsidR="00E26344" w:rsidRPr="007D1077">
        <w:t>he descriptions of sampling are inadequate to make</w:t>
      </w:r>
      <w:r w:rsidR="00E26723">
        <w:t xml:space="preserve"> a clear assessment</w:t>
      </w:r>
      <w:r w:rsidR="00E26344" w:rsidRPr="007D1077">
        <w:t xml:space="preserve"> of th</w:t>
      </w:r>
      <w:r w:rsidR="00E26344">
        <w:t>e risk of selection</w:t>
      </w:r>
      <w:r w:rsidR="00E26344" w:rsidRPr="007D1077">
        <w:t xml:space="preserve"> </w:t>
      </w:r>
      <w:r w:rsidR="00E26344" w:rsidRPr="00A2450F">
        <w:t>bias</w:t>
      </w:r>
      <w:r w:rsidR="00161949" w:rsidRPr="00A2450F">
        <w:t xml:space="preserve"> (see table 3)</w:t>
      </w:r>
      <w:r w:rsidR="00E26344" w:rsidRPr="00A2450F">
        <w:t xml:space="preserve">. </w:t>
      </w:r>
      <w:r w:rsidR="00B03B89" w:rsidRPr="00A2450F">
        <w:t>D</w:t>
      </w:r>
      <w:r w:rsidR="00854192" w:rsidRPr="00A2450F">
        <w:t>ata</w:t>
      </w:r>
      <w:r w:rsidR="00854192">
        <w:t xml:space="preserve"> </w:t>
      </w:r>
      <w:r w:rsidR="00E26723" w:rsidRPr="00FC2A35">
        <w:t>acquired</w:t>
      </w:r>
      <w:r w:rsidR="00854192" w:rsidRPr="00FC2A35">
        <w:t xml:space="preserve"> </w:t>
      </w:r>
      <w:r w:rsidR="00E26723" w:rsidRPr="00FC2A35">
        <w:t>through</w:t>
      </w:r>
      <w:r w:rsidR="00854192" w:rsidRPr="00FC2A35">
        <w:t xml:space="preserve"> correspondence </w:t>
      </w:r>
      <w:r w:rsidR="00E26723" w:rsidRPr="00FC2A35">
        <w:t>with the author reports</w:t>
      </w:r>
      <w:r w:rsidR="00D044F2">
        <w:t xml:space="preserve"> on eleven covariates, of which the treatment group appears to have better access to water (24% of individuals compared to 3%) and private</w:t>
      </w:r>
      <w:r w:rsidR="00CD2B0D">
        <w:t xml:space="preserve"> education (14% compared to 9%)</w:t>
      </w:r>
      <w:r w:rsidR="00D044F2">
        <w:t>.</w:t>
      </w:r>
      <w:r w:rsidR="00E26723" w:rsidRPr="00FC2A35">
        <w:t xml:space="preserve"> </w:t>
      </w:r>
      <w:r w:rsidR="001E7209" w:rsidRPr="00421962">
        <w:t xml:space="preserve">The data collection process was unrelated to the deworming base trial and so unlikely to have been influenced by it, but data-analysis was </w:t>
      </w:r>
      <w:r w:rsidR="001E7209">
        <w:t>not blinded</w:t>
      </w:r>
      <w:r w:rsidR="001E7209" w:rsidRPr="00421962">
        <w:t xml:space="preserve">. </w:t>
      </w:r>
      <w:r w:rsidR="009253BA">
        <w:t xml:space="preserve">The risk of attrition bias is high with only </w:t>
      </w:r>
      <w:r w:rsidR="004D5539" w:rsidRPr="00421962">
        <w:t>22</w:t>
      </w:r>
      <w:r w:rsidR="009253BA">
        <w:t xml:space="preserve"> of the </w:t>
      </w:r>
      <w:r w:rsidR="004D5539" w:rsidRPr="00421962">
        <w:t xml:space="preserve">50 parishes recruited by Alderman </w:t>
      </w:r>
      <w:r w:rsidR="009253BA">
        <w:t xml:space="preserve">included in the sample </w:t>
      </w:r>
      <w:r w:rsidR="004D5539" w:rsidRPr="00421962">
        <w:t>(10 from the intervention group and 12 from the control group)</w:t>
      </w:r>
      <w:r w:rsidR="009253BA">
        <w:t xml:space="preserve">, and no assessment of the effects of migration. There was no </w:t>
      </w:r>
      <w:r w:rsidR="005407C3">
        <w:t>pre-planned protocol</w:t>
      </w:r>
      <w:r w:rsidR="009253BA">
        <w:t>.</w:t>
      </w:r>
    </w:p>
    <w:p w14:paraId="72E987BC" w14:textId="1B6E0B2A" w:rsidR="00520DE6" w:rsidRDefault="00441F48" w:rsidP="00851BC2">
      <w:pPr>
        <w:pStyle w:val="NoSpacing"/>
        <w:spacing w:before="120" w:after="120"/>
      </w:pPr>
      <w:r>
        <w:rPr>
          <w:b/>
        </w:rPr>
        <w:t>Credibility assessment</w:t>
      </w:r>
      <w:r w:rsidR="00C878EC" w:rsidRPr="00421962">
        <w:rPr>
          <w:b/>
        </w:rPr>
        <w:t xml:space="preserve">: </w:t>
      </w:r>
      <w:r w:rsidR="0008055A" w:rsidRPr="00421962">
        <w:t xml:space="preserve">Croke </w:t>
      </w:r>
      <w:r w:rsidR="00FA7BA0" w:rsidRPr="00421962">
        <w:t xml:space="preserve">states that </w:t>
      </w:r>
      <w:r w:rsidR="0021700A" w:rsidRPr="00421962">
        <w:t>children who lived in intervention parishes du</w:t>
      </w:r>
      <w:r w:rsidR="00532FEB">
        <w:t>ring the base trial period had “</w:t>
      </w:r>
      <w:r w:rsidR="0021700A" w:rsidRPr="00421962">
        <w:t>test scores 0.2 to 0.4 standard deviations higher</w:t>
      </w:r>
      <w:r w:rsidR="00532FEB">
        <w:t xml:space="preserve"> than those in control parishes”</w:t>
      </w:r>
      <w:r w:rsidR="0021700A" w:rsidRPr="00421962">
        <w:t xml:space="preserve">. </w:t>
      </w:r>
      <w:r w:rsidR="00CD4E19">
        <w:t>u</w:t>
      </w:r>
      <w:r w:rsidR="00CD2B0D">
        <w:t>sing statistical significance at P &lt; 0.05</w:t>
      </w:r>
      <w:r w:rsidR="00CD4E19">
        <w:t>, this effect was</w:t>
      </w:r>
      <w:r w:rsidR="00CD2B0D">
        <w:t xml:space="preserve"> not present in the raw data and only </w:t>
      </w:r>
      <w:r w:rsidR="00B234DC" w:rsidRPr="00421962">
        <w:t xml:space="preserve">apparent after adjustment for age, gender and survey year. </w:t>
      </w:r>
      <w:r w:rsidR="009E2FDF">
        <w:t>No formal power calculations were conducted, and t</w:t>
      </w:r>
      <w:r w:rsidR="00F02179">
        <w:t xml:space="preserve">he analysis is substantially underpowered to detect these effects, containing fewer than a third of the </w:t>
      </w:r>
      <w:r w:rsidR="005407C3">
        <w:t>sample size calculated by Ozier</w:t>
      </w:r>
      <w:r w:rsidR="00F02179">
        <w:t>.</w:t>
      </w:r>
      <w:r w:rsidR="005407C3">
        <w:t xml:space="preserve"> </w:t>
      </w:r>
      <w:r w:rsidR="00E8293A">
        <w:t>T</w:t>
      </w:r>
      <w:r w:rsidR="0015198B" w:rsidRPr="00421962">
        <w:t>he authors found no evidence o</w:t>
      </w:r>
      <w:r w:rsidR="00FC26B6" w:rsidRPr="00421962">
        <w:t>f an effect on school enrolment</w:t>
      </w:r>
      <w:r w:rsidR="00251D5E" w:rsidRPr="00421962">
        <w:t>, but do not report this in the abstract</w:t>
      </w:r>
      <w:r w:rsidR="0015198B" w:rsidRPr="00421962">
        <w:t>.</w:t>
      </w:r>
      <w:r w:rsidR="005407C3">
        <w:t xml:space="preserve"> </w:t>
      </w:r>
    </w:p>
    <w:p w14:paraId="07E94D15" w14:textId="1E57E1A0" w:rsidR="00A959C4" w:rsidRPr="0037502B" w:rsidRDefault="007464FA" w:rsidP="0037502B">
      <w:pPr>
        <w:rPr>
          <w:b/>
          <w:sz w:val="28"/>
          <w:szCs w:val="28"/>
        </w:rPr>
      </w:pPr>
      <w:r w:rsidRPr="0037502B">
        <w:rPr>
          <w:b/>
          <w:sz w:val="28"/>
          <w:szCs w:val="28"/>
        </w:rPr>
        <w:t>Discussion</w:t>
      </w:r>
    </w:p>
    <w:p w14:paraId="2816E852" w14:textId="6F1DAF5C" w:rsidR="004C020F" w:rsidRPr="004C020F" w:rsidRDefault="004C020F" w:rsidP="00BC572E">
      <w:pPr>
        <w:spacing w:before="120" w:after="120" w:line="240" w:lineRule="auto"/>
      </w:pPr>
      <w:r w:rsidRPr="004C020F">
        <w:t>In summary, of the three included</w:t>
      </w:r>
      <w:r w:rsidR="000E2357">
        <w:t xml:space="preserve"> long-term follow-up</w:t>
      </w:r>
      <w:r w:rsidRPr="004C020F">
        <w:t xml:space="preserve"> studies, the Baird series reports possible effects on secondary school attendance and job sector choices, 9 to 11 years after a head start of 2.4 years of additional school-based deworming; the Ozier series reports possible externalities on cognitive development in children living in areas with school-based deworming during the first year of life; and Croke 2014 reports possible effects on E</w:t>
      </w:r>
      <w:r w:rsidR="00EE527C">
        <w:t xml:space="preserve">nglish and maths test scores 10 to </w:t>
      </w:r>
      <w:r w:rsidRPr="004C020F">
        <w:t xml:space="preserve">11 years after </w:t>
      </w:r>
      <w:r w:rsidR="00EE527C">
        <w:t>less th</w:t>
      </w:r>
      <w:r w:rsidRPr="004C020F">
        <w:t xml:space="preserve">an </w:t>
      </w:r>
      <w:r w:rsidR="00EE527C">
        <w:t xml:space="preserve">two </w:t>
      </w:r>
      <w:r w:rsidRPr="004C020F">
        <w:t>additional doses of deworming tablets during early childhood. All present these as clear evidence of benefit of deworming programmes.</w:t>
      </w:r>
    </w:p>
    <w:p w14:paraId="12028AEF" w14:textId="058E1777" w:rsidR="00BC572E" w:rsidRDefault="00301574" w:rsidP="00BC572E">
      <w:pPr>
        <w:spacing w:before="120" w:after="120" w:line="240" w:lineRule="auto"/>
      </w:pPr>
      <w:r>
        <w:t xml:space="preserve">Long-term studies </w:t>
      </w:r>
      <w:r w:rsidR="00083D5B">
        <w:t xml:space="preserve">of the effects of public health interventions are complex and difficult to do. </w:t>
      </w:r>
      <w:r>
        <w:t>We therefore</w:t>
      </w:r>
      <w:r w:rsidR="00BC572E">
        <w:t xml:space="preserve"> acknowledge the hard work of the study authors and research teams</w:t>
      </w:r>
      <w:r w:rsidR="00BE3C79">
        <w:t xml:space="preserve">. However, </w:t>
      </w:r>
      <w:r w:rsidR="00370CA2">
        <w:t xml:space="preserve">from our epidemiological standpoint </w:t>
      </w:r>
      <w:r w:rsidR="000F579A">
        <w:t>we find substantial reason</w:t>
      </w:r>
      <w:r w:rsidR="00BC572E">
        <w:t xml:space="preserve"> to doubt the validity and plausibility of these </w:t>
      </w:r>
      <w:r w:rsidR="000F579A">
        <w:t>findings,</w:t>
      </w:r>
      <w:r w:rsidR="00BE3C79">
        <w:t xml:space="preserve"> </w:t>
      </w:r>
      <w:r w:rsidR="00BC572E">
        <w:t>given the information provided and the process of analysis that has been documented. As such, we believe they should be regarded as hypothesis generating, rather than reliable evidence of effects</w:t>
      </w:r>
      <w:r w:rsidR="00370CA2">
        <w:t xml:space="preserve"> to support large scale deworming programmes in </w:t>
      </w:r>
      <w:r>
        <w:t>low and middle-income countries</w:t>
      </w:r>
      <w:r w:rsidR="00370CA2">
        <w:t>.</w:t>
      </w:r>
      <w:bookmarkStart w:id="5" w:name="pg"/>
      <w:bookmarkEnd w:id="5"/>
      <w:r w:rsidR="002319B6">
        <w:t xml:space="preserve"> </w:t>
      </w:r>
    </w:p>
    <w:p w14:paraId="6019BDCD" w14:textId="4ED28E85" w:rsidR="00DB4471" w:rsidRDefault="00370CA2" w:rsidP="00DB4471">
      <w:pPr>
        <w:spacing w:before="120" w:after="120" w:line="240" w:lineRule="auto"/>
      </w:pPr>
      <w:r>
        <w:lastRenderedPageBreak/>
        <w:t>First, we note</w:t>
      </w:r>
      <w:r w:rsidR="00DB4471">
        <w:t xml:space="preserve"> that these studies do not provide the </w:t>
      </w:r>
      <w:r w:rsidR="00DB4471" w:rsidRPr="001F34EE">
        <w:t>evidence of cumulative effects</w:t>
      </w:r>
      <w:r w:rsidR="00DB4471">
        <w:t xml:space="preserve"> from multiple rounds of deworming,</w:t>
      </w:r>
      <w:r w:rsidR="00DB4471" w:rsidRPr="001F34EE">
        <w:t xml:space="preserve"> that some have called for</w:t>
      </w:r>
      <w:r w:rsidR="00DB4471">
        <w:t>, and others have attributed to them</w:t>
      </w:r>
      <w:r w:rsidR="00D17327">
        <w:t xml:space="preserve"> [8</w:t>
      </w:r>
      <w:r w:rsidR="00DB4471" w:rsidRPr="001F34EE">
        <w:t>][2</w:t>
      </w:r>
      <w:r w:rsidR="001F40D6">
        <w:t>6</w:t>
      </w:r>
      <w:r w:rsidR="00DB4471" w:rsidRPr="001F34EE">
        <w:t xml:space="preserve">]. In </w:t>
      </w:r>
      <w:r w:rsidR="00DB4471">
        <w:t xml:space="preserve">all three studies, </w:t>
      </w:r>
      <w:r w:rsidR="00DB4471" w:rsidRPr="001F34EE">
        <w:t>most participants in both the intervention and control groups w</w:t>
      </w:r>
      <w:r w:rsidR="00DB4471">
        <w:t>ould</w:t>
      </w:r>
      <w:r w:rsidR="00DB4471" w:rsidRPr="001F34EE">
        <w:t xml:space="preserve"> have been ‘dewormed’ multiple times during their pre-school or school years, </w:t>
      </w:r>
      <w:r w:rsidR="00DB4471">
        <w:t>and the largest ‘intervention’ under evaluation was an additional 2.</w:t>
      </w:r>
      <w:r w:rsidR="00145E84">
        <w:t>4</w:t>
      </w:r>
      <w:r w:rsidR="00DB4471">
        <w:t xml:space="preserve"> </w:t>
      </w:r>
      <w:r w:rsidR="00166C35">
        <w:t xml:space="preserve">years </w:t>
      </w:r>
      <w:r w:rsidR="00DB4471">
        <w:t xml:space="preserve">of deworming medication in the Baird series. </w:t>
      </w:r>
      <w:r w:rsidR="00DB4471" w:rsidRPr="001B1712">
        <w:t xml:space="preserve">The majority of children in these studies would therefore be worm-free, or have </w:t>
      </w:r>
      <w:r w:rsidR="00B815B8">
        <w:t>reduced</w:t>
      </w:r>
      <w:r w:rsidR="00DB4471" w:rsidRPr="001B1712">
        <w:t xml:space="preserve"> worm counts during much of their childhood, and consequently the consistent finding of no effect on height or weight across all three studies is unsurprising. More subtle nutritional pathways</w:t>
      </w:r>
      <w:r w:rsidR="00ED3E37">
        <w:t xml:space="preserve"> for the observed effects</w:t>
      </w:r>
      <w:r w:rsidR="00301574">
        <w:t>,</w:t>
      </w:r>
      <w:r w:rsidR="00DB4471" w:rsidRPr="001B1712">
        <w:t xml:space="preserve"> </w:t>
      </w:r>
      <w:r w:rsidR="00166C35">
        <w:t xml:space="preserve">such as </w:t>
      </w:r>
      <w:r w:rsidR="00DB4471" w:rsidRPr="001B1712">
        <w:t>via micronutrient status</w:t>
      </w:r>
      <w:r w:rsidR="00301574">
        <w:t>,</w:t>
      </w:r>
      <w:r w:rsidR="00DB4471" w:rsidRPr="001B1712">
        <w:t xml:space="preserve"> </w:t>
      </w:r>
      <w:r w:rsidR="00301574">
        <w:t xml:space="preserve">also </w:t>
      </w:r>
      <w:r w:rsidR="00DB4471" w:rsidRPr="001B1712">
        <w:t>seem unlikely to act over such short durations.</w:t>
      </w:r>
      <w:r w:rsidR="00DB4471">
        <w:t xml:space="preserve"> </w:t>
      </w:r>
    </w:p>
    <w:p w14:paraId="2008630E" w14:textId="106526A4" w:rsidR="00B414F9" w:rsidRPr="00B414F9" w:rsidRDefault="00370CA2" w:rsidP="00410CF6">
      <w:pPr>
        <w:spacing w:before="120" w:after="120" w:line="240" w:lineRule="auto"/>
      </w:pPr>
      <w:r>
        <w:t xml:space="preserve">Second, </w:t>
      </w:r>
      <w:r w:rsidR="00DB4471">
        <w:t>we are concerned about the</w:t>
      </w:r>
      <w:r w:rsidR="00DB4471" w:rsidRPr="001F34EE">
        <w:t xml:space="preserve"> selective reporting of favourable results in the abstract</w:t>
      </w:r>
      <w:r w:rsidR="00DB4471">
        <w:t xml:space="preserve">s, especially after </w:t>
      </w:r>
      <w:r w:rsidR="00DB4471" w:rsidRPr="001F34EE">
        <w:t xml:space="preserve">multiple significance testing and post-hoc sub-group analyses. </w:t>
      </w:r>
      <w:r w:rsidR="00DB4471">
        <w:t xml:space="preserve">While all three papers herald from an economic discipline, </w:t>
      </w:r>
      <w:r w:rsidR="00301574">
        <w:t>we</w:t>
      </w:r>
      <w:r w:rsidR="00560BED">
        <w:t xml:space="preserve"> assess </w:t>
      </w:r>
      <w:r>
        <w:t xml:space="preserve">them </w:t>
      </w:r>
      <w:r w:rsidR="00DB4471">
        <w:t>against current epidemiological standards</w:t>
      </w:r>
      <w:r>
        <w:t>, and make no apology for that</w:t>
      </w:r>
      <w:r w:rsidR="00DB4471">
        <w:t>. The policy under evaluation is a public health programme, and the potential for bias exists irrespective of discipline. We</w:t>
      </w:r>
      <w:r w:rsidR="000F579A">
        <w:t xml:space="preserve"> do however</w:t>
      </w:r>
      <w:r w:rsidR="00DB4471">
        <w:t xml:space="preserve"> acknowledge that some of the problems exist, at least in part, due to current norms within economics, and the reporting requirements of economic journals (such </w:t>
      </w:r>
      <w:r w:rsidR="00560BED">
        <w:t>as s</w:t>
      </w:r>
      <w:r w:rsidR="00ED3E37">
        <w:t xml:space="preserve">trict word limits for </w:t>
      </w:r>
      <w:r w:rsidR="00DB4471">
        <w:t>abstracts)</w:t>
      </w:r>
      <w:r w:rsidR="00560BED">
        <w:t>.</w:t>
      </w:r>
      <w:r w:rsidR="00B23697">
        <w:t xml:space="preserve"> </w:t>
      </w:r>
      <w:r w:rsidR="00E22865" w:rsidRPr="00410CF6">
        <w:t>W</w:t>
      </w:r>
      <w:r w:rsidR="002319B6" w:rsidRPr="00E22865">
        <w:t xml:space="preserve">hilst </w:t>
      </w:r>
      <w:r w:rsidR="00E22865" w:rsidRPr="00410CF6">
        <w:t xml:space="preserve">some </w:t>
      </w:r>
      <w:r w:rsidR="002319B6" w:rsidRPr="00E22865">
        <w:t>economist</w:t>
      </w:r>
      <w:r w:rsidR="00B414F9" w:rsidRPr="00E22865">
        <w:t xml:space="preserve">s may </w:t>
      </w:r>
      <w:r w:rsidR="00E22865" w:rsidRPr="00410CF6">
        <w:t>argue that the accuracy of conclusions is improved over time through the refinement and addition of new analyses</w:t>
      </w:r>
      <w:r w:rsidR="00B414F9" w:rsidRPr="00E22865">
        <w:t xml:space="preserve">, </w:t>
      </w:r>
      <w:r w:rsidR="00E22865" w:rsidRPr="00410CF6">
        <w:t xml:space="preserve">we are concerned </w:t>
      </w:r>
      <w:r w:rsidR="00B414F9" w:rsidRPr="00E22865">
        <w:t xml:space="preserve">that the process risks </w:t>
      </w:r>
      <w:r w:rsidR="002319B6" w:rsidRPr="00E22865">
        <w:t>cumul</w:t>
      </w:r>
      <w:r w:rsidR="00B23697" w:rsidRPr="00E22865">
        <w:t>a</w:t>
      </w:r>
      <w:r w:rsidR="002319B6" w:rsidRPr="00E22865">
        <w:t>tive</w:t>
      </w:r>
      <w:r w:rsidR="00B414F9" w:rsidRPr="00E22865">
        <w:t xml:space="preserve"> selective reporting, and our analysis provides some indicators that this may be the case.</w:t>
      </w:r>
      <w:r w:rsidR="00B414F9" w:rsidRPr="009D6468">
        <w:t xml:space="preserve"> </w:t>
      </w:r>
    </w:p>
    <w:p w14:paraId="56935CBB" w14:textId="36C0A20B" w:rsidR="00DB4471" w:rsidRPr="00B414F9" w:rsidRDefault="00301574" w:rsidP="00DB4471">
      <w:pPr>
        <w:spacing w:before="120" w:after="120" w:line="240" w:lineRule="auto"/>
      </w:pPr>
      <w:r w:rsidRPr="00B414F9">
        <w:t>Of note, n</w:t>
      </w:r>
      <w:r w:rsidR="00370CA2" w:rsidRPr="00B414F9">
        <w:t xml:space="preserve">one </w:t>
      </w:r>
      <w:r w:rsidR="00DB4471" w:rsidRPr="00B414F9">
        <w:t>of these three studies worked to a</w:t>
      </w:r>
      <w:r w:rsidR="00653AD0" w:rsidRPr="00B414F9">
        <w:t xml:space="preserve"> pre-planned</w:t>
      </w:r>
      <w:r w:rsidR="00DB4471" w:rsidRPr="00B414F9">
        <w:t xml:space="preserve"> analytic p</w:t>
      </w:r>
      <w:r w:rsidR="00A50907" w:rsidRPr="00B414F9">
        <w:t>rotocol</w:t>
      </w:r>
      <w:r w:rsidR="00DB4471" w:rsidRPr="00B414F9">
        <w:t>, and although these have been standard requirements within epidemiology for some time, they have only recently been recognized as important within economics [</w:t>
      </w:r>
      <w:r w:rsidR="001F40D6">
        <w:t>27</w:t>
      </w:r>
      <w:r w:rsidR="00DB4471" w:rsidRPr="00B414F9">
        <w:t>].</w:t>
      </w:r>
      <w:r w:rsidR="002319B6">
        <w:t xml:space="preserve"> This was also noted in the replication analyses of the primary trials </w:t>
      </w:r>
      <w:r w:rsidR="00540510">
        <w:t>[</w:t>
      </w:r>
      <w:r w:rsidR="002319B6">
        <w:t>2</w:t>
      </w:r>
      <w:r w:rsidR="00A464BF">
        <w:t>3</w:t>
      </w:r>
      <w:r w:rsidR="004229BE">
        <w:t>][</w:t>
      </w:r>
      <w:r w:rsidR="002319B6">
        <w:t>2</w:t>
      </w:r>
      <w:r w:rsidR="00A464BF">
        <w:t>4</w:t>
      </w:r>
      <w:r w:rsidR="002319B6">
        <w:t>].</w:t>
      </w:r>
      <w:r w:rsidR="00DB4471" w:rsidRPr="00B414F9">
        <w:t xml:space="preserve"> </w:t>
      </w:r>
      <w:r w:rsidR="00BD3368" w:rsidRPr="00B414F9">
        <w:t>Nevertheless</w:t>
      </w:r>
      <w:r w:rsidR="00560BED" w:rsidRPr="00B414F9">
        <w:t>,</w:t>
      </w:r>
      <w:r w:rsidR="00BD3368" w:rsidRPr="00B414F9">
        <w:t xml:space="preserve"> this does not obviate that the approach taken in the past may well lead to misleading results and conclusions</w:t>
      </w:r>
      <w:r w:rsidR="00B14BA2" w:rsidRPr="00B414F9">
        <w:t>,</w:t>
      </w:r>
      <w:r w:rsidR="00083D5B" w:rsidRPr="00B414F9">
        <w:t xml:space="preserve"> and statistical correction of multiple testing is insufficient to correct selective reporting.</w:t>
      </w:r>
    </w:p>
    <w:p w14:paraId="6E59440D" w14:textId="759FB1AA" w:rsidR="00DB4471" w:rsidRPr="00B414F9" w:rsidRDefault="00DB4471" w:rsidP="00DB4471">
      <w:pPr>
        <w:spacing w:before="120" w:after="120" w:line="240" w:lineRule="auto"/>
      </w:pPr>
      <w:r w:rsidRPr="00B414F9">
        <w:t>The abstract to the Baird series exclusively presents the positive results, and leaves readers unaware of the multiple findings</w:t>
      </w:r>
      <w:r w:rsidR="0043375A" w:rsidRPr="00B414F9">
        <w:t xml:space="preserve"> of no effect</w:t>
      </w:r>
      <w:r w:rsidR="004C463B" w:rsidRPr="00B414F9">
        <w:t xml:space="preserve">, and the </w:t>
      </w:r>
      <w:r w:rsidR="0043375A" w:rsidRPr="00B414F9">
        <w:t>conflict</w:t>
      </w:r>
      <w:r w:rsidR="004C463B" w:rsidRPr="00B414F9">
        <w:t>ing findings</w:t>
      </w:r>
      <w:r w:rsidR="0043375A" w:rsidRPr="00B414F9">
        <w:t xml:space="preserve"> </w:t>
      </w:r>
      <w:r w:rsidRPr="00B414F9">
        <w:t>within the analysis</w:t>
      </w:r>
      <w:r w:rsidR="00047F44" w:rsidRPr="00B414F9">
        <w:t>.</w:t>
      </w:r>
      <w:r w:rsidR="0043375A" w:rsidRPr="00B414F9">
        <w:t xml:space="preserve"> </w:t>
      </w:r>
      <w:r w:rsidR="004C463B" w:rsidRPr="00B414F9">
        <w:t>F</w:t>
      </w:r>
      <w:r w:rsidR="0043375A" w:rsidRPr="00B414F9">
        <w:t>or example</w:t>
      </w:r>
      <w:r w:rsidRPr="00B414F9">
        <w:t>:</w:t>
      </w:r>
    </w:p>
    <w:p w14:paraId="7194A9EB" w14:textId="6740F9FA" w:rsidR="00DB4471" w:rsidRPr="00B414F9" w:rsidRDefault="004C463B" w:rsidP="00DB4471">
      <w:pPr>
        <w:numPr>
          <w:ilvl w:val="0"/>
          <w:numId w:val="15"/>
        </w:numPr>
        <w:spacing w:before="120" w:after="0" w:line="240" w:lineRule="auto"/>
        <w:ind w:left="760" w:hanging="357"/>
      </w:pPr>
      <w:r w:rsidRPr="00B414F9">
        <w:t>N</w:t>
      </w:r>
      <w:r w:rsidR="00DB4471" w:rsidRPr="00B414F9">
        <w:t>o evidence of effect on markers of nutrition (weight or height)</w:t>
      </w:r>
      <w:r w:rsidR="0043375A" w:rsidRPr="00B414F9">
        <w:t>;</w:t>
      </w:r>
    </w:p>
    <w:p w14:paraId="6F479EAB" w14:textId="62D5CADC" w:rsidR="00DB4471" w:rsidRPr="00B414F9" w:rsidRDefault="004C463B" w:rsidP="00DB4471">
      <w:pPr>
        <w:numPr>
          <w:ilvl w:val="0"/>
          <w:numId w:val="15"/>
        </w:numPr>
        <w:spacing w:after="0" w:line="240" w:lineRule="auto"/>
        <w:ind w:left="760" w:hanging="357"/>
      </w:pPr>
      <w:r w:rsidRPr="00B414F9">
        <w:t>N</w:t>
      </w:r>
      <w:r w:rsidR="00DB4471" w:rsidRPr="00B414F9">
        <w:t>o evidence of effect on multiple tests of cognition (the same tests as reported by the Ozier series)</w:t>
      </w:r>
      <w:r w:rsidR="0043375A" w:rsidRPr="00B414F9">
        <w:t>;</w:t>
      </w:r>
    </w:p>
    <w:p w14:paraId="299F0188" w14:textId="3ED44E23" w:rsidR="00DB4471" w:rsidRPr="001F34EE" w:rsidRDefault="004C463B" w:rsidP="00DB4471">
      <w:pPr>
        <w:numPr>
          <w:ilvl w:val="0"/>
          <w:numId w:val="15"/>
        </w:numPr>
        <w:spacing w:after="0" w:line="240" w:lineRule="auto"/>
        <w:ind w:left="760" w:hanging="357"/>
      </w:pPr>
      <w:r>
        <w:t>A</w:t>
      </w:r>
      <w:r w:rsidR="00DB4471" w:rsidRPr="001F34EE">
        <w:t>n increase in the need to repeat a school grade in the intervention group</w:t>
      </w:r>
      <w:r w:rsidR="00DB4471">
        <w:t xml:space="preserve"> (an alternative explanation for the observed increase in years in school, and consistent with the finding of no overall increase in the number of grades achieved)</w:t>
      </w:r>
      <w:r w:rsidR="0043375A">
        <w:t>;</w:t>
      </w:r>
    </w:p>
    <w:p w14:paraId="540A782D" w14:textId="71C663FC" w:rsidR="00DB4471" w:rsidRDefault="004C463B" w:rsidP="00DB4471">
      <w:pPr>
        <w:numPr>
          <w:ilvl w:val="0"/>
          <w:numId w:val="15"/>
        </w:numPr>
        <w:spacing w:after="0" w:line="240" w:lineRule="auto"/>
        <w:ind w:left="760" w:hanging="357"/>
      </w:pPr>
      <w:r>
        <w:t>N</w:t>
      </w:r>
      <w:r w:rsidR="00DB4471" w:rsidRPr="001F34EE">
        <w:t xml:space="preserve">o </w:t>
      </w:r>
      <w:r w:rsidR="00DB4471">
        <w:t>evidence of effect</w:t>
      </w:r>
      <w:r w:rsidR="00DB4471" w:rsidRPr="001F34EE">
        <w:t xml:space="preserve"> on secondary school attendance prior to sub-grouping by gender</w:t>
      </w:r>
      <w:r w:rsidR="00DB4471">
        <w:t xml:space="preserve"> (</w:t>
      </w:r>
      <w:r w:rsidR="00E26723">
        <w:t>only the whole sample is adequately powered to detect an effect</w:t>
      </w:r>
      <w:r w:rsidR="00DB4471">
        <w:t>)</w:t>
      </w:r>
      <w:r w:rsidR="0043375A">
        <w:t xml:space="preserve">, suggesting a </w:t>
      </w:r>
      <w:r w:rsidR="003E2AB9">
        <w:t xml:space="preserve">potentially </w:t>
      </w:r>
      <w:r w:rsidR="0043375A">
        <w:t>spurious subgroup finding;</w:t>
      </w:r>
    </w:p>
    <w:p w14:paraId="30B131E9" w14:textId="62F6C17E" w:rsidR="00DB4471" w:rsidRDefault="004C463B" w:rsidP="00DB4471">
      <w:pPr>
        <w:numPr>
          <w:ilvl w:val="0"/>
          <w:numId w:val="15"/>
        </w:numPr>
        <w:spacing w:after="0" w:line="240" w:lineRule="auto"/>
        <w:ind w:left="760" w:hanging="357"/>
      </w:pPr>
      <w:r>
        <w:t>L</w:t>
      </w:r>
      <w:r w:rsidR="00E26723">
        <w:t xml:space="preserve">ittle </w:t>
      </w:r>
      <w:r w:rsidR="00DB4471">
        <w:t>evidence of effect on secondary school attendance in females after adjustment for multiple significance testing (P = 0.084 after adjustment)</w:t>
      </w:r>
      <w:r w:rsidR="0043375A">
        <w:t>;</w:t>
      </w:r>
    </w:p>
    <w:p w14:paraId="18D49023" w14:textId="2F69DDDC" w:rsidR="00DB4471" w:rsidRDefault="004C463B" w:rsidP="00DB4471">
      <w:pPr>
        <w:numPr>
          <w:ilvl w:val="0"/>
          <w:numId w:val="15"/>
        </w:numPr>
        <w:spacing w:after="120" w:line="240" w:lineRule="auto"/>
        <w:ind w:left="760" w:hanging="357"/>
      </w:pPr>
      <w:r>
        <w:t>N</w:t>
      </w:r>
      <w:r w:rsidR="00DB4471">
        <w:t>o evidence of effect on monthly earnings.</w:t>
      </w:r>
    </w:p>
    <w:p w14:paraId="0D03CE6E" w14:textId="2718397C" w:rsidR="00560BED" w:rsidRDefault="00560BED" w:rsidP="00560BED">
      <w:pPr>
        <w:spacing w:before="120" w:after="120" w:line="240" w:lineRule="auto"/>
      </w:pPr>
      <w:r>
        <w:t>We do know that p</w:t>
      </w:r>
      <w:r w:rsidR="00DB4471" w:rsidRPr="001F34EE">
        <w:t>ost-hoc analyses increase the risk of type 1 errors (finding an effect when there is no effect present) [</w:t>
      </w:r>
      <w:r w:rsidR="00EC6B98">
        <w:t>28</w:t>
      </w:r>
      <w:r w:rsidR="00DB4471" w:rsidRPr="001F34EE">
        <w:t>][</w:t>
      </w:r>
      <w:r w:rsidR="00EC6B98">
        <w:t>29</w:t>
      </w:r>
      <w:r w:rsidR="00DB4471" w:rsidRPr="001F34EE">
        <w:t xml:space="preserve">]. Item 18 of the 2010 CONSORT statement for the reporting of randomized trials specifies that post-hoc analyses should be clearly labelled as such and considered as exploratory. In addition, the explanatory notes states that “Post hoc subgroup comparisons (analyses done after looking at the data) are especially likely not to be </w:t>
      </w:r>
      <w:r w:rsidR="00D17327">
        <w:t>confirmed by further studies”[3</w:t>
      </w:r>
      <w:r w:rsidR="00EC6B98">
        <w:t>0</w:t>
      </w:r>
      <w:r w:rsidR="00DB4471" w:rsidRPr="001F34EE">
        <w:t>].</w:t>
      </w:r>
    </w:p>
    <w:p w14:paraId="7AB3E133" w14:textId="73A044EE" w:rsidR="00DB4471" w:rsidRDefault="002319B6" w:rsidP="00DB4471">
      <w:pPr>
        <w:spacing w:before="120" w:after="120" w:line="240" w:lineRule="auto"/>
      </w:pPr>
      <w:r>
        <w:t>A</w:t>
      </w:r>
      <w:r w:rsidR="009E2FDF" w:rsidRPr="00AE73AB">
        <w:t xml:space="preserve">t face value, there is a consistency of findings across the two remaining studies by Ozier and Croke. </w:t>
      </w:r>
      <w:r w:rsidR="00DB4471">
        <w:t xml:space="preserve">Both studies </w:t>
      </w:r>
      <w:r w:rsidR="00FF0FFE">
        <w:t>have s</w:t>
      </w:r>
      <w:r w:rsidR="003A7A29">
        <w:t xml:space="preserve">ubstantial </w:t>
      </w:r>
      <w:r w:rsidR="009E2FDF">
        <w:t xml:space="preserve">methodological and </w:t>
      </w:r>
      <w:r>
        <w:t xml:space="preserve">plausibility </w:t>
      </w:r>
      <w:r w:rsidR="00DB4471">
        <w:t>limitations</w:t>
      </w:r>
      <w:r w:rsidR="00FF0FFE">
        <w:t xml:space="preserve"> which should temper their interpretation</w:t>
      </w:r>
      <w:r w:rsidR="009E2FDF">
        <w:t xml:space="preserve">, but </w:t>
      </w:r>
      <w:r w:rsidR="00DB4471">
        <w:t xml:space="preserve">the observed effect after such a small deworming exposure </w:t>
      </w:r>
      <w:r w:rsidR="00ED3E37">
        <w:t xml:space="preserve">probably </w:t>
      </w:r>
      <w:r w:rsidR="00FF0FFE">
        <w:t xml:space="preserve">deserves further </w:t>
      </w:r>
      <w:r w:rsidR="0043375A">
        <w:t xml:space="preserve">consideration </w:t>
      </w:r>
      <w:r w:rsidR="00FF0FFE">
        <w:t xml:space="preserve">and </w:t>
      </w:r>
      <w:r w:rsidR="00DB4471">
        <w:t xml:space="preserve">should be amenable to </w:t>
      </w:r>
      <w:r w:rsidR="0043375A">
        <w:t xml:space="preserve">testing </w:t>
      </w:r>
      <w:r w:rsidR="00FC6F89">
        <w:t xml:space="preserve">through a well-designed </w:t>
      </w:r>
      <w:r w:rsidR="00DB4471">
        <w:t>randomized controlled trial.</w:t>
      </w:r>
    </w:p>
    <w:p w14:paraId="69548363" w14:textId="05A963D4" w:rsidR="00482A0A" w:rsidRDefault="00762B9C" w:rsidP="0026360F">
      <w:pPr>
        <w:spacing w:before="120" w:after="120" w:line="240" w:lineRule="auto"/>
      </w:pPr>
      <w:r>
        <w:lastRenderedPageBreak/>
        <w:t>More g</w:t>
      </w:r>
      <w:r w:rsidR="00166C35">
        <w:t>enerally, t</w:t>
      </w:r>
      <w:r w:rsidR="00DB4471">
        <w:t>here appears to be</w:t>
      </w:r>
      <w:r w:rsidR="00DB4471" w:rsidRPr="001F34EE">
        <w:t xml:space="preserve"> a tendency for advocates of deworming to ‘build a case’ for deworming, by </w:t>
      </w:r>
      <w:r w:rsidR="006D23C3">
        <w:t>drawing</w:t>
      </w:r>
      <w:r w:rsidR="006D23C3" w:rsidRPr="001F34EE">
        <w:t xml:space="preserve"> </w:t>
      </w:r>
      <w:r w:rsidR="00DB4471" w:rsidRPr="001F34EE">
        <w:t>together evidence which support</w:t>
      </w:r>
      <w:r>
        <w:t>s</w:t>
      </w:r>
      <w:r w:rsidR="00DB4471" w:rsidRPr="001F34EE">
        <w:t xml:space="preserve"> their prior beliefs, and ignoring or dismissing the </w:t>
      </w:r>
      <w:r w:rsidR="0043375A">
        <w:t>evidence that does not</w:t>
      </w:r>
      <w:r w:rsidR="0043375A" w:rsidRPr="001F34EE">
        <w:t xml:space="preserve"> </w:t>
      </w:r>
      <w:r w:rsidR="00D17327">
        <w:t>[3</w:t>
      </w:r>
      <w:r w:rsidR="00EC6B98">
        <w:t>1</w:t>
      </w:r>
      <w:r w:rsidR="00DB4471" w:rsidRPr="001F34EE">
        <w:t>][</w:t>
      </w:r>
      <w:r w:rsidR="00D17327">
        <w:t>3</w:t>
      </w:r>
      <w:r w:rsidR="00EC6B98">
        <w:t>2</w:t>
      </w:r>
      <w:r w:rsidR="00D17327">
        <w:t>][9</w:t>
      </w:r>
      <w:r w:rsidR="00DB4471" w:rsidRPr="001F34EE">
        <w:t xml:space="preserve">]. </w:t>
      </w:r>
      <w:r w:rsidR="00DB4471" w:rsidRPr="00762B9C">
        <w:t>This ‘confirmation bias’</w:t>
      </w:r>
      <w:r w:rsidR="006D23C3" w:rsidRPr="00762B9C">
        <w:t xml:space="preserve"> is common, but</w:t>
      </w:r>
      <w:r w:rsidR="00DB4471" w:rsidRPr="00762B9C">
        <w:t xml:space="preserve"> runs counter to current standards in transparent, evidence-informed decision making [</w:t>
      </w:r>
      <w:r w:rsidR="00D17327" w:rsidRPr="00762B9C">
        <w:t>3</w:t>
      </w:r>
      <w:r w:rsidR="00EC6B98">
        <w:t>3</w:t>
      </w:r>
      <w:r w:rsidR="00DB4471" w:rsidRPr="00762B9C">
        <w:t xml:space="preserve">], and has led to the claims of these studies being cited </w:t>
      </w:r>
      <w:r w:rsidR="00DB4471" w:rsidRPr="00762B9C">
        <w:rPr>
          <w:i/>
        </w:rPr>
        <w:t>verbatim</w:t>
      </w:r>
      <w:r w:rsidR="00DB4471" w:rsidRPr="00762B9C">
        <w:t>, without appropriate appraisal</w:t>
      </w:r>
      <w:r w:rsidR="00D17327" w:rsidRPr="00762B9C">
        <w:t xml:space="preserve"> [3</w:t>
      </w:r>
      <w:r w:rsidR="00EC6B98">
        <w:t>4</w:t>
      </w:r>
      <w:r w:rsidR="00FC2A35" w:rsidRPr="00762B9C">
        <w:t>]</w:t>
      </w:r>
      <w:r w:rsidR="00DB4471" w:rsidRPr="00762B9C">
        <w:t xml:space="preserve">. </w:t>
      </w:r>
    </w:p>
    <w:p w14:paraId="0298D472" w14:textId="70512056" w:rsidR="00DB4471" w:rsidRPr="001F34EE" w:rsidRDefault="00762B9C" w:rsidP="00D806F1">
      <w:r>
        <w:t>G</w:t>
      </w:r>
      <w:r w:rsidR="00DB4471" w:rsidRPr="001F34EE">
        <w:t>overnment ministries responsible for resource allocation, philanthropists supporting these programmes, and the public who are subject to them, require transparency about what effects could reasonably be expected. If a community in a given setting has a high prevalence of untreated worm infections, then mass-deworming programmes may well be an effective way to reach and treat a large number of children. If however, the problem is poor school attendance, or low educational attainment, then these are problems which probably require different solutions [3</w:t>
      </w:r>
      <w:r w:rsidR="00EC6B98">
        <w:t>5</w:t>
      </w:r>
      <w:r w:rsidR="00DB4471" w:rsidRPr="001F34EE">
        <w:t>].</w:t>
      </w:r>
    </w:p>
    <w:p w14:paraId="47E43658" w14:textId="77777777" w:rsidR="0043375A" w:rsidRPr="0037502B" w:rsidRDefault="0043375A" w:rsidP="0037502B">
      <w:pPr>
        <w:rPr>
          <w:b/>
          <w:sz w:val="28"/>
          <w:szCs w:val="28"/>
        </w:rPr>
      </w:pPr>
      <w:r w:rsidRPr="0037502B">
        <w:rPr>
          <w:b/>
          <w:sz w:val="28"/>
          <w:szCs w:val="28"/>
        </w:rPr>
        <w:t>Conclusion</w:t>
      </w:r>
    </w:p>
    <w:p w14:paraId="3C1AC03A" w14:textId="6032D96A" w:rsidR="00DB4471" w:rsidRDefault="00083D5B" w:rsidP="00DB4471">
      <w:r>
        <w:t xml:space="preserve">These </w:t>
      </w:r>
      <w:r w:rsidR="00DB4471">
        <w:t xml:space="preserve">three studies all have </w:t>
      </w:r>
      <w:r w:rsidR="00DB4471" w:rsidRPr="002C0462">
        <w:t xml:space="preserve">substantial problems in their </w:t>
      </w:r>
      <w:r w:rsidR="00DB4471">
        <w:t>methods and analy</w:t>
      </w:r>
      <w:r>
        <w:t>sis</w:t>
      </w:r>
      <w:r w:rsidR="00DB4471">
        <w:t>, which question the credibility of the</w:t>
      </w:r>
      <w:r w:rsidR="002319B6">
        <w:t xml:space="preserve"> use of these studies to justify the effectiveness of deworming programmes</w:t>
      </w:r>
      <w:r w:rsidR="00DB4471" w:rsidRPr="002C0462">
        <w:t xml:space="preserve">. </w:t>
      </w:r>
      <w:r w:rsidR="001D20CD">
        <w:t xml:space="preserve">They help in generating hypothesis. </w:t>
      </w:r>
      <w:r w:rsidR="00DB4471">
        <w:t>Decisions about whether or not to implement mass treatment programmes, calculations around programme cost, and advocacy to the public, should be based on reliable estimates of effects, informed by robust evidence.</w:t>
      </w:r>
    </w:p>
    <w:p w14:paraId="09B52D21" w14:textId="4003FAC9" w:rsidR="00FC6F89" w:rsidRDefault="00FC6F89" w:rsidP="00DB4471"/>
    <w:p w14:paraId="0AD6ECD2" w14:textId="18ABC66A" w:rsidR="00E14696" w:rsidRDefault="00E14696" w:rsidP="00851BC2">
      <w:pPr>
        <w:spacing w:before="120" w:after="120" w:line="240" w:lineRule="auto"/>
      </w:pPr>
      <w:r>
        <w:br w:type="page"/>
      </w:r>
    </w:p>
    <w:p w14:paraId="58C6604A" w14:textId="4D86CA2E" w:rsidR="00E14696" w:rsidRPr="0037502B" w:rsidRDefault="00E14696" w:rsidP="0037502B">
      <w:pPr>
        <w:rPr>
          <w:b/>
          <w:sz w:val="24"/>
          <w:szCs w:val="24"/>
        </w:rPr>
      </w:pPr>
      <w:r w:rsidRPr="0037502B">
        <w:rPr>
          <w:b/>
          <w:sz w:val="24"/>
          <w:szCs w:val="24"/>
        </w:rPr>
        <w:lastRenderedPageBreak/>
        <w:t>Funding</w:t>
      </w:r>
    </w:p>
    <w:p w14:paraId="68F8CFCA" w14:textId="77777777" w:rsidR="00A1170F" w:rsidRPr="00A1170F" w:rsidRDefault="00E14696" w:rsidP="00A1170F">
      <w:r w:rsidRPr="00D806F1">
        <w:t>This work was supported</w:t>
      </w:r>
      <w:r w:rsidR="0043375A" w:rsidRPr="00D806F1">
        <w:t xml:space="preserve"> through the Effective Health Care Research Programme Consortium, funded by UK aid from the UK Government for the benefit of developing countries (Grant: 5242</w:t>
      </w:r>
      <w:r w:rsidR="001D20CD" w:rsidRPr="00A1170F">
        <w:t>).</w:t>
      </w:r>
      <w:r w:rsidR="00A1170F" w:rsidRPr="00A1170F">
        <w:t xml:space="preserve"> The views expressed in this review do not necessarily reflect UK government policy.</w:t>
      </w:r>
    </w:p>
    <w:p w14:paraId="6AC540D9" w14:textId="52B8044F" w:rsidR="0043375A" w:rsidRPr="00D806F1" w:rsidRDefault="0043375A" w:rsidP="00851BC2">
      <w:pPr>
        <w:spacing w:before="120" w:after="120" w:line="240" w:lineRule="auto"/>
      </w:pPr>
    </w:p>
    <w:p w14:paraId="4CF01115" w14:textId="60E36537" w:rsidR="00E14696" w:rsidRPr="0037502B" w:rsidRDefault="00646FDF" w:rsidP="0037502B">
      <w:pPr>
        <w:rPr>
          <w:b/>
          <w:sz w:val="24"/>
          <w:szCs w:val="24"/>
        </w:rPr>
      </w:pPr>
      <w:r w:rsidRPr="0037502B">
        <w:rPr>
          <w:b/>
          <w:sz w:val="24"/>
          <w:szCs w:val="24"/>
        </w:rPr>
        <w:t>Competing</w:t>
      </w:r>
      <w:r w:rsidR="00E14696" w:rsidRPr="0037502B">
        <w:rPr>
          <w:b/>
          <w:sz w:val="24"/>
          <w:szCs w:val="24"/>
        </w:rPr>
        <w:t xml:space="preserve"> interest</w:t>
      </w:r>
      <w:r w:rsidRPr="0037502B">
        <w:rPr>
          <w:b/>
          <w:sz w:val="24"/>
          <w:szCs w:val="24"/>
        </w:rPr>
        <w:t>s</w:t>
      </w:r>
    </w:p>
    <w:p w14:paraId="60D7BC6B" w14:textId="72853787" w:rsidR="00E14696" w:rsidRPr="00E14696" w:rsidRDefault="00E14696" w:rsidP="00851BC2">
      <w:pPr>
        <w:spacing w:before="120" w:after="120" w:line="240" w:lineRule="auto"/>
      </w:pPr>
      <w:r w:rsidRPr="00E14696">
        <w:t>PG is Director of Evidence Building and Synthesis Research Consortium that receives</w:t>
      </w:r>
      <w:r>
        <w:t xml:space="preserve"> </w:t>
      </w:r>
      <w:r w:rsidRPr="00E14696">
        <w:t>money to increase the number of evidence-informed decisions by intermediary organizations, including WHO</w:t>
      </w:r>
      <w:r>
        <w:t xml:space="preserve"> </w:t>
      </w:r>
      <w:r w:rsidRPr="00E14696">
        <w:t>and national decision makers that benefit the poor in middle and low income countries. DS and SJ are employed as part</w:t>
      </w:r>
      <w:r>
        <w:t xml:space="preserve"> </w:t>
      </w:r>
      <w:r w:rsidRPr="00E14696">
        <w:t>of this Consortium. PG is the co-ordinator of a WHO Collaborating Centre for Evidence Synthesis for Infectious</w:t>
      </w:r>
      <w:r>
        <w:t xml:space="preserve"> </w:t>
      </w:r>
      <w:r w:rsidRPr="00E14696">
        <w:t>and Tropical Diseases (</w:t>
      </w:r>
      <w:hyperlink r:id="rId9" w:history="1">
        <w:r w:rsidRPr="00E14696">
          <w:rPr>
            <w:rStyle w:val="Hyperlink"/>
          </w:rPr>
          <w:t>http://apps.who.int/whocc/default.aspx</w:t>
        </w:r>
      </w:hyperlink>
      <w:r w:rsidRPr="00E14696">
        <w:t>; UNK234) and one of the Centre’s aims is to help</w:t>
      </w:r>
      <w:r>
        <w:t xml:space="preserve"> </w:t>
      </w:r>
      <w:r w:rsidRPr="00E14696">
        <w:t>WHO in its role as an infomediary in communicating reliable summaries of research evidence to policy makers. PG is an author of the Cochrane review evaluating the effects of community-based deworming on health, nutrition, and school participation.</w:t>
      </w:r>
      <w:r w:rsidR="00646FDF">
        <w:t xml:space="preserve"> PG receives support from COUNTDOWN, a grant to LSTM from DfID to promote control of neglected tropical diseases in developing countries, including soil transmitted helminths.</w:t>
      </w:r>
    </w:p>
    <w:p w14:paraId="505D4125" w14:textId="45EAC78F" w:rsidR="00E14696" w:rsidRDefault="00E14696" w:rsidP="00851BC2">
      <w:pPr>
        <w:spacing w:before="120" w:after="120" w:line="240" w:lineRule="auto"/>
      </w:pPr>
      <w:r w:rsidRPr="00E14696">
        <w:t>The funding source had no role in identifying the research topic, or in the design, data collection and analysis, decision to publish, or preparation of the manuscript.</w:t>
      </w:r>
    </w:p>
    <w:p w14:paraId="47072FFC" w14:textId="77777777" w:rsidR="00E14696" w:rsidRPr="00E14696" w:rsidRDefault="00E14696" w:rsidP="00851BC2">
      <w:pPr>
        <w:spacing w:before="120" w:after="120" w:line="240" w:lineRule="auto"/>
      </w:pPr>
    </w:p>
    <w:p w14:paraId="4C5972F3" w14:textId="77777777" w:rsidR="00E14696" w:rsidRDefault="00E14696" w:rsidP="00851BC2">
      <w:pPr>
        <w:spacing w:before="120" w:after="120" w:line="240" w:lineRule="auto"/>
      </w:pPr>
    </w:p>
    <w:p w14:paraId="22AC44F4" w14:textId="77777777" w:rsidR="00AB4B4B" w:rsidRPr="00AB4B4B" w:rsidRDefault="00AB4B4B" w:rsidP="00851BC2">
      <w:pPr>
        <w:spacing w:before="120" w:after="120" w:line="240" w:lineRule="auto"/>
        <w:rPr>
          <w:lang w:val="en-US"/>
        </w:rPr>
      </w:pPr>
    </w:p>
    <w:p w14:paraId="44092555" w14:textId="77777777" w:rsidR="003B02F4" w:rsidRDefault="003B02F4" w:rsidP="00851BC2">
      <w:pPr>
        <w:spacing w:before="120" w:after="120" w:line="240" w:lineRule="auto"/>
        <w:rPr>
          <w:rFonts w:asciiTheme="majorHAnsi" w:eastAsiaTheme="majorEastAsia" w:hAnsiTheme="majorHAnsi" w:cstheme="majorBidi"/>
          <w:b/>
          <w:sz w:val="28"/>
          <w:szCs w:val="26"/>
        </w:rPr>
      </w:pPr>
      <w:r>
        <w:rPr>
          <w:b/>
        </w:rPr>
        <w:br w:type="page"/>
      </w:r>
    </w:p>
    <w:p w14:paraId="7A47D265" w14:textId="671C4ED5" w:rsidR="00DC1A72" w:rsidRPr="0037502B" w:rsidRDefault="004646E5" w:rsidP="0037502B">
      <w:pPr>
        <w:rPr>
          <w:b/>
          <w:sz w:val="28"/>
          <w:szCs w:val="28"/>
        </w:rPr>
      </w:pPr>
      <w:r w:rsidRPr="0037502B">
        <w:rPr>
          <w:b/>
          <w:sz w:val="28"/>
          <w:szCs w:val="28"/>
        </w:rPr>
        <w:lastRenderedPageBreak/>
        <w:t>References</w:t>
      </w:r>
    </w:p>
    <w:p w14:paraId="5BA37399" w14:textId="289690E5" w:rsidR="00755D84" w:rsidRPr="0037502B" w:rsidRDefault="00755D84" w:rsidP="00D622F3">
      <w:pPr>
        <w:pStyle w:val="ListParagraph"/>
        <w:numPr>
          <w:ilvl w:val="0"/>
          <w:numId w:val="17"/>
        </w:numPr>
        <w:ind w:left="714" w:hanging="357"/>
        <w:contextualSpacing w:val="0"/>
        <w:rPr>
          <w:sz w:val="20"/>
          <w:lang w:val="en-US"/>
        </w:rPr>
      </w:pPr>
      <w:r w:rsidRPr="0037502B">
        <w:rPr>
          <w:sz w:val="20"/>
          <w:lang w:val="es-ES"/>
        </w:rPr>
        <w:t xml:space="preserve">de Silva NR, Brooker S, Hotez PJ, Montresor A, Engels D, Savioli L. Soil-transmitted helminth infections: updating the global picture. </w:t>
      </w:r>
      <w:r w:rsidRPr="0037502B">
        <w:rPr>
          <w:iCs/>
          <w:sz w:val="20"/>
          <w:lang w:val="es-ES"/>
        </w:rPr>
        <w:t xml:space="preserve">Trends in Parasitology </w:t>
      </w:r>
      <w:r w:rsidRPr="0037502B">
        <w:rPr>
          <w:sz w:val="20"/>
          <w:lang w:val="es-ES"/>
        </w:rPr>
        <w:t>2003;</w:t>
      </w:r>
      <w:r w:rsidRPr="0037502B">
        <w:rPr>
          <w:bCs/>
          <w:sz w:val="20"/>
          <w:lang w:val="es-ES"/>
        </w:rPr>
        <w:t>19</w:t>
      </w:r>
      <w:r w:rsidRPr="0037502B">
        <w:rPr>
          <w:sz w:val="20"/>
          <w:lang w:val="es-ES"/>
        </w:rPr>
        <w:t>(12): 547–51</w:t>
      </w:r>
    </w:p>
    <w:p w14:paraId="26BA2FAA" w14:textId="0B9A610E" w:rsidR="00D622F3" w:rsidRPr="0037502B" w:rsidRDefault="00443ED0" w:rsidP="00D622F3">
      <w:pPr>
        <w:pStyle w:val="ListParagraph"/>
        <w:numPr>
          <w:ilvl w:val="0"/>
          <w:numId w:val="17"/>
        </w:numPr>
        <w:ind w:left="714" w:hanging="357"/>
        <w:contextualSpacing w:val="0"/>
        <w:rPr>
          <w:sz w:val="20"/>
          <w:lang w:val="en-US"/>
        </w:rPr>
      </w:pPr>
      <w:r w:rsidRPr="0037502B">
        <w:rPr>
          <w:sz w:val="20"/>
          <w:lang w:val="en-US"/>
        </w:rPr>
        <w:t xml:space="preserve">Bethony J, Brooker S, Albonico M, Geiger SM, Loukas A, Diemert D et al. Soil-transmitted helminth infections: ascariasis, trichuriasis, and hookworm. </w:t>
      </w:r>
      <w:r w:rsidRPr="0037502B">
        <w:rPr>
          <w:iCs/>
          <w:sz w:val="20"/>
          <w:lang w:val="en-US"/>
        </w:rPr>
        <w:t>Lancet</w:t>
      </w:r>
      <w:r w:rsidRPr="0037502B">
        <w:rPr>
          <w:sz w:val="20"/>
          <w:lang w:val="en-US"/>
        </w:rPr>
        <w:t xml:space="preserve">. 2006;367(9521): 1521-32. Available from: </w:t>
      </w:r>
      <w:hyperlink r:id="rId10" w:history="1">
        <w:r w:rsidRPr="0037502B">
          <w:rPr>
            <w:rStyle w:val="Hyperlink"/>
            <w:sz w:val="20"/>
            <w:lang w:val="en-US"/>
          </w:rPr>
          <w:t>http://www.ncbi.nlm.nih.gov/pubmed/16679166</w:t>
        </w:r>
      </w:hyperlink>
      <w:r w:rsidRPr="0037502B">
        <w:rPr>
          <w:sz w:val="20"/>
          <w:lang w:val="en-US"/>
        </w:rPr>
        <w:t xml:space="preserve"> [Accessed 8 March 2016].</w:t>
      </w:r>
    </w:p>
    <w:p w14:paraId="02E5A2D5" w14:textId="0B9A610E" w:rsidR="00443ED0" w:rsidRPr="0037502B" w:rsidRDefault="00443ED0" w:rsidP="00D622F3">
      <w:pPr>
        <w:pStyle w:val="ListParagraph"/>
        <w:numPr>
          <w:ilvl w:val="0"/>
          <w:numId w:val="17"/>
        </w:numPr>
        <w:ind w:left="714" w:hanging="357"/>
        <w:contextualSpacing w:val="0"/>
        <w:rPr>
          <w:sz w:val="20"/>
        </w:rPr>
      </w:pPr>
      <w:r w:rsidRPr="0037502B">
        <w:rPr>
          <w:sz w:val="20"/>
        </w:rPr>
        <w:t>Baba AA, Ahmad SM, Sheikh KA. Intestinal ascariasis: the commonest cause of bowel obstruction in children at a tertiary care center in Kashmir. Pediatric Surgery International. 2009;25(12): 1099-102. Available from: doi: 10.1007/s00383-009-2486-8 [Accessed: 7 March 2016].</w:t>
      </w:r>
    </w:p>
    <w:p w14:paraId="3EA47F73" w14:textId="77777777" w:rsidR="00443ED0" w:rsidRPr="0037502B" w:rsidRDefault="00443ED0" w:rsidP="00D622F3">
      <w:pPr>
        <w:pStyle w:val="ListParagraph"/>
        <w:numPr>
          <w:ilvl w:val="0"/>
          <w:numId w:val="17"/>
        </w:numPr>
        <w:ind w:left="714" w:hanging="357"/>
        <w:contextualSpacing w:val="0"/>
        <w:rPr>
          <w:color w:val="000000" w:themeColor="text1"/>
          <w:sz w:val="20"/>
        </w:rPr>
      </w:pPr>
      <w:r w:rsidRPr="0037502B">
        <w:rPr>
          <w:color w:val="000000" w:themeColor="text1"/>
          <w:sz w:val="20"/>
        </w:rPr>
        <w:t xml:space="preserve">WHO. </w:t>
      </w:r>
      <w:r w:rsidRPr="0037502B">
        <w:rPr>
          <w:rFonts w:cs="Times"/>
          <w:iCs/>
          <w:color w:val="000000" w:themeColor="text1"/>
          <w:sz w:val="20"/>
        </w:rPr>
        <w:t>Prevention and control of schistosomiasis and soil-transmitted helminthiasis</w:t>
      </w:r>
      <w:r w:rsidRPr="0037502B">
        <w:rPr>
          <w:rFonts w:cs="Times"/>
          <w:color w:val="000000" w:themeColor="text1"/>
          <w:sz w:val="20"/>
        </w:rPr>
        <w:t xml:space="preserve">. Report of a WHO Expert Committee, Technical Report Series, No. 912. Geneva, World Health Organization; 2002. Available from: </w:t>
      </w:r>
      <w:hyperlink r:id="rId11" w:history="1">
        <w:r w:rsidRPr="0037502B">
          <w:rPr>
            <w:rStyle w:val="Hyperlink"/>
            <w:rFonts w:cs="Times"/>
            <w:color w:val="000000" w:themeColor="text1"/>
            <w:sz w:val="20"/>
          </w:rPr>
          <w:t>http://apps.who.int/iris/bitstream/10665/42588/1/WHO_TRS_912.pdf</w:t>
        </w:r>
      </w:hyperlink>
      <w:r w:rsidRPr="0037502B">
        <w:rPr>
          <w:rFonts w:cs="Times"/>
          <w:color w:val="000000" w:themeColor="text1"/>
          <w:sz w:val="20"/>
        </w:rPr>
        <w:t xml:space="preserve"> [Accessed: 7 March 2016].</w:t>
      </w:r>
    </w:p>
    <w:p w14:paraId="47BA2FDA" w14:textId="77777777" w:rsidR="00443ED0" w:rsidRPr="0037502B" w:rsidRDefault="00443ED0" w:rsidP="00D622F3">
      <w:pPr>
        <w:pStyle w:val="ListParagraph"/>
        <w:numPr>
          <w:ilvl w:val="0"/>
          <w:numId w:val="17"/>
        </w:numPr>
        <w:ind w:left="714" w:hanging="357"/>
        <w:contextualSpacing w:val="0"/>
        <w:rPr>
          <w:sz w:val="20"/>
        </w:rPr>
      </w:pPr>
      <w:r w:rsidRPr="0037502B">
        <w:rPr>
          <w:sz w:val="20"/>
        </w:rPr>
        <w:t xml:space="preserve">Charles Mwandawiro. A new perspective on the War on Worms. Available from: </w:t>
      </w:r>
      <w:hyperlink r:id="rId12" w:anchor=".Vukw52SLTZu" w:history="1">
        <w:r w:rsidRPr="0037502B">
          <w:rPr>
            <w:rStyle w:val="Hyperlink"/>
            <w:sz w:val="20"/>
          </w:rPr>
          <w:t>http://www.impatientoptimists.org/Posts/2015/09/A-New-Perspective-on-the-War-on-Worms#.Vukw52SLTZu</w:t>
        </w:r>
      </w:hyperlink>
      <w:r w:rsidRPr="0037502B">
        <w:rPr>
          <w:sz w:val="20"/>
        </w:rPr>
        <w:t xml:space="preserve"> [Accessed: 15 March 2016].</w:t>
      </w:r>
    </w:p>
    <w:p w14:paraId="4CCA9D34" w14:textId="77777777" w:rsidR="00443ED0" w:rsidRPr="0037502B" w:rsidRDefault="00443ED0" w:rsidP="00D622F3">
      <w:pPr>
        <w:pStyle w:val="ListParagraph"/>
        <w:numPr>
          <w:ilvl w:val="0"/>
          <w:numId w:val="17"/>
        </w:numPr>
        <w:ind w:left="714" w:hanging="357"/>
        <w:contextualSpacing w:val="0"/>
        <w:rPr>
          <w:rFonts w:cs="Times"/>
          <w:bCs/>
          <w:color w:val="000000" w:themeColor="text1"/>
          <w:sz w:val="20"/>
          <w:lang w:val="en-US"/>
        </w:rPr>
      </w:pPr>
      <w:r w:rsidRPr="0037502B">
        <w:rPr>
          <w:rFonts w:cs="Times"/>
          <w:bCs/>
          <w:color w:val="000000" w:themeColor="text1"/>
          <w:sz w:val="20"/>
          <w:lang w:val="en-US"/>
        </w:rPr>
        <w:t>Taylor-Robinson D, Maayan N, Soares-Weiser K, Donegan S, Garner P. Deworming drugs for soil-transmitted intestinal worms in children: effects on nutritional indicators, haemoglobin, and school performance. Cochrane Database of Systematic Reviews. 2015(7). Available from: doi: 10.1002/14651858.CD000371.pub6 [Accessed: 8 October 2015].</w:t>
      </w:r>
    </w:p>
    <w:p w14:paraId="13FDBA05" w14:textId="77777777" w:rsidR="00443ED0" w:rsidRPr="0037502B" w:rsidRDefault="00443ED0" w:rsidP="00D622F3">
      <w:pPr>
        <w:pStyle w:val="ListParagraph"/>
        <w:numPr>
          <w:ilvl w:val="0"/>
          <w:numId w:val="17"/>
        </w:numPr>
        <w:ind w:left="714" w:hanging="357"/>
        <w:contextualSpacing w:val="0"/>
        <w:rPr>
          <w:rFonts w:cs="Times"/>
          <w:color w:val="000000" w:themeColor="text1"/>
          <w:sz w:val="20"/>
        </w:rPr>
      </w:pPr>
      <w:r w:rsidRPr="0037502B">
        <w:rPr>
          <w:rFonts w:cs="Times"/>
          <w:color w:val="000000" w:themeColor="text1"/>
          <w:sz w:val="20"/>
        </w:rPr>
        <w:t>Walson JL. Don't Shoot the Messenger. PLoS Neglected Tropical Diseases. 2015;9(10): e0004166. Available from: doi:10.1371/journal.pntd.0004166 [Accessed: 6 November 2015].</w:t>
      </w:r>
    </w:p>
    <w:p w14:paraId="07D61B66" w14:textId="77777777" w:rsidR="00443ED0" w:rsidRPr="0037502B" w:rsidRDefault="00443ED0" w:rsidP="00D622F3">
      <w:pPr>
        <w:pStyle w:val="ListParagraph"/>
        <w:numPr>
          <w:ilvl w:val="0"/>
          <w:numId w:val="17"/>
        </w:numPr>
        <w:ind w:left="714" w:hanging="357"/>
        <w:contextualSpacing w:val="0"/>
        <w:rPr>
          <w:rFonts w:eastAsiaTheme="minorEastAsia" w:cs="Times New Roman"/>
          <w:noProof/>
          <w:sz w:val="20"/>
          <w:lang w:eastAsia="es-ES"/>
        </w:rPr>
      </w:pPr>
      <w:r w:rsidRPr="0037502B">
        <w:rPr>
          <w:rFonts w:eastAsiaTheme="minorEastAsia" w:cs="Times New Roman"/>
          <w:noProof/>
          <w:sz w:val="20"/>
          <w:lang w:eastAsia="es-ES"/>
        </w:rPr>
        <w:t>Montresor A, Addiss D, Albonico M, Ali SM, Ault SK, Gabrielli AF, et al. Methodological Bias Can Lead the Cochrane Collaboration to Irrelevance in Public Health Decision-Making. PLoS Neglected Tropical Diseases. 2015;9(10): e0004165. Available from: doi: 10.1371/journal.pntd.0004165 [Accessed: 31 January 2016].</w:t>
      </w:r>
    </w:p>
    <w:p w14:paraId="3BE5D9C4" w14:textId="77777777" w:rsidR="00443ED0" w:rsidRPr="0037502B" w:rsidRDefault="00443ED0" w:rsidP="00D622F3">
      <w:pPr>
        <w:pStyle w:val="ListParagraph"/>
        <w:numPr>
          <w:ilvl w:val="0"/>
          <w:numId w:val="17"/>
        </w:numPr>
        <w:ind w:left="714" w:hanging="357"/>
        <w:contextualSpacing w:val="0"/>
        <w:rPr>
          <w:noProof/>
          <w:sz w:val="20"/>
        </w:rPr>
      </w:pPr>
      <w:r w:rsidRPr="0037502B">
        <w:rPr>
          <w:noProof/>
          <w:sz w:val="20"/>
        </w:rPr>
        <w:t>Ahuja A, Baird S, Hicks JH, Kremer M, Miguel E, Powers S. When Should Governments Subsidize Health? The Case of Mass Deworming. The World Bank Economic Review. 2015; 1-16. Available from: doi:10.1093/wber/lhv008 [Accessed: 14 July 2015].</w:t>
      </w:r>
    </w:p>
    <w:p w14:paraId="7BE01981" w14:textId="77777777" w:rsidR="00443ED0" w:rsidRPr="0037502B" w:rsidRDefault="00443ED0" w:rsidP="00D622F3">
      <w:pPr>
        <w:pStyle w:val="ListParagraph"/>
        <w:numPr>
          <w:ilvl w:val="0"/>
          <w:numId w:val="17"/>
        </w:numPr>
        <w:ind w:left="714" w:hanging="357"/>
        <w:contextualSpacing w:val="0"/>
        <w:rPr>
          <w:noProof/>
          <w:sz w:val="20"/>
        </w:rPr>
      </w:pPr>
      <w:r w:rsidRPr="0037502B">
        <w:rPr>
          <w:sz w:val="20"/>
        </w:rPr>
        <w:t xml:space="preserve">Evidence Action. Deworm the World Initiative. Available from: </w:t>
      </w:r>
      <w:hyperlink r:id="rId13" w:history="1">
        <w:r w:rsidRPr="0037502B">
          <w:rPr>
            <w:rStyle w:val="Hyperlink"/>
            <w:noProof/>
            <w:sz w:val="20"/>
          </w:rPr>
          <w:t>http://www.evidenceaction.org/dewormtheworld</w:t>
        </w:r>
      </w:hyperlink>
      <w:r w:rsidRPr="0037502B">
        <w:rPr>
          <w:noProof/>
          <w:sz w:val="20"/>
        </w:rPr>
        <w:t xml:space="preserve"> [Accessed: 3 March 2016].</w:t>
      </w:r>
    </w:p>
    <w:p w14:paraId="5F3F59E1" w14:textId="77777777" w:rsidR="00443ED0" w:rsidRPr="0037502B" w:rsidRDefault="00443ED0" w:rsidP="00D622F3">
      <w:pPr>
        <w:pStyle w:val="ListParagraph"/>
        <w:numPr>
          <w:ilvl w:val="0"/>
          <w:numId w:val="17"/>
        </w:numPr>
        <w:ind w:left="714" w:hanging="357"/>
        <w:contextualSpacing w:val="0"/>
        <w:rPr>
          <w:rFonts w:eastAsiaTheme="minorEastAsia" w:cs="Times New Roman"/>
          <w:noProof/>
          <w:sz w:val="20"/>
          <w:lang w:eastAsia="es-ES"/>
        </w:rPr>
      </w:pPr>
      <w:r w:rsidRPr="0037502B">
        <w:rPr>
          <w:sz w:val="20"/>
        </w:rPr>
        <w:t xml:space="preserve">Abdul Latif Jameel Poverty Action Lab. Deworming: A Best Buy for Development, J-PAL Policy Bulletin. 2012. Available from: </w:t>
      </w:r>
      <w:r w:rsidRPr="0037502B">
        <w:rPr>
          <w:rFonts w:eastAsiaTheme="minorEastAsia" w:cs="Times New Roman"/>
          <w:noProof/>
          <w:sz w:val="20"/>
          <w:lang w:eastAsia="es-ES"/>
        </w:rPr>
        <w:t>https://www.povertyactionlab.org/sites/default/files/publications/2012.3.22-Deworming.pdf [Accessed: 3 March 2016].</w:t>
      </w:r>
    </w:p>
    <w:p w14:paraId="1C67FBDC" w14:textId="77777777" w:rsidR="00443ED0" w:rsidRPr="0037502B" w:rsidRDefault="00443ED0" w:rsidP="00D622F3">
      <w:pPr>
        <w:pStyle w:val="ListParagraph"/>
        <w:numPr>
          <w:ilvl w:val="0"/>
          <w:numId w:val="17"/>
        </w:numPr>
        <w:ind w:left="714" w:hanging="357"/>
        <w:contextualSpacing w:val="0"/>
        <w:rPr>
          <w:noProof/>
          <w:sz w:val="20"/>
        </w:rPr>
      </w:pPr>
      <w:r w:rsidRPr="0037502B">
        <w:rPr>
          <w:sz w:val="20"/>
        </w:rPr>
        <w:t xml:space="preserve">WHO. Deworming campaign improves child health, school attendance in Rwanda. Available from: </w:t>
      </w:r>
      <w:hyperlink r:id="rId14" w:history="1">
        <w:r w:rsidRPr="0037502B">
          <w:rPr>
            <w:rStyle w:val="Hyperlink"/>
            <w:sz w:val="20"/>
          </w:rPr>
          <w:t>http://www.who.int/features/2015/rwanda-deworming-campaign/en/</w:t>
        </w:r>
      </w:hyperlink>
      <w:r w:rsidRPr="0037502B">
        <w:rPr>
          <w:sz w:val="20"/>
        </w:rPr>
        <w:t xml:space="preserve"> [Accessed: 3 March 2016].</w:t>
      </w:r>
    </w:p>
    <w:p w14:paraId="5C35E8B5" w14:textId="77777777" w:rsidR="00443ED0" w:rsidRPr="0037502B" w:rsidRDefault="00443ED0" w:rsidP="00D622F3">
      <w:pPr>
        <w:pStyle w:val="ListParagraph"/>
        <w:numPr>
          <w:ilvl w:val="0"/>
          <w:numId w:val="17"/>
        </w:numPr>
        <w:ind w:left="714" w:hanging="357"/>
        <w:contextualSpacing w:val="0"/>
        <w:rPr>
          <w:rFonts w:cs="Times"/>
          <w:sz w:val="20"/>
        </w:rPr>
      </w:pPr>
      <w:r w:rsidRPr="0037502B">
        <w:rPr>
          <w:rFonts w:cs="Times"/>
          <w:sz w:val="20"/>
        </w:rPr>
        <w:t>Hicks JH, Kremer M, Miguel E. The Case for Mass Treatment of Intestinal Helminths in Endemic Areas. PLoS Neglected Tropical Diseases. 2015;9(10): e0004214. Available from: doi:10.1371/journal.pntd.0004214 [Accessed: 6 November 2015].</w:t>
      </w:r>
    </w:p>
    <w:p w14:paraId="34FD5614" w14:textId="77777777" w:rsidR="00443ED0" w:rsidRPr="0037502B" w:rsidRDefault="00443ED0" w:rsidP="00D622F3">
      <w:pPr>
        <w:pStyle w:val="ListParagraph"/>
        <w:numPr>
          <w:ilvl w:val="0"/>
          <w:numId w:val="17"/>
        </w:numPr>
        <w:ind w:left="714" w:hanging="357"/>
        <w:contextualSpacing w:val="0"/>
        <w:rPr>
          <w:sz w:val="20"/>
        </w:rPr>
      </w:pPr>
      <w:r w:rsidRPr="0037502B">
        <w:rPr>
          <w:sz w:val="20"/>
        </w:rPr>
        <w:lastRenderedPageBreak/>
        <w:t xml:space="preserve">Give well. Deworm the world initiative, led by Evidence Action. Available from: </w:t>
      </w:r>
      <w:hyperlink r:id="rId15" w:history="1">
        <w:r w:rsidRPr="0037502B">
          <w:rPr>
            <w:rStyle w:val="Hyperlink"/>
            <w:sz w:val="20"/>
          </w:rPr>
          <w:t>http://www.givewell.org/international/top-charities/deworm-world-initiative</w:t>
        </w:r>
      </w:hyperlink>
      <w:r w:rsidRPr="0037502B">
        <w:rPr>
          <w:sz w:val="20"/>
        </w:rPr>
        <w:t xml:space="preserve"> [Accessed: 14 March 2016].</w:t>
      </w:r>
    </w:p>
    <w:p w14:paraId="75DC0651" w14:textId="77777777" w:rsidR="00443ED0" w:rsidRDefault="00443ED0" w:rsidP="00D622F3">
      <w:pPr>
        <w:pStyle w:val="ListParagraph"/>
        <w:numPr>
          <w:ilvl w:val="0"/>
          <w:numId w:val="17"/>
        </w:numPr>
        <w:ind w:left="714" w:hanging="357"/>
        <w:contextualSpacing w:val="0"/>
        <w:rPr>
          <w:noProof/>
          <w:sz w:val="20"/>
        </w:rPr>
      </w:pPr>
      <w:r w:rsidRPr="0037502B">
        <w:rPr>
          <w:noProof/>
          <w:sz w:val="20"/>
        </w:rPr>
        <w:t xml:space="preserve">Higgins JP, Altman DG, Sterne JA. Assessing risk of bias in included studies. In Higgins JP, Green S. (eds.) </w:t>
      </w:r>
      <w:r w:rsidRPr="0037502B">
        <w:rPr>
          <w:iCs/>
          <w:noProof/>
          <w:sz w:val="20"/>
        </w:rPr>
        <w:t>Cochrane Handbook for Systematic Reviews of Interventions. Version 5.1.0</w:t>
      </w:r>
      <w:r w:rsidRPr="0037502B">
        <w:rPr>
          <w:noProof/>
          <w:sz w:val="20"/>
        </w:rPr>
        <w:t xml:space="preserve">. The Cochrane Collaboration; 2011. Available from: </w:t>
      </w:r>
      <w:hyperlink r:id="rId16" w:history="1">
        <w:r w:rsidRPr="0037502B">
          <w:rPr>
            <w:rStyle w:val="Hyperlink"/>
            <w:noProof/>
            <w:sz w:val="20"/>
          </w:rPr>
          <w:t>http://handbook.cochrane.org/</w:t>
        </w:r>
      </w:hyperlink>
      <w:r w:rsidRPr="0037502B">
        <w:rPr>
          <w:noProof/>
          <w:sz w:val="20"/>
        </w:rPr>
        <w:t xml:space="preserve"> [Accessed: 7 March 2016].</w:t>
      </w:r>
    </w:p>
    <w:p w14:paraId="02AEE1EB" w14:textId="39425338" w:rsidR="00A314EA" w:rsidRPr="0037502B" w:rsidRDefault="00A314EA" w:rsidP="00D622F3">
      <w:pPr>
        <w:pStyle w:val="ListParagraph"/>
        <w:numPr>
          <w:ilvl w:val="0"/>
          <w:numId w:val="17"/>
        </w:numPr>
        <w:ind w:left="714" w:hanging="357"/>
        <w:contextualSpacing w:val="0"/>
        <w:rPr>
          <w:noProof/>
          <w:sz w:val="20"/>
        </w:rPr>
      </w:pPr>
      <w:r>
        <w:rPr>
          <w:noProof/>
          <w:sz w:val="20"/>
        </w:rPr>
        <w:t xml:space="preserve">Noble WS. How does multiple testing correction work? Nature Biotechnology </w:t>
      </w:r>
      <w:r w:rsidR="00133F7C">
        <w:rPr>
          <w:noProof/>
          <w:sz w:val="20"/>
        </w:rPr>
        <w:t>2009; 27: 1135-1137.</w:t>
      </w:r>
      <w:bookmarkStart w:id="6" w:name="_GoBack"/>
      <w:bookmarkEnd w:id="6"/>
    </w:p>
    <w:p w14:paraId="2339F8B7" w14:textId="77777777" w:rsidR="00443ED0" w:rsidRPr="0037502B" w:rsidRDefault="00443ED0" w:rsidP="00D622F3">
      <w:pPr>
        <w:pStyle w:val="ListParagraph"/>
        <w:numPr>
          <w:ilvl w:val="0"/>
          <w:numId w:val="17"/>
        </w:numPr>
        <w:ind w:left="714" w:hanging="357"/>
        <w:contextualSpacing w:val="0"/>
        <w:rPr>
          <w:noProof/>
          <w:sz w:val="20"/>
        </w:rPr>
      </w:pPr>
      <w:r w:rsidRPr="0037502B">
        <w:rPr>
          <w:noProof/>
          <w:sz w:val="20"/>
          <w:lang w:val="en-US"/>
        </w:rPr>
        <w:t xml:space="preserve">Baird S, Hicks JH, Kremer M, Miguel E. </w:t>
      </w:r>
      <w:r w:rsidRPr="0037502B">
        <w:rPr>
          <w:iCs/>
          <w:noProof/>
          <w:sz w:val="20"/>
          <w:lang w:val="en-US"/>
        </w:rPr>
        <w:t xml:space="preserve">Worms at work: Long-run impacts of a child health </w:t>
      </w:r>
      <w:r w:rsidRPr="0037502B">
        <w:rPr>
          <w:iCs/>
          <w:noProof/>
          <w:color w:val="000000" w:themeColor="text1"/>
          <w:sz w:val="20"/>
          <w:lang w:val="en-US"/>
        </w:rPr>
        <w:t>investment</w:t>
      </w:r>
      <w:r w:rsidRPr="0037502B">
        <w:rPr>
          <w:noProof/>
          <w:color w:val="000000" w:themeColor="text1"/>
          <w:sz w:val="20"/>
          <w:lang w:val="en-US"/>
        </w:rPr>
        <w:t xml:space="preserve">. 2016. </w:t>
      </w:r>
      <w:r w:rsidRPr="0037502B">
        <w:rPr>
          <w:noProof/>
          <w:sz w:val="20"/>
          <w:lang w:val="en-US"/>
        </w:rPr>
        <w:t xml:space="preserve">Available from: </w:t>
      </w:r>
      <w:hyperlink r:id="rId17" w:history="1">
        <w:r w:rsidRPr="0037502B">
          <w:rPr>
            <w:rStyle w:val="Hyperlink"/>
            <w:noProof/>
            <w:sz w:val="20"/>
            <w:lang w:val="en-US"/>
          </w:rPr>
          <w:t>http://www.nber.org/papers/w21428</w:t>
        </w:r>
      </w:hyperlink>
      <w:r w:rsidRPr="0037502B">
        <w:rPr>
          <w:noProof/>
          <w:sz w:val="20"/>
          <w:lang w:val="en-US"/>
        </w:rPr>
        <w:t xml:space="preserve"> [Accessed: 12 January 2016].</w:t>
      </w:r>
    </w:p>
    <w:p w14:paraId="02075974" w14:textId="7836CB8B" w:rsidR="00443ED0" w:rsidRPr="0037502B" w:rsidRDefault="00443ED0" w:rsidP="00D622F3">
      <w:pPr>
        <w:pStyle w:val="ListParagraph"/>
        <w:numPr>
          <w:ilvl w:val="0"/>
          <w:numId w:val="17"/>
        </w:numPr>
        <w:ind w:left="714" w:hanging="357"/>
        <w:contextualSpacing w:val="0"/>
        <w:rPr>
          <w:noProof/>
          <w:sz w:val="20"/>
          <w:szCs w:val="20"/>
        </w:rPr>
      </w:pPr>
      <w:r w:rsidRPr="0037502B">
        <w:rPr>
          <w:noProof/>
          <w:sz w:val="20"/>
        </w:rPr>
        <w:t xml:space="preserve">Croke K. </w:t>
      </w:r>
      <w:r w:rsidRPr="0037502B">
        <w:rPr>
          <w:iCs/>
          <w:noProof/>
          <w:sz w:val="20"/>
        </w:rPr>
        <w:t xml:space="preserve">The long run effects of early childhood deworming on literacy and numeracy: Evidence from Uganda. 2014. </w:t>
      </w:r>
      <w:r w:rsidR="0064714E" w:rsidRPr="0037502B">
        <w:rPr>
          <w:iCs/>
          <w:noProof/>
          <w:sz w:val="20"/>
        </w:rPr>
        <w:t xml:space="preserve">Available from: </w:t>
      </w:r>
      <w:hyperlink r:id="rId18" w:history="1">
        <w:r w:rsidR="0064714E" w:rsidRPr="0037502B">
          <w:rPr>
            <w:rStyle w:val="Hyperlink"/>
            <w:iCs/>
            <w:noProof/>
            <w:sz w:val="20"/>
          </w:rPr>
          <w:t>http://scholar.harvard.edu/files/kcroke/files/ug_lr_deworming_071714.pdf</w:t>
        </w:r>
      </w:hyperlink>
      <w:r w:rsidR="0064714E" w:rsidRPr="0037502B">
        <w:rPr>
          <w:iCs/>
          <w:noProof/>
          <w:sz w:val="20"/>
        </w:rPr>
        <w:t xml:space="preserve"> </w:t>
      </w:r>
      <w:r w:rsidR="0064714E" w:rsidRPr="0037502B">
        <w:rPr>
          <w:sz w:val="20"/>
          <w:szCs w:val="20"/>
        </w:rPr>
        <w:t>[Accessed: 18 August 2016].</w:t>
      </w:r>
    </w:p>
    <w:p w14:paraId="6EFF69DD" w14:textId="724A7FE9" w:rsidR="00443ED0" w:rsidRPr="0037502B" w:rsidRDefault="00443ED0" w:rsidP="00D622F3">
      <w:pPr>
        <w:pStyle w:val="ListParagraph"/>
        <w:numPr>
          <w:ilvl w:val="0"/>
          <w:numId w:val="17"/>
        </w:numPr>
        <w:ind w:left="714" w:hanging="357"/>
        <w:contextualSpacing w:val="0"/>
        <w:rPr>
          <w:noProof/>
          <w:sz w:val="20"/>
          <w:szCs w:val="20"/>
        </w:rPr>
      </w:pPr>
      <w:r w:rsidRPr="0037502B">
        <w:rPr>
          <w:noProof/>
          <w:sz w:val="20"/>
          <w:szCs w:val="20"/>
        </w:rPr>
        <w:t xml:space="preserve">Ozier O. </w:t>
      </w:r>
      <w:r w:rsidRPr="0037502B">
        <w:rPr>
          <w:iCs/>
          <w:noProof/>
          <w:sz w:val="20"/>
          <w:szCs w:val="20"/>
        </w:rPr>
        <w:t>Exploiting Externalities to Estimate the Long-Term Effects of Early Childhood Deworming</w:t>
      </w:r>
      <w:r w:rsidR="007A391F" w:rsidRPr="0037502B">
        <w:rPr>
          <w:noProof/>
          <w:sz w:val="20"/>
          <w:szCs w:val="20"/>
        </w:rPr>
        <w:t>. 2016</w:t>
      </w:r>
      <w:r w:rsidRPr="0037502B">
        <w:rPr>
          <w:noProof/>
          <w:sz w:val="20"/>
          <w:szCs w:val="20"/>
        </w:rPr>
        <w:t>.</w:t>
      </w:r>
      <w:r w:rsidR="0064714E" w:rsidRPr="0037502B">
        <w:rPr>
          <w:noProof/>
          <w:sz w:val="20"/>
          <w:szCs w:val="20"/>
        </w:rPr>
        <w:t xml:space="preserve"> Available from: </w:t>
      </w:r>
      <w:hyperlink r:id="rId19" w:history="1">
        <w:r w:rsidR="0064714E" w:rsidRPr="0037502B">
          <w:rPr>
            <w:rStyle w:val="Hyperlink"/>
            <w:sz w:val="20"/>
            <w:szCs w:val="20"/>
          </w:rPr>
          <w:t>http://economics.ozier.com/owen/papers/ozier_early_deworming_20160727.pdf</w:t>
        </w:r>
      </w:hyperlink>
      <w:r w:rsidR="0064714E" w:rsidRPr="0037502B">
        <w:rPr>
          <w:sz w:val="20"/>
          <w:szCs w:val="20"/>
        </w:rPr>
        <w:t xml:space="preserve"> [Accessed: 18 August 2016].</w:t>
      </w:r>
    </w:p>
    <w:p w14:paraId="578D425D" w14:textId="101F94A6" w:rsidR="00443ED0" w:rsidRPr="0037502B" w:rsidRDefault="00443ED0" w:rsidP="00D622F3">
      <w:pPr>
        <w:pStyle w:val="ListParagraph"/>
        <w:numPr>
          <w:ilvl w:val="0"/>
          <w:numId w:val="17"/>
        </w:numPr>
        <w:ind w:left="714" w:hanging="357"/>
        <w:contextualSpacing w:val="0"/>
        <w:rPr>
          <w:noProof/>
          <w:sz w:val="20"/>
        </w:rPr>
      </w:pPr>
      <w:r w:rsidRPr="0037502B">
        <w:rPr>
          <w:noProof/>
          <w:sz w:val="20"/>
        </w:rPr>
        <w:t>Miguel E, Kremer M. Worms: Identifying Impacts on Education and Health in the Presence of Treatment Externalities. Econometrica. 2004;72(1): 159–217. Available from:</w:t>
      </w:r>
      <w:r w:rsidRPr="0037502B">
        <w:rPr>
          <w:rFonts w:eastAsia="Code2000" w:cs="Code2000"/>
          <w:sz w:val="20"/>
        </w:rPr>
        <w:t xml:space="preserve"> </w:t>
      </w:r>
      <w:hyperlink r:id="rId20" w:history="1">
        <w:r w:rsidR="0064714E" w:rsidRPr="0037502B">
          <w:rPr>
            <w:rStyle w:val="Hyperlink"/>
            <w:noProof/>
            <w:sz w:val="20"/>
          </w:rPr>
          <w:t>http://www.jstor.org/stable/3598853</w:t>
        </w:r>
      </w:hyperlink>
      <w:r w:rsidR="0064714E" w:rsidRPr="0037502B">
        <w:rPr>
          <w:noProof/>
          <w:sz w:val="20"/>
        </w:rPr>
        <w:t xml:space="preserve"> </w:t>
      </w:r>
      <w:r w:rsidRPr="0037502B">
        <w:rPr>
          <w:noProof/>
          <w:sz w:val="20"/>
        </w:rPr>
        <w:t>[Accessed: 31 August 2015].</w:t>
      </w:r>
    </w:p>
    <w:p w14:paraId="6137DD19" w14:textId="334172A4" w:rsidR="00443ED0" w:rsidRPr="0037502B" w:rsidRDefault="00443ED0" w:rsidP="00D622F3">
      <w:pPr>
        <w:pStyle w:val="ListParagraph"/>
        <w:numPr>
          <w:ilvl w:val="0"/>
          <w:numId w:val="17"/>
        </w:numPr>
        <w:ind w:left="714" w:hanging="357"/>
        <w:contextualSpacing w:val="0"/>
        <w:rPr>
          <w:color w:val="000000" w:themeColor="text1"/>
          <w:sz w:val="20"/>
          <w:szCs w:val="20"/>
        </w:rPr>
      </w:pPr>
      <w:r w:rsidRPr="0037502B">
        <w:rPr>
          <w:color w:val="000000" w:themeColor="text1"/>
          <w:sz w:val="20"/>
        </w:rPr>
        <w:t xml:space="preserve">Alderman H, Konde-Lule J, Sebuliba I,Bundy D, Hall A. </w:t>
      </w:r>
      <w:r w:rsidRPr="0037502B">
        <w:rPr>
          <w:bCs/>
          <w:color w:val="000000" w:themeColor="text1"/>
          <w:sz w:val="20"/>
        </w:rPr>
        <w:t xml:space="preserve">Effect on weight gain of routinely giving albendazole to preschool children during child health days in Uganda: cluster randomized controlled trial. </w:t>
      </w:r>
      <w:r w:rsidRPr="0037502B">
        <w:rPr>
          <w:bCs/>
          <w:iCs/>
          <w:color w:val="000000" w:themeColor="text1"/>
          <w:sz w:val="20"/>
        </w:rPr>
        <w:t>British Medical Journal</w:t>
      </w:r>
      <w:r w:rsidRPr="0037502B">
        <w:rPr>
          <w:bCs/>
          <w:color w:val="000000" w:themeColor="text1"/>
          <w:sz w:val="20"/>
        </w:rPr>
        <w:t xml:space="preserve">. </w:t>
      </w:r>
      <w:r w:rsidRPr="0037502B">
        <w:rPr>
          <w:color w:val="000000" w:themeColor="text1"/>
          <w:sz w:val="20"/>
        </w:rPr>
        <w:t xml:space="preserve">2006. Available from: </w:t>
      </w:r>
      <w:r w:rsidRPr="0037502B">
        <w:rPr>
          <w:bCs/>
          <w:color w:val="000000" w:themeColor="text1"/>
          <w:sz w:val="20"/>
        </w:rPr>
        <w:t>doi:</w:t>
      </w:r>
      <w:r w:rsidR="00755D84" w:rsidRPr="0037502B">
        <w:rPr>
          <w:bCs/>
          <w:color w:val="000000" w:themeColor="text1"/>
          <w:sz w:val="20"/>
        </w:rPr>
        <w:t xml:space="preserve"> </w:t>
      </w:r>
      <w:r w:rsidRPr="0037502B">
        <w:rPr>
          <w:bCs/>
          <w:color w:val="000000" w:themeColor="text1"/>
          <w:sz w:val="20"/>
        </w:rPr>
        <w:t xml:space="preserve">10.1136/bmj.38877.393530.7C </w:t>
      </w:r>
      <w:r w:rsidRPr="0037502B">
        <w:rPr>
          <w:color w:val="000000" w:themeColor="text1"/>
          <w:sz w:val="20"/>
        </w:rPr>
        <w:t xml:space="preserve">[Accessed: 26 </w:t>
      </w:r>
      <w:r w:rsidRPr="0037502B">
        <w:rPr>
          <w:color w:val="000000" w:themeColor="text1"/>
          <w:sz w:val="20"/>
          <w:szCs w:val="20"/>
        </w:rPr>
        <w:t>January 2016].</w:t>
      </w:r>
    </w:p>
    <w:p w14:paraId="3729F6D4" w14:textId="77777777" w:rsidR="00443ED0" w:rsidRPr="0037502B" w:rsidRDefault="00443ED0" w:rsidP="00D622F3">
      <w:pPr>
        <w:pStyle w:val="ListParagraph"/>
        <w:numPr>
          <w:ilvl w:val="0"/>
          <w:numId w:val="17"/>
        </w:numPr>
        <w:ind w:left="714" w:hanging="357"/>
        <w:contextualSpacing w:val="0"/>
        <w:rPr>
          <w:noProof/>
          <w:sz w:val="20"/>
          <w:szCs w:val="20"/>
        </w:rPr>
      </w:pPr>
      <w:r w:rsidRPr="0037502B">
        <w:rPr>
          <w:noProof/>
          <w:sz w:val="20"/>
          <w:szCs w:val="20"/>
        </w:rPr>
        <w:t>Bleakley H. Disease and Development: Evidence from Hookworm Eradication in the American South. Quarterly Journal of Economics. 2007;122(1):73–117. Available from: doi: 10.1162/qjec.121.1.73 [Accessed: 30 October 2015].</w:t>
      </w:r>
      <w:r w:rsidRPr="0037502B">
        <w:rPr>
          <w:sz w:val="20"/>
          <w:szCs w:val="20"/>
        </w:rPr>
        <w:t xml:space="preserve"> </w:t>
      </w:r>
    </w:p>
    <w:p w14:paraId="215847FC" w14:textId="070BB16F" w:rsidR="00F54272" w:rsidRPr="0037502B" w:rsidRDefault="00F54272" w:rsidP="00D622F3">
      <w:pPr>
        <w:pStyle w:val="ListParagraph"/>
        <w:numPr>
          <w:ilvl w:val="0"/>
          <w:numId w:val="17"/>
        </w:numPr>
        <w:ind w:left="714" w:hanging="357"/>
        <w:contextualSpacing w:val="0"/>
        <w:rPr>
          <w:sz w:val="20"/>
          <w:szCs w:val="20"/>
        </w:rPr>
      </w:pPr>
      <w:r w:rsidRPr="0037502B">
        <w:rPr>
          <w:sz w:val="20"/>
          <w:szCs w:val="20"/>
        </w:rPr>
        <w:t>Aitken AM, Davey C, Hargreaves JR, Hayes RJ. Re-analysis of health and educational impacts of a school-based deworming programme in western Kenya: a pure replication. International Journal of Epidemiology. 2015;1-9. doi: 10.1093/ije/dyv127</w:t>
      </w:r>
    </w:p>
    <w:p w14:paraId="26E86181" w14:textId="193C1742" w:rsidR="00F54272" w:rsidRPr="0037502B" w:rsidRDefault="00F54272" w:rsidP="00D622F3">
      <w:pPr>
        <w:pStyle w:val="ListParagraph"/>
        <w:numPr>
          <w:ilvl w:val="0"/>
          <w:numId w:val="17"/>
        </w:numPr>
        <w:ind w:left="714" w:hanging="357"/>
        <w:contextualSpacing w:val="0"/>
        <w:rPr>
          <w:sz w:val="20"/>
        </w:rPr>
      </w:pPr>
      <w:r w:rsidRPr="0037502B">
        <w:rPr>
          <w:sz w:val="20"/>
        </w:rPr>
        <w:t>Davey C, Aitken AM, Hayes RJ, Hargreaves JR. Re-analysis of health and educational impacts of a school-based deworming programme in western Kenya: a statistical replication of a cluster quasi-randomized stepped wedge trial. International Journal of Epidemiology. 2015;1-12. doi: 10.1093/ije/dyv128</w:t>
      </w:r>
    </w:p>
    <w:p w14:paraId="6A690711" w14:textId="56F796D2" w:rsidR="00D806F1" w:rsidRPr="0037502B" w:rsidRDefault="00D806F1" w:rsidP="00D622F3">
      <w:pPr>
        <w:pStyle w:val="ListParagraph"/>
        <w:numPr>
          <w:ilvl w:val="0"/>
          <w:numId w:val="17"/>
        </w:numPr>
        <w:ind w:left="714" w:hanging="357"/>
        <w:contextualSpacing w:val="0"/>
        <w:rPr>
          <w:sz w:val="20"/>
        </w:rPr>
      </w:pPr>
      <w:r w:rsidRPr="0037502B">
        <w:rPr>
          <w:sz w:val="20"/>
        </w:rPr>
        <w:t>Hicks JH, Kremer M, Miguel E. Commentary: Deworming externalities and schooling impacts in Kenya: a comment on Aitken et al. (2015) and Davey et al. (2015). International Journal of Epidemiology. 2015; 1-4. doi: 10.1093/ije/dyv129</w:t>
      </w:r>
    </w:p>
    <w:p w14:paraId="5FEEE853" w14:textId="77777777" w:rsidR="00443ED0" w:rsidRPr="0037502B" w:rsidRDefault="00443ED0" w:rsidP="00D622F3">
      <w:pPr>
        <w:pStyle w:val="ListParagraph"/>
        <w:numPr>
          <w:ilvl w:val="0"/>
          <w:numId w:val="17"/>
        </w:numPr>
        <w:ind w:left="714" w:hanging="357"/>
        <w:contextualSpacing w:val="0"/>
        <w:rPr>
          <w:noProof/>
          <w:sz w:val="20"/>
        </w:rPr>
      </w:pPr>
      <w:r w:rsidRPr="0037502B">
        <w:rPr>
          <w:noProof/>
          <w:sz w:val="20"/>
        </w:rPr>
        <w:t xml:space="preserve">Medley GF, Hollingsworth TD. MDA helminth control: more questions than answers. The lancet global health. 2015;3(10):e583-4. Available from: </w:t>
      </w:r>
      <w:hyperlink r:id="rId21" w:history="1">
        <w:r w:rsidRPr="0037502B">
          <w:rPr>
            <w:rStyle w:val="Hyperlink"/>
            <w:noProof/>
            <w:sz w:val="20"/>
          </w:rPr>
          <w:t>http://wrap.warwick.ac.uk/id/eprint/69715</w:t>
        </w:r>
      </w:hyperlink>
      <w:r w:rsidRPr="0037502B">
        <w:rPr>
          <w:noProof/>
          <w:sz w:val="20"/>
        </w:rPr>
        <w:t xml:space="preserve"> [Accessed: 10 March 2016].</w:t>
      </w:r>
    </w:p>
    <w:p w14:paraId="0A136083" w14:textId="70D7C20F" w:rsidR="002B4496" w:rsidRPr="0037502B" w:rsidRDefault="002B4496" w:rsidP="00D622F3">
      <w:pPr>
        <w:pStyle w:val="ListParagraph"/>
        <w:numPr>
          <w:ilvl w:val="0"/>
          <w:numId w:val="17"/>
        </w:numPr>
        <w:ind w:left="714" w:hanging="357"/>
        <w:contextualSpacing w:val="0"/>
        <w:rPr>
          <w:noProof/>
          <w:sz w:val="20"/>
        </w:rPr>
      </w:pPr>
      <w:r w:rsidRPr="0037502B">
        <w:rPr>
          <w:noProof/>
          <w:sz w:val="20"/>
        </w:rPr>
        <w:t>Miguel E, Camerer C, Casey K, Cohen J, Esterling KM, Gerber A, et al. Promoting Transparency in Social Science Research. Science. 2014;343:</w:t>
      </w:r>
      <w:r w:rsidR="00755D84" w:rsidRPr="0037502B">
        <w:rPr>
          <w:noProof/>
          <w:sz w:val="20"/>
        </w:rPr>
        <w:t xml:space="preserve"> </w:t>
      </w:r>
      <w:r w:rsidRPr="0037502B">
        <w:rPr>
          <w:noProof/>
          <w:sz w:val="20"/>
        </w:rPr>
        <w:t>30-1.</w:t>
      </w:r>
    </w:p>
    <w:p w14:paraId="6B5392AA" w14:textId="77777777" w:rsidR="00443ED0" w:rsidRPr="0037502B" w:rsidRDefault="00443ED0" w:rsidP="00D622F3">
      <w:pPr>
        <w:pStyle w:val="ListParagraph"/>
        <w:numPr>
          <w:ilvl w:val="0"/>
          <w:numId w:val="17"/>
        </w:numPr>
        <w:ind w:left="714" w:hanging="357"/>
        <w:contextualSpacing w:val="0"/>
        <w:rPr>
          <w:noProof/>
          <w:sz w:val="20"/>
        </w:rPr>
      </w:pPr>
      <w:r w:rsidRPr="0037502B">
        <w:rPr>
          <w:noProof/>
          <w:sz w:val="20"/>
        </w:rPr>
        <w:lastRenderedPageBreak/>
        <w:t xml:space="preserve">Bland JM, Altman DG. Multiple significance tests: the Bonferroni method. </w:t>
      </w:r>
      <w:r w:rsidRPr="0037502B">
        <w:rPr>
          <w:iCs/>
          <w:noProof/>
          <w:sz w:val="20"/>
        </w:rPr>
        <w:t>British Medical Journal</w:t>
      </w:r>
      <w:r w:rsidRPr="0037502B">
        <w:rPr>
          <w:noProof/>
          <w:sz w:val="20"/>
        </w:rPr>
        <w:t>. 1995;310(6973): 170. Available from http://www.ncbi.nlm.nih.gov/pmc/articles/PMC2548561/ [Accessed: 7 March 2016].</w:t>
      </w:r>
    </w:p>
    <w:p w14:paraId="002E6DC9" w14:textId="77777777" w:rsidR="00443ED0" w:rsidRPr="0037502B" w:rsidRDefault="00443ED0" w:rsidP="00D622F3">
      <w:pPr>
        <w:pStyle w:val="ListParagraph"/>
        <w:numPr>
          <w:ilvl w:val="0"/>
          <w:numId w:val="17"/>
        </w:numPr>
        <w:ind w:left="714" w:hanging="357"/>
        <w:contextualSpacing w:val="0"/>
        <w:rPr>
          <w:rFonts w:eastAsia="Times New Roman" w:cs="Times New Roman"/>
          <w:sz w:val="20"/>
          <w:lang w:eastAsia="es-ES"/>
        </w:rPr>
      </w:pPr>
      <w:r w:rsidRPr="0037502B">
        <w:rPr>
          <w:rFonts w:eastAsia="Times New Roman" w:cs="Times New Roman"/>
          <w:color w:val="000000"/>
          <w:sz w:val="20"/>
          <w:lang w:eastAsia="es-ES"/>
        </w:rPr>
        <w:t>Brookes ST, Whitley E, Peters TJ, Mulheran PA, Egger M, Davey Smith G. Subgroup analyses in randomised controlled trials: quantifying the risks of false-positives and false-negatives. Health Technology Assessment. 2001;5(33). Available from: http://www.journalslibrary.nihr.ac.uk/__data/assets/pdf_file/0007/64978/FullReport-hta5330.pdf [Accessed: 1 March 2016].</w:t>
      </w:r>
    </w:p>
    <w:p w14:paraId="3B79C375" w14:textId="057C66D7" w:rsidR="00EF3A62" w:rsidRPr="0037502B" w:rsidRDefault="00EF3A62" w:rsidP="00D622F3">
      <w:pPr>
        <w:pStyle w:val="ListParagraph"/>
        <w:numPr>
          <w:ilvl w:val="0"/>
          <w:numId w:val="17"/>
        </w:numPr>
        <w:ind w:left="714" w:hanging="357"/>
        <w:contextualSpacing w:val="0"/>
        <w:rPr>
          <w:noProof/>
          <w:sz w:val="20"/>
        </w:rPr>
      </w:pPr>
      <w:r w:rsidRPr="0037502B">
        <w:rPr>
          <w:rFonts w:eastAsiaTheme="minorEastAsia" w:cs="Times New Roman"/>
          <w:noProof/>
          <w:sz w:val="20"/>
          <w:lang w:eastAsia="es-ES"/>
        </w:rPr>
        <w:t>Moher D, Hopewell S, Schulz KF, Montori V, Gøtzsche PC, Devereaux PJ et al. CONSORT 2010 Explanation and Elaboration: updated guidelines for reporting parallel group randomised trials. British Medical Journal. 2010;340: c869. Available from: doi: 10.1136/bmj.c869 [Accessed: 7 March 2016].</w:t>
      </w:r>
    </w:p>
    <w:p w14:paraId="10366C66" w14:textId="77777777" w:rsidR="00443ED0" w:rsidRPr="0037502B" w:rsidRDefault="00443ED0" w:rsidP="00D622F3">
      <w:pPr>
        <w:pStyle w:val="ListParagraph"/>
        <w:numPr>
          <w:ilvl w:val="0"/>
          <w:numId w:val="17"/>
        </w:numPr>
        <w:ind w:left="714" w:hanging="357"/>
        <w:contextualSpacing w:val="0"/>
        <w:rPr>
          <w:noProof/>
          <w:sz w:val="20"/>
        </w:rPr>
      </w:pPr>
      <w:r w:rsidRPr="0037502B">
        <w:rPr>
          <w:noProof/>
          <w:sz w:val="20"/>
        </w:rPr>
        <w:t>WHO. The evidence is in: deworming helps meet the Millennium Development Goals. Available from: http://apps.who.int/iris/bitstream/10665/68876/1/WHO_CDS_CPE_PVC_2005.12.pdf [Accessed: 6 November 2015].</w:t>
      </w:r>
    </w:p>
    <w:p w14:paraId="12E93743" w14:textId="77777777" w:rsidR="00443ED0" w:rsidRPr="0037502B" w:rsidRDefault="00443ED0" w:rsidP="00D622F3">
      <w:pPr>
        <w:pStyle w:val="ListParagraph"/>
        <w:numPr>
          <w:ilvl w:val="0"/>
          <w:numId w:val="17"/>
        </w:numPr>
        <w:ind w:left="714" w:hanging="357"/>
        <w:contextualSpacing w:val="0"/>
        <w:rPr>
          <w:sz w:val="20"/>
        </w:rPr>
      </w:pPr>
      <w:r w:rsidRPr="0037502B">
        <w:rPr>
          <w:noProof/>
          <w:sz w:val="20"/>
        </w:rPr>
        <w:t>Albonico M, Allen H, Chitsulo L, Engels D, Gabrielli A-F, Savioli L. Controlling Soil-Transmitted Helminthiasis in Pre-School-Age Children through Preventive Chemotherapy. PLoS Neglected Tropical Diseases. 2008;2(3): e126. Available from: doi:10.1371/ journal.pntd.0000126 [Accessed: 7 March 2016].</w:t>
      </w:r>
    </w:p>
    <w:p w14:paraId="17F9BBA6" w14:textId="77777777" w:rsidR="00443ED0" w:rsidRPr="0037502B" w:rsidRDefault="00443ED0" w:rsidP="00D622F3">
      <w:pPr>
        <w:pStyle w:val="ListParagraph"/>
        <w:numPr>
          <w:ilvl w:val="0"/>
          <w:numId w:val="17"/>
        </w:numPr>
        <w:ind w:left="714" w:hanging="357"/>
        <w:contextualSpacing w:val="0"/>
        <w:rPr>
          <w:sz w:val="20"/>
        </w:rPr>
      </w:pPr>
      <w:r w:rsidRPr="0037502B">
        <w:rPr>
          <w:sz w:val="20"/>
        </w:rPr>
        <w:t>Oxman AD, Lavis  JN, Lewin S, Fretheim A. SUPPORT Tools for evidence-informed health Policymaking (STP) I: What is evidence-informed policymaking? Health Research Policy and Systems. 2009;7(Suppl 1):S1. Available from</w:t>
      </w:r>
      <w:r w:rsidRPr="0037502B">
        <w:rPr>
          <w:rFonts w:cs="SsfwklGillSans"/>
          <w:sz w:val="20"/>
          <w:lang w:val="en-US"/>
        </w:rPr>
        <w:t xml:space="preserve"> </w:t>
      </w:r>
      <w:r w:rsidRPr="0037502B">
        <w:rPr>
          <w:sz w:val="20"/>
          <w:lang w:val="en-US"/>
        </w:rPr>
        <w:t>doi: 10.1186/1478-4505-7-S1-S1</w:t>
      </w:r>
      <w:r w:rsidRPr="0037502B">
        <w:rPr>
          <w:sz w:val="20"/>
        </w:rPr>
        <w:t xml:space="preserve"> [Accessed: 8 March 2016].</w:t>
      </w:r>
    </w:p>
    <w:p w14:paraId="6682DA7D" w14:textId="093F1215" w:rsidR="00FC2A35" w:rsidRPr="0037502B" w:rsidRDefault="00B32704" w:rsidP="00D622F3">
      <w:pPr>
        <w:pStyle w:val="ListParagraph"/>
        <w:numPr>
          <w:ilvl w:val="0"/>
          <w:numId w:val="17"/>
        </w:numPr>
        <w:ind w:left="714" w:hanging="357"/>
        <w:contextualSpacing w:val="0"/>
        <w:rPr>
          <w:sz w:val="20"/>
        </w:rPr>
      </w:pPr>
      <w:r w:rsidRPr="0037502B">
        <w:rPr>
          <w:sz w:val="20"/>
        </w:rPr>
        <w:t>Lord CG, Ross L, Lepper MR. Biased Assimilation and Attitude Polarization: The Effects of Prior</w:t>
      </w:r>
      <w:r w:rsidR="003E326E" w:rsidRPr="0037502B">
        <w:rPr>
          <w:sz w:val="20"/>
        </w:rPr>
        <w:t xml:space="preserve"> Theories on Subsequently Consi</w:t>
      </w:r>
      <w:r w:rsidRPr="0037502B">
        <w:rPr>
          <w:sz w:val="20"/>
        </w:rPr>
        <w:t xml:space="preserve">dered Evidence. </w:t>
      </w:r>
      <w:r w:rsidR="003E326E" w:rsidRPr="0037502B">
        <w:rPr>
          <w:sz w:val="20"/>
        </w:rPr>
        <w:t>Journal of Personality and Social Psychology. 1979; 37(11):1098-109.</w:t>
      </w:r>
    </w:p>
    <w:p w14:paraId="1215734D" w14:textId="5F6005C5" w:rsidR="00755D84" w:rsidRPr="0037502B" w:rsidRDefault="00443ED0" w:rsidP="00755D84">
      <w:pPr>
        <w:pStyle w:val="ListParagraph"/>
        <w:numPr>
          <w:ilvl w:val="0"/>
          <w:numId w:val="17"/>
        </w:numPr>
        <w:ind w:left="714" w:hanging="357"/>
        <w:contextualSpacing w:val="0"/>
        <w:rPr>
          <w:sz w:val="20"/>
        </w:rPr>
      </w:pPr>
      <w:r w:rsidRPr="0037502B">
        <w:rPr>
          <w:sz w:val="20"/>
        </w:rPr>
        <w:t xml:space="preserve">Krishnaratne S, White H, Carpenter E. </w:t>
      </w:r>
      <w:r w:rsidRPr="0037502B">
        <w:rPr>
          <w:iCs/>
          <w:sz w:val="20"/>
        </w:rPr>
        <w:t xml:space="preserve">Quality education for all children? What works in education in developing countries, </w:t>
      </w:r>
      <w:r w:rsidRPr="0037502B">
        <w:rPr>
          <w:sz w:val="20"/>
        </w:rPr>
        <w:t xml:space="preserve">Working Paper 20. New Delhi: International Initiative for Impact Evaluation (3ie); 2013. </w:t>
      </w:r>
    </w:p>
    <w:sectPr w:rsidR="00755D84" w:rsidRPr="0037502B" w:rsidSect="00F86E47">
      <w:footerReference w:type="default" r:id="rId22"/>
      <w:footnotePr>
        <w:numRestart w:val="eachSect"/>
      </w:footnotePr>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0E5B" w14:textId="77777777" w:rsidR="00EC5E20" w:rsidRDefault="00EC5E20" w:rsidP="001523B0">
      <w:pPr>
        <w:spacing w:after="0" w:line="240" w:lineRule="auto"/>
      </w:pPr>
      <w:r>
        <w:separator/>
      </w:r>
    </w:p>
  </w:endnote>
  <w:endnote w:type="continuationSeparator" w:id="0">
    <w:p w14:paraId="226A43B6" w14:textId="77777777" w:rsidR="00EC5E20" w:rsidRDefault="00EC5E20" w:rsidP="0015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de2000">
    <w:altName w:val="Arial Unicode MS"/>
    <w:panose1 w:val="00000000000000000000"/>
    <w:charset w:val="81"/>
    <w:family w:val="auto"/>
    <w:notTrueType/>
    <w:pitch w:val="default"/>
    <w:sig w:usb0="00000000" w:usb1="09060000" w:usb2="00000010" w:usb3="00000000" w:csb0="00080000" w:csb1="00000000"/>
  </w:font>
  <w:font w:name="SsfwklGill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22856"/>
      <w:docPartObj>
        <w:docPartGallery w:val="Page Numbers (Bottom of Page)"/>
        <w:docPartUnique/>
      </w:docPartObj>
    </w:sdtPr>
    <w:sdtEndPr>
      <w:rPr>
        <w:noProof/>
      </w:rPr>
    </w:sdtEndPr>
    <w:sdtContent>
      <w:p w14:paraId="18D1252C" w14:textId="4CEC767F" w:rsidR="00FE47AA" w:rsidRDefault="00FE47AA">
        <w:pPr>
          <w:pStyle w:val="Footer"/>
          <w:jc w:val="center"/>
        </w:pPr>
        <w:r>
          <w:fldChar w:fldCharType="begin"/>
        </w:r>
        <w:r>
          <w:instrText xml:space="preserve"> PAGE   \* MERGEFORMAT </w:instrText>
        </w:r>
        <w:r>
          <w:fldChar w:fldCharType="separate"/>
        </w:r>
        <w:r w:rsidR="00133F7C">
          <w:rPr>
            <w:noProof/>
          </w:rPr>
          <w:t>6</w:t>
        </w:r>
        <w:r>
          <w:rPr>
            <w:noProof/>
          </w:rPr>
          <w:fldChar w:fldCharType="end"/>
        </w:r>
      </w:p>
    </w:sdtContent>
  </w:sdt>
  <w:p w14:paraId="07570255" w14:textId="77777777" w:rsidR="00FE47AA" w:rsidRDefault="00FE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5FDC" w14:textId="77777777" w:rsidR="00EC5E20" w:rsidRDefault="00EC5E20" w:rsidP="001523B0">
      <w:pPr>
        <w:spacing w:after="0" w:line="240" w:lineRule="auto"/>
      </w:pPr>
      <w:r>
        <w:separator/>
      </w:r>
    </w:p>
  </w:footnote>
  <w:footnote w:type="continuationSeparator" w:id="0">
    <w:p w14:paraId="1007111A" w14:textId="77777777" w:rsidR="00EC5E20" w:rsidRDefault="00EC5E20" w:rsidP="0015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5CDC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60E87"/>
    <w:multiLevelType w:val="hybridMultilevel"/>
    <w:tmpl w:val="17F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7103"/>
    <w:multiLevelType w:val="hybridMultilevel"/>
    <w:tmpl w:val="9B72D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3001E"/>
    <w:multiLevelType w:val="hybridMultilevel"/>
    <w:tmpl w:val="46161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0151C1"/>
    <w:multiLevelType w:val="hybridMultilevel"/>
    <w:tmpl w:val="60B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D61D4"/>
    <w:multiLevelType w:val="hybridMultilevel"/>
    <w:tmpl w:val="859C4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66B71"/>
    <w:multiLevelType w:val="hybridMultilevel"/>
    <w:tmpl w:val="0FAC8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356B0"/>
    <w:multiLevelType w:val="hybridMultilevel"/>
    <w:tmpl w:val="ABB485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968B0"/>
    <w:multiLevelType w:val="multilevel"/>
    <w:tmpl w:val="ECEE1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0794609"/>
    <w:multiLevelType w:val="hybridMultilevel"/>
    <w:tmpl w:val="87543D00"/>
    <w:lvl w:ilvl="0" w:tplc="BB183E7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81A03"/>
    <w:multiLevelType w:val="hybridMultilevel"/>
    <w:tmpl w:val="172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F1998"/>
    <w:multiLevelType w:val="hybridMultilevel"/>
    <w:tmpl w:val="3D10EB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138431E"/>
    <w:multiLevelType w:val="hybridMultilevel"/>
    <w:tmpl w:val="BAB8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41FAA"/>
    <w:multiLevelType w:val="multilevel"/>
    <w:tmpl w:val="D08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F682A"/>
    <w:multiLevelType w:val="hybridMultilevel"/>
    <w:tmpl w:val="DD187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A64C4A"/>
    <w:multiLevelType w:val="hybridMultilevel"/>
    <w:tmpl w:val="097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0382D"/>
    <w:multiLevelType w:val="hybridMultilevel"/>
    <w:tmpl w:val="BB8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32687"/>
    <w:multiLevelType w:val="hybridMultilevel"/>
    <w:tmpl w:val="729AE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01AEC"/>
    <w:multiLevelType w:val="hybridMultilevel"/>
    <w:tmpl w:val="11A68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C0E88"/>
    <w:multiLevelType w:val="hybridMultilevel"/>
    <w:tmpl w:val="87543D00"/>
    <w:lvl w:ilvl="0" w:tplc="BB183E7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A1761"/>
    <w:multiLevelType w:val="hybridMultilevel"/>
    <w:tmpl w:val="21A03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6"/>
  </w:num>
  <w:num w:numId="2">
    <w:abstractNumId w:val="18"/>
  </w:num>
  <w:num w:numId="3">
    <w:abstractNumId w:val="0"/>
  </w:num>
  <w:num w:numId="4">
    <w:abstractNumId w:val="1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9"/>
  </w:num>
  <w:num w:numId="11">
    <w:abstractNumId w:val="12"/>
  </w:num>
  <w:num w:numId="12">
    <w:abstractNumId w:val="6"/>
  </w:num>
  <w:num w:numId="13">
    <w:abstractNumId w:val="17"/>
  </w:num>
  <w:num w:numId="14">
    <w:abstractNumId w:val="19"/>
  </w:num>
  <w:num w:numId="15">
    <w:abstractNumId w:val="11"/>
  </w:num>
  <w:num w:numId="16">
    <w:abstractNumId w:val="1"/>
  </w:num>
  <w:num w:numId="17">
    <w:abstractNumId w:val="3"/>
  </w:num>
  <w:num w:numId="18">
    <w:abstractNumId w:val="13"/>
  </w:num>
  <w:num w:numId="19">
    <w:abstractNumId w:val="4"/>
  </w:num>
  <w:num w:numId="20">
    <w:abstractNumId w:val="5"/>
  </w:num>
  <w:num w:numId="21">
    <w:abstractNumId w:val="10"/>
  </w:num>
  <w:num w:numId="22">
    <w:abstractNumId w:val="2"/>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A"/>
    <w:rsid w:val="00001AB7"/>
    <w:rsid w:val="0000438E"/>
    <w:rsid w:val="000055C0"/>
    <w:rsid w:val="00005B11"/>
    <w:rsid w:val="000062C2"/>
    <w:rsid w:val="00006AFC"/>
    <w:rsid w:val="00007013"/>
    <w:rsid w:val="0000748D"/>
    <w:rsid w:val="000114EF"/>
    <w:rsid w:val="00012A59"/>
    <w:rsid w:val="00012B3E"/>
    <w:rsid w:val="000145B2"/>
    <w:rsid w:val="00015F10"/>
    <w:rsid w:val="00016130"/>
    <w:rsid w:val="000163D1"/>
    <w:rsid w:val="00017229"/>
    <w:rsid w:val="000204A4"/>
    <w:rsid w:val="0002084C"/>
    <w:rsid w:val="000211B3"/>
    <w:rsid w:val="000222D5"/>
    <w:rsid w:val="00022634"/>
    <w:rsid w:val="000233F4"/>
    <w:rsid w:val="00023559"/>
    <w:rsid w:val="0002387B"/>
    <w:rsid w:val="000238E2"/>
    <w:rsid w:val="00023A1E"/>
    <w:rsid w:val="00023CC3"/>
    <w:rsid w:val="0002533E"/>
    <w:rsid w:val="0002584A"/>
    <w:rsid w:val="00025F41"/>
    <w:rsid w:val="00027567"/>
    <w:rsid w:val="00030F3E"/>
    <w:rsid w:val="0003112F"/>
    <w:rsid w:val="00031D57"/>
    <w:rsid w:val="00032F1C"/>
    <w:rsid w:val="00033A05"/>
    <w:rsid w:val="000342F4"/>
    <w:rsid w:val="000345E8"/>
    <w:rsid w:val="00034830"/>
    <w:rsid w:val="0003712C"/>
    <w:rsid w:val="00037959"/>
    <w:rsid w:val="0003797B"/>
    <w:rsid w:val="00040DCD"/>
    <w:rsid w:val="00041A7E"/>
    <w:rsid w:val="00042C0A"/>
    <w:rsid w:val="00044B1C"/>
    <w:rsid w:val="00044CE4"/>
    <w:rsid w:val="00045BF3"/>
    <w:rsid w:val="00046B6E"/>
    <w:rsid w:val="00047F44"/>
    <w:rsid w:val="0005475B"/>
    <w:rsid w:val="00056924"/>
    <w:rsid w:val="00056B5A"/>
    <w:rsid w:val="00056D28"/>
    <w:rsid w:val="00057D90"/>
    <w:rsid w:val="000607E0"/>
    <w:rsid w:val="00061088"/>
    <w:rsid w:val="000670E1"/>
    <w:rsid w:val="00067763"/>
    <w:rsid w:val="00067BB8"/>
    <w:rsid w:val="00070CB5"/>
    <w:rsid w:val="00073ED6"/>
    <w:rsid w:val="00075266"/>
    <w:rsid w:val="0008055A"/>
    <w:rsid w:val="0008107B"/>
    <w:rsid w:val="000810AD"/>
    <w:rsid w:val="00081C1A"/>
    <w:rsid w:val="0008355A"/>
    <w:rsid w:val="00083D5B"/>
    <w:rsid w:val="00084D41"/>
    <w:rsid w:val="00092D0D"/>
    <w:rsid w:val="00094E86"/>
    <w:rsid w:val="00095380"/>
    <w:rsid w:val="00096897"/>
    <w:rsid w:val="00097943"/>
    <w:rsid w:val="000A6219"/>
    <w:rsid w:val="000A6493"/>
    <w:rsid w:val="000A6DC3"/>
    <w:rsid w:val="000B103F"/>
    <w:rsid w:val="000B17AD"/>
    <w:rsid w:val="000B1FCD"/>
    <w:rsid w:val="000B2F07"/>
    <w:rsid w:val="000B34F5"/>
    <w:rsid w:val="000B3D83"/>
    <w:rsid w:val="000B4298"/>
    <w:rsid w:val="000B4F56"/>
    <w:rsid w:val="000B690C"/>
    <w:rsid w:val="000C3282"/>
    <w:rsid w:val="000C407A"/>
    <w:rsid w:val="000C553F"/>
    <w:rsid w:val="000D0665"/>
    <w:rsid w:val="000D0852"/>
    <w:rsid w:val="000D0C67"/>
    <w:rsid w:val="000D15B2"/>
    <w:rsid w:val="000D35C9"/>
    <w:rsid w:val="000D386C"/>
    <w:rsid w:val="000D3BA1"/>
    <w:rsid w:val="000D7EC2"/>
    <w:rsid w:val="000E080D"/>
    <w:rsid w:val="000E2357"/>
    <w:rsid w:val="000E24C8"/>
    <w:rsid w:val="000E2719"/>
    <w:rsid w:val="000E3615"/>
    <w:rsid w:val="000E44CE"/>
    <w:rsid w:val="000E46F1"/>
    <w:rsid w:val="000E4D39"/>
    <w:rsid w:val="000E5D2E"/>
    <w:rsid w:val="000E6489"/>
    <w:rsid w:val="000E697C"/>
    <w:rsid w:val="000E743D"/>
    <w:rsid w:val="000F0593"/>
    <w:rsid w:val="000F19A2"/>
    <w:rsid w:val="000F579A"/>
    <w:rsid w:val="000F77F8"/>
    <w:rsid w:val="00100701"/>
    <w:rsid w:val="001027F3"/>
    <w:rsid w:val="00102FC3"/>
    <w:rsid w:val="00102FF3"/>
    <w:rsid w:val="0010397B"/>
    <w:rsid w:val="00104285"/>
    <w:rsid w:val="001042A2"/>
    <w:rsid w:val="00104A34"/>
    <w:rsid w:val="00110574"/>
    <w:rsid w:val="00110E8D"/>
    <w:rsid w:val="001120AF"/>
    <w:rsid w:val="0011297B"/>
    <w:rsid w:val="00112F4A"/>
    <w:rsid w:val="00113176"/>
    <w:rsid w:val="00113733"/>
    <w:rsid w:val="00113907"/>
    <w:rsid w:val="001145F3"/>
    <w:rsid w:val="00116063"/>
    <w:rsid w:val="0011632D"/>
    <w:rsid w:val="0011689D"/>
    <w:rsid w:val="00117475"/>
    <w:rsid w:val="00120D92"/>
    <w:rsid w:val="00120ED9"/>
    <w:rsid w:val="001217D1"/>
    <w:rsid w:val="00121888"/>
    <w:rsid w:val="00121FE8"/>
    <w:rsid w:val="0012218B"/>
    <w:rsid w:val="001221C0"/>
    <w:rsid w:val="00124534"/>
    <w:rsid w:val="00126AD1"/>
    <w:rsid w:val="00127FDC"/>
    <w:rsid w:val="00130222"/>
    <w:rsid w:val="001303BD"/>
    <w:rsid w:val="00130BD2"/>
    <w:rsid w:val="00130FA3"/>
    <w:rsid w:val="001310F7"/>
    <w:rsid w:val="0013135F"/>
    <w:rsid w:val="00131555"/>
    <w:rsid w:val="00131CDD"/>
    <w:rsid w:val="001328EB"/>
    <w:rsid w:val="00133AFD"/>
    <w:rsid w:val="00133DA4"/>
    <w:rsid w:val="00133F60"/>
    <w:rsid w:val="00133F7C"/>
    <w:rsid w:val="001350BD"/>
    <w:rsid w:val="00135A83"/>
    <w:rsid w:val="00136A3B"/>
    <w:rsid w:val="00136B68"/>
    <w:rsid w:val="00136D25"/>
    <w:rsid w:val="00136E95"/>
    <w:rsid w:val="0014073F"/>
    <w:rsid w:val="00143A37"/>
    <w:rsid w:val="00144F2E"/>
    <w:rsid w:val="00145E84"/>
    <w:rsid w:val="0015198B"/>
    <w:rsid w:val="0015225B"/>
    <w:rsid w:val="001523B0"/>
    <w:rsid w:val="001528E9"/>
    <w:rsid w:val="00153DE8"/>
    <w:rsid w:val="001540AC"/>
    <w:rsid w:val="001563D1"/>
    <w:rsid w:val="00157C0A"/>
    <w:rsid w:val="00160EE0"/>
    <w:rsid w:val="00161949"/>
    <w:rsid w:val="00166014"/>
    <w:rsid w:val="0016662C"/>
    <w:rsid w:val="00166C35"/>
    <w:rsid w:val="00166DEE"/>
    <w:rsid w:val="00173A45"/>
    <w:rsid w:val="0017547C"/>
    <w:rsid w:val="00175B3C"/>
    <w:rsid w:val="00175D90"/>
    <w:rsid w:val="00176B04"/>
    <w:rsid w:val="001777CD"/>
    <w:rsid w:val="001807F0"/>
    <w:rsid w:val="00180D99"/>
    <w:rsid w:val="001820AA"/>
    <w:rsid w:val="00182D34"/>
    <w:rsid w:val="00183474"/>
    <w:rsid w:val="001842E2"/>
    <w:rsid w:val="0018523E"/>
    <w:rsid w:val="001873B4"/>
    <w:rsid w:val="00190CF8"/>
    <w:rsid w:val="0019100B"/>
    <w:rsid w:val="00191274"/>
    <w:rsid w:val="001918FE"/>
    <w:rsid w:val="0019264D"/>
    <w:rsid w:val="001953A6"/>
    <w:rsid w:val="00195B2F"/>
    <w:rsid w:val="001A1051"/>
    <w:rsid w:val="001A278E"/>
    <w:rsid w:val="001A35BF"/>
    <w:rsid w:val="001A458B"/>
    <w:rsid w:val="001A5901"/>
    <w:rsid w:val="001A65BF"/>
    <w:rsid w:val="001B16BD"/>
    <w:rsid w:val="001B1712"/>
    <w:rsid w:val="001B1B11"/>
    <w:rsid w:val="001B1BE8"/>
    <w:rsid w:val="001B1E93"/>
    <w:rsid w:val="001B2ACC"/>
    <w:rsid w:val="001B3E74"/>
    <w:rsid w:val="001B5E25"/>
    <w:rsid w:val="001B5F52"/>
    <w:rsid w:val="001B62C9"/>
    <w:rsid w:val="001B7861"/>
    <w:rsid w:val="001B7FC9"/>
    <w:rsid w:val="001C0033"/>
    <w:rsid w:val="001C05ED"/>
    <w:rsid w:val="001C2D54"/>
    <w:rsid w:val="001C4167"/>
    <w:rsid w:val="001C4CA5"/>
    <w:rsid w:val="001D20CD"/>
    <w:rsid w:val="001D5138"/>
    <w:rsid w:val="001E0330"/>
    <w:rsid w:val="001E0BE5"/>
    <w:rsid w:val="001E28D5"/>
    <w:rsid w:val="001E2E25"/>
    <w:rsid w:val="001E3963"/>
    <w:rsid w:val="001E3E9A"/>
    <w:rsid w:val="001E44FF"/>
    <w:rsid w:val="001E4A79"/>
    <w:rsid w:val="001E52A5"/>
    <w:rsid w:val="001E7201"/>
    <w:rsid w:val="001E7209"/>
    <w:rsid w:val="001E7BEF"/>
    <w:rsid w:val="001F00A5"/>
    <w:rsid w:val="001F08C1"/>
    <w:rsid w:val="001F22CE"/>
    <w:rsid w:val="001F320B"/>
    <w:rsid w:val="001F40D6"/>
    <w:rsid w:val="001F4A92"/>
    <w:rsid w:val="001F51A8"/>
    <w:rsid w:val="001F52CD"/>
    <w:rsid w:val="001F5589"/>
    <w:rsid w:val="001F5B90"/>
    <w:rsid w:val="001F65E7"/>
    <w:rsid w:val="001F6A9F"/>
    <w:rsid w:val="001F76ED"/>
    <w:rsid w:val="00200401"/>
    <w:rsid w:val="00201114"/>
    <w:rsid w:val="00201B72"/>
    <w:rsid w:val="00202C3D"/>
    <w:rsid w:val="0020406B"/>
    <w:rsid w:val="002047F0"/>
    <w:rsid w:val="0020532D"/>
    <w:rsid w:val="00205FFA"/>
    <w:rsid w:val="002109A3"/>
    <w:rsid w:val="00211926"/>
    <w:rsid w:val="00212158"/>
    <w:rsid w:val="0021236D"/>
    <w:rsid w:val="002125AE"/>
    <w:rsid w:val="0021261C"/>
    <w:rsid w:val="00215900"/>
    <w:rsid w:val="0021700A"/>
    <w:rsid w:val="002170E5"/>
    <w:rsid w:val="002219E7"/>
    <w:rsid w:val="00225786"/>
    <w:rsid w:val="00226711"/>
    <w:rsid w:val="00226B4F"/>
    <w:rsid w:val="002319B6"/>
    <w:rsid w:val="0023200E"/>
    <w:rsid w:val="0023279F"/>
    <w:rsid w:val="00237B48"/>
    <w:rsid w:val="00237DCA"/>
    <w:rsid w:val="00240484"/>
    <w:rsid w:val="00241558"/>
    <w:rsid w:val="002439D5"/>
    <w:rsid w:val="00245B00"/>
    <w:rsid w:val="0025034A"/>
    <w:rsid w:val="002507A6"/>
    <w:rsid w:val="00251671"/>
    <w:rsid w:val="00251D5E"/>
    <w:rsid w:val="00257174"/>
    <w:rsid w:val="0025749C"/>
    <w:rsid w:val="0026082A"/>
    <w:rsid w:val="00261D63"/>
    <w:rsid w:val="00263380"/>
    <w:rsid w:val="0026360F"/>
    <w:rsid w:val="0026371C"/>
    <w:rsid w:val="00264743"/>
    <w:rsid w:val="00264A71"/>
    <w:rsid w:val="002673CB"/>
    <w:rsid w:val="00270776"/>
    <w:rsid w:val="00271587"/>
    <w:rsid w:val="002726DC"/>
    <w:rsid w:val="00273A75"/>
    <w:rsid w:val="00273E81"/>
    <w:rsid w:val="00274A75"/>
    <w:rsid w:val="002751EA"/>
    <w:rsid w:val="002752FD"/>
    <w:rsid w:val="002769F9"/>
    <w:rsid w:val="002773F5"/>
    <w:rsid w:val="00277DA2"/>
    <w:rsid w:val="00280DA3"/>
    <w:rsid w:val="002814B1"/>
    <w:rsid w:val="002816B1"/>
    <w:rsid w:val="0028171C"/>
    <w:rsid w:val="00283A13"/>
    <w:rsid w:val="002841D5"/>
    <w:rsid w:val="0028453D"/>
    <w:rsid w:val="00284D8F"/>
    <w:rsid w:val="002853FB"/>
    <w:rsid w:val="0028638E"/>
    <w:rsid w:val="002908A4"/>
    <w:rsid w:val="00291EBE"/>
    <w:rsid w:val="00292172"/>
    <w:rsid w:val="0029291D"/>
    <w:rsid w:val="00293A4C"/>
    <w:rsid w:val="00293C28"/>
    <w:rsid w:val="00293EE4"/>
    <w:rsid w:val="00295344"/>
    <w:rsid w:val="00295DEA"/>
    <w:rsid w:val="00295E4B"/>
    <w:rsid w:val="00295FB8"/>
    <w:rsid w:val="00296A23"/>
    <w:rsid w:val="00297009"/>
    <w:rsid w:val="002A0268"/>
    <w:rsid w:val="002A3C77"/>
    <w:rsid w:val="002A6028"/>
    <w:rsid w:val="002B0BAF"/>
    <w:rsid w:val="002B243E"/>
    <w:rsid w:val="002B34A3"/>
    <w:rsid w:val="002B4496"/>
    <w:rsid w:val="002B4A56"/>
    <w:rsid w:val="002B5270"/>
    <w:rsid w:val="002B5474"/>
    <w:rsid w:val="002B5CD2"/>
    <w:rsid w:val="002B5DA4"/>
    <w:rsid w:val="002B67CE"/>
    <w:rsid w:val="002B7D73"/>
    <w:rsid w:val="002C0077"/>
    <w:rsid w:val="002C0462"/>
    <w:rsid w:val="002C177E"/>
    <w:rsid w:val="002C2FF0"/>
    <w:rsid w:val="002C33F5"/>
    <w:rsid w:val="002C3A41"/>
    <w:rsid w:val="002D00C2"/>
    <w:rsid w:val="002D1FF6"/>
    <w:rsid w:val="002D21A8"/>
    <w:rsid w:val="002D256E"/>
    <w:rsid w:val="002D2DDD"/>
    <w:rsid w:val="002D318B"/>
    <w:rsid w:val="002D632E"/>
    <w:rsid w:val="002D6648"/>
    <w:rsid w:val="002D681A"/>
    <w:rsid w:val="002D71F4"/>
    <w:rsid w:val="002E05AD"/>
    <w:rsid w:val="002E120B"/>
    <w:rsid w:val="002E1AB4"/>
    <w:rsid w:val="002E2201"/>
    <w:rsid w:val="002E4A6F"/>
    <w:rsid w:val="002E61C3"/>
    <w:rsid w:val="002E7A4A"/>
    <w:rsid w:val="002F0E39"/>
    <w:rsid w:val="002F1E1D"/>
    <w:rsid w:val="002F3350"/>
    <w:rsid w:val="002F39CE"/>
    <w:rsid w:val="002F3C2E"/>
    <w:rsid w:val="002F5278"/>
    <w:rsid w:val="002F685B"/>
    <w:rsid w:val="002F6A33"/>
    <w:rsid w:val="002F6AE1"/>
    <w:rsid w:val="00301574"/>
    <w:rsid w:val="00301E86"/>
    <w:rsid w:val="0030348B"/>
    <w:rsid w:val="00303966"/>
    <w:rsid w:val="0030468C"/>
    <w:rsid w:val="003048BD"/>
    <w:rsid w:val="00305528"/>
    <w:rsid w:val="003101C2"/>
    <w:rsid w:val="00310B56"/>
    <w:rsid w:val="00312017"/>
    <w:rsid w:val="003137A5"/>
    <w:rsid w:val="00316A92"/>
    <w:rsid w:val="0032156A"/>
    <w:rsid w:val="00321B02"/>
    <w:rsid w:val="00321F63"/>
    <w:rsid w:val="003223B4"/>
    <w:rsid w:val="003232AD"/>
    <w:rsid w:val="00324C75"/>
    <w:rsid w:val="00327BCA"/>
    <w:rsid w:val="00330EC5"/>
    <w:rsid w:val="00334A7F"/>
    <w:rsid w:val="0033686F"/>
    <w:rsid w:val="00340BF1"/>
    <w:rsid w:val="00340E39"/>
    <w:rsid w:val="00341604"/>
    <w:rsid w:val="003417EA"/>
    <w:rsid w:val="00341AE7"/>
    <w:rsid w:val="00344091"/>
    <w:rsid w:val="00344938"/>
    <w:rsid w:val="00344E04"/>
    <w:rsid w:val="00344E3B"/>
    <w:rsid w:val="00347766"/>
    <w:rsid w:val="003509AD"/>
    <w:rsid w:val="00351019"/>
    <w:rsid w:val="00351023"/>
    <w:rsid w:val="00351098"/>
    <w:rsid w:val="003511B2"/>
    <w:rsid w:val="00351349"/>
    <w:rsid w:val="00351857"/>
    <w:rsid w:val="00351C63"/>
    <w:rsid w:val="00352114"/>
    <w:rsid w:val="003528C8"/>
    <w:rsid w:val="00352BCE"/>
    <w:rsid w:val="0035511F"/>
    <w:rsid w:val="003568C2"/>
    <w:rsid w:val="003570EE"/>
    <w:rsid w:val="00357DDC"/>
    <w:rsid w:val="00360F37"/>
    <w:rsid w:val="003622A2"/>
    <w:rsid w:val="003622C5"/>
    <w:rsid w:val="00362B5D"/>
    <w:rsid w:val="003633A8"/>
    <w:rsid w:val="00364323"/>
    <w:rsid w:val="00364E11"/>
    <w:rsid w:val="00364E7C"/>
    <w:rsid w:val="00366B4A"/>
    <w:rsid w:val="00370CA2"/>
    <w:rsid w:val="00371442"/>
    <w:rsid w:val="0037256D"/>
    <w:rsid w:val="003734EA"/>
    <w:rsid w:val="0037502B"/>
    <w:rsid w:val="0037696C"/>
    <w:rsid w:val="003771F9"/>
    <w:rsid w:val="003775A9"/>
    <w:rsid w:val="003811D7"/>
    <w:rsid w:val="0038146F"/>
    <w:rsid w:val="003824C8"/>
    <w:rsid w:val="003860DC"/>
    <w:rsid w:val="0038629B"/>
    <w:rsid w:val="00386C0C"/>
    <w:rsid w:val="00390565"/>
    <w:rsid w:val="00390D61"/>
    <w:rsid w:val="00391BCE"/>
    <w:rsid w:val="00392868"/>
    <w:rsid w:val="00392ABD"/>
    <w:rsid w:val="00393E11"/>
    <w:rsid w:val="00394A8E"/>
    <w:rsid w:val="0039508D"/>
    <w:rsid w:val="0039537A"/>
    <w:rsid w:val="0039683F"/>
    <w:rsid w:val="00396DEA"/>
    <w:rsid w:val="00397787"/>
    <w:rsid w:val="003A076A"/>
    <w:rsid w:val="003A33E0"/>
    <w:rsid w:val="003A44B0"/>
    <w:rsid w:val="003A493D"/>
    <w:rsid w:val="003A579A"/>
    <w:rsid w:val="003A5F34"/>
    <w:rsid w:val="003A7A29"/>
    <w:rsid w:val="003B02F4"/>
    <w:rsid w:val="003B06AD"/>
    <w:rsid w:val="003B0D31"/>
    <w:rsid w:val="003B1B1E"/>
    <w:rsid w:val="003B3277"/>
    <w:rsid w:val="003B391E"/>
    <w:rsid w:val="003B6695"/>
    <w:rsid w:val="003B6730"/>
    <w:rsid w:val="003B6BD7"/>
    <w:rsid w:val="003B79E2"/>
    <w:rsid w:val="003C0218"/>
    <w:rsid w:val="003C139E"/>
    <w:rsid w:val="003C2ADD"/>
    <w:rsid w:val="003C50A2"/>
    <w:rsid w:val="003C64AB"/>
    <w:rsid w:val="003D0F8C"/>
    <w:rsid w:val="003D1B9B"/>
    <w:rsid w:val="003D1F09"/>
    <w:rsid w:val="003D2C62"/>
    <w:rsid w:val="003D66D8"/>
    <w:rsid w:val="003E2AB9"/>
    <w:rsid w:val="003E3054"/>
    <w:rsid w:val="003E326E"/>
    <w:rsid w:val="003E4F3D"/>
    <w:rsid w:val="003E5F20"/>
    <w:rsid w:val="003F009D"/>
    <w:rsid w:val="003F0D74"/>
    <w:rsid w:val="003F1587"/>
    <w:rsid w:val="003F28AA"/>
    <w:rsid w:val="003F3859"/>
    <w:rsid w:val="00405569"/>
    <w:rsid w:val="00405D2D"/>
    <w:rsid w:val="004061E8"/>
    <w:rsid w:val="00410CF6"/>
    <w:rsid w:val="00411006"/>
    <w:rsid w:val="00413859"/>
    <w:rsid w:val="00414035"/>
    <w:rsid w:val="0041510B"/>
    <w:rsid w:val="004160B7"/>
    <w:rsid w:val="00420175"/>
    <w:rsid w:val="00420604"/>
    <w:rsid w:val="004212D4"/>
    <w:rsid w:val="004213E9"/>
    <w:rsid w:val="00421962"/>
    <w:rsid w:val="00421DE5"/>
    <w:rsid w:val="00422751"/>
    <w:rsid w:val="004229BE"/>
    <w:rsid w:val="004243C0"/>
    <w:rsid w:val="004263F5"/>
    <w:rsid w:val="00430E7C"/>
    <w:rsid w:val="00431E1E"/>
    <w:rsid w:val="004333B6"/>
    <w:rsid w:val="0043359A"/>
    <w:rsid w:val="0043375A"/>
    <w:rsid w:val="0043470A"/>
    <w:rsid w:val="0043470C"/>
    <w:rsid w:val="00436F39"/>
    <w:rsid w:val="004372D5"/>
    <w:rsid w:val="004373DA"/>
    <w:rsid w:val="00437F51"/>
    <w:rsid w:val="004405C3"/>
    <w:rsid w:val="004406AF"/>
    <w:rsid w:val="00441691"/>
    <w:rsid w:val="004417D7"/>
    <w:rsid w:val="00441F48"/>
    <w:rsid w:val="00443ED0"/>
    <w:rsid w:val="00444590"/>
    <w:rsid w:val="00446D5F"/>
    <w:rsid w:val="00446FAA"/>
    <w:rsid w:val="00447DB5"/>
    <w:rsid w:val="004523F3"/>
    <w:rsid w:val="00452403"/>
    <w:rsid w:val="00453410"/>
    <w:rsid w:val="00453BC8"/>
    <w:rsid w:val="004549EB"/>
    <w:rsid w:val="0045501C"/>
    <w:rsid w:val="00455B1D"/>
    <w:rsid w:val="00460CF1"/>
    <w:rsid w:val="00460E95"/>
    <w:rsid w:val="00461977"/>
    <w:rsid w:val="004637C1"/>
    <w:rsid w:val="00463911"/>
    <w:rsid w:val="00463AE5"/>
    <w:rsid w:val="004646E5"/>
    <w:rsid w:val="0046522E"/>
    <w:rsid w:val="00466C1F"/>
    <w:rsid w:val="00467BEB"/>
    <w:rsid w:val="00470D8B"/>
    <w:rsid w:val="00470E27"/>
    <w:rsid w:val="00472381"/>
    <w:rsid w:val="004748EE"/>
    <w:rsid w:val="00474C61"/>
    <w:rsid w:val="004750F4"/>
    <w:rsid w:val="00475B11"/>
    <w:rsid w:val="0047602E"/>
    <w:rsid w:val="00476C2A"/>
    <w:rsid w:val="0047771A"/>
    <w:rsid w:val="00477FC9"/>
    <w:rsid w:val="00481706"/>
    <w:rsid w:val="00482A0A"/>
    <w:rsid w:val="004840E5"/>
    <w:rsid w:val="00484C45"/>
    <w:rsid w:val="004853D9"/>
    <w:rsid w:val="00485489"/>
    <w:rsid w:val="00485815"/>
    <w:rsid w:val="00486911"/>
    <w:rsid w:val="00491C1F"/>
    <w:rsid w:val="00493CE5"/>
    <w:rsid w:val="004948FC"/>
    <w:rsid w:val="00494F32"/>
    <w:rsid w:val="004950CA"/>
    <w:rsid w:val="00495231"/>
    <w:rsid w:val="00495482"/>
    <w:rsid w:val="00495EF5"/>
    <w:rsid w:val="004962AC"/>
    <w:rsid w:val="004A1C71"/>
    <w:rsid w:val="004A2945"/>
    <w:rsid w:val="004A330D"/>
    <w:rsid w:val="004A350A"/>
    <w:rsid w:val="004A3E5A"/>
    <w:rsid w:val="004A46F2"/>
    <w:rsid w:val="004A593A"/>
    <w:rsid w:val="004A5AF9"/>
    <w:rsid w:val="004A6BA6"/>
    <w:rsid w:val="004B0B39"/>
    <w:rsid w:val="004B1EFD"/>
    <w:rsid w:val="004B1F67"/>
    <w:rsid w:val="004B226D"/>
    <w:rsid w:val="004B3FA5"/>
    <w:rsid w:val="004B4428"/>
    <w:rsid w:val="004B4F37"/>
    <w:rsid w:val="004B5276"/>
    <w:rsid w:val="004B59A6"/>
    <w:rsid w:val="004B63B0"/>
    <w:rsid w:val="004B65AA"/>
    <w:rsid w:val="004C020F"/>
    <w:rsid w:val="004C11B4"/>
    <w:rsid w:val="004C2C16"/>
    <w:rsid w:val="004C4020"/>
    <w:rsid w:val="004C463B"/>
    <w:rsid w:val="004C5A45"/>
    <w:rsid w:val="004C5EA7"/>
    <w:rsid w:val="004D09DF"/>
    <w:rsid w:val="004D1120"/>
    <w:rsid w:val="004D1558"/>
    <w:rsid w:val="004D5539"/>
    <w:rsid w:val="004D5870"/>
    <w:rsid w:val="004E015E"/>
    <w:rsid w:val="004E05B5"/>
    <w:rsid w:val="004E05FE"/>
    <w:rsid w:val="004E1405"/>
    <w:rsid w:val="004E1EB5"/>
    <w:rsid w:val="004E2609"/>
    <w:rsid w:val="004E39E1"/>
    <w:rsid w:val="004E484C"/>
    <w:rsid w:val="004E5D25"/>
    <w:rsid w:val="004F1213"/>
    <w:rsid w:val="004F19AC"/>
    <w:rsid w:val="004F1D3F"/>
    <w:rsid w:val="004F21B1"/>
    <w:rsid w:val="004F2E78"/>
    <w:rsid w:val="004F4296"/>
    <w:rsid w:val="004F4CA2"/>
    <w:rsid w:val="004F4E63"/>
    <w:rsid w:val="004F5F83"/>
    <w:rsid w:val="004F66D0"/>
    <w:rsid w:val="00501784"/>
    <w:rsid w:val="00501DD5"/>
    <w:rsid w:val="0050241E"/>
    <w:rsid w:val="00504322"/>
    <w:rsid w:val="0050553F"/>
    <w:rsid w:val="00505D1D"/>
    <w:rsid w:val="005066F0"/>
    <w:rsid w:val="00506CD2"/>
    <w:rsid w:val="00511C0A"/>
    <w:rsid w:val="00511DF9"/>
    <w:rsid w:val="00513930"/>
    <w:rsid w:val="00514EE0"/>
    <w:rsid w:val="005167C7"/>
    <w:rsid w:val="00517AE5"/>
    <w:rsid w:val="00520DE6"/>
    <w:rsid w:val="00522C33"/>
    <w:rsid w:val="0052333C"/>
    <w:rsid w:val="00524788"/>
    <w:rsid w:val="005257E4"/>
    <w:rsid w:val="00526B34"/>
    <w:rsid w:val="005304E5"/>
    <w:rsid w:val="00532FEB"/>
    <w:rsid w:val="0053306E"/>
    <w:rsid w:val="005340E9"/>
    <w:rsid w:val="00534339"/>
    <w:rsid w:val="005344A4"/>
    <w:rsid w:val="00534B6A"/>
    <w:rsid w:val="00534DBB"/>
    <w:rsid w:val="0053725A"/>
    <w:rsid w:val="0053725B"/>
    <w:rsid w:val="00537CA0"/>
    <w:rsid w:val="00540510"/>
    <w:rsid w:val="005407C3"/>
    <w:rsid w:val="00544F3B"/>
    <w:rsid w:val="0054552F"/>
    <w:rsid w:val="005478BD"/>
    <w:rsid w:val="00550E1A"/>
    <w:rsid w:val="00551C65"/>
    <w:rsid w:val="00552767"/>
    <w:rsid w:val="005530FB"/>
    <w:rsid w:val="00554101"/>
    <w:rsid w:val="00554FC5"/>
    <w:rsid w:val="0055698E"/>
    <w:rsid w:val="00556CC8"/>
    <w:rsid w:val="00560B5B"/>
    <w:rsid w:val="00560BED"/>
    <w:rsid w:val="00564C3E"/>
    <w:rsid w:val="00565D0C"/>
    <w:rsid w:val="005664EF"/>
    <w:rsid w:val="005679D3"/>
    <w:rsid w:val="00570995"/>
    <w:rsid w:val="00570F53"/>
    <w:rsid w:val="00571721"/>
    <w:rsid w:val="00574A88"/>
    <w:rsid w:val="00577411"/>
    <w:rsid w:val="00577DA7"/>
    <w:rsid w:val="005826D5"/>
    <w:rsid w:val="00582CA7"/>
    <w:rsid w:val="00583710"/>
    <w:rsid w:val="00583B61"/>
    <w:rsid w:val="00583EBD"/>
    <w:rsid w:val="00584432"/>
    <w:rsid w:val="00585871"/>
    <w:rsid w:val="00585A7D"/>
    <w:rsid w:val="00585AFB"/>
    <w:rsid w:val="00585C98"/>
    <w:rsid w:val="00586025"/>
    <w:rsid w:val="00586AA1"/>
    <w:rsid w:val="00586EA8"/>
    <w:rsid w:val="00591D1A"/>
    <w:rsid w:val="00595889"/>
    <w:rsid w:val="00596003"/>
    <w:rsid w:val="00596199"/>
    <w:rsid w:val="00597064"/>
    <w:rsid w:val="00597E30"/>
    <w:rsid w:val="005A1BF6"/>
    <w:rsid w:val="005A1DCC"/>
    <w:rsid w:val="005A2080"/>
    <w:rsid w:val="005A25D1"/>
    <w:rsid w:val="005A3951"/>
    <w:rsid w:val="005A6CAE"/>
    <w:rsid w:val="005B0A54"/>
    <w:rsid w:val="005B0C57"/>
    <w:rsid w:val="005B1E16"/>
    <w:rsid w:val="005B340F"/>
    <w:rsid w:val="005B3935"/>
    <w:rsid w:val="005B3D25"/>
    <w:rsid w:val="005B4DC8"/>
    <w:rsid w:val="005B6177"/>
    <w:rsid w:val="005B7ABF"/>
    <w:rsid w:val="005B7E2C"/>
    <w:rsid w:val="005C20B6"/>
    <w:rsid w:val="005C3236"/>
    <w:rsid w:val="005C3A60"/>
    <w:rsid w:val="005C6CD3"/>
    <w:rsid w:val="005C71F5"/>
    <w:rsid w:val="005D05C1"/>
    <w:rsid w:val="005D13C7"/>
    <w:rsid w:val="005D3029"/>
    <w:rsid w:val="005D3371"/>
    <w:rsid w:val="005D5EAD"/>
    <w:rsid w:val="005E1900"/>
    <w:rsid w:val="005E1969"/>
    <w:rsid w:val="005E1C9A"/>
    <w:rsid w:val="005E2C5A"/>
    <w:rsid w:val="005E34B3"/>
    <w:rsid w:val="005E4728"/>
    <w:rsid w:val="005E4895"/>
    <w:rsid w:val="005E55AD"/>
    <w:rsid w:val="005E612A"/>
    <w:rsid w:val="005E7528"/>
    <w:rsid w:val="005E78A2"/>
    <w:rsid w:val="005F1FDD"/>
    <w:rsid w:val="005F1FF4"/>
    <w:rsid w:val="005F23BF"/>
    <w:rsid w:val="005F5EB5"/>
    <w:rsid w:val="005F6038"/>
    <w:rsid w:val="005F62E7"/>
    <w:rsid w:val="005F6B11"/>
    <w:rsid w:val="005F7327"/>
    <w:rsid w:val="005F7C9F"/>
    <w:rsid w:val="006006D8"/>
    <w:rsid w:val="00600781"/>
    <w:rsid w:val="0060223E"/>
    <w:rsid w:val="0060374C"/>
    <w:rsid w:val="006046C7"/>
    <w:rsid w:val="006054D0"/>
    <w:rsid w:val="006075C5"/>
    <w:rsid w:val="00607E46"/>
    <w:rsid w:val="00610A0B"/>
    <w:rsid w:val="00610E29"/>
    <w:rsid w:val="0061156B"/>
    <w:rsid w:val="00612BB3"/>
    <w:rsid w:val="006134F1"/>
    <w:rsid w:val="00613A3C"/>
    <w:rsid w:val="00613F09"/>
    <w:rsid w:val="006160F5"/>
    <w:rsid w:val="0061711A"/>
    <w:rsid w:val="006173AC"/>
    <w:rsid w:val="0061780B"/>
    <w:rsid w:val="00620259"/>
    <w:rsid w:val="00620AF0"/>
    <w:rsid w:val="006215DE"/>
    <w:rsid w:val="00623E15"/>
    <w:rsid w:val="00624F68"/>
    <w:rsid w:val="00626A47"/>
    <w:rsid w:val="0062710C"/>
    <w:rsid w:val="006271C5"/>
    <w:rsid w:val="00627EC8"/>
    <w:rsid w:val="00632022"/>
    <w:rsid w:val="00632BB8"/>
    <w:rsid w:val="00632FAF"/>
    <w:rsid w:val="006338A4"/>
    <w:rsid w:val="0063431B"/>
    <w:rsid w:val="006359DE"/>
    <w:rsid w:val="0063738B"/>
    <w:rsid w:val="00637BEA"/>
    <w:rsid w:val="006401C1"/>
    <w:rsid w:val="0064118B"/>
    <w:rsid w:val="00642D14"/>
    <w:rsid w:val="00643DF6"/>
    <w:rsid w:val="00646FDF"/>
    <w:rsid w:val="0064714E"/>
    <w:rsid w:val="00647583"/>
    <w:rsid w:val="00647C70"/>
    <w:rsid w:val="00650369"/>
    <w:rsid w:val="00650F8C"/>
    <w:rsid w:val="00651D2E"/>
    <w:rsid w:val="0065243D"/>
    <w:rsid w:val="00653AD0"/>
    <w:rsid w:val="00654A6F"/>
    <w:rsid w:val="00655F14"/>
    <w:rsid w:val="006562A9"/>
    <w:rsid w:val="0065743A"/>
    <w:rsid w:val="0066199C"/>
    <w:rsid w:val="006646C7"/>
    <w:rsid w:val="00665472"/>
    <w:rsid w:val="006669B1"/>
    <w:rsid w:val="00670A98"/>
    <w:rsid w:val="006712EA"/>
    <w:rsid w:val="006720C0"/>
    <w:rsid w:val="00673D12"/>
    <w:rsid w:val="006740D4"/>
    <w:rsid w:val="006752BC"/>
    <w:rsid w:val="00676130"/>
    <w:rsid w:val="006776D9"/>
    <w:rsid w:val="00681286"/>
    <w:rsid w:val="00681F47"/>
    <w:rsid w:val="00682998"/>
    <w:rsid w:val="00684E06"/>
    <w:rsid w:val="006852D2"/>
    <w:rsid w:val="006874E2"/>
    <w:rsid w:val="00690142"/>
    <w:rsid w:val="00690172"/>
    <w:rsid w:val="00690B78"/>
    <w:rsid w:val="006920EB"/>
    <w:rsid w:val="00692A9A"/>
    <w:rsid w:val="006936B9"/>
    <w:rsid w:val="0069432F"/>
    <w:rsid w:val="00694D79"/>
    <w:rsid w:val="0069531B"/>
    <w:rsid w:val="00696426"/>
    <w:rsid w:val="00696817"/>
    <w:rsid w:val="006968E8"/>
    <w:rsid w:val="00697F40"/>
    <w:rsid w:val="006A00B3"/>
    <w:rsid w:val="006A14A4"/>
    <w:rsid w:val="006A31BC"/>
    <w:rsid w:val="006A6511"/>
    <w:rsid w:val="006B06EC"/>
    <w:rsid w:val="006B1DAD"/>
    <w:rsid w:val="006B3343"/>
    <w:rsid w:val="006B393D"/>
    <w:rsid w:val="006B4409"/>
    <w:rsid w:val="006B7272"/>
    <w:rsid w:val="006C21FF"/>
    <w:rsid w:val="006C435D"/>
    <w:rsid w:val="006C4390"/>
    <w:rsid w:val="006D2034"/>
    <w:rsid w:val="006D23C3"/>
    <w:rsid w:val="006D2C26"/>
    <w:rsid w:val="006D2C92"/>
    <w:rsid w:val="006D37EE"/>
    <w:rsid w:val="006D4CA5"/>
    <w:rsid w:val="006D5356"/>
    <w:rsid w:val="006D5960"/>
    <w:rsid w:val="006D6FA9"/>
    <w:rsid w:val="006D71FA"/>
    <w:rsid w:val="006E02CB"/>
    <w:rsid w:val="006E087A"/>
    <w:rsid w:val="006E27D1"/>
    <w:rsid w:val="006E290D"/>
    <w:rsid w:val="006E51D0"/>
    <w:rsid w:val="006E5F16"/>
    <w:rsid w:val="006E63C8"/>
    <w:rsid w:val="006E6E78"/>
    <w:rsid w:val="006E74AD"/>
    <w:rsid w:val="006F091C"/>
    <w:rsid w:val="006F0B45"/>
    <w:rsid w:val="006F2960"/>
    <w:rsid w:val="006F730B"/>
    <w:rsid w:val="006F7AE5"/>
    <w:rsid w:val="007012ED"/>
    <w:rsid w:val="00701536"/>
    <w:rsid w:val="00703CD3"/>
    <w:rsid w:val="00704BC9"/>
    <w:rsid w:val="0070634D"/>
    <w:rsid w:val="00712FC6"/>
    <w:rsid w:val="007132B8"/>
    <w:rsid w:val="00713DBF"/>
    <w:rsid w:val="0071490E"/>
    <w:rsid w:val="007155A1"/>
    <w:rsid w:val="0071702E"/>
    <w:rsid w:val="00717445"/>
    <w:rsid w:val="00717C8E"/>
    <w:rsid w:val="007207BF"/>
    <w:rsid w:val="00723D9B"/>
    <w:rsid w:val="0072404D"/>
    <w:rsid w:val="007242BF"/>
    <w:rsid w:val="00726FD9"/>
    <w:rsid w:val="00727C94"/>
    <w:rsid w:val="00732AFF"/>
    <w:rsid w:val="00733C57"/>
    <w:rsid w:val="00736C19"/>
    <w:rsid w:val="00736DA1"/>
    <w:rsid w:val="00736EC4"/>
    <w:rsid w:val="00741E14"/>
    <w:rsid w:val="007427AD"/>
    <w:rsid w:val="007434DB"/>
    <w:rsid w:val="0074395D"/>
    <w:rsid w:val="00743B78"/>
    <w:rsid w:val="007443AD"/>
    <w:rsid w:val="00744787"/>
    <w:rsid w:val="007454FD"/>
    <w:rsid w:val="00745FF0"/>
    <w:rsid w:val="007464FA"/>
    <w:rsid w:val="00746765"/>
    <w:rsid w:val="0075084F"/>
    <w:rsid w:val="00750890"/>
    <w:rsid w:val="00752BE4"/>
    <w:rsid w:val="0075473E"/>
    <w:rsid w:val="00755D84"/>
    <w:rsid w:val="00755DBF"/>
    <w:rsid w:val="007618B7"/>
    <w:rsid w:val="0076193B"/>
    <w:rsid w:val="00762702"/>
    <w:rsid w:val="00762B9C"/>
    <w:rsid w:val="007665C9"/>
    <w:rsid w:val="00767B95"/>
    <w:rsid w:val="00767BCA"/>
    <w:rsid w:val="00767D13"/>
    <w:rsid w:val="00767D94"/>
    <w:rsid w:val="00770273"/>
    <w:rsid w:val="00771880"/>
    <w:rsid w:val="00775413"/>
    <w:rsid w:val="00776928"/>
    <w:rsid w:val="00777D53"/>
    <w:rsid w:val="007806C3"/>
    <w:rsid w:val="007809D7"/>
    <w:rsid w:val="00780F38"/>
    <w:rsid w:val="0078268E"/>
    <w:rsid w:val="00782956"/>
    <w:rsid w:val="007838B8"/>
    <w:rsid w:val="00784037"/>
    <w:rsid w:val="00786855"/>
    <w:rsid w:val="007914E9"/>
    <w:rsid w:val="00792DE7"/>
    <w:rsid w:val="00794C76"/>
    <w:rsid w:val="00795EB7"/>
    <w:rsid w:val="00796FFA"/>
    <w:rsid w:val="007A0B9F"/>
    <w:rsid w:val="007A391F"/>
    <w:rsid w:val="007A428E"/>
    <w:rsid w:val="007A4604"/>
    <w:rsid w:val="007A5C92"/>
    <w:rsid w:val="007B05A7"/>
    <w:rsid w:val="007B07D0"/>
    <w:rsid w:val="007B2F4B"/>
    <w:rsid w:val="007B32E1"/>
    <w:rsid w:val="007B5CB7"/>
    <w:rsid w:val="007B72D2"/>
    <w:rsid w:val="007B7EFB"/>
    <w:rsid w:val="007C016F"/>
    <w:rsid w:val="007C171C"/>
    <w:rsid w:val="007C2548"/>
    <w:rsid w:val="007C482C"/>
    <w:rsid w:val="007C4F6D"/>
    <w:rsid w:val="007C522D"/>
    <w:rsid w:val="007C5F38"/>
    <w:rsid w:val="007D1077"/>
    <w:rsid w:val="007D150D"/>
    <w:rsid w:val="007D5513"/>
    <w:rsid w:val="007D7504"/>
    <w:rsid w:val="007E15C7"/>
    <w:rsid w:val="007E3F60"/>
    <w:rsid w:val="007E4DF2"/>
    <w:rsid w:val="007F0530"/>
    <w:rsid w:val="007F0CC7"/>
    <w:rsid w:val="007F2CA6"/>
    <w:rsid w:val="007F402C"/>
    <w:rsid w:val="007F4881"/>
    <w:rsid w:val="00800514"/>
    <w:rsid w:val="008016E0"/>
    <w:rsid w:val="0080243F"/>
    <w:rsid w:val="00802C5C"/>
    <w:rsid w:val="0080443D"/>
    <w:rsid w:val="008056A8"/>
    <w:rsid w:val="00806D86"/>
    <w:rsid w:val="00811956"/>
    <w:rsid w:val="00813DF6"/>
    <w:rsid w:val="00815316"/>
    <w:rsid w:val="0081554A"/>
    <w:rsid w:val="00816AE6"/>
    <w:rsid w:val="00817164"/>
    <w:rsid w:val="00817D18"/>
    <w:rsid w:val="008200FB"/>
    <w:rsid w:val="00820DFA"/>
    <w:rsid w:val="00820E7D"/>
    <w:rsid w:val="00822203"/>
    <w:rsid w:val="00823005"/>
    <w:rsid w:val="00824BE9"/>
    <w:rsid w:val="00824CA2"/>
    <w:rsid w:val="00824FE4"/>
    <w:rsid w:val="00826FE8"/>
    <w:rsid w:val="008301C8"/>
    <w:rsid w:val="00832C30"/>
    <w:rsid w:val="00833B9E"/>
    <w:rsid w:val="0083614D"/>
    <w:rsid w:val="008364B9"/>
    <w:rsid w:val="00837250"/>
    <w:rsid w:val="00841DEE"/>
    <w:rsid w:val="00842192"/>
    <w:rsid w:val="00844F6D"/>
    <w:rsid w:val="00845B92"/>
    <w:rsid w:val="00846EF3"/>
    <w:rsid w:val="00850413"/>
    <w:rsid w:val="008518C1"/>
    <w:rsid w:val="00851BC2"/>
    <w:rsid w:val="00853AF8"/>
    <w:rsid w:val="00853B9E"/>
    <w:rsid w:val="00854192"/>
    <w:rsid w:val="00854E6C"/>
    <w:rsid w:val="00854FB9"/>
    <w:rsid w:val="00860153"/>
    <w:rsid w:val="0086156D"/>
    <w:rsid w:val="00861EBD"/>
    <w:rsid w:val="008650A4"/>
    <w:rsid w:val="00866331"/>
    <w:rsid w:val="00870B38"/>
    <w:rsid w:val="00871080"/>
    <w:rsid w:val="008710AA"/>
    <w:rsid w:val="0087385F"/>
    <w:rsid w:val="00875A43"/>
    <w:rsid w:val="008767AA"/>
    <w:rsid w:val="00876F6C"/>
    <w:rsid w:val="00877098"/>
    <w:rsid w:val="0088021F"/>
    <w:rsid w:val="00881D4A"/>
    <w:rsid w:val="00885FFB"/>
    <w:rsid w:val="00887045"/>
    <w:rsid w:val="008919F2"/>
    <w:rsid w:val="008925C7"/>
    <w:rsid w:val="00893EB5"/>
    <w:rsid w:val="008942A7"/>
    <w:rsid w:val="00896FD0"/>
    <w:rsid w:val="008A14EA"/>
    <w:rsid w:val="008A1F4D"/>
    <w:rsid w:val="008A74D8"/>
    <w:rsid w:val="008A7789"/>
    <w:rsid w:val="008B0A98"/>
    <w:rsid w:val="008B35E4"/>
    <w:rsid w:val="008B47BF"/>
    <w:rsid w:val="008B4847"/>
    <w:rsid w:val="008B4BA9"/>
    <w:rsid w:val="008B526E"/>
    <w:rsid w:val="008B6DCE"/>
    <w:rsid w:val="008C10A6"/>
    <w:rsid w:val="008C1BFC"/>
    <w:rsid w:val="008C24BE"/>
    <w:rsid w:val="008C2A6C"/>
    <w:rsid w:val="008C5CBB"/>
    <w:rsid w:val="008C72F3"/>
    <w:rsid w:val="008C7553"/>
    <w:rsid w:val="008C7AB2"/>
    <w:rsid w:val="008D0FA1"/>
    <w:rsid w:val="008D2F54"/>
    <w:rsid w:val="008D3013"/>
    <w:rsid w:val="008D36D3"/>
    <w:rsid w:val="008D4F3F"/>
    <w:rsid w:val="008D5B1C"/>
    <w:rsid w:val="008D65A1"/>
    <w:rsid w:val="008D6870"/>
    <w:rsid w:val="008E45E6"/>
    <w:rsid w:val="008E51F3"/>
    <w:rsid w:val="008E5419"/>
    <w:rsid w:val="008E67E5"/>
    <w:rsid w:val="008F0A80"/>
    <w:rsid w:val="008F28DE"/>
    <w:rsid w:val="008F3B94"/>
    <w:rsid w:val="008F4901"/>
    <w:rsid w:val="008F5AA0"/>
    <w:rsid w:val="008F5B9C"/>
    <w:rsid w:val="008F6284"/>
    <w:rsid w:val="008F6F19"/>
    <w:rsid w:val="008F7FF2"/>
    <w:rsid w:val="00900F4F"/>
    <w:rsid w:val="00902708"/>
    <w:rsid w:val="0090612F"/>
    <w:rsid w:val="0090669D"/>
    <w:rsid w:val="00906937"/>
    <w:rsid w:val="0091172F"/>
    <w:rsid w:val="00912A84"/>
    <w:rsid w:val="00912E29"/>
    <w:rsid w:val="00913070"/>
    <w:rsid w:val="009150C0"/>
    <w:rsid w:val="00915719"/>
    <w:rsid w:val="00915CEF"/>
    <w:rsid w:val="00917943"/>
    <w:rsid w:val="00917F91"/>
    <w:rsid w:val="00921CBC"/>
    <w:rsid w:val="009235C6"/>
    <w:rsid w:val="00924E73"/>
    <w:rsid w:val="009253BA"/>
    <w:rsid w:val="009259CE"/>
    <w:rsid w:val="00925F57"/>
    <w:rsid w:val="00926EFE"/>
    <w:rsid w:val="00927786"/>
    <w:rsid w:val="00927DBD"/>
    <w:rsid w:val="00932714"/>
    <w:rsid w:val="00932BF5"/>
    <w:rsid w:val="00937243"/>
    <w:rsid w:val="009373BE"/>
    <w:rsid w:val="00941E81"/>
    <w:rsid w:val="00941F0D"/>
    <w:rsid w:val="00942254"/>
    <w:rsid w:val="00943D24"/>
    <w:rsid w:val="00945D72"/>
    <w:rsid w:val="00946B3C"/>
    <w:rsid w:val="009508D6"/>
    <w:rsid w:val="00950CEE"/>
    <w:rsid w:val="0095190B"/>
    <w:rsid w:val="00954571"/>
    <w:rsid w:val="0095792F"/>
    <w:rsid w:val="00961A58"/>
    <w:rsid w:val="00962249"/>
    <w:rsid w:val="009652BA"/>
    <w:rsid w:val="009670BA"/>
    <w:rsid w:val="0096713E"/>
    <w:rsid w:val="00967709"/>
    <w:rsid w:val="00967D4E"/>
    <w:rsid w:val="009733FF"/>
    <w:rsid w:val="00977ABC"/>
    <w:rsid w:val="00983A27"/>
    <w:rsid w:val="00983B53"/>
    <w:rsid w:val="00983FC9"/>
    <w:rsid w:val="00985ED7"/>
    <w:rsid w:val="00986705"/>
    <w:rsid w:val="00990F14"/>
    <w:rsid w:val="00991504"/>
    <w:rsid w:val="00994ACB"/>
    <w:rsid w:val="00995044"/>
    <w:rsid w:val="00995DCD"/>
    <w:rsid w:val="009968F9"/>
    <w:rsid w:val="00997E47"/>
    <w:rsid w:val="009A088B"/>
    <w:rsid w:val="009A21F9"/>
    <w:rsid w:val="009A2823"/>
    <w:rsid w:val="009A2E37"/>
    <w:rsid w:val="009A3D57"/>
    <w:rsid w:val="009A517B"/>
    <w:rsid w:val="009B1A44"/>
    <w:rsid w:val="009B3B9B"/>
    <w:rsid w:val="009B3BFD"/>
    <w:rsid w:val="009C2C71"/>
    <w:rsid w:val="009C3949"/>
    <w:rsid w:val="009C5456"/>
    <w:rsid w:val="009C59F3"/>
    <w:rsid w:val="009C5FFB"/>
    <w:rsid w:val="009C6342"/>
    <w:rsid w:val="009D062D"/>
    <w:rsid w:val="009D1561"/>
    <w:rsid w:val="009D31FF"/>
    <w:rsid w:val="009D393B"/>
    <w:rsid w:val="009D39AD"/>
    <w:rsid w:val="009D6284"/>
    <w:rsid w:val="009D6468"/>
    <w:rsid w:val="009D72F4"/>
    <w:rsid w:val="009E12B9"/>
    <w:rsid w:val="009E15AD"/>
    <w:rsid w:val="009E16EB"/>
    <w:rsid w:val="009E268A"/>
    <w:rsid w:val="009E2FDF"/>
    <w:rsid w:val="009E3AEB"/>
    <w:rsid w:val="009E6EA3"/>
    <w:rsid w:val="009E73B6"/>
    <w:rsid w:val="009E7B38"/>
    <w:rsid w:val="009F0029"/>
    <w:rsid w:val="009F0774"/>
    <w:rsid w:val="009F1417"/>
    <w:rsid w:val="009F26F8"/>
    <w:rsid w:val="009F39C6"/>
    <w:rsid w:val="009F3EEB"/>
    <w:rsid w:val="009F65E6"/>
    <w:rsid w:val="00A00222"/>
    <w:rsid w:val="00A005BD"/>
    <w:rsid w:val="00A0336C"/>
    <w:rsid w:val="00A0389B"/>
    <w:rsid w:val="00A04D29"/>
    <w:rsid w:val="00A06E89"/>
    <w:rsid w:val="00A072AB"/>
    <w:rsid w:val="00A07B56"/>
    <w:rsid w:val="00A07FCE"/>
    <w:rsid w:val="00A1170F"/>
    <w:rsid w:val="00A13EFA"/>
    <w:rsid w:val="00A14095"/>
    <w:rsid w:val="00A15608"/>
    <w:rsid w:val="00A176A1"/>
    <w:rsid w:val="00A17E35"/>
    <w:rsid w:val="00A2271C"/>
    <w:rsid w:val="00A22AEB"/>
    <w:rsid w:val="00A2450F"/>
    <w:rsid w:val="00A2654A"/>
    <w:rsid w:val="00A270BE"/>
    <w:rsid w:val="00A27894"/>
    <w:rsid w:val="00A304CB"/>
    <w:rsid w:val="00A30743"/>
    <w:rsid w:val="00A30D79"/>
    <w:rsid w:val="00A314EA"/>
    <w:rsid w:val="00A33105"/>
    <w:rsid w:val="00A3521A"/>
    <w:rsid w:val="00A3669C"/>
    <w:rsid w:val="00A41D3D"/>
    <w:rsid w:val="00A42A5F"/>
    <w:rsid w:val="00A43ECC"/>
    <w:rsid w:val="00A44030"/>
    <w:rsid w:val="00A464BF"/>
    <w:rsid w:val="00A47AB5"/>
    <w:rsid w:val="00A50907"/>
    <w:rsid w:val="00A51D76"/>
    <w:rsid w:val="00A521B5"/>
    <w:rsid w:val="00A53A71"/>
    <w:rsid w:val="00A546E9"/>
    <w:rsid w:val="00A55633"/>
    <w:rsid w:val="00A55D6F"/>
    <w:rsid w:val="00A57459"/>
    <w:rsid w:val="00A57577"/>
    <w:rsid w:val="00A63D10"/>
    <w:rsid w:val="00A6575C"/>
    <w:rsid w:val="00A66F7F"/>
    <w:rsid w:val="00A67CAF"/>
    <w:rsid w:val="00A71D9A"/>
    <w:rsid w:val="00A72B68"/>
    <w:rsid w:val="00A72C75"/>
    <w:rsid w:val="00A74371"/>
    <w:rsid w:val="00A7447A"/>
    <w:rsid w:val="00A761B5"/>
    <w:rsid w:val="00A76FB0"/>
    <w:rsid w:val="00A80B8E"/>
    <w:rsid w:val="00A81024"/>
    <w:rsid w:val="00A81738"/>
    <w:rsid w:val="00A8223C"/>
    <w:rsid w:val="00A82799"/>
    <w:rsid w:val="00A827B0"/>
    <w:rsid w:val="00A83035"/>
    <w:rsid w:val="00A83F15"/>
    <w:rsid w:val="00A8478C"/>
    <w:rsid w:val="00A87EF6"/>
    <w:rsid w:val="00A9180D"/>
    <w:rsid w:val="00A92019"/>
    <w:rsid w:val="00A93148"/>
    <w:rsid w:val="00A94D20"/>
    <w:rsid w:val="00A94DF5"/>
    <w:rsid w:val="00A95028"/>
    <w:rsid w:val="00A959C4"/>
    <w:rsid w:val="00A95F0E"/>
    <w:rsid w:val="00A97441"/>
    <w:rsid w:val="00AA080D"/>
    <w:rsid w:val="00AA1583"/>
    <w:rsid w:val="00AA19A9"/>
    <w:rsid w:val="00AA1E3E"/>
    <w:rsid w:val="00AA1FE8"/>
    <w:rsid w:val="00AA23E8"/>
    <w:rsid w:val="00AA3914"/>
    <w:rsid w:val="00AA4B3F"/>
    <w:rsid w:val="00AA5651"/>
    <w:rsid w:val="00AA7070"/>
    <w:rsid w:val="00AB073F"/>
    <w:rsid w:val="00AB1B35"/>
    <w:rsid w:val="00AB2E40"/>
    <w:rsid w:val="00AB2ECC"/>
    <w:rsid w:val="00AB4B4B"/>
    <w:rsid w:val="00AB6ECB"/>
    <w:rsid w:val="00AC116F"/>
    <w:rsid w:val="00AC1B92"/>
    <w:rsid w:val="00AC3CC7"/>
    <w:rsid w:val="00AC44C7"/>
    <w:rsid w:val="00AC4B4F"/>
    <w:rsid w:val="00AD0CE0"/>
    <w:rsid w:val="00AD1C70"/>
    <w:rsid w:val="00AD1E71"/>
    <w:rsid w:val="00AD2DDB"/>
    <w:rsid w:val="00AD433E"/>
    <w:rsid w:val="00AD4BEB"/>
    <w:rsid w:val="00AD66E9"/>
    <w:rsid w:val="00AD7D86"/>
    <w:rsid w:val="00AD7E53"/>
    <w:rsid w:val="00AE0E24"/>
    <w:rsid w:val="00AE1EEB"/>
    <w:rsid w:val="00AE3B22"/>
    <w:rsid w:val="00AE45C9"/>
    <w:rsid w:val="00AE4E11"/>
    <w:rsid w:val="00AE6755"/>
    <w:rsid w:val="00AE6973"/>
    <w:rsid w:val="00AE69BD"/>
    <w:rsid w:val="00AE7236"/>
    <w:rsid w:val="00AE73AB"/>
    <w:rsid w:val="00AF0DDE"/>
    <w:rsid w:val="00AF1CA8"/>
    <w:rsid w:val="00AF256F"/>
    <w:rsid w:val="00AF407E"/>
    <w:rsid w:val="00AF4698"/>
    <w:rsid w:val="00AF5748"/>
    <w:rsid w:val="00AF68C1"/>
    <w:rsid w:val="00AF68FC"/>
    <w:rsid w:val="00B00005"/>
    <w:rsid w:val="00B0002B"/>
    <w:rsid w:val="00B00F43"/>
    <w:rsid w:val="00B00F65"/>
    <w:rsid w:val="00B01A03"/>
    <w:rsid w:val="00B0388D"/>
    <w:rsid w:val="00B03B89"/>
    <w:rsid w:val="00B065BC"/>
    <w:rsid w:val="00B07229"/>
    <w:rsid w:val="00B074C9"/>
    <w:rsid w:val="00B122E8"/>
    <w:rsid w:val="00B126D4"/>
    <w:rsid w:val="00B13146"/>
    <w:rsid w:val="00B13970"/>
    <w:rsid w:val="00B148D1"/>
    <w:rsid w:val="00B14BA2"/>
    <w:rsid w:val="00B15F38"/>
    <w:rsid w:val="00B212C2"/>
    <w:rsid w:val="00B21A2B"/>
    <w:rsid w:val="00B21DC3"/>
    <w:rsid w:val="00B2316A"/>
    <w:rsid w:val="00B234DC"/>
    <w:rsid w:val="00B23697"/>
    <w:rsid w:val="00B24A8A"/>
    <w:rsid w:val="00B279F0"/>
    <w:rsid w:val="00B32093"/>
    <w:rsid w:val="00B32704"/>
    <w:rsid w:val="00B32DF6"/>
    <w:rsid w:val="00B33056"/>
    <w:rsid w:val="00B33545"/>
    <w:rsid w:val="00B339C2"/>
    <w:rsid w:val="00B343F7"/>
    <w:rsid w:val="00B34CCA"/>
    <w:rsid w:val="00B36A07"/>
    <w:rsid w:val="00B414F9"/>
    <w:rsid w:val="00B42D71"/>
    <w:rsid w:val="00B4525C"/>
    <w:rsid w:val="00B46F85"/>
    <w:rsid w:val="00B50B47"/>
    <w:rsid w:val="00B52242"/>
    <w:rsid w:val="00B533B8"/>
    <w:rsid w:val="00B53724"/>
    <w:rsid w:val="00B55E2C"/>
    <w:rsid w:val="00B57682"/>
    <w:rsid w:val="00B602BD"/>
    <w:rsid w:val="00B604BF"/>
    <w:rsid w:val="00B61550"/>
    <w:rsid w:val="00B61B00"/>
    <w:rsid w:val="00B62188"/>
    <w:rsid w:val="00B62B2C"/>
    <w:rsid w:val="00B63672"/>
    <w:rsid w:val="00B6472C"/>
    <w:rsid w:val="00B6779B"/>
    <w:rsid w:val="00B70262"/>
    <w:rsid w:val="00B7168B"/>
    <w:rsid w:val="00B73DA8"/>
    <w:rsid w:val="00B7528D"/>
    <w:rsid w:val="00B7745A"/>
    <w:rsid w:val="00B77FA4"/>
    <w:rsid w:val="00B805D7"/>
    <w:rsid w:val="00B8124C"/>
    <w:rsid w:val="00B812A9"/>
    <w:rsid w:val="00B815B8"/>
    <w:rsid w:val="00B81F95"/>
    <w:rsid w:val="00B838E5"/>
    <w:rsid w:val="00B846CE"/>
    <w:rsid w:val="00B858AA"/>
    <w:rsid w:val="00B85DDB"/>
    <w:rsid w:val="00B85F41"/>
    <w:rsid w:val="00B862DD"/>
    <w:rsid w:val="00B87C8A"/>
    <w:rsid w:val="00B92660"/>
    <w:rsid w:val="00B93CAD"/>
    <w:rsid w:val="00B947EA"/>
    <w:rsid w:val="00B953B6"/>
    <w:rsid w:val="00B96827"/>
    <w:rsid w:val="00B9711C"/>
    <w:rsid w:val="00BA1402"/>
    <w:rsid w:val="00BA2069"/>
    <w:rsid w:val="00BA2647"/>
    <w:rsid w:val="00BA2648"/>
    <w:rsid w:val="00BA3C04"/>
    <w:rsid w:val="00BA4CDA"/>
    <w:rsid w:val="00BB1A57"/>
    <w:rsid w:val="00BB213E"/>
    <w:rsid w:val="00BB2DD4"/>
    <w:rsid w:val="00BB346C"/>
    <w:rsid w:val="00BB3BC6"/>
    <w:rsid w:val="00BB43EF"/>
    <w:rsid w:val="00BB46C3"/>
    <w:rsid w:val="00BB4813"/>
    <w:rsid w:val="00BB7154"/>
    <w:rsid w:val="00BC0139"/>
    <w:rsid w:val="00BC127C"/>
    <w:rsid w:val="00BC224A"/>
    <w:rsid w:val="00BC3021"/>
    <w:rsid w:val="00BC412C"/>
    <w:rsid w:val="00BC4C8D"/>
    <w:rsid w:val="00BC4F41"/>
    <w:rsid w:val="00BC5273"/>
    <w:rsid w:val="00BC572E"/>
    <w:rsid w:val="00BD021E"/>
    <w:rsid w:val="00BD04B5"/>
    <w:rsid w:val="00BD0E2F"/>
    <w:rsid w:val="00BD187C"/>
    <w:rsid w:val="00BD3368"/>
    <w:rsid w:val="00BD6E6E"/>
    <w:rsid w:val="00BD6F56"/>
    <w:rsid w:val="00BD75EC"/>
    <w:rsid w:val="00BD784D"/>
    <w:rsid w:val="00BE3B6C"/>
    <w:rsid w:val="00BE3C79"/>
    <w:rsid w:val="00BE41F2"/>
    <w:rsid w:val="00BE4690"/>
    <w:rsid w:val="00BE4FDA"/>
    <w:rsid w:val="00BE616C"/>
    <w:rsid w:val="00BF0739"/>
    <w:rsid w:val="00BF081F"/>
    <w:rsid w:val="00BF1CFF"/>
    <w:rsid w:val="00BF6942"/>
    <w:rsid w:val="00C00933"/>
    <w:rsid w:val="00C0271D"/>
    <w:rsid w:val="00C060CD"/>
    <w:rsid w:val="00C067DC"/>
    <w:rsid w:val="00C07F5F"/>
    <w:rsid w:val="00C10ADA"/>
    <w:rsid w:val="00C13771"/>
    <w:rsid w:val="00C1486D"/>
    <w:rsid w:val="00C15BFA"/>
    <w:rsid w:val="00C20097"/>
    <w:rsid w:val="00C209CA"/>
    <w:rsid w:val="00C22721"/>
    <w:rsid w:val="00C22E36"/>
    <w:rsid w:val="00C234D2"/>
    <w:rsid w:val="00C23825"/>
    <w:rsid w:val="00C23E5A"/>
    <w:rsid w:val="00C24FE7"/>
    <w:rsid w:val="00C253D0"/>
    <w:rsid w:val="00C263E6"/>
    <w:rsid w:val="00C266B8"/>
    <w:rsid w:val="00C30C41"/>
    <w:rsid w:val="00C310DC"/>
    <w:rsid w:val="00C3436A"/>
    <w:rsid w:val="00C3480E"/>
    <w:rsid w:val="00C34839"/>
    <w:rsid w:val="00C40749"/>
    <w:rsid w:val="00C432C6"/>
    <w:rsid w:val="00C4375F"/>
    <w:rsid w:val="00C44E8C"/>
    <w:rsid w:val="00C4511B"/>
    <w:rsid w:val="00C456F0"/>
    <w:rsid w:val="00C6046F"/>
    <w:rsid w:val="00C611ED"/>
    <w:rsid w:val="00C617D0"/>
    <w:rsid w:val="00C624A1"/>
    <w:rsid w:val="00C63160"/>
    <w:rsid w:val="00C65586"/>
    <w:rsid w:val="00C655CF"/>
    <w:rsid w:val="00C659CA"/>
    <w:rsid w:val="00C6622B"/>
    <w:rsid w:val="00C66659"/>
    <w:rsid w:val="00C73706"/>
    <w:rsid w:val="00C738A3"/>
    <w:rsid w:val="00C7583F"/>
    <w:rsid w:val="00C7594E"/>
    <w:rsid w:val="00C76479"/>
    <w:rsid w:val="00C77620"/>
    <w:rsid w:val="00C817A9"/>
    <w:rsid w:val="00C81CF4"/>
    <w:rsid w:val="00C84E24"/>
    <w:rsid w:val="00C856B1"/>
    <w:rsid w:val="00C85879"/>
    <w:rsid w:val="00C85892"/>
    <w:rsid w:val="00C871B6"/>
    <w:rsid w:val="00C878EC"/>
    <w:rsid w:val="00C9011F"/>
    <w:rsid w:val="00C90C53"/>
    <w:rsid w:val="00C92937"/>
    <w:rsid w:val="00C934BA"/>
    <w:rsid w:val="00C93A5D"/>
    <w:rsid w:val="00C93B5B"/>
    <w:rsid w:val="00C94589"/>
    <w:rsid w:val="00C94B3E"/>
    <w:rsid w:val="00C9584A"/>
    <w:rsid w:val="00C97DA6"/>
    <w:rsid w:val="00CA0E65"/>
    <w:rsid w:val="00CA21B5"/>
    <w:rsid w:val="00CA346C"/>
    <w:rsid w:val="00CA53CE"/>
    <w:rsid w:val="00CA54C9"/>
    <w:rsid w:val="00CB0678"/>
    <w:rsid w:val="00CB0C75"/>
    <w:rsid w:val="00CB101C"/>
    <w:rsid w:val="00CB17D6"/>
    <w:rsid w:val="00CB2732"/>
    <w:rsid w:val="00CB2CB4"/>
    <w:rsid w:val="00CB5A8C"/>
    <w:rsid w:val="00CB6F6F"/>
    <w:rsid w:val="00CB7C19"/>
    <w:rsid w:val="00CC059A"/>
    <w:rsid w:val="00CC32BE"/>
    <w:rsid w:val="00CC33E3"/>
    <w:rsid w:val="00CC4A05"/>
    <w:rsid w:val="00CC562C"/>
    <w:rsid w:val="00CC6391"/>
    <w:rsid w:val="00CC71DA"/>
    <w:rsid w:val="00CC7CA3"/>
    <w:rsid w:val="00CD02DB"/>
    <w:rsid w:val="00CD0FF3"/>
    <w:rsid w:val="00CD1C04"/>
    <w:rsid w:val="00CD2B0D"/>
    <w:rsid w:val="00CD4B4E"/>
    <w:rsid w:val="00CD4E19"/>
    <w:rsid w:val="00CD4F22"/>
    <w:rsid w:val="00CD66D7"/>
    <w:rsid w:val="00CE2071"/>
    <w:rsid w:val="00CE237C"/>
    <w:rsid w:val="00CE3389"/>
    <w:rsid w:val="00CE3D69"/>
    <w:rsid w:val="00CE562B"/>
    <w:rsid w:val="00CE56A2"/>
    <w:rsid w:val="00CE5FF6"/>
    <w:rsid w:val="00CE6771"/>
    <w:rsid w:val="00CE7F42"/>
    <w:rsid w:val="00CF0390"/>
    <w:rsid w:val="00CF331E"/>
    <w:rsid w:val="00CF4EFF"/>
    <w:rsid w:val="00CF53FE"/>
    <w:rsid w:val="00CF5FF0"/>
    <w:rsid w:val="00CF6DD6"/>
    <w:rsid w:val="00CF779F"/>
    <w:rsid w:val="00D010B2"/>
    <w:rsid w:val="00D021E3"/>
    <w:rsid w:val="00D044F2"/>
    <w:rsid w:val="00D061F4"/>
    <w:rsid w:val="00D10A5C"/>
    <w:rsid w:val="00D126F8"/>
    <w:rsid w:val="00D13FD4"/>
    <w:rsid w:val="00D14167"/>
    <w:rsid w:val="00D14926"/>
    <w:rsid w:val="00D15574"/>
    <w:rsid w:val="00D156CD"/>
    <w:rsid w:val="00D17327"/>
    <w:rsid w:val="00D174E5"/>
    <w:rsid w:val="00D20E60"/>
    <w:rsid w:val="00D22708"/>
    <w:rsid w:val="00D23C97"/>
    <w:rsid w:val="00D249AD"/>
    <w:rsid w:val="00D25003"/>
    <w:rsid w:val="00D2504E"/>
    <w:rsid w:val="00D25448"/>
    <w:rsid w:val="00D40845"/>
    <w:rsid w:val="00D40B97"/>
    <w:rsid w:val="00D41F6F"/>
    <w:rsid w:val="00D41F99"/>
    <w:rsid w:val="00D424E4"/>
    <w:rsid w:val="00D42642"/>
    <w:rsid w:val="00D42AA5"/>
    <w:rsid w:val="00D43630"/>
    <w:rsid w:val="00D45A96"/>
    <w:rsid w:val="00D45E6B"/>
    <w:rsid w:val="00D46201"/>
    <w:rsid w:val="00D46F0F"/>
    <w:rsid w:val="00D46F48"/>
    <w:rsid w:val="00D476A5"/>
    <w:rsid w:val="00D51AC2"/>
    <w:rsid w:val="00D52401"/>
    <w:rsid w:val="00D52B99"/>
    <w:rsid w:val="00D56FD0"/>
    <w:rsid w:val="00D60952"/>
    <w:rsid w:val="00D622F3"/>
    <w:rsid w:val="00D62BDB"/>
    <w:rsid w:val="00D633A9"/>
    <w:rsid w:val="00D63433"/>
    <w:rsid w:val="00D63503"/>
    <w:rsid w:val="00D64E73"/>
    <w:rsid w:val="00D66439"/>
    <w:rsid w:val="00D66AE3"/>
    <w:rsid w:val="00D70FD6"/>
    <w:rsid w:val="00D717F9"/>
    <w:rsid w:val="00D7197E"/>
    <w:rsid w:val="00D71E00"/>
    <w:rsid w:val="00D72A96"/>
    <w:rsid w:val="00D73445"/>
    <w:rsid w:val="00D7434E"/>
    <w:rsid w:val="00D74E5E"/>
    <w:rsid w:val="00D7579D"/>
    <w:rsid w:val="00D767DB"/>
    <w:rsid w:val="00D77971"/>
    <w:rsid w:val="00D77F3F"/>
    <w:rsid w:val="00D806DD"/>
    <w:rsid w:val="00D806F1"/>
    <w:rsid w:val="00D81102"/>
    <w:rsid w:val="00D82301"/>
    <w:rsid w:val="00D8234C"/>
    <w:rsid w:val="00D82D94"/>
    <w:rsid w:val="00D82E13"/>
    <w:rsid w:val="00D84174"/>
    <w:rsid w:val="00D844D8"/>
    <w:rsid w:val="00D90D8B"/>
    <w:rsid w:val="00D94217"/>
    <w:rsid w:val="00D94642"/>
    <w:rsid w:val="00D97ADA"/>
    <w:rsid w:val="00D97C69"/>
    <w:rsid w:val="00DA0309"/>
    <w:rsid w:val="00DA1DAF"/>
    <w:rsid w:val="00DA3A0F"/>
    <w:rsid w:val="00DA70FE"/>
    <w:rsid w:val="00DA74E4"/>
    <w:rsid w:val="00DB0BDE"/>
    <w:rsid w:val="00DB1267"/>
    <w:rsid w:val="00DB3F42"/>
    <w:rsid w:val="00DB4471"/>
    <w:rsid w:val="00DB4966"/>
    <w:rsid w:val="00DC0C47"/>
    <w:rsid w:val="00DC17C5"/>
    <w:rsid w:val="00DC18C1"/>
    <w:rsid w:val="00DC1A72"/>
    <w:rsid w:val="00DC1D96"/>
    <w:rsid w:val="00DC2704"/>
    <w:rsid w:val="00DC4195"/>
    <w:rsid w:val="00DC445E"/>
    <w:rsid w:val="00DC66C8"/>
    <w:rsid w:val="00DD03DC"/>
    <w:rsid w:val="00DD0D97"/>
    <w:rsid w:val="00DD12D2"/>
    <w:rsid w:val="00DD3267"/>
    <w:rsid w:val="00DD4165"/>
    <w:rsid w:val="00DD463F"/>
    <w:rsid w:val="00DD6223"/>
    <w:rsid w:val="00DD7280"/>
    <w:rsid w:val="00DE0E30"/>
    <w:rsid w:val="00DE141A"/>
    <w:rsid w:val="00DE1B26"/>
    <w:rsid w:val="00DE224A"/>
    <w:rsid w:val="00DE2F77"/>
    <w:rsid w:val="00DE3926"/>
    <w:rsid w:val="00DE6760"/>
    <w:rsid w:val="00DE7EFB"/>
    <w:rsid w:val="00DF4903"/>
    <w:rsid w:val="00DF4BC2"/>
    <w:rsid w:val="00DF5768"/>
    <w:rsid w:val="00DF7BCC"/>
    <w:rsid w:val="00E03513"/>
    <w:rsid w:val="00E05FF5"/>
    <w:rsid w:val="00E06E3E"/>
    <w:rsid w:val="00E0705F"/>
    <w:rsid w:val="00E071B8"/>
    <w:rsid w:val="00E10142"/>
    <w:rsid w:val="00E10D38"/>
    <w:rsid w:val="00E114A0"/>
    <w:rsid w:val="00E11661"/>
    <w:rsid w:val="00E12C06"/>
    <w:rsid w:val="00E12F4C"/>
    <w:rsid w:val="00E14453"/>
    <w:rsid w:val="00E14696"/>
    <w:rsid w:val="00E15BCC"/>
    <w:rsid w:val="00E16815"/>
    <w:rsid w:val="00E169BC"/>
    <w:rsid w:val="00E16C9A"/>
    <w:rsid w:val="00E16CA9"/>
    <w:rsid w:val="00E16CC0"/>
    <w:rsid w:val="00E21596"/>
    <w:rsid w:val="00E21B53"/>
    <w:rsid w:val="00E22865"/>
    <w:rsid w:val="00E235A8"/>
    <w:rsid w:val="00E24030"/>
    <w:rsid w:val="00E26027"/>
    <w:rsid w:val="00E26344"/>
    <w:rsid w:val="00E26723"/>
    <w:rsid w:val="00E26AD1"/>
    <w:rsid w:val="00E27ACE"/>
    <w:rsid w:val="00E31CDB"/>
    <w:rsid w:val="00E326DD"/>
    <w:rsid w:val="00E32DE7"/>
    <w:rsid w:val="00E335B3"/>
    <w:rsid w:val="00E3475C"/>
    <w:rsid w:val="00E37D5C"/>
    <w:rsid w:val="00E37F3D"/>
    <w:rsid w:val="00E402C0"/>
    <w:rsid w:val="00E404AC"/>
    <w:rsid w:val="00E43CA4"/>
    <w:rsid w:val="00E450C9"/>
    <w:rsid w:val="00E47EEA"/>
    <w:rsid w:val="00E52FCB"/>
    <w:rsid w:val="00E54ACB"/>
    <w:rsid w:val="00E54B89"/>
    <w:rsid w:val="00E5687D"/>
    <w:rsid w:val="00E6156C"/>
    <w:rsid w:val="00E623EE"/>
    <w:rsid w:val="00E6316D"/>
    <w:rsid w:val="00E63A9F"/>
    <w:rsid w:val="00E63D08"/>
    <w:rsid w:val="00E6434F"/>
    <w:rsid w:val="00E65321"/>
    <w:rsid w:val="00E67FBB"/>
    <w:rsid w:val="00E71988"/>
    <w:rsid w:val="00E720FE"/>
    <w:rsid w:val="00E74710"/>
    <w:rsid w:val="00E754A4"/>
    <w:rsid w:val="00E81B65"/>
    <w:rsid w:val="00E827F7"/>
    <w:rsid w:val="00E8293A"/>
    <w:rsid w:val="00E83CC1"/>
    <w:rsid w:val="00E843CA"/>
    <w:rsid w:val="00E85561"/>
    <w:rsid w:val="00E86834"/>
    <w:rsid w:val="00E870BB"/>
    <w:rsid w:val="00E92291"/>
    <w:rsid w:val="00E92483"/>
    <w:rsid w:val="00E9276B"/>
    <w:rsid w:val="00E92897"/>
    <w:rsid w:val="00E95CAF"/>
    <w:rsid w:val="00E96FF2"/>
    <w:rsid w:val="00E97780"/>
    <w:rsid w:val="00EA0FF5"/>
    <w:rsid w:val="00EA1D8A"/>
    <w:rsid w:val="00EA4EA9"/>
    <w:rsid w:val="00EA5B21"/>
    <w:rsid w:val="00EA7984"/>
    <w:rsid w:val="00EB0C28"/>
    <w:rsid w:val="00EB2B48"/>
    <w:rsid w:val="00EB5369"/>
    <w:rsid w:val="00EC0E19"/>
    <w:rsid w:val="00EC1410"/>
    <w:rsid w:val="00EC1CE8"/>
    <w:rsid w:val="00EC2B75"/>
    <w:rsid w:val="00EC3F93"/>
    <w:rsid w:val="00EC42A9"/>
    <w:rsid w:val="00EC43C0"/>
    <w:rsid w:val="00EC4F8C"/>
    <w:rsid w:val="00EC5E20"/>
    <w:rsid w:val="00EC6B98"/>
    <w:rsid w:val="00EC7A8D"/>
    <w:rsid w:val="00EC7B77"/>
    <w:rsid w:val="00ED16D2"/>
    <w:rsid w:val="00ED229A"/>
    <w:rsid w:val="00ED2EEB"/>
    <w:rsid w:val="00ED3E37"/>
    <w:rsid w:val="00ED4B0D"/>
    <w:rsid w:val="00ED4B4E"/>
    <w:rsid w:val="00ED7C58"/>
    <w:rsid w:val="00EE297F"/>
    <w:rsid w:val="00EE3408"/>
    <w:rsid w:val="00EE36A4"/>
    <w:rsid w:val="00EE3875"/>
    <w:rsid w:val="00EE38B0"/>
    <w:rsid w:val="00EE473F"/>
    <w:rsid w:val="00EE527C"/>
    <w:rsid w:val="00EE642F"/>
    <w:rsid w:val="00EF1165"/>
    <w:rsid w:val="00EF2079"/>
    <w:rsid w:val="00EF21F2"/>
    <w:rsid w:val="00EF2D4F"/>
    <w:rsid w:val="00EF3A62"/>
    <w:rsid w:val="00EF5990"/>
    <w:rsid w:val="00F01119"/>
    <w:rsid w:val="00F01125"/>
    <w:rsid w:val="00F01473"/>
    <w:rsid w:val="00F016FD"/>
    <w:rsid w:val="00F0183B"/>
    <w:rsid w:val="00F02179"/>
    <w:rsid w:val="00F02875"/>
    <w:rsid w:val="00F02A81"/>
    <w:rsid w:val="00F02F3C"/>
    <w:rsid w:val="00F04C6E"/>
    <w:rsid w:val="00F058F0"/>
    <w:rsid w:val="00F06C1A"/>
    <w:rsid w:val="00F078B5"/>
    <w:rsid w:val="00F12A1E"/>
    <w:rsid w:val="00F12EC3"/>
    <w:rsid w:val="00F13A9B"/>
    <w:rsid w:val="00F142A7"/>
    <w:rsid w:val="00F155BE"/>
    <w:rsid w:val="00F15F9D"/>
    <w:rsid w:val="00F16546"/>
    <w:rsid w:val="00F22247"/>
    <w:rsid w:val="00F22EF8"/>
    <w:rsid w:val="00F23293"/>
    <w:rsid w:val="00F25881"/>
    <w:rsid w:val="00F258C7"/>
    <w:rsid w:val="00F25B65"/>
    <w:rsid w:val="00F319BF"/>
    <w:rsid w:val="00F32A3E"/>
    <w:rsid w:val="00F32E20"/>
    <w:rsid w:val="00F32EE1"/>
    <w:rsid w:val="00F3632A"/>
    <w:rsid w:val="00F37D08"/>
    <w:rsid w:val="00F40DA0"/>
    <w:rsid w:val="00F410BA"/>
    <w:rsid w:val="00F412B5"/>
    <w:rsid w:val="00F41D59"/>
    <w:rsid w:val="00F42A43"/>
    <w:rsid w:val="00F42A70"/>
    <w:rsid w:val="00F43FB1"/>
    <w:rsid w:val="00F44303"/>
    <w:rsid w:val="00F449DC"/>
    <w:rsid w:val="00F50713"/>
    <w:rsid w:val="00F516D6"/>
    <w:rsid w:val="00F54088"/>
    <w:rsid w:val="00F54272"/>
    <w:rsid w:val="00F547D5"/>
    <w:rsid w:val="00F5486E"/>
    <w:rsid w:val="00F54F6C"/>
    <w:rsid w:val="00F55394"/>
    <w:rsid w:val="00F554D1"/>
    <w:rsid w:val="00F57364"/>
    <w:rsid w:val="00F574F3"/>
    <w:rsid w:val="00F5755F"/>
    <w:rsid w:val="00F6046C"/>
    <w:rsid w:val="00F606BC"/>
    <w:rsid w:val="00F61220"/>
    <w:rsid w:val="00F6126F"/>
    <w:rsid w:val="00F62AD1"/>
    <w:rsid w:val="00F6404A"/>
    <w:rsid w:val="00F66A1E"/>
    <w:rsid w:val="00F66F37"/>
    <w:rsid w:val="00F67712"/>
    <w:rsid w:val="00F70289"/>
    <w:rsid w:val="00F708AA"/>
    <w:rsid w:val="00F71714"/>
    <w:rsid w:val="00F7184E"/>
    <w:rsid w:val="00F726ED"/>
    <w:rsid w:val="00F74C6E"/>
    <w:rsid w:val="00F76507"/>
    <w:rsid w:val="00F77FFD"/>
    <w:rsid w:val="00F802AF"/>
    <w:rsid w:val="00F80F2F"/>
    <w:rsid w:val="00F818AF"/>
    <w:rsid w:val="00F81A03"/>
    <w:rsid w:val="00F82E5F"/>
    <w:rsid w:val="00F85456"/>
    <w:rsid w:val="00F86E47"/>
    <w:rsid w:val="00F87753"/>
    <w:rsid w:val="00F87FBD"/>
    <w:rsid w:val="00F9054E"/>
    <w:rsid w:val="00F90E06"/>
    <w:rsid w:val="00F93D91"/>
    <w:rsid w:val="00F9478A"/>
    <w:rsid w:val="00F95930"/>
    <w:rsid w:val="00F9616F"/>
    <w:rsid w:val="00F9644B"/>
    <w:rsid w:val="00F97798"/>
    <w:rsid w:val="00F979EE"/>
    <w:rsid w:val="00FA1B08"/>
    <w:rsid w:val="00FA3A70"/>
    <w:rsid w:val="00FA477B"/>
    <w:rsid w:val="00FA4E52"/>
    <w:rsid w:val="00FA6FC2"/>
    <w:rsid w:val="00FA7BA0"/>
    <w:rsid w:val="00FB163C"/>
    <w:rsid w:val="00FB1844"/>
    <w:rsid w:val="00FB365B"/>
    <w:rsid w:val="00FB4A9E"/>
    <w:rsid w:val="00FB4DA2"/>
    <w:rsid w:val="00FB4FE8"/>
    <w:rsid w:val="00FB5D0B"/>
    <w:rsid w:val="00FB5EC5"/>
    <w:rsid w:val="00FB7168"/>
    <w:rsid w:val="00FB7664"/>
    <w:rsid w:val="00FC0821"/>
    <w:rsid w:val="00FC0A96"/>
    <w:rsid w:val="00FC0B2F"/>
    <w:rsid w:val="00FC1A72"/>
    <w:rsid w:val="00FC26B6"/>
    <w:rsid w:val="00FC2A35"/>
    <w:rsid w:val="00FC2BE5"/>
    <w:rsid w:val="00FC5E87"/>
    <w:rsid w:val="00FC6F89"/>
    <w:rsid w:val="00FD08A5"/>
    <w:rsid w:val="00FD1443"/>
    <w:rsid w:val="00FD3E7B"/>
    <w:rsid w:val="00FD507A"/>
    <w:rsid w:val="00FD5B15"/>
    <w:rsid w:val="00FD74E3"/>
    <w:rsid w:val="00FE1C8F"/>
    <w:rsid w:val="00FE22C8"/>
    <w:rsid w:val="00FE259A"/>
    <w:rsid w:val="00FE47AA"/>
    <w:rsid w:val="00FE68F9"/>
    <w:rsid w:val="00FE6DB5"/>
    <w:rsid w:val="00FE7B87"/>
    <w:rsid w:val="00FF0FFE"/>
    <w:rsid w:val="00FF1ED1"/>
    <w:rsid w:val="00FF2222"/>
    <w:rsid w:val="00FF27AF"/>
    <w:rsid w:val="00FF2BA4"/>
    <w:rsid w:val="00FF2E62"/>
    <w:rsid w:val="00FF34FB"/>
    <w:rsid w:val="00FF3FB8"/>
    <w:rsid w:val="00FF48EA"/>
    <w:rsid w:val="00FF6F46"/>
    <w:rsid w:val="00FF7775"/>
    <w:rsid w:val="00FF79D0"/>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0886"/>
  <w15:docId w15:val="{F99AD8AF-A79E-4FE3-A8F9-AA5C20C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74"/>
  </w:style>
  <w:style w:type="paragraph" w:styleId="Heading1">
    <w:name w:val="heading 1"/>
    <w:basedOn w:val="Normal"/>
    <w:next w:val="Normal"/>
    <w:link w:val="Heading1Char"/>
    <w:uiPriority w:val="9"/>
    <w:qFormat/>
    <w:rsid w:val="0037502B"/>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142A7"/>
    <w:pPr>
      <w:keepNext/>
      <w:keepLines/>
      <w:spacing w:before="16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A22AEB"/>
    <w:pPr>
      <w:keepNext/>
      <w:keepLines/>
      <w:spacing w:before="160" w:after="12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4B3FA5"/>
    <w:pPr>
      <w:keepNext/>
      <w:keepLines/>
      <w:spacing w:before="160" w:after="12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8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857"/>
    <w:rPr>
      <w:rFonts w:asciiTheme="majorHAnsi" w:eastAsiaTheme="majorEastAsia" w:hAnsiTheme="majorHAnsi" w:cstheme="majorBidi"/>
      <w:spacing w:val="-10"/>
      <w:kern w:val="28"/>
      <w:sz w:val="56"/>
      <w:szCs w:val="56"/>
    </w:rPr>
  </w:style>
  <w:style w:type="paragraph" w:styleId="NoSpacing">
    <w:name w:val="No Spacing"/>
    <w:uiPriority w:val="1"/>
    <w:qFormat/>
    <w:rsid w:val="00351857"/>
    <w:pPr>
      <w:spacing w:after="0" w:line="240" w:lineRule="auto"/>
    </w:pPr>
  </w:style>
  <w:style w:type="character" w:customStyle="1" w:styleId="Heading1Char">
    <w:name w:val="Heading 1 Char"/>
    <w:basedOn w:val="DefaultParagraphFont"/>
    <w:link w:val="Heading1"/>
    <w:uiPriority w:val="9"/>
    <w:rsid w:val="0037502B"/>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37502B"/>
    <w:pPr>
      <w:spacing w:before="120" w:after="280" w:line="240" w:lineRule="auto"/>
      <w:ind w:left="720"/>
      <w:contextualSpacing/>
    </w:pPr>
    <w:rPr>
      <w:rFonts w:asciiTheme="majorHAnsi" w:hAnsiTheme="majorHAnsi"/>
    </w:rPr>
  </w:style>
  <w:style w:type="table" w:styleId="TableGrid">
    <w:name w:val="Table Grid"/>
    <w:basedOn w:val="TableNormal"/>
    <w:uiPriority w:val="39"/>
    <w:rsid w:val="00A0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D4B4E"/>
    <w:pPr>
      <w:spacing w:after="80" w:line="240" w:lineRule="auto"/>
    </w:pPr>
    <w:rPr>
      <w:b/>
      <w:iCs/>
      <w:color w:val="000000" w:themeColor="text1"/>
      <w:sz w:val="18"/>
      <w:szCs w:val="18"/>
    </w:rPr>
  </w:style>
  <w:style w:type="character" w:styleId="Hyperlink">
    <w:name w:val="Hyperlink"/>
    <w:basedOn w:val="DefaultParagraphFont"/>
    <w:uiPriority w:val="99"/>
    <w:unhideWhenUsed/>
    <w:rsid w:val="00D77971"/>
    <w:rPr>
      <w:color w:val="0563C1" w:themeColor="hyperlink"/>
      <w:u w:val="single"/>
    </w:rPr>
  </w:style>
  <w:style w:type="paragraph" w:styleId="FootnoteText">
    <w:name w:val="footnote text"/>
    <w:basedOn w:val="Normal"/>
    <w:link w:val="FootnoteTextChar"/>
    <w:uiPriority w:val="99"/>
    <w:unhideWhenUsed/>
    <w:rsid w:val="001523B0"/>
    <w:pPr>
      <w:spacing w:after="0" w:line="240" w:lineRule="auto"/>
    </w:pPr>
    <w:rPr>
      <w:sz w:val="20"/>
      <w:szCs w:val="20"/>
    </w:rPr>
  </w:style>
  <w:style w:type="character" w:customStyle="1" w:styleId="FootnoteTextChar">
    <w:name w:val="Footnote Text Char"/>
    <w:basedOn w:val="DefaultParagraphFont"/>
    <w:link w:val="FootnoteText"/>
    <w:uiPriority w:val="99"/>
    <w:rsid w:val="001523B0"/>
    <w:rPr>
      <w:sz w:val="20"/>
      <w:szCs w:val="20"/>
    </w:rPr>
  </w:style>
  <w:style w:type="character" w:styleId="FootnoteReference">
    <w:name w:val="footnote reference"/>
    <w:basedOn w:val="DefaultParagraphFont"/>
    <w:uiPriority w:val="99"/>
    <w:unhideWhenUsed/>
    <w:rsid w:val="001523B0"/>
    <w:rPr>
      <w:vertAlign w:val="superscript"/>
    </w:rPr>
  </w:style>
  <w:style w:type="character" w:customStyle="1" w:styleId="Heading2Char">
    <w:name w:val="Heading 2 Char"/>
    <w:basedOn w:val="DefaultParagraphFont"/>
    <w:link w:val="Heading2"/>
    <w:uiPriority w:val="9"/>
    <w:rsid w:val="00F142A7"/>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A22AEB"/>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4B3FA5"/>
    <w:rPr>
      <w:rFonts w:asciiTheme="majorHAnsi" w:eastAsiaTheme="majorEastAsia" w:hAnsiTheme="majorHAnsi" w:cstheme="majorBidi"/>
      <w:b/>
      <w:i/>
      <w:iCs/>
      <w:color w:val="000000" w:themeColor="text1"/>
    </w:rPr>
  </w:style>
  <w:style w:type="paragraph" w:styleId="BalloonText">
    <w:name w:val="Balloon Text"/>
    <w:basedOn w:val="Normal"/>
    <w:link w:val="BalloonTextChar"/>
    <w:uiPriority w:val="99"/>
    <w:semiHidden/>
    <w:unhideWhenUsed/>
    <w:rsid w:val="00B61B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B00"/>
    <w:rPr>
      <w:rFonts w:ascii="Lucida Grande" w:hAnsi="Lucida Grande"/>
      <w:sz w:val="18"/>
      <w:szCs w:val="18"/>
    </w:rPr>
  </w:style>
  <w:style w:type="character" w:styleId="CommentReference">
    <w:name w:val="annotation reference"/>
    <w:basedOn w:val="DefaultParagraphFont"/>
    <w:uiPriority w:val="99"/>
    <w:semiHidden/>
    <w:unhideWhenUsed/>
    <w:rsid w:val="00191274"/>
    <w:rPr>
      <w:sz w:val="16"/>
      <w:szCs w:val="16"/>
    </w:rPr>
  </w:style>
  <w:style w:type="paragraph" w:styleId="CommentText">
    <w:name w:val="annotation text"/>
    <w:basedOn w:val="Normal"/>
    <w:link w:val="CommentTextChar"/>
    <w:uiPriority w:val="99"/>
    <w:semiHidden/>
    <w:unhideWhenUsed/>
    <w:rsid w:val="00191274"/>
    <w:pPr>
      <w:spacing w:line="240" w:lineRule="auto"/>
    </w:pPr>
    <w:rPr>
      <w:sz w:val="20"/>
      <w:szCs w:val="20"/>
    </w:rPr>
  </w:style>
  <w:style w:type="character" w:customStyle="1" w:styleId="CommentTextChar">
    <w:name w:val="Comment Text Char"/>
    <w:basedOn w:val="DefaultParagraphFont"/>
    <w:link w:val="CommentText"/>
    <w:uiPriority w:val="99"/>
    <w:semiHidden/>
    <w:rsid w:val="00191274"/>
    <w:rPr>
      <w:sz w:val="20"/>
      <w:szCs w:val="20"/>
    </w:rPr>
  </w:style>
  <w:style w:type="paragraph" w:styleId="CommentSubject">
    <w:name w:val="annotation subject"/>
    <w:basedOn w:val="CommentText"/>
    <w:next w:val="CommentText"/>
    <w:link w:val="CommentSubjectChar"/>
    <w:uiPriority w:val="99"/>
    <w:semiHidden/>
    <w:unhideWhenUsed/>
    <w:rsid w:val="00191274"/>
    <w:rPr>
      <w:b/>
      <w:bCs/>
    </w:rPr>
  </w:style>
  <w:style w:type="character" w:customStyle="1" w:styleId="CommentSubjectChar">
    <w:name w:val="Comment Subject Char"/>
    <w:basedOn w:val="CommentTextChar"/>
    <w:link w:val="CommentSubject"/>
    <w:uiPriority w:val="99"/>
    <w:semiHidden/>
    <w:rsid w:val="00191274"/>
    <w:rPr>
      <w:b/>
      <w:bCs/>
      <w:sz w:val="20"/>
      <w:szCs w:val="20"/>
    </w:rPr>
  </w:style>
  <w:style w:type="character" w:styleId="FollowedHyperlink">
    <w:name w:val="FollowedHyperlink"/>
    <w:basedOn w:val="DefaultParagraphFont"/>
    <w:uiPriority w:val="99"/>
    <w:semiHidden/>
    <w:unhideWhenUsed/>
    <w:rsid w:val="00226B4F"/>
    <w:rPr>
      <w:color w:val="954F72" w:themeColor="followedHyperlink"/>
      <w:u w:val="single"/>
    </w:rPr>
  </w:style>
  <w:style w:type="paragraph" w:styleId="Header">
    <w:name w:val="header"/>
    <w:basedOn w:val="Normal"/>
    <w:link w:val="HeaderChar"/>
    <w:uiPriority w:val="99"/>
    <w:unhideWhenUsed/>
    <w:rsid w:val="0039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3F"/>
  </w:style>
  <w:style w:type="paragraph" w:styleId="Footer">
    <w:name w:val="footer"/>
    <w:basedOn w:val="Normal"/>
    <w:link w:val="FooterChar"/>
    <w:uiPriority w:val="99"/>
    <w:unhideWhenUsed/>
    <w:rsid w:val="00396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3F"/>
  </w:style>
  <w:style w:type="paragraph" w:styleId="TOCHeading">
    <w:name w:val="TOC Heading"/>
    <w:basedOn w:val="Heading1"/>
    <w:next w:val="Normal"/>
    <w:uiPriority w:val="39"/>
    <w:unhideWhenUsed/>
    <w:qFormat/>
    <w:rsid w:val="00BC4C8D"/>
    <w:pPr>
      <w:spacing w:before="240" w:after="0"/>
      <w:outlineLvl w:val="9"/>
    </w:pPr>
    <w:rPr>
      <w:lang w:val="en-US"/>
    </w:rPr>
  </w:style>
  <w:style w:type="paragraph" w:styleId="TOC1">
    <w:name w:val="toc 1"/>
    <w:basedOn w:val="Normal"/>
    <w:next w:val="Normal"/>
    <w:autoRedefine/>
    <w:uiPriority w:val="39"/>
    <w:unhideWhenUsed/>
    <w:rsid w:val="00BC4C8D"/>
    <w:pPr>
      <w:spacing w:after="100"/>
    </w:pPr>
  </w:style>
  <w:style w:type="paragraph" w:styleId="TOC3">
    <w:name w:val="toc 3"/>
    <w:basedOn w:val="Normal"/>
    <w:next w:val="Normal"/>
    <w:autoRedefine/>
    <w:uiPriority w:val="39"/>
    <w:unhideWhenUsed/>
    <w:rsid w:val="00BC4C8D"/>
    <w:pPr>
      <w:spacing w:after="100"/>
      <w:ind w:left="440"/>
    </w:pPr>
  </w:style>
  <w:style w:type="paragraph" w:styleId="TOC2">
    <w:name w:val="toc 2"/>
    <w:basedOn w:val="Normal"/>
    <w:next w:val="Normal"/>
    <w:autoRedefine/>
    <w:uiPriority w:val="39"/>
    <w:unhideWhenUsed/>
    <w:rsid w:val="00BC4C8D"/>
    <w:pPr>
      <w:spacing w:after="100"/>
      <w:ind w:left="220"/>
    </w:pPr>
  </w:style>
  <w:style w:type="paragraph" w:styleId="Revision">
    <w:name w:val="Revision"/>
    <w:hidden/>
    <w:uiPriority w:val="99"/>
    <w:semiHidden/>
    <w:rsid w:val="00B57682"/>
    <w:pPr>
      <w:spacing w:after="0" w:line="240" w:lineRule="auto"/>
    </w:pPr>
  </w:style>
  <w:style w:type="paragraph" w:styleId="NormalWeb">
    <w:name w:val="Normal (Web)"/>
    <w:basedOn w:val="Normal"/>
    <w:uiPriority w:val="99"/>
    <w:unhideWhenUsed/>
    <w:rsid w:val="00D156CD"/>
    <w:pPr>
      <w:spacing w:before="100" w:beforeAutospacing="1" w:after="100" w:afterAutospacing="1" w:line="240" w:lineRule="auto"/>
    </w:pPr>
    <w:rPr>
      <w:rFonts w:ascii="Times" w:eastAsiaTheme="minorEastAsia" w:hAnsi="Times" w:cs="Times New Roman"/>
      <w:sz w:val="20"/>
      <w:szCs w:val="20"/>
      <w:lang w:val="es-ES" w:eastAsia="es-ES"/>
    </w:rPr>
  </w:style>
  <w:style w:type="paragraph" w:styleId="ListBullet">
    <w:name w:val="List Bullet"/>
    <w:basedOn w:val="Normal"/>
    <w:uiPriority w:val="99"/>
    <w:unhideWhenUsed/>
    <w:rsid w:val="00274A75"/>
    <w:pPr>
      <w:numPr>
        <w:numId w:val="3"/>
      </w:numPr>
      <w:contextualSpacing/>
    </w:pPr>
  </w:style>
  <w:style w:type="character" w:customStyle="1" w:styleId="author">
    <w:name w:val="author"/>
    <w:basedOn w:val="DefaultParagraphFont"/>
    <w:rsid w:val="003771F9"/>
  </w:style>
  <w:style w:type="character" w:customStyle="1" w:styleId="apple-converted-space">
    <w:name w:val="apple-converted-space"/>
    <w:basedOn w:val="DefaultParagraphFont"/>
    <w:rsid w:val="003771F9"/>
  </w:style>
  <w:style w:type="character" w:customStyle="1" w:styleId="articletitle">
    <w:name w:val="articletitle"/>
    <w:basedOn w:val="DefaultParagraphFont"/>
    <w:rsid w:val="003771F9"/>
  </w:style>
  <w:style w:type="character" w:customStyle="1" w:styleId="journaltitle">
    <w:name w:val="journaltitle"/>
    <w:basedOn w:val="DefaultParagraphFont"/>
    <w:rsid w:val="003771F9"/>
  </w:style>
  <w:style w:type="character" w:customStyle="1" w:styleId="pubyear">
    <w:name w:val="pubyear"/>
    <w:basedOn w:val="DefaultParagraphFont"/>
    <w:rsid w:val="003771F9"/>
  </w:style>
  <w:style w:type="character" w:customStyle="1" w:styleId="citedissue">
    <w:name w:val="citedissue"/>
    <w:basedOn w:val="DefaultParagraphFont"/>
    <w:rsid w:val="0037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66">
      <w:bodyDiv w:val="1"/>
      <w:marLeft w:val="0"/>
      <w:marRight w:val="0"/>
      <w:marTop w:val="0"/>
      <w:marBottom w:val="0"/>
      <w:divBdr>
        <w:top w:val="none" w:sz="0" w:space="0" w:color="auto"/>
        <w:left w:val="none" w:sz="0" w:space="0" w:color="auto"/>
        <w:bottom w:val="none" w:sz="0" w:space="0" w:color="auto"/>
        <w:right w:val="none" w:sz="0" w:space="0" w:color="auto"/>
      </w:divBdr>
    </w:div>
    <w:div w:id="266738116">
      <w:bodyDiv w:val="1"/>
      <w:marLeft w:val="0"/>
      <w:marRight w:val="0"/>
      <w:marTop w:val="0"/>
      <w:marBottom w:val="0"/>
      <w:divBdr>
        <w:top w:val="none" w:sz="0" w:space="0" w:color="auto"/>
        <w:left w:val="none" w:sz="0" w:space="0" w:color="auto"/>
        <w:bottom w:val="none" w:sz="0" w:space="0" w:color="auto"/>
        <w:right w:val="none" w:sz="0" w:space="0" w:color="auto"/>
      </w:divBdr>
    </w:div>
    <w:div w:id="366376780">
      <w:bodyDiv w:val="1"/>
      <w:marLeft w:val="0"/>
      <w:marRight w:val="0"/>
      <w:marTop w:val="0"/>
      <w:marBottom w:val="0"/>
      <w:divBdr>
        <w:top w:val="none" w:sz="0" w:space="0" w:color="auto"/>
        <w:left w:val="none" w:sz="0" w:space="0" w:color="auto"/>
        <w:bottom w:val="none" w:sz="0" w:space="0" w:color="auto"/>
        <w:right w:val="none" w:sz="0" w:space="0" w:color="auto"/>
      </w:divBdr>
    </w:div>
    <w:div w:id="432556757">
      <w:bodyDiv w:val="1"/>
      <w:marLeft w:val="0"/>
      <w:marRight w:val="0"/>
      <w:marTop w:val="0"/>
      <w:marBottom w:val="0"/>
      <w:divBdr>
        <w:top w:val="none" w:sz="0" w:space="0" w:color="auto"/>
        <w:left w:val="none" w:sz="0" w:space="0" w:color="auto"/>
        <w:bottom w:val="none" w:sz="0" w:space="0" w:color="auto"/>
        <w:right w:val="none" w:sz="0" w:space="0" w:color="auto"/>
      </w:divBdr>
      <w:divsChild>
        <w:div w:id="1993898835">
          <w:marLeft w:val="0"/>
          <w:marRight w:val="0"/>
          <w:marTop w:val="0"/>
          <w:marBottom w:val="0"/>
          <w:divBdr>
            <w:top w:val="none" w:sz="0" w:space="0" w:color="auto"/>
            <w:left w:val="none" w:sz="0" w:space="0" w:color="auto"/>
            <w:bottom w:val="none" w:sz="0" w:space="0" w:color="auto"/>
            <w:right w:val="none" w:sz="0" w:space="0" w:color="auto"/>
          </w:divBdr>
        </w:div>
      </w:divsChild>
    </w:div>
    <w:div w:id="504714158">
      <w:bodyDiv w:val="1"/>
      <w:marLeft w:val="0"/>
      <w:marRight w:val="0"/>
      <w:marTop w:val="0"/>
      <w:marBottom w:val="0"/>
      <w:divBdr>
        <w:top w:val="none" w:sz="0" w:space="0" w:color="auto"/>
        <w:left w:val="none" w:sz="0" w:space="0" w:color="auto"/>
        <w:bottom w:val="none" w:sz="0" w:space="0" w:color="auto"/>
        <w:right w:val="none" w:sz="0" w:space="0" w:color="auto"/>
      </w:divBdr>
    </w:div>
    <w:div w:id="529952476">
      <w:bodyDiv w:val="1"/>
      <w:marLeft w:val="0"/>
      <w:marRight w:val="0"/>
      <w:marTop w:val="0"/>
      <w:marBottom w:val="0"/>
      <w:divBdr>
        <w:top w:val="none" w:sz="0" w:space="0" w:color="auto"/>
        <w:left w:val="none" w:sz="0" w:space="0" w:color="auto"/>
        <w:bottom w:val="none" w:sz="0" w:space="0" w:color="auto"/>
        <w:right w:val="none" w:sz="0" w:space="0" w:color="auto"/>
      </w:divBdr>
    </w:div>
    <w:div w:id="532235020">
      <w:bodyDiv w:val="1"/>
      <w:marLeft w:val="0"/>
      <w:marRight w:val="0"/>
      <w:marTop w:val="0"/>
      <w:marBottom w:val="0"/>
      <w:divBdr>
        <w:top w:val="none" w:sz="0" w:space="0" w:color="auto"/>
        <w:left w:val="none" w:sz="0" w:space="0" w:color="auto"/>
        <w:bottom w:val="none" w:sz="0" w:space="0" w:color="auto"/>
        <w:right w:val="none" w:sz="0" w:space="0" w:color="auto"/>
      </w:divBdr>
    </w:div>
    <w:div w:id="785661193">
      <w:bodyDiv w:val="1"/>
      <w:marLeft w:val="0"/>
      <w:marRight w:val="0"/>
      <w:marTop w:val="0"/>
      <w:marBottom w:val="0"/>
      <w:divBdr>
        <w:top w:val="none" w:sz="0" w:space="0" w:color="auto"/>
        <w:left w:val="none" w:sz="0" w:space="0" w:color="auto"/>
        <w:bottom w:val="none" w:sz="0" w:space="0" w:color="auto"/>
        <w:right w:val="none" w:sz="0" w:space="0" w:color="auto"/>
      </w:divBdr>
    </w:div>
    <w:div w:id="926112812">
      <w:bodyDiv w:val="1"/>
      <w:marLeft w:val="0"/>
      <w:marRight w:val="0"/>
      <w:marTop w:val="0"/>
      <w:marBottom w:val="0"/>
      <w:divBdr>
        <w:top w:val="none" w:sz="0" w:space="0" w:color="auto"/>
        <w:left w:val="none" w:sz="0" w:space="0" w:color="auto"/>
        <w:bottom w:val="none" w:sz="0" w:space="0" w:color="auto"/>
        <w:right w:val="none" w:sz="0" w:space="0" w:color="auto"/>
      </w:divBdr>
      <w:divsChild>
        <w:div w:id="32389739">
          <w:marLeft w:val="1166"/>
          <w:marRight w:val="0"/>
          <w:marTop w:val="0"/>
          <w:marBottom w:val="0"/>
          <w:divBdr>
            <w:top w:val="none" w:sz="0" w:space="0" w:color="auto"/>
            <w:left w:val="none" w:sz="0" w:space="0" w:color="auto"/>
            <w:bottom w:val="none" w:sz="0" w:space="0" w:color="auto"/>
            <w:right w:val="none" w:sz="0" w:space="0" w:color="auto"/>
          </w:divBdr>
        </w:div>
        <w:div w:id="1163936847">
          <w:marLeft w:val="1166"/>
          <w:marRight w:val="0"/>
          <w:marTop w:val="0"/>
          <w:marBottom w:val="0"/>
          <w:divBdr>
            <w:top w:val="none" w:sz="0" w:space="0" w:color="auto"/>
            <w:left w:val="none" w:sz="0" w:space="0" w:color="auto"/>
            <w:bottom w:val="none" w:sz="0" w:space="0" w:color="auto"/>
            <w:right w:val="none" w:sz="0" w:space="0" w:color="auto"/>
          </w:divBdr>
        </w:div>
      </w:divsChild>
    </w:div>
    <w:div w:id="1014695470">
      <w:bodyDiv w:val="1"/>
      <w:marLeft w:val="0"/>
      <w:marRight w:val="0"/>
      <w:marTop w:val="0"/>
      <w:marBottom w:val="0"/>
      <w:divBdr>
        <w:top w:val="none" w:sz="0" w:space="0" w:color="auto"/>
        <w:left w:val="none" w:sz="0" w:space="0" w:color="auto"/>
        <w:bottom w:val="none" w:sz="0" w:space="0" w:color="auto"/>
        <w:right w:val="none" w:sz="0" w:space="0" w:color="auto"/>
      </w:divBdr>
    </w:div>
    <w:div w:id="1197281627">
      <w:bodyDiv w:val="1"/>
      <w:marLeft w:val="0"/>
      <w:marRight w:val="0"/>
      <w:marTop w:val="0"/>
      <w:marBottom w:val="0"/>
      <w:divBdr>
        <w:top w:val="none" w:sz="0" w:space="0" w:color="auto"/>
        <w:left w:val="none" w:sz="0" w:space="0" w:color="auto"/>
        <w:bottom w:val="none" w:sz="0" w:space="0" w:color="auto"/>
        <w:right w:val="none" w:sz="0" w:space="0" w:color="auto"/>
      </w:divBdr>
    </w:div>
    <w:div w:id="1373850203">
      <w:bodyDiv w:val="1"/>
      <w:marLeft w:val="0"/>
      <w:marRight w:val="0"/>
      <w:marTop w:val="0"/>
      <w:marBottom w:val="0"/>
      <w:divBdr>
        <w:top w:val="none" w:sz="0" w:space="0" w:color="auto"/>
        <w:left w:val="none" w:sz="0" w:space="0" w:color="auto"/>
        <w:bottom w:val="none" w:sz="0" w:space="0" w:color="auto"/>
        <w:right w:val="none" w:sz="0" w:space="0" w:color="auto"/>
      </w:divBdr>
    </w:div>
    <w:div w:id="1650286799">
      <w:bodyDiv w:val="1"/>
      <w:marLeft w:val="0"/>
      <w:marRight w:val="0"/>
      <w:marTop w:val="0"/>
      <w:marBottom w:val="0"/>
      <w:divBdr>
        <w:top w:val="none" w:sz="0" w:space="0" w:color="auto"/>
        <w:left w:val="none" w:sz="0" w:space="0" w:color="auto"/>
        <w:bottom w:val="none" w:sz="0" w:space="0" w:color="auto"/>
        <w:right w:val="none" w:sz="0" w:space="0" w:color="auto"/>
      </w:divBdr>
    </w:div>
    <w:div w:id="17677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arner@lstmed.ac.uk" TargetMode="External"/><Relationship Id="rId13" Type="http://schemas.openxmlformats.org/officeDocument/2006/relationships/hyperlink" Target="http://www.evidenceaction.org/dewormtheworld" TargetMode="External"/><Relationship Id="rId18" Type="http://schemas.openxmlformats.org/officeDocument/2006/relationships/hyperlink" Target="http://scholar.harvard.edu/files/kcroke/files/ug_lr_deworming_071714.pdf" TargetMode="External"/><Relationship Id="rId3" Type="http://schemas.openxmlformats.org/officeDocument/2006/relationships/styles" Target="styles.xml"/><Relationship Id="rId21" Type="http://schemas.openxmlformats.org/officeDocument/2006/relationships/hyperlink" Target="http://wrap.warwick.ac.uk/id/eprint/69715" TargetMode="External"/><Relationship Id="rId7" Type="http://schemas.openxmlformats.org/officeDocument/2006/relationships/endnotes" Target="endnotes.xml"/><Relationship Id="rId12" Type="http://schemas.openxmlformats.org/officeDocument/2006/relationships/hyperlink" Target="http://www.impatientoptimists.org/Posts/2015/09/A-New-Perspective-on-the-War-on-Worms" TargetMode="External"/><Relationship Id="rId17" Type="http://schemas.openxmlformats.org/officeDocument/2006/relationships/hyperlink" Target="http://www.nber.org/papers/w21428" TargetMode="External"/><Relationship Id="rId2" Type="http://schemas.openxmlformats.org/officeDocument/2006/relationships/numbering" Target="numbering.xml"/><Relationship Id="rId16" Type="http://schemas.openxmlformats.org/officeDocument/2006/relationships/hyperlink" Target="http://handbook.cochrane.org/" TargetMode="External"/><Relationship Id="rId20" Type="http://schemas.openxmlformats.org/officeDocument/2006/relationships/hyperlink" Target="http://www.jstor.org/stable/3598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10665/42588/1/WHO_TRS_9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vewell.org/international/top-charities/deworm-world-initiative" TargetMode="External"/><Relationship Id="rId23" Type="http://schemas.openxmlformats.org/officeDocument/2006/relationships/fontTable" Target="fontTable.xml"/><Relationship Id="rId10" Type="http://schemas.openxmlformats.org/officeDocument/2006/relationships/hyperlink" Target="http://www.ncbi.nlm.nih.gov/pubmed/16679166" TargetMode="External"/><Relationship Id="rId19" Type="http://schemas.openxmlformats.org/officeDocument/2006/relationships/hyperlink" Target="http://economics.ozier.com/owen/papers/ozier_early_deworming_20160727.pdf" TargetMode="External"/><Relationship Id="rId4" Type="http://schemas.openxmlformats.org/officeDocument/2006/relationships/settings" Target="settings.xml"/><Relationship Id="rId9" Type="http://schemas.openxmlformats.org/officeDocument/2006/relationships/hyperlink" Target="http://apps.who.int/whocc/default.aspx" TargetMode="External"/><Relationship Id="rId14" Type="http://schemas.openxmlformats.org/officeDocument/2006/relationships/hyperlink" Target="http://www.who.int/features/2015/rwanda-deworming-campaign/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984-F424-48B0-A12E-E2C366DF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6533</Words>
  <Characters>37243</Characters>
  <Application>Microsoft Office Word</Application>
  <DocSecurity>0</DocSecurity>
  <Lines>310</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Jullien</dc:creator>
  <cp:keywords/>
  <dc:description/>
  <cp:lastModifiedBy>Paul Garner</cp:lastModifiedBy>
  <cp:revision>2</cp:revision>
  <cp:lastPrinted>2016-09-01T07:44:00Z</cp:lastPrinted>
  <dcterms:created xsi:type="dcterms:W3CDTF">2016-09-05T14:43:00Z</dcterms:created>
  <dcterms:modified xsi:type="dcterms:W3CDTF">2016-09-05T14:43:00Z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sophjullien@gmail.com@www.mendeley.com</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