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575EE" w14:textId="331484F6" w:rsidR="008028C8" w:rsidRPr="00AF4F02" w:rsidRDefault="008028C8" w:rsidP="00AF4F02">
      <w:pPr>
        <w:pStyle w:val="Epgrafe"/>
      </w:pPr>
      <w:r w:rsidRPr="00AF4F02">
        <w:t>Appendix 1.</w:t>
      </w:r>
      <w:r w:rsidR="0018763A">
        <w:t xml:space="preserve"> Link to the full text</w:t>
      </w:r>
      <w:r w:rsidR="00AF4F02">
        <w:t xml:space="preserve"> of the included studies</w:t>
      </w:r>
    </w:p>
    <w:tbl>
      <w:tblPr>
        <w:tblStyle w:val="Tablaconcuadrcula"/>
        <w:tblW w:w="0" w:type="auto"/>
        <w:tblInd w:w="108" w:type="dxa"/>
        <w:tblLook w:val="04A0" w:firstRow="1" w:lastRow="0" w:firstColumn="1" w:lastColumn="0" w:noHBand="0" w:noVBand="1"/>
      </w:tblPr>
      <w:tblGrid>
        <w:gridCol w:w="1181"/>
        <w:gridCol w:w="930"/>
        <w:gridCol w:w="7328"/>
      </w:tblGrid>
      <w:tr w:rsidR="006C299C" w:rsidRPr="006C299C" w14:paraId="048CB12F" w14:textId="77777777" w:rsidTr="006C299C">
        <w:tc>
          <w:tcPr>
            <w:tcW w:w="0" w:type="auto"/>
            <w:shd w:val="clear" w:color="auto" w:fill="D9D9D9" w:themeFill="background1" w:themeFillShade="D9"/>
          </w:tcPr>
          <w:p w14:paraId="704B5AF4" w14:textId="52F15357" w:rsidR="006C299C" w:rsidRPr="006C299C" w:rsidRDefault="006C299C" w:rsidP="008028C8">
            <w:pPr>
              <w:rPr>
                <w:b/>
                <w:sz w:val="20"/>
              </w:rPr>
            </w:pPr>
            <w:r w:rsidRPr="006C299C">
              <w:rPr>
                <w:b/>
                <w:sz w:val="20"/>
              </w:rPr>
              <w:t>Study ID</w:t>
            </w:r>
          </w:p>
        </w:tc>
        <w:tc>
          <w:tcPr>
            <w:tcW w:w="0" w:type="auto"/>
            <w:shd w:val="clear" w:color="auto" w:fill="D9D9D9" w:themeFill="background1" w:themeFillShade="D9"/>
          </w:tcPr>
          <w:p w14:paraId="15ED2566" w14:textId="0F170AD3" w:rsidR="006C299C" w:rsidRPr="006C299C" w:rsidRDefault="006C299C" w:rsidP="008028C8">
            <w:pPr>
              <w:rPr>
                <w:b/>
                <w:sz w:val="20"/>
              </w:rPr>
            </w:pPr>
            <w:r w:rsidRPr="006C299C">
              <w:rPr>
                <w:b/>
                <w:sz w:val="20"/>
              </w:rPr>
              <w:t>Versions</w:t>
            </w:r>
          </w:p>
        </w:tc>
        <w:tc>
          <w:tcPr>
            <w:tcW w:w="0" w:type="auto"/>
            <w:shd w:val="clear" w:color="auto" w:fill="D9D9D9" w:themeFill="background1" w:themeFillShade="D9"/>
          </w:tcPr>
          <w:p w14:paraId="45C07D1E" w14:textId="353D8EE2" w:rsidR="006C299C" w:rsidRPr="006C299C" w:rsidRDefault="0018763A" w:rsidP="008028C8">
            <w:pPr>
              <w:rPr>
                <w:b/>
              </w:rPr>
            </w:pPr>
            <w:r w:rsidRPr="0018763A">
              <w:rPr>
                <w:b/>
                <w:sz w:val="20"/>
              </w:rPr>
              <w:t>Online links</w:t>
            </w:r>
          </w:p>
        </w:tc>
      </w:tr>
      <w:tr w:rsidR="0018763A" w:rsidRPr="006C299C" w14:paraId="0E779874" w14:textId="77777777" w:rsidTr="006C299C">
        <w:tc>
          <w:tcPr>
            <w:tcW w:w="0" w:type="auto"/>
            <w:vMerge w:val="restart"/>
          </w:tcPr>
          <w:p w14:paraId="2475FDEA" w14:textId="2CB911EC" w:rsidR="0018763A" w:rsidRPr="006C299C" w:rsidRDefault="0018763A" w:rsidP="008028C8">
            <w:pPr>
              <w:rPr>
                <w:b/>
                <w:sz w:val="20"/>
              </w:rPr>
            </w:pPr>
            <w:r w:rsidRPr="006C299C">
              <w:rPr>
                <w:b/>
                <w:sz w:val="20"/>
              </w:rPr>
              <w:t>Baird series</w:t>
            </w:r>
          </w:p>
        </w:tc>
        <w:tc>
          <w:tcPr>
            <w:tcW w:w="0" w:type="auto"/>
          </w:tcPr>
          <w:p w14:paraId="5D9AC96E" w14:textId="64A3942E" w:rsidR="0018763A" w:rsidRPr="004B4121" w:rsidRDefault="00E64C57" w:rsidP="008028C8">
            <w:pPr>
              <w:rPr>
                <w:sz w:val="20"/>
                <w:szCs w:val="20"/>
              </w:rPr>
            </w:pPr>
            <w:r>
              <w:rPr>
                <w:sz w:val="20"/>
                <w:szCs w:val="20"/>
              </w:rPr>
              <w:t>2010</w:t>
            </w:r>
          </w:p>
        </w:tc>
        <w:tc>
          <w:tcPr>
            <w:tcW w:w="0" w:type="auto"/>
          </w:tcPr>
          <w:p w14:paraId="162E6F7C" w14:textId="7F7F7BDA" w:rsidR="0018763A" w:rsidRPr="00E64C57" w:rsidRDefault="00E024BB" w:rsidP="00E64C57">
            <w:pPr>
              <w:rPr>
                <w:sz w:val="20"/>
                <w:szCs w:val="20"/>
              </w:rPr>
            </w:pPr>
            <w:r>
              <w:rPr>
                <w:sz w:val="20"/>
                <w:szCs w:val="20"/>
              </w:rPr>
              <w:t>N</w:t>
            </w:r>
            <w:r w:rsidR="00E64C57" w:rsidRPr="00E64C57">
              <w:rPr>
                <w:sz w:val="20"/>
                <w:szCs w:val="20"/>
              </w:rPr>
              <w:t>o longer available</w:t>
            </w:r>
          </w:p>
        </w:tc>
      </w:tr>
      <w:tr w:rsidR="00E64C57" w:rsidRPr="006C299C" w14:paraId="28374DE6" w14:textId="77777777" w:rsidTr="006C299C">
        <w:tc>
          <w:tcPr>
            <w:tcW w:w="0" w:type="auto"/>
            <w:vMerge/>
          </w:tcPr>
          <w:p w14:paraId="2B5DE2EB" w14:textId="77777777" w:rsidR="00E64C57" w:rsidRPr="006C299C" w:rsidRDefault="00E64C57" w:rsidP="00E64C57">
            <w:pPr>
              <w:rPr>
                <w:b/>
                <w:sz w:val="20"/>
              </w:rPr>
            </w:pPr>
          </w:p>
        </w:tc>
        <w:tc>
          <w:tcPr>
            <w:tcW w:w="0" w:type="auto"/>
          </w:tcPr>
          <w:p w14:paraId="4BD70D50" w14:textId="052C748C" w:rsidR="00E64C57" w:rsidRPr="004B4121" w:rsidRDefault="00E64C57" w:rsidP="00E64C57">
            <w:pPr>
              <w:rPr>
                <w:sz w:val="20"/>
                <w:szCs w:val="20"/>
              </w:rPr>
            </w:pPr>
            <w:r w:rsidRPr="004B4121">
              <w:rPr>
                <w:sz w:val="20"/>
                <w:szCs w:val="20"/>
              </w:rPr>
              <w:t>2011a</w:t>
            </w:r>
          </w:p>
        </w:tc>
        <w:tc>
          <w:tcPr>
            <w:tcW w:w="0" w:type="auto"/>
          </w:tcPr>
          <w:p w14:paraId="14269BE5" w14:textId="157FD88F" w:rsidR="00E64C57" w:rsidRDefault="00E64C57" w:rsidP="00E64C57">
            <w:pPr>
              <w:rPr>
                <w:sz w:val="20"/>
                <w:szCs w:val="20"/>
              </w:rPr>
            </w:pPr>
            <w:r>
              <w:rPr>
                <w:sz w:val="20"/>
                <w:szCs w:val="20"/>
              </w:rPr>
              <w:t>No longer available</w:t>
            </w:r>
          </w:p>
        </w:tc>
      </w:tr>
      <w:tr w:rsidR="00E64C57" w:rsidRPr="006C299C" w14:paraId="438AB30B" w14:textId="77777777" w:rsidTr="006C299C">
        <w:tc>
          <w:tcPr>
            <w:tcW w:w="0" w:type="auto"/>
            <w:vMerge/>
          </w:tcPr>
          <w:p w14:paraId="1D205AA8" w14:textId="77777777" w:rsidR="00E64C57" w:rsidRPr="006C299C" w:rsidRDefault="00E64C57" w:rsidP="00E64C57">
            <w:pPr>
              <w:rPr>
                <w:b/>
                <w:sz w:val="20"/>
              </w:rPr>
            </w:pPr>
          </w:p>
        </w:tc>
        <w:tc>
          <w:tcPr>
            <w:tcW w:w="0" w:type="auto"/>
          </w:tcPr>
          <w:p w14:paraId="7D42A190" w14:textId="536D3709" w:rsidR="00E64C57" w:rsidRPr="004B4121" w:rsidRDefault="00E64C57" w:rsidP="00E64C57">
            <w:pPr>
              <w:rPr>
                <w:sz w:val="20"/>
                <w:szCs w:val="20"/>
              </w:rPr>
            </w:pPr>
            <w:r w:rsidRPr="004B4121">
              <w:rPr>
                <w:sz w:val="20"/>
                <w:szCs w:val="20"/>
              </w:rPr>
              <w:t>2011b</w:t>
            </w:r>
          </w:p>
        </w:tc>
        <w:tc>
          <w:tcPr>
            <w:tcW w:w="0" w:type="auto"/>
          </w:tcPr>
          <w:p w14:paraId="003D1CE8" w14:textId="1E526BC9" w:rsidR="00E64C57" w:rsidRPr="0000393E" w:rsidRDefault="00E64C57" w:rsidP="00E64C57">
            <w:pPr>
              <w:rPr>
                <w:sz w:val="20"/>
                <w:szCs w:val="20"/>
                <w:vertAlign w:val="superscript"/>
              </w:rPr>
            </w:pPr>
            <w:r>
              <w:rPr>
                <w:sz w:val="20"/>
                <w:szCs w:val="20"/>
              </w:rPr>
              <w:t>No longer available</w:t>
            </w:r>
          </w:p>
        </w:tc>
      </w:tr>
      <w:tr w:rsidR="00E64C57" w:rsidRPr="006C299C" w14:paraId="12A2185E" w14:textId="77777777" w:rsidTr="006C299C">
        <w:tc>
          <w:tcPr>
            <w:tcW w:w="0" w:type="auto"/>
            <w:vMerge/>
          </w:tcPr>
          <w:p w14:paraId="3B0380C5" w14:textId="77777777" w:rsidR="00E64C57" w:rsidRPr="006C299C" w:rsidRDefault="00E64C57" w:rsidP="00E64C57">
            <w:pPr>
              <w:rPr>
                <w:b/>
                <w:sz w:val="20"/>
              </w:rPr>
            </w:pPr>
          </w:p>
        </w:tc>
        <w:tc>
          <w:tcPr>
            <w:tcW w:w="0" w:type="auto"/>
          </w:tcPr>
          <w:p w14:paraId="106FCA47" w14:textId="1FE53BD3" w:rsidR="00E64C57" w:rsidRPr="004B4121" w:rsidRDefault="00E64C57" w:rsidP="00E64C57">
            <w:pPr>
              <w:rPr>
                <w:sz w:val="20"/>
                <w:szCs w:val="20"/>
              </w:rPr>
            </w:pPr>
            <w:r w:rsidRPr="004B4121">
              <w:rPr>
                <w:sz w:val="20"/>
                <w:szCs w:val="20"/>
              </w:rPr>
              <w:t>2012</w:t>
            </w:r>
          </w:p>
        </w:tc>
        <w:tc>
          <w:tcPr>
            <w:tcW w:w="0" w:type="auto"/>
          </w:tcPr>
          <w:p w14:paraId="2BAFCEED" w14:textId="5AFDB71D" w:rsidR="00E64C57" w:rsidRPr="0000393E" w:rsidRDefault="00E64C57" w:rsidP="00E64C57">
            <w:pPr>
              <w:rPr>
                <w:sz w:val="20"/>
                <w:szCs w:val="20"/>
                <w:vertAlign w:val="superscript"/>
              </w:rPr>
            </w:pPr>
            <w:r>
              <w:rPr>
                <w:sz w:val="20"/>
                <w:szCs w:val="20"/>
              </w:rPr>
              <w:t>No longer available</w:t>
            </w:r>
            <w:bookmarkStart w:id="0" w:name="_GoBack"/>
            <w:bookmarkEnd w:id="0"/>
          </w:p>
        </w:tc>
      </w:tr>
      <w:tr w:rsidR="00E64C57" w:rsidRPr="006C299C" w14:paraId="08738DB8" w14:textId="77777777" w:rsidTr="006C299C">
        <w:tc>
          <w:tcPr>
            <w:tcW w:w="0" w:type="auto"/>
            <w:vMerge/>
          </w:tcPr>
          <w:p w14:paraId="6F8D7F73" w14:textId="77777777" w:rsidR="00E64C57" w:rsidRPr="006C299C" w:rsidRDefault="00E64C57" w:rsidP="00E64C57">
            <w:pPr>
              <w:rPr>
                <w:b/>
                <w:sz w:val="20"/>
              </w:rPr>
            </w:pPr>
          </w:p>
        </w:tc>
        <w:tc>
          <w:tcPr>
            <w:tcW w:w="0" w:type="auto"/>
          </w:tcPr>
          <w:p w14:paraId="225F4C8D" w14:textId="3834C22E" w:rsidR="00E64C57" w:rsidRPr="004B4121" w:rsidRDefault="00E64C57" w:rsidP="00E64C57">
            <w:pPr>
              <w:rPr>
                <w:sz w:val="20"/>
                <w:szCs w:val="20"/>
              </w:rPr>
            </w:pPr>
            <w:r w:rsidRPr="004B4121">
              <w:rPr>
                <w:sz w:val="20"/>
                <w:szCs w:val="20"/>
              </w:rPr>
              <w:t>2015</w:t>
            </w:r>
          </w:p>
        </w:tc>
        <w:tc>
          <w:tcPr>
            <w:tcW w:w="0" w:type="auto"/>
          </w:tcPr>
          <w:p w14:paraId="3D0874BF" w14:textId="2185D7FB" w:rsidR="00E64C57" w:rsidRPr="004B4121" w:rsidRDefault="00E024BB" w:rsidP="00E64C57">
            <w:pPr>
              <w:rPr>
                <w:sz w:val="20"/>
                <w:szCs w:val="20"/>
              </w:rPr>
            </w:pPr>
            <w:hyperlink r:id="rId7" w:history="1">
              <w:r w:rsidR="00E64C57" w:rsidRPr="00095B0F">
                <w:rPr>
                  <w:rStyle w:val="Hipervnculo"/>
                  <w:sz w:val="20"/>
                  <w:szCs w:val="20"/>
                </w:rPr>
                <w:t>http://scholar.harvard.edu/files/kremer/files/worms-at-work_2015-07-23.pdf</w:t>
              </w:r>
            </w:hyperlink>
            <w:r w:rsidR="00E64C57">
              <w:rPr>
                <w:sz w:val="20"/>
                <w:szCs w:val="20"/>
              </w:rPr>
              <w:t xml:space="preserve"> </w:t>
            </w:r>
          </w:p>
        </w:tc>
      </w:tr>
      <w:tr w:rsidR="00E64C57" w:rsidRPr="006C299C" w14:paraId="632BDBAA" w14:textId="77777777" w:rsidTr="006C299C">
        <w:tc>
          <w:tcPr>
            <w:tcW w:w="0" w:type="auto"/>
            <w:vMerge/>
          </w:tcPr>
          <w:p w14:paraId="54108683" w14:textId="77777777" w:rsidR="00E64C57" w:rsidRPr="006C299C" w:rsidRDefault="00E64C57" w:rsidP="00E64C57">
            <w:pPr>
              <w:rPr>
                <w:b/>
                <w:sz w:val="20"/>
              </w:rPr>
            </w:pPr>
          </w:p>
        </w:tc>
        <w:tc>
          <w:tcPr>
            <w:tcW w:w="0" w:type="auto"/>
          </w:tcPr>
          <w:p w14:paraId="1905320C" w14:textId="5B0A1ED9" w:rsidR="00E64C57" w:rsidRPr="004B4121" w:rsidRDefault="00E64C57" w:rsidP="00E64C57">
            <w:pPr>
              <w:rPr>
                <w:sz w:val="20"/>
                <w:szCs w:val="20"/>
              </w:rPr>
            </w:pPr>
            <w:r w:rsidRPr="004B4121">
              <w:rPr>
                <w:sz w:val="20"/>
                <w:szCs w:val="20"/>
              </w:rPr>
              <w:t>2016</w:t>
            </w:r>
          </w:p>
        </w:tc>
        <w:tc>
          <w:tcPr>
            <w:tcW w:w="0" w:type="auto"/>
          </w:tcPr>
          <w:p w14:paraId="775DC3C2" w14:textId="483150A7" w:rsidR="00E64C57" w:rsidRPr="004B4121" w:rsidRDefault="00E024BB" w:rsidP="00E64C57">
            <w:pPr>
              <w:rPr>
                <w:sz w:val="20"/>
                <w:szCs w:val="20"/>
              </w:rPr>
            </w:pPr>
            <w:hyperlink r:id="rId8" w:history="1">
              <w:r w:rsidR="00E64C57" w:rsidRPr="00095B0F">
                <w:rPr>
                  <w:rStyle w:val="Hipervnculo"/>
                  <w:sz w:val="20"/>
                  <w:szCs w:val="20"/>
                </w:rPr>
                <w:t>http://scholar.harvard.edu/files/kremer/files/worms-at-work_2016-01-28-clean.pdf</w:t>
              </w:r>
            </w:hyperlink>
            <w:r w:rsidR="00E64C57">
              <w:rPr>
                <w:sz w:val="20"/>
                <w:szCs w:val="20"/>
              </w:rPr>
              <w:t xml:space="preserve"> </w:t>
            </w:r>
          </w:p>
        </w:tc>
      </w:tr>
      <w:tr w:rsidR="00E64C57" w:rsidRPr="006C299C" w14:paraId="4775C5C0" w14:textId="77777777" w:rsidTr="006C299C">
        <w:tc>
          <w:tcPr>
            <w:tcW w:w="0" w:type="auto"/>
            <w:vMerge w:val="restart"/>
          </w:tcPr>
          <w:p w14:paraId="24970212" w14:textId="632C36A1" w:rsidR="00E64C57" w:rsidRPr="006C299C" w:rsidRDefault="00E64C57" w:rsidP="00E64C57">
            <w:pPr>
              <w:rPr>
                <w:b/>
                <w:sz w:val="20"/>
              </w:rPr>
            </w:pPr>
            <w:proofErr w:type="spellStart"/>
            <w:r w:rsidRPr="006C299C">
              <w:rPr>
                <w:b/>
                <w:sz w:val="20"/>
              </w:rPr>
              <w:t>Ozier</w:t>
            </w:r>
            <w:proofErr w:type="spellEnd"/>
            <w:r w:rsidRPr="006C299C">
              <w:rPr>
                <w:b/>
                <w:sz w:val="20"/>
              </w:rPr>
              <w:t xml:space="preserve"> series</w:t>
            </w:r>
          </w:p>
        </w:tc>
        <w:tc>
          <w:tcPr>
            <w:tcW w:w="0" w:type="auto"/>
          </w:tcPr>
          <w:p w14:paraId="503722F0" w14:textId="2E4E5741" w:rsidR="00E64C57" w:rsidRPr="004B4121" w:rsidRDefault="00E64C57" w:rsidP="00E64C57">
            <w:pPr>
              <w:rPr>
                <w:sz w:val="20"/>
                <w:szCs w:val="20"/>
              </w:rPr>
            </w:pPr>
            <w:r w:rsidRPr="004B4121">
              <w:rPr>
                <w:sz w:val="20"/>
                <w:szCs w:val="20"/>
              </w:rPr>
              <w:t>2011</w:t>
            </w:r>
          </w:p>
        </w:tc>
        <w:tc>
          <w:tcPr>
            <w:tcW w:w="0" w:type="auto"/>
          </w:tcPr>
          <w:p w14:paraId="6E442614" w14:textId="126C0077" w:rsidR="00E64C57" w:rsidRPr="004B4121" w:rsidRDefault="00E64C57" w:rsidP="00E64C57">
            <w:pPr>
              <w:rPr>
                <w:sz w:val="20"/>
                <w:szCs w:val="20"/>
              </w:rPr>
            </w:pPr>
            <w:r>
              <w:rPr>
                <w:sz w:val="20"/>
                <w:szCs w:val="20"/>
              </w:rPr>
              <w:t>No longer available</w:t>
            </w:r>
          </w:p>
        </w:tc>
      </w:tr>
      <w:tr w:rsidR="00E64C57" w:rsidRPr="006C299C" w14:paraId="5D75AEA9" w14:textId="77777777" w:rsidTr="006C299C">
        <w:tc>
          <w:tcPr>
            <w:tcW w:w="0" w:type="auto"/>
            <w:vMerge/>
          </w:tcPr>
          <w:p w14:paraId="0C303397" w14:textId="77777777" w:rsidR="00E64C57" w:rsidRPr="006C299C" w:rsidRDefault="00E64C57" w:rsidP="00E64C57">
            <w:pPr>
              <w:rPr>
                <w:b/>
                <w:sz w:val="20"/>
              </w:rPr>
            </w:pPr>
          </w:p>
        </w:tc>
        <w:tc>
          <w:tcPr>
            <w:tcW w:w="0" w:type="auto"/>
          </w:tcPr>
          <w:p w14:paraId="3037DD5B" w14:textId="0E762C16" w:rsidR="00E64C57" w:rsidRPr="004B4121" w:rsidRDefault="00E64C57" w:rsidP="00E64C57">
            <w:pPr>
              <w:rPr>
                <w:sz w:val="20"/>
                <w:szCs w:val="20"/>
              </w:rPr>
            </w:pPr>
            <w:r w:rsidRPr="004B4121">
              <w:rPr>
                <w:sz w:val="20"/>
                <w:szCs w:val="20"/>
              </w:rPr>
              <w:t>2014</w:t>
            </w:r>
          </w:p>
        </w:tc>
        <w:tc>
          <w:tcPr>
            <w:tcW w:w="0" w:type="auto"/>
          </w:tcPr>
          <w:p w14:paraId="6A33BA0F" w14:textId="37E463F2" w:rsidR="00E64C57" w:rsidRPr="004B4121" w:rsidRDefault="00E024BB" w:rsidP="00E64C57">
            <w:pPr>
              <w:rPr>
                <w:sz w:val="20"/>
                <w:szCs w:val="20"/>
              </w:rPr>
            </w:pPr>
            <w:hyperlink r:id="rId9" w:history="1">
              <w:r w:rsidR="00E64C57" w:rsidRPr="004B4121">
                <w:rPr>
                  <w:rStyle w:val="Hipervnculo"/>
                  <w:sz w:val="20"/>
                  <w:szCs w:val="20"/>
                </w:rPr>
                <w:t>http://documents.worldbank.org/curated/en/236591468341338819/pdf/WPS7052.pdf</w:t>
              </w:r>
            </w:hyperlink>
            <w:r w:rsidR="00E64C57" w:rsidRPr="004B4121">
              <w:rPr>
                <w:sz w:val="20"/>
                <w:szCs w:val="20"/>
              </w:rPr>
              <w:t xml:space="preserve"> </w:t>
            </w:r>
          </w:p>
        </w:tc>
      </w:tr>
      <w:tr w:rsidR="00E64C57" w:rsidRPr="006C299C" w14:paraId="6DD5C7B7" w14:textId="77777777" w:rsidTr="006C299C">
        <w:tc>
          <w:tcPr>
            <w:tcW w:w="0" w:type="auto"/>
            <w:vMerge/>
          </w:tcPr>
          <w:p w14:paraId="06BA61BD" w14:textId="77777777" w:rsidR="00E64C57" w:rsidRPr="006C299C" w:rsidRDefault="00E64C57" w:rsidP="00E64C57">
            <w:pPr>
              <w:rPr>
                <w:b/>
                <w:sz w:val="20"/>
              </w:rPr>
            </w:pPr>
          </w:p>
        </w:tc>
        <w:tc>
          <w:tcPr>
            <w:tcW w:w="0" w:type="auto"/>
          </w:tcPr>
          <w:p w14:paraId="3744490E" w14:textId="668608CE" w:rsidR="00E64C57" w:rsidRPr="004B4121" w:rsidRDefault="00E64C57" w:rsidP="00E64C57">
            <w:pPr>
              <w:rPr>
                <w:sz w:val="20"/>
                <w:szCs w:val="20"/>
              </w:rPr>
            </w:pPr>
            <w:r w:rsidRPr="004B4121">
              <w:rPr>
                <w:sz w:val="20"/>
                <w:szCs w:val="20"/>
              </w:rPr>
              <w:t>2015</w:t>
            </w:r>
          </w:p>
        </w:tc>
        <w:tc>
          <w:tcPr>
            <w:tcW w:w="0" w:type="auto"/>
          </w:tcPr>
          <w:p w14:paraId="51B37D2B" w14:textId="7027366E" w:rsidR="00E64C57" w:rsidRPr="004B4121" w:rsidRDefault="00E024BB" w:rsidP="00E64C57">
            <w:pPr>
              <w:rPr>
                <w:sz w:val="20"/>
                <w:szCs w:val="20"/>
              </w:rPr>
            </w:pPr>
            <w:hyperlink r:id="rId10" w:history="1">
              <w:r w:rsidR="00E64C57" w:rsidRPr="004B4121">
                <w:rPr>
                  <w:rStyle w:val="Hipervnculo"/>
                  <w:sz w:val="20"/>
                  <w:szCs w:val="20"/>
                </w:rPr>
                <w:t>http://economics.ozier.com/owen/papers/ozier_early_deworming_20150417e.pdf</w:t>
              </w:r>
            </w:hyperlink>
            <w:r w:rsidR="00E64C57" w:rsidRPr="004B4121">
              <w:rPr>
                <w:sz w:val="20"/>
                <w:szCs w:val="20"/>
              </w:rPr>
              <w:t xml:space="preserve"> </w:t>
            </w:r>
          </w:p>
        </w:tc>
      </w:tr>
      <w:tr w:rsidR="00E64C57" w:rsidRPr="006C299C" w14:paraId="36E6BCE8" w14:textId="77777777" w:rsidTr="006C299C">
        <w:tc>
          <w:tcPr>
            <w:tcW w:w="0" w:type="auto"/>
            <w:vMerge/>
          </w:tcPr>
          <w:p w14:paraId="3D5BA34E" w14:textId="77777777" w:rsidR="00E64C57" w:rsidRPr="006C299C" w:rsidRDefault="00E64C57" w:rsidP="00E64C57">
            <w:pPr>
              <w:rPr>
                <w:b/>
                <w:sz w:val="20"/>
              </w:rPr>
            </w:pPr>
          </w:p>
        </w:tc>
        <w:tc>
          <w:tcPr>
            <w:tcW w:w="0" w:type="auto"/>
          </w:tcPr>
          <w:p w14:paraId="7F94A97E" w14:textId="3F0CA53F" w:rsidR="00E64C57" w:rsidRPr="004B4121" w:rsidRDefault="00E64C57" w:rsidP="00E64C57">
            <w:pPr>
              <w:rPr>
                <w:sz w:val="20"/>
                <w:szCs w:val="20"/>
              </w:rPr>
            </w:pPr>
            <w:r w:rsidRPr="004B4121">
              <w:rPr>
                <w:sz w:val="20"/>
                <w:szCs w:val="20"/>
              </w:rPr>
              <w:t>2016</w:t>
            </w:r>
          </w:p>
        </w:tc>
        <w:tc>
          <w:tcPr>
            <w:tcW w:w="0" w:type="auto"/>
          </w:tcPr>
          <w:p w14:paraId="053755E4" w14:textId="7F3260C5" w:rsidR="00E64C57" w:rsidRPr="004B4121" w:rsidRDefault="00E024BB" w:rsidP="00E64C57">
            <w:pPr>
              <w:rPr>
                <w:sz w:val="20"/>
                <w:szCs w:val="20"/>
              </w:rPr>
            </w:pPr>
            <w:hyperlink r:id="rId11" w:history="1">
              <w:r w:rsidR="00E64C57" w:rsidRPr="004B4121">
                <w:rPr>
                  <w:rStyle w:val="Hipervnculo"/>
                  <w:sz w:val="20"/>
                  <w:szCs w:val="20"/>
                </w:rPr>
                <w:t>http://economics.ozier.com/owen/papers/ozier_early_deworming_20160727.pdf</w:t>
              </w:r>
            </w:hyperlink>
            <w:r w:rsidR="00E64C57" w:rsidRPr="004B4121">
              <w:rPr>
                <w:sz w:val="20"/>
                <w:szCs w:val="20"/>
              </w:rPr>
              <w:t xml:space="preserve"> </w:t>
            </w:r>
          </w:p>
        </w:tc>
      </w:tr>
      <w:tr w:rsidR="00E64C57" w:rsidRPr="006C299C" w14:paraId="5653F392" w14:textId="77777777" w:rsidTr="006C299C">
        <w:tc>
          <w:tcPr>
            <w:tcW w:w="0" w:type="auto"/>
          </w:tcPr>
          <w:p w14:paraId="4CE9E925" w14:textId="3238A90A" w:rsidR="00E64C57" w:rsidRPr="006C299C" w:rsidRDefault="00E64C57" w:rsidP="00E64C57">
            <w:pPr>
              <w:rPr>
                <w:b/>
                <w:sz w:val="20"/>
              </w:rPr>
            </w:pPr>
            <w:proofErr w:type="spellStart"/>
            <w:r w:rsidRPr="006C299C">
              <w:rPr>
                <w:b/>
                <w:sz w:val="20"/>
              </w:rPr>
              <w:t>Croke</w:t>
            </w:r>
            <w:proofErr w:type="spellEnd"/>
            <w:r w:rsidRPr="006C299C">
              <w:rPr>
                <w:b/>
                <w:sz w:val="20"/>
              </w:rPr>
              <w:t xml:space="preserve"> 2014</w:t>
            </w:r>
          </w:p>
        </w:tc>
        <w:tc>
          <w:tcPr>
            <w:tcW w:w="0" w:type="auto"/>
          </w:tcPr>
          <w:p w14:paraId="44A21A9D" w14:textId="715E074B" w:rsidR="00E64C57" w:rsidRPr="004B4121" w:rsidRDefault="00E64C57" w:rsidP="00E64C57">
            <w:pPr>
              <w:rPr>
                <w:sz w:val="20"/>
                <w:szCs w:val="20"/>
              </w:rPr>
            </w:pPr>
            <w:r>
              <w:rPr>
                <w:sz w:val="20"/>
                <w:szCs w:val="20"/>
              </w:rPr>
              <w:t>2014</w:t>
            </w:r>
          </w:p>
        </w:tc>
        <w:tc>
          <w:tcPr>
            <w:tcW w:w="0" w:type="auto"/>
          </w:tcPr>
          <w:p w14:paraId="19E3E1A3" w14:textId="7ACE0F7A" w:rsidR="00E64C57" w:rsidRPr="004B4121" w:rsidRDefault="00E024BB" w:rsidP="00E64C57">
            <w:pPr>
              <w:rPr>
                <w:sz w:val="20"/>
                <w:szCs w:val="20"/>
              </w:rPr>
            </w:pPr>
            <w:hyperlink r:id="rId12" w:history="1">
              <w:r w:rsidR="00E64C57" w:rsidRPr="004B4121">
                <w:rPr>
                  <w:rStyle w:val="Hipervnculo"/>
                  <w:sz w:val="20"/>
                  <w:szCs w:val="20"/>
                </w:rPr>
                <w:t>http://scholar.harvard.edu/files/kcroke/files/ug_lr_deworming_071714.pdf</w:t>
              </w:r>
            </w:hyperlink>
            <w:r w:rsidR="00E64C57" w:rsidRPr="004B4121">
              <w:rPr>
                <w:sz w:val="20"/>
                <w:szCs w:val="20"/>
              </w:rPr>
              <w:t xml:space="preserve"> </w:t>
            </w:r>
          </w:p>
        </w:tc>
      </w:tr>
    </w:tbl>
    <w:p w14:paraId="6D7EC787" w14:textId="77777777" w:rsidR="0000393E" w:rsidRDefault="0000393E" w:rsidP="008028C8">
      <w:pPr>
        <w:rPr>
          <w:vertAlign w:val="superscript"/>
        </w:rPr>
      </w:pPr>
    </w:p>
    <w:p w14:paraId="344C6394" w14:textId="77777777" w:rsidR="008028C8" w:rsidRDefault="008028C8" w:rsidP="008028C8">
      <w:pPr>
        <w:rPr>
          <w:highlight w:val="green"/>
        </w:rPr>
      </w:pPr>
    </w:p>
    <w:p w14:paraId="4CCE3AFB" w14:textId="7194E786" w:rsidR="008028C8" w:rsidRDefault="008028C8" w:rsidP="008028C8">
      <w:pPr>
        <w:pStyle w:val="Ttulo3"/>
        <w:spacing w:before="120" w:line="240" w:lineRule="auto"/>
        <w:rPr>
          <w:color w:val="auto"/>
        </w:rPr>
      </w:pPr>
      <w:r>
        <w:rPr>
          <w:highlight w:val="green"/>
        </w:rPr>
        <w:br w:type="page"/>
      </w:r>
    </w:p>
    <w:p w14:paraId="098DBA01" w14:textId="30EDAE94" w:rsidR="00D84ECC" w:rsidRPr="00D84ECC" w:rsidRDefault="008028C8" w:rsidP="0031479E">
      <w:pPr>
        <w:pStyle w:val="Epgrafe"/>
      </w:pPr>
      <w:r>
        <w:lastRenderedPageBreak/>
        <w:t>Appendix 2</w:t>
      </w:r>
      <w:r w:rsidR="008A1D60">
        <w:t>.</w:t>
      </w:r>
      <w:r w:rsidR="00D80A9D" w:rsidRPr="00D84ECC">
        <w:t xml:space="preserve"> </w:t>
      </w:r>
      <w:r w:rsidR="00D84ECC" w:rsidRPr="00D84ECC">
        <w:t>Relationship between Miguel</w:t>
      </w:r>
      <w:r w:rsidR="00B67458">
        <w:t xml:space="preserve"> and Kremer</w:t>
      </w:r>
      <w:r w:rsidR="00D84ECC" w:rsidRPr="00D84ECC">
        <w:t xml:space="preserve"> 2004 and the follow-up studies Baird </w:t>
      </w:r>
      <w:r w:rsidR="00B67458">
        <w:t>series</w:t>
      </w:r>
      <w:r w:rsidR="00D84ECC" w:rsidRPr="00D84ECC">
        <w:t xml:space="preserve"> and </w:t>
      </w:r>
      <w:proofErr w:type="spellStart"/>
      <w:r w:rsidR="00D84ECC" w:rsidRPr="00D84ECC">
        <w:t>Ozier</w:t>
      </w:r>
      <w:proofErr w:type="spellEnd"/>
      <w:r w:rsidR="00D84ECC" w:rsidRPr="00D84ECC">
        <w:t xml:space="preserve"> </w:t>
      </w:r>
      <w:r w:rsidR="00B67458">
        <w:t>series</w:t>
      </w:r>
    </w:p>
    <w:tbl>
      <w:tblPr>
        <w:tblStyle w:val="Tablaconcuadrcula"/>
        <w:tblW w:w="0" w:type="auto"/>
        <w:tblInd w:w="108" w:type="dxa"/>
        <w:tblLayout w:type="fixed"/>
        <w:tblLook w:val="04A0" w:firstRow="1" w:lastRow="0" w:firstColumn="1" w:lastColumn="0" w:noHBand="0" w:noVBand="1"/>
      </w:tblPr>
      <w:tblGrid>
        <w:gridCol w:w="2127"/>
        <w:gridCol w:w="708"/>
        <w:gridCol w:w="709"/>
        <w:gridCol w:w="709"/>
        <w:gridCol w:w="1701"/>
        <w:gridCol w:w="255"/>
        <w:gridCol w:w="3118"/>
        <w:gridCol w:w="284"/>
        <w:gridCol w:w="2268"/>
        <w:gridCol w:w="2268"/>
      </w:tblGrid>
      <w:tr w:rsidR="00D84ECC" w:rsidRPr="00A04D29" w14:paraId="28882535" w14:textId="77777777" w:rsidTr="0031479E">
        <w:tc>
          <w:tcPr>
            <w:tcW w:w="2127" w:type="dxa"/>
            <w:vMerge w:val="restart"/>
            <w:shd w:val="clear" w:color="auto" w:fill="D9D9D9" w:themeFill="background1" w:themeFillShade="D9"/>
            <w:tcMar>
              <w:top w:w="28" w:type="dxa"/>
              <w:bottom w:w="28" w:type="dxa"/>
            </w:tcMar>
          </w:tcPr>
          <w:p w14:paraId="1D255EA7" w14:textId="77777777" w:rsidR="00D84ECC" w:rsidRPr="0031479E" w:rsidRDefault="00D84ECC" w:rsidP="00E15A74">
            <w:pPr>
              <w:pStyle w:val="Sinespaciado"/>
              <w:rPr>
                <w:b/>
                <w:bCs/>
                <w:sz w:val="20"/>
              </w:rPr>
            </w:pPr>
            <w:r w:rsidRPr="0031479E">
              <w:rPr>
                <w:b/>
                <w:bCs/>
                <w:sz w:val="20"/>
              </w:rPr>
              <w:t>Quasi-randomized groups</w:t>
            </w:r>
          </w:p>
        </w:tc>
        <w:tc>
          <w:tcPr>
            <w:tcW w:w="3827" w:type="dxa"/>
            <w:gridSpan w:val="4"/>
            <w:tcBorders>
              <w:right w:val="single" w:sz="4" w:space="0" w:color="auto"/>
            </w:tcBorders>
            <w:shd w:val="clear" w:color="auto" w:fill="D9D9D9" w:themeFill="background1" w:themeFillShade="D9"/>
            <w:tcMar>
              <w:top w:w="28" w:type="dxa"/>
              <w:bottom w:w="28" w:type="dxa"/>
            </w:tcMar>
          </w:tcPr>
          <w:p w14:paraId="3DACFF8A" w14:textId="1FF93D8C" w:rsidR="00D84ECC" w:rsidRPr="0031479E" w:rsidRDefault="00D84ECC" w:rsidP="00E15A74">
            <w:pPr>
              <w:pStyle w:val="Sinespaciado"/>
              <w:jc w:val="center"/>
              <w:rPr>
                <w:b/>
                <w:bCs/>
                <w:sz w:val="20"/>
              </w:rPr>
            </w:pPr>
            <w:r w:rsidRPr="0031479E">
              <w:rPr>
                <w:b/>
                <w:bCs/>
                <w:sz w:val="20"/>
              </w:rPr>
              <w:t xml:space="preserve">Miguel </w:t>
            </w:r>
            <w:r w:rsidR="00B67458" w:rsidRPr="0031479E">
              <w:rPr>
                <w:b/>
                <w:bCs/>
                <w:sz w:val="20"/>
              </w:rPr>
              <w:t xml:space="preserve">&amp; Kremer </w:t>
            </w:r>
            <w:r w:rsidRPr="0031479E">
              <w:rPr>
                <w:b/>
                <w:bCs/>
                <w:sz w:val="20"/>
              </w:rPr>
              <w:t>2004</w:t>
            </w:r>
          </w:p>
        </w:tc>
        <w:tc>
          <w:tcPr>
            <w:tcW w:w="255" w:type="dxa"/>
            <w:tcBorders>
              <w:top w:val="nil"/>
              <w:left w:val="single" w:sz="4" w:space="0" w:color="auto"/>
              <w:bottom w:val="nil"/>
              <w:right w:val="single" w:sz="4" w:space="0" w:color="auto"/>
            </w:tcBorders>
            <w:shd w:val="clear" w:color="auto" w:fill="auto"/>
          </w:tcPr>
          <w:p w14:paraId="30D426ED" w14:textId="77777777" w:rsidR="00D84ECC" w:rsidRPr="0031479E" w:rsidRDefault="00D84ECC" w:rsidP="00E15A74">
            <w:pPr>
              <w:pStyle w:val="Sinespaciado"/>
              <w:jc w:val="center"/>
              <w:rPr>
                <w:b/>
                <w:bCs/>
                <w:sz w:val="20"/>
              </w:rPr>
            </w:pPr>
          </w:p>
        </w:tc>
        <w:tc>
          <w:tcPr>
            <w:tcW w:w="3118" w:type="dxa"/>
            <w:tcBorders>
              <w:left w:val="single" w:sz="4" w:space="0" w:color="auto"/>
              <w:right w:val="single" w:sz="4" w:space="0" w:color="auto"/>
            </w:tcBorders>
            <w:shd w:val="clear" w:color="auto" w:fill="D9D9D9" w:themeFill="background1" w:themeFillShade="D9"/>
          </w:tcPr>
          <w:p w14:paraId="55E62B1D" w14:textId="0718BEE4" w:rsidR="00D84ECC" w:rsidRPr="0031479E" w:rsidRDefault="00D84ECC" w:rsidP="00E15A74">
            <w:pPr>
              <w:pStyle w:val="Sinespaciado"/>
              <w:jc w:val="center"/>
              <w:rPr>
                <w:b/>
                <w:bCs/>
                <w:sz w:val="20"/>
                <w:vertAlign w:val="superscript"/>
              </w:rPr>
            </w:pPr>
            <w:r w:rsidRPr="0031479E">
              <w:rPr>
                <w:b/>
                <w:bCs/>
                <w:sz w:val="20"/>
              </w:rPr>
              <w:t xml:space="preserve">Baird </w:t>
            </w:r>
            <w:r w:rsidR="00B67458" w:rsidRPr="0031479E">
              <w:rPr>
                <w:b/>
                <w:bCs/>
                <w:sz w:val="20"/>
              </w:rPr>
              <w:t>series</w:t>
            </w:r>
            <w:r w:rsidRPr="0031479E">
              <w:rPr>
                <w:b/>
                <w:bCs/>
                <w:sz w:val="20"/>
                <w:vertAlign w:val="superscript"/>
              </w:rPr>
              <w:t>1</w:t>
            </w:r>
          </w:p>
        </w:tc>
        <w:tc>
          <w:tcPr>
            <w:tcW w:w="284" w:type="dxa"/>
            <w:tcBorders>
              <w:top w:val="nil"/>
              <w:left w:val="single" w:sz="4" w:space="0" w:color="auto"/>
              <w:bottom w:val="nil"/>
              <w:right w:val="single" w:sz="4" w:space="0" w:color="auto"/>
            </w:tcBorders>
            <w:shd w:val="clear" w:color="auto" w:fill="auto"/>
          </w:tcPr>
          <w:p w14:paraId="7A10C947" w14:textId="77777777" w:rsidR="00D84ECC" w:rsidRPr="0031479E" w:rsidRDefault="00D84ECC" w:rsidP="00E15A74">
            <w:pPr>
              <w:pStyle w:val="Sinespaciado"/>
              <w:jc w:val="center"/>
              <w:rPr>
                <w:b/>
                <w:bCs/>
                <w:sz w:val="20"/>
              </w:rPr>
            </w:pPr>
          </w:p>
        </w:tc>
        <w:tc>
          <w:tcPr>
            <w:tcW w:w="4536" w:type="dxa"/>
            <w:gridSpan w:val="2"/>
            <w:tcBorders>
              <w:left w:val="single" w:sz="4" w:space="0" w:color="auto"/>
            </w:tcBorders>
            <w:shd w:val="clear" w:color="auto" w:fill="D9D9D9" w:themeFill="background1" w:themeFillShade="D9"/>
          </w:tcPr>
          <w:p w14:paraId="7106AF83" w14:textId="5B5FD983" w:rsidR="00D84ECC" w:rsidRPr="0031479E" w:rsidRDefault="00D84ECC" w:rsidP="00E15A74">
            <w:pPr>
              <w:pStyle w:val="Sinespaciado"/>
              <w:tabs>
                <w:tab w:val="left" w:pos="2295"/>
                <w:tab w:val="center" w:pos="2869"/>
              </w:tabs>
              <w:jc w:val="center"/>
              <w:rPr>
                <w:b/>
                <w:bCs/>
                <w:sz w:val="20"/>
                <w:vertAlign w:val="superscript"/>
              </w:rPr>
            </w:pPr>
            <w:proofErr w:type="spellStart"/>
            <w:r w:rsidRPr="0031479E">
              <w:rPr>
                <w:b/>
                <w:bCs/>
                <w:sz w:val="20"/>
              </w:rPr>
              <w:t>Ozier</w:t>
            </w:r>
            <w:proofErr w:type="spellEnd"/>
            <w:r w:rsidRPr="0031479E">
              <w:rPr>
                <w:b/>
                <w:bCs/>
                <w:sz w:val="20"/>
              </w:rPr>
              <w:t xml:space="preserve"> </w:t>
            </w:r>
            <w:r w:rsidR="00B67458" w:rsidRPr="0031479E">
              <w:rPr>
                <w:b/>
                <w:bCs/>
                <w:sz w:val="20"/>
              </w:rPr>
              <w:t>series</w:t>
            </w:r>
            <w:r w:rsidRPr="0031479E">
              <w:rPr>
                <w:b/>
                <w:bCs/>
                <w:sz w:val="20"/>
                <w:vertAlign w:val="superscript"/>
              </w:rPr>
              <w:t>2</w:t>
            </w:r>
          </w:p>
        </w:tc>
      </w:tr>
      <w:tr w:rsidR="00D84ECC" w:rsidRPr="00A04D29" w14:paraId="1F8BB76A" w14:textId="77777777" w:rsidTr="0031479E">
        <w:tc>
          <w:tcPr>
            <w:tcW w:w="2127" w:type="dxa"/>
            <w:vMerge/>
            <w:shd w:val="clear" w:color="auto" w:fill="D9D9D9" w:themeFill="background1" w:themeFillShade="D9"/>
            <w:tcMar>
              <w:top w:w="28" w:type="dxa"/>
              <w:bottom w:w="28" w:type="dxa"/>
            </w:tcMar>
          </w:tcPr>
          <w:p w14:paraId="0A083C65" w14:textId="77777777" w:rsidR="00D84ECC" w:rsidRPr="0031479E" w:rsidRDefault="00D84ECC" w:rsidP="00E15A74">
            <w:pPr>
              <w:pStyle w:val="Sinespaciado"/>
              <w:rPr>
                <w:b/>
                <w:bCs/>
                <w:sz w:val="20"/>
              </w:rPr>
            </w:pPr>
          </w:p>
        </w:tc>
        <w:tc>
          <w:tcPr>
            <w:tcW w:w="3827" w:type="dxa"/>
            <w:gridSpan w:val="4"/>
            <w:tcBorders>
              <w:right w:val="single" w:sz="4" w:space="0" w:color="auto"/>
            </w:tcBorders>
            <w:shd w:val="clear" w:color="auto" w:fill="D9D9D9" w:themeFill="background1" w:themeFillShade="D9"/>
            <w:tcMar>
              <w:top w:w="28" w:type="dxa"/>
              <w:bottom w:w="28" w:type="dxa"/>
            </w:tcMar>
          </w:tcPr>
          <w:p w14:paraId="7901B5DF" w14:textId="77777777" w:rsidR="00D84ECC" w:rsidRPr="0031479E" w:rsidRDefault="00D84ECC" w:rsidP="00E15A74">
            <w:pPr>
              <w:pStyle w:val="Sinespaciado"/>
              <w:jc w:val="center"/>
              <w:rPr>
                <w:b/>
                <w:bCs/>
                <w:sz w:val="20"/>
              </w:rPr>
            </w:pPr>
            <w:r w:rsidRPr="0031479E">
              <w:rPr>
                <w:b/>
                <w:bCs/>
                <w:sz w:val="20"/>
              </w:rPr>
              <w:t>Received deworming intervention</w:t>
            </w:r>
          </w:p>
        </w:tc>
        <w:tc>
          <w:tcPr>
            <w:tcW w:w="255" w:type="dxa"/>
            <w:tcBorders>
              <w:top w:val="nil"/>
              <w:left w:val="single" w:sz="4" w:space="0" w:color="auto"/>
              <w:bottom w:val="nil"/>
              <w:right w:val="single" w:sz="4" w:space="0" w:color="auto"/>
            </w:tcBorders>
            <w:shd w:val="clear" w:color="auto" w:fill="auto"/>
          </w:tcPr>
          <w:p w14:paraId="51AB1B48" w14:textId="77777777" w:rsidR="00D84ECC" w:rsidRPr="0031479E" w:rsidRDefault="00D84ECC" w:rsidP="00E15A74">
            <w:pPr>
              <w:pStyle w:val="Sinespaciado"/>
              <w:jc w:val="center"/>
              <w:rPr>
                <w:b/>
                <w:bCs/>
                <w:sz w:val="20"/>
              </w:rPr>
            </w:pPr>
          </w:p>
        </w:tc>
        <w:tc>
          <w:tcPr>
            <w:tcW w:w="3118" w:type="dxa"/>
            <w:tcBorders>
              <w:left w:val="single" w:sz="4" w:space="0" w:color="auto"/>
              <w:right w:val="single" w:sz="4" w:space="0" w:color="auto"/>
            </w:tcBorders>
            <w:shd w:val="clear" w:color="auto" w:fill="D9D9D9" w:themeFill="background1" w:themeFillShade="D9"/>
          </w:tcPr>
          <w:p w14:paraId="2C4268F5" w14:textId="77777777" w:rsidR="00D84ECC" w:rsidRPr="0031479E" w:rsidRDefault="00D84ECC" w:rsidP="00E15A74">
            <w:pPr>
              <w:pStyle w:val="Sinespaciado"/>
              <w:jc w:val="center"/>
              <w:rPr>
                <w:b/>
                <w:bCs/>
                <w:sz w:val="20"/>
              </w:rPr>
            </w:pPr>
            <w:r w:rsidRPr="0031479E">
              <w:rPr>
                <w:b/>
                <w:bCs/>
                <w:sz w:val="20"/>
              </w:rPr>
              <w:t>Data collection: 2007 to 2009</w:t>
            </w:r>
          </w:p>
        </w:tc>
        <w:tc>
          <w:tcPr>
            <w:tcW w:w="284" w:type="dxa"/>
            <w:tcBorders>
              <w:top w:val="nil"/>
              <w:left w:val="single" w:sz="4" w:space="0" w:color="auto"/>
              <w:bottom w:val="nil"/>
              <w:right w:val="single" w:sz="4" w:space="0" w:color="auto"/>
            </w:tcBorders>
            <w:shd w:val="clear" w:color="auto" w:fill="auto"/>
          </w:tcPr>
          <w:p w14:paraId="0AC143A4" w14:textId="77777777" w:rsidR="00D84ECC" w:rsidRPr="0031479E" w:rsidRDefault="00D84ECC" w:rsidP="00E15A74">
            <w:pPr>
              <w:pStyle w:val="Sinespaciado"/>
              <w:jc w:val="center"/>
              <w:rPr>
                <w:b/>
                <w:bCs/>
                <w:sz w:val="20"/>
              </w:rPr>
            </w:pPr>
          </w:p>
        </w:tc>
        <w:tc>
          <w:tcPr>
            <w:tcW w:w="4536" w:type="dxa"/>
            <w:gridSpan w:val="2"/>
            <w:tcBorders>
              <w:left w:val="single" w:sz="4" w:space="0" w:color="auto"/>
            </w:tcBorders>
            <w:shd w:val="clear" w:color="auto" w:fill="D9D9D9" w:themeFill="background1" w:themeFillShade="D9"/>
          </w:tcPr>
          <w:p w14:paraId="334CACBE" w14:textId="77777777" w:rsidR="00D84ECC" w:rsidRPr="0031479E" w:rsidRDefault="00D84ECC" w:rsidP="00E15A74">
            <w:pPr>
              <w:pStyle w:val="Sinespaciado"/>
              <w:jc w:val="center"/>
              <w:rPr>
                <w:b/>
                <w:bCs/>
                <w:sz w:val="20"/>
              </w:rPr>
            </w:pPr>
            <w:r w:rsidRPr="0031479E">
              <w:rPr>
                <w:b/>
                <w:bCs/>
                <w:sz w:val="20"/>
              </w:rPr>
              <w:t>Data collection: 2010 to 2011</w:t>
            </w:r>
          </w:p>
        </w:tc>
      </w:tr>
      <w:tr w:rsidR="00D84ECC" w:rsidRPr="00A04D29" w14:paraId="7ACD7E16" w14:textId="77777777" w:rsidTr="0031479E">
        <w:tc>
          <w:tcPr>
            <w:tcW w:w="2127" w:type="dxa"/>
            <w:vMerge/>
            <w:shd w:val="clear" w:color="auto" w:fill="D9D9D9" w:themeFill="background1" w:themeFillShade="D9"/>
            <w:tcMar>
              <w:top w:w="28" w:type="dxa"/>
              <w:bottom w:w="28" w:type="dxa"/>
            </w:tcMar>
          </w:tcPr>
          <w:p w14:paraId="4E080E6F" w14:textId="77777777" w:rsidR="00D84ECC" w:rsidRPr="0031479E" w:rsidRDefault="00D84ECC" w:rsidP="00E15A74">
            <w:pPr>
              <w:pStyle w:val="Sinespaciado"/>
              <w:rPr>
                <w:b/>
                <w:bCs/>
                <w:sz w:val="20"/>
              </w:rPr>
            </w:pPr>
          </w:p>
        </w:tc>
        <w:tc>
          <w:tcPr>
            <w:tcW w:w="708" w:type="dxa"/>
            <w:shd w:val="clear" w:color="auto" w:fill="D9D9D9" w:themeFill="background1" w:themeFillShade="D9"/>
            <w:tcMar>
              <w:top w:w="28" w:type="dxa"/>
              <w:bottom w:w="28" w:type="dxa"/>
            </w:tcMar>
          </w:tcPr>
          <w:p w14:paraId="261EA99E" w14:textId="77777777" w:rsidR="00D84ECC" w:rsidRPr="0031479E" w:rsidRDefault="00D84ECC" w:rsidP="00E15A74">
            <w:pPr>
              <w:pStyle w:val="Sinespaciado"/>
              <w:jc w:val="center"/>
              <w:rPr>
                <w:b/>
                <w:bCs/>
                <w:sz w:val="20"/>
              </w:rPr>
            </w:pPr>
            <w:r w:rsidRPr="0031479E">
              <w:rPr>
                <w:b/>
                <w:bCs/>
                <w:sz w:val="20"/>
              </w:rPr>
              <w:t>1998</w:t>
            </w:r>
          </w:p>
        </w:tc>
        <w:tc>
          <w:tcPr>
            <w:tcW w:w="709" w:type="dxa"/>
            <w:shd w:val="clear" w:color="auto" w:fill="D9D9D9" w:themeFill="background1" w:themeFillShade="D9"/>
            <w:tcMar>
              <w:top w:w="28" w:type="dxa"/>
              <w:bottom w:w="28" w:type="dxa"/>
            </w:tcMar>
          </w:tcPr>
          <w:p w14:paraId="015DDE74" w14:textId="77777777" w:rsidR="00D84ECC" w:rsidRPr="0031479E" w:rsidRDefault="00D84ECC" w:rsidP="00E15A74">
            <w:pPr>
              <w:pStyle w:val="Sinespaciado"/>
              <w:jc w:val="center"/>
              <w:rPr>
                <w:b/>
                <w:bCs/>
                <w:sz w:val="20"/>
              </w:rPr>
            </w:pPr>
            <w:r w:rsidRPr="0031479E">
              <w:rPr>
                <w:b/>
                <w:bCs/>
                <w:sz w:val="20"/>
              </w:rPr>
              <w:t>1999</w:t>
            </w:r>
          </w:p>
        </w:tc>
        <w:tc>
          <w:tcPr>
            <w:tcW w:w="709" w:type="dxa"/>
            <w:shd w:val="clear" w:color="auto" w:fill="D9D9D9" w:themeFill="background1" w:themeFillShade="D9"/>
            <w:tcMar>
              <w:top w:w="28" w:type="dxa"/>
              <w:bottom w:w="28" w:type="dxa"/>
            </w:tcMar>
          </w:tcPr>
          <w:p w14:paraId="092BC9A2" w14:textId="77777777" w:rsidR="00D84ECC" w:rsidRPr="0031479E" w:rsidRDefault="00D84ECC" w:rsidP="00E15A74">
            <w:pPr>
              <w:pStyle w:val="Sinespaciado"/>
              <w:jc w:val="center"/>
              <w:rPr>
                <w:b/>
                <w:bCs/>
                <w:sz w:val="20"/>
              </w:rPr>
            </w:pPr>
            <w:r w:rsidRPr="0031479E">
              <w:rPr>
                <w:b/>
                <w:bCs/>
                <w:sz w:val="20"/>
              </w:rPr>
              <w:t>2000</w:t>
            </w:r>
          </w:p>
        </w:tc>
        <w:tc>
          <w:tcPr>
            <w:tcW w:w="1701" w:type="dxa"/>
            <w:tcBorders>
              <w:right w:val="single" w:sz="4" w:space="0" w:color="auto"/>
            </w:tcBorders>
            <w:shd w:val="clear" w:color="auto" w:fill="D9D9D9" w:themeFill="background1" w:themeFillShade="D9"/>
            <w:tcMar>
              <w:top w:w="28" w:type="dxa"/>
              <w:bottom w:w="28" w:type="dxa"/>
            </w:tcMar>
          </w:tcPr>
          <w:p w14:paraId="6FE2F5E3" w14:textId="77777777" w:rsidR="00D84ECC" w:rsidRPr="0031479E" w:rsidRDefault="00D84ECC" w:rsidP="00E15A74">
            <w:pPr>
              <w:pStyle w:val="Sinespaciado"/>
              <w:jc w:val="center"/>
              <w:rPr>
                <w:b/>
                <w:bCs/>
                <w:sz w:val="20"/>
              </w:rPr>
            </w:pPr>
            <w:r w:rsidRPr="0031479E">
              <w:rPr>
                <w:b/>
                <w:bCs/>
                <w:sz w:val="20"/>
              </w:rPr>
              <w:t>2001 onwards</w:t>
            </w:r>
          </w:p>
        </w:tc>
        <w:tc>
          <w:tcPr>
            <w:tcW w:w="255" w:type="dxa"/>
            <w:tcBorders>
              <w:top w:val="nil"/>
              <w:left w:val="single" w:sz="4" w:space="0" w:color="auto"/>
              <w:bottom w:val="nil"/>
              <w:right w:val="single" w:sz="4" w:space="0" w:color="auto"/>
            </w:tcBorders>
            <w:shd w:val="clear" w:color="auto" w:fill="auto"/>
          </w:tcPr>
          <w:p w14:paraId="70FFE6FB" w14:textId="77777777" w:rsidR="00D84ECC" w:rsidRPr="0031479E" w:rsidRDefault="00D84ECC" w:rsidP="00E15A74">
            <w:pPr>
              <w:pStyle w:val="Sinespaciado"/>
              <w:rPr>
                <w:b/>
                <w:bCs/>
                <w:sz w:val="20"/>
              </w:rPr>
            </w:pPr>
          </w:p>
        </w:tc>
        <w:tc>
          <w:tcPr>
            <w:tcW w:w="3118" w:type="dxa"/>
            <w:tcBorders>
              <w:left w:val="single" w:sz="4" w:space="0" w:color="auto"/>
              <w:right w:val="single" w:sz="4" w:space="0" w:color="auto"/>
            </w:tcBorders>
            <w:shd w:val="clear" w:color="auto" w:fill="D9D9D9" w:themeFill="background1" w:themeFillShade="D9"/>
          </w:tcPr>
          <w:p w14:paraId="244D27CB" w14:textId="2880E20F" w:rsidR="00D84ECC" w:rsidRPr="0031479E" w:rsidRDefault="00D84ECC" w:rsidP="00E15A74">
            <w:pPr>
              <w:pStyle w:val="Sinespaciado"/>
              <w:jc w:val="center"/>
              <w:rPr>
                <w:b/>
                <w:bCs/>
                <w:sz w:val="20"/>
              </w:rPr>
            </w:pPr>
            <w:r w:rsidRPr="0031479E">
              <w:rPr>
                <w:b/>
                <w:bCs/>
                <w:sz w:val="20"/>
              </w:rPr>
              <w:t xml:space="preserve">Adults who participated in </w:t>
            </w:r>
            <w:r w:rsidR="00757F75" w:rsidRPr="0031479E">
              <w:rPr>
                <w:b/>
                <w:bCs/>
                <w:sz w:val="20"/>
              </w:rPr>
              <w:t xml:space="preserve">the </w:t>
            </w:r>
            <w:r w:rsidRPr="0031479E">
              <w:rPr>
                <w:b/>
                <w:bCs/>
                <w:sz w:val="20"/>
              </w:rPr>
              <w:t>base trial</w:t>
            </w:r>
            <w:r w:rsidR="00757F75" w:rsidRPr="0031479E">
              <w:rPr>
                <w:b/>
                <w:bCs/>
                <w:sz w:val="20"/>
              </w:rPr>
              <w:t xml:space="preserve"> as children</w:t>
            </w:r>
          </w:p>
        </w:tc>
        <w:tc>
          <w:tcPr>
            <w:tcW w:w="284" w:type="dxa"/>
            <w:tcBorders>
              <w:top w:val="nil"/>
              <w:left w:val="single" w:sz="4" w:space="0" w:color="auto"/>
              <w:bottom w:val="nil"/>
              <w:right w:val="single" w:sz="4" w:space="0" w:color="auto"/>
            </w:tcBorders>
            <w:shd w:val="clear" w:color="auto" w:fill="auto"/>
          </w:tcPr>
          <w:p w14:paraId="3EFC4CEB" w14:textId="77777777" w:rsidR="00D84ECC" w:rsidRPr="0031479E" w:rsidRDefault="00D84ECC" w:rsidP="00E15A74">
            <w:pPr>
              <w:pStyle w:val="Sinespaciado"/>
              <w:jc w:val="center"/>
              <w:rPr>
                <w:b/>
                <w:bCs/>
                <w:sz w:val="20"/>
              </w:rPr>
            </w:pPr>
          </w:p>
        </w:tc>
        <w:tc>
          <w:tcPr>
            <w:tcW w:w="2268" w:type="dxa"/>
            <w:tcBorders>
              <w:left w:val="single" w:sz="4" w:space="0" w:color="auto"/>
              <w:bottom w:val="single" w:sz="4" w:space="0" w:color="auto"/>
              <w:right w:val="single" w:sz="4" w:space="0" w:color="auto"/>
            </w:tcBorders>
            <w:shd w:val="clear" w:color="auto" w:fill="D9D9D9" w:themeFill="background1" w:themeFillShade="D9"/>
          </w:tcPr>
          <w:p w14:paraId="701FB9B8" w14:textId="77777777" w:rsidR="00D84ECC" w:rsidRPr="0031479E" w:rsidRDefault="00D84ECC" w:rsidP="00E15A74">
            <w:pPr>
              <w:pStyle w:val="Sinespaciado"/>
              <w:jc w:val="center"/>
              <w:rPr>
                <w:b/>
                <w:bCs/>
                <w:sz w:val="20"/>
              </w:rPr>
            </w:pPr>
            <w:r w:rsidRPr="0031479E">
              <w:rPr>
                <w:b/>
                <w:bCs/>
                <w:sz w:val="20"/>
              </w:rPr>
              <w:t>Children born in 1998</w:t>
            </w:r>
          </w:p>
        </w:tc>
        <w:tc>
          <w:tcPr>
            <w:tcW w:w="2268" w:type="dxa"/>
            <w:tcBorders>
              <w:left w:val="single" w:sz="4" w:space="0" w:color="auto"/>
              <w:bottom w:val="single" w:sz="4" w:space="0" w:color="auto"/>
            </w:tcBorders>
            <w:shd w:val="clear" w:color="auto" w:fill="D9D9D9" w:themeFill="background1" w:themeFillShade="D9"/>
          </w:tcPr>
          <w:p w14:paraId="0C24CCB2" w14:textId="77777777" w:rsidR="00D84ECC" w:rsidRPr="0031479E" w:rsidRDefault="00D84ECC" w:rsidP="00E15A74">
            <w:pPr>
              <w:pStyle w:val="Sinespaciado"/>
              <w:jc w:val="center"/>
              <w:rPr>
                <w:b/>
                <w:bCs/>
                <w:sz w:val="20"/>
              </w:rPr>
            </w:pPr>
            <w:r w:rsidRPr="0031479E">
              <w:rPr>
                <w:b/>
                <w:bCs/>
                <w:sz w:val="20"/>
              </w:rPr>
              <w:t>Children born in 1999</w:t>
            </w:r>
          </w:p>
        </w:tc>
      </w:tr>
      <w:tr w:rsidR="00D84ECC" w:rsidRPr="00A15F5C" w14:paraId="554A4CA6" w14:textId="77777777" w:rsidTr="0031479E">
        <w:trPr>
          <w:trHeight w:val="533"/>
        </w:trPr>
        <w:tc>
          <w:tcPr>
            <w:tcW w:w="2127" w:type="dxa"/>
            <w:shd w:val="clear" w:color="auto" w:fill="auto"/>
            <w:vAlign w:val="center"/>
          </w:tcPr>
          <w:p w14:paraId="386AFF63" w14:textId="77777777" w:rsidR="00D84ECC" w:rsidRPr="004E485A" w:rsidRDefault="00D84ECC" w:rsidP="00E15A74">
            <w:pPr>
              <w:pStyle w:val="Sinespaciado"/>
              <w:rPr>
                <w:b/>
                <w:bCs/>
                <w:sz w:val="20"/>
              </w:rPr>
            </w:pPr>
            <w:r>
              <w:rPr>
                <w:b/>
                <w:bCs/>
                <w:sz w:val="20"/>
              </w:rPr>
              <w:t>Group 1</w:t>
            </w:r>
          </w:p>
        </w:tc>
        <w:tc>
          <w:tcPr>
            <w:tcW w:w="708" w:type="dxa"/>
            <w:shd w:val="clear" w:color="auto" w:fill="auto"/>
            <w:vAlign w:val="center"/>
          </w:tcPr>
          <w:p w14:paraId="7BD45A4B" w14:textId="77777777" w:rsidR="00D84ECC" w:rsidRPr="0031479E" w:rsidRDefault="00D84ECC" w:rsidP="00E15A74">
            <w:pPr>
              <w:pStyle w:val="Sinespaciado"/>
              <w:jc w:val="center"/>
              <w:rPr>
                <w:b/>
                <w:bCs/>
                <w:sz w:val="18"/>
              </w:rPr>
            </w:pPr>
            <w:r w:rsidRPr="0031479E">
              <w:rPr>
                <w:b/>
                <w:bCs/>
                <w:sz w:val="18"/>
              </w:rPr>
              <w:t>Yes</w:t>
            </w:r>
          </w:p>
        </w:tc>
        <w:tc>
          <w:tcPr>
            <w:tcW w:w="709" w:type="dxa"/>
            <w:shd w:val="clear" w:color="auto" w:fill="auto"/>
            <w:vAlign w:val="center"/>
          </w:tcPr>
          <w:p w14:paraId="1C98ED94" w14:textId="77777777" w:rsidR="00D84ECC" w:rsidRPr="0031479E" w:rsidRDefault="00D84ECC" w:rsidP="00E15A74">
            <w:pPr>
              <w:pStyle w:val="Sinespaciado"/>
              <w:jc w:val="center"/>
              <w:rPr>
                <w:b/>
                <w:bCs/>
                <w:sz w:val="18"/>
              </w:rPr>
            </w:pPr>
            <w:r w:rsidRPr="0031479E">
              <w:rPr>
                <w:b/>
                <w:bCs/>
                <w:sz w:val="18"/>
              </w:rPr>
              <w:t>Yes</w:t>
            </w:r>
          </w:p>
        </w:tc>
        <w:tc>
          <w:tcPr>
            <w:tcW w:w="709" w:type="dxa"/>
            <w:shd w:val="clear" w:color="auto" w:fill="auto"/>
            <w:vAlign w:val="center"/>
          </w:tcPr>
          <w:p w14:paraId="31DF03D5" w14:textId="77777777" w:rsidR="00D84ECC" w:rsidRPr="0031479E" w:rsidRDefault="00D84ECC" w:rsidP="00E15A74">
            <w:pPr>
              <w:pStyle w:val="Sinespaciado"/>
              <w:jc w:val="center"/>
              <w:rPr>
                <w:b/>
                <w:bCs/>
                <w:sz w:val="18"/>
              </w:rPr>
            </w:pPr>
            <w:r w:rsidRPr="0031479E">
              <w:rPr>
                <w:b/>
                <w:bCs/>
                <w:sz w:val="18"/>
              </w:rPr>
              <w:t>Yes</w:t>
            </w:r>
          </w:p>
        </w:tc>
        <w:tc>
          <w:tcPr>
            <w:tcW w:w="1701" w:type="dxa"/>
            <w:tcBorders>
              <w:right w:val="single" w:sz="4" w:space="0" w:color="auto"/>
            </w:tcBorders>
            <w:shd w:val="clear" w:color="auto" w:fill="auto"/>
            <w:vAlign w:val="center"/>
          </w:tcPr>
          <w:p w14:paraId="53A2DDA4" w14:textId="77777777" w:rsidR="00D84ECC" w:rsidRPr="0031479E" w:rsidRDefault="00D84ECC" w:rsidP="00E15A74">
            <w:pPr>
              <w:pStyle w:val="Sinespaciado"/>
              <w:jc w:val="center"/>
              <w:rPr>
                <w:b/>
                <w:bCs/>
                <w:sz w:val="18"/>
              </w:rPr>
            </w:pPr>
            <w:r w:rsidRPr="0031479E">
              <w:rPr>
                <w:b/>
                <w:bCs/>
                <w:sz w:val="18"/>
              </w:rPr>
              <w:t>Yes</w:t>
            </w:r>
          </w:p>
        </w:tc>
        <w:tc>
          <w:tcPr>
            <w:tcW w:w="255" w:type="dxa"/>
            <w:tcBorders>
              <w:top w:val="nil"/>
              <w:left w:val="single" w:sz="4" w:space="0" w:color="auto"/>
              <w:bottom w:val="nil"/>
              <w:right w:val="single" w:sz="4" w:space="0" w:color="auto"/>
            </w:tcBorders>
            <w:shd w:val="clear" w:color="auto" w:fill="auto"/>
          </w:tcPr>
          <w:p w14:paraId="2A1DBF8F" w14:textId="77777777" w:rsidR="00D84ECC" w:rsidRPr="0031479E" w:rsidRDefault="00D84ECC" w:rsidP="00E15A74">
            <w:pPr>
              <w:pStyle w:val="Sinespaciado"/>
              <w:rPr>
                <w:b/>
                <w:bCs/>
                <w:color w:val="00B050"/>
                <w:sz w:val="18"/>
              </w:rPr>
            </w:pPr>
          </w:p>
        </w:tc>
        <w:tc>
          <w:tcPr>
            <w:tcW w:w="3118" w:type="dxa"/>
            <w:vMerge w:val="restart"/>
            <w:tcBorders>
              <w:left w:val="single" w:sz="4" w:space="0" w:color="auto"/>
              <w:right w:val="single" w:sz="4" w:space="0" w:color="auto"/>
            </w:tcBorders>
            <w:vAlign w:val="center"/>
          </w:tcPr>
          <w:p w14:paraId="524AA8C4" w14:textId="77777777" w:rsidR="00D84ECC" w:rsidRPr="0031479E" w:rsidRDefault="00D84ECC" w:rsidP="00E15A74">
            <w:pPr>
              <w:pStyle w:val="Sinespaciado"/>
              <w:jc w:val="center"/>
              <w:rPr>
                <w:b/>
                <w:bCs/>
                <w:sz w:val="18"/>
              </w:rPr>
            </w:pPr>
            <w:r w:rsidRPr="0031479E">
              <w:rPr>
                <w:b/>
                <w:bCs/>
                <w:sz w:val="18"/>
              </w:rPr>
              <w:t>Intervention</w:t>
            </w:r>
          </w:p>
        </w:tc>
        <w:tc>
          <w:tcPr>
            <w:tcW w:w="284" w:type="dxa"/>
            <w:tcBorders>
              <w:top w:val="nil"/>
              <w:left w:val="single" w:sz="4" w:space="0" w:color="auto"/>
              <w:bottom w:val="nil"/>
              <w:right w:val="single" w:sz="4" w:space="0" w:color="auto"/>
            </w:tcBorders>
            <w:shd w:val="clear" w:color="auto" w:fill="auto"/>
          </w:tcPr>
          <w:p w14:paraId="15393C8D" w14:textId="77777777" w:rsidR="00D84ECC" w:rsidRPr="0031479E" w:rsidRDefault="00D84ECC" w:rsidP="00E15A74">
            <w:pPr>
              <w:pStyle w:val="Sinespaciado"/>
              <w:jc w:val="center"/>
              <w:rPr>
                <w:b/>
                <w:bCs/>
                <w:sz w:val="18"/>
              </w:rPr>
            </w:pPr>
          </w:p>
        </w:tc>
        <w:tc>
          <w:tcPr>
            <w:tcW w:w="2268" w:type="dxa"/>
            <w:tcBorders>
              <w:left w:val="single" w:sz="4" w:space="0" w:color="auto"/>
              <w:right w:val="single" w:sz="4" w:space="0" w:color="auto"/>
            </w:tcBorders>
            <w:shd w:val="clear" w:color="auto" w:fill="auto"/>
            <w:vAlign w:val="center"/>
          </w:tcPr>
          <w:p w14:paraId="4FD49C6D" w14:textId="77777777" w:rsidR="00D84ECC" w:rsidRPr="0031479E" w:rsidRDefault="00D84ECC" w:rsidP="00E15A74">
            <w:pPr>
              <w:pStyle w:val="Sinespaciado"/>
              <w:jc w:val="center"/>
              <w:rPr>
                <w:b/>
                <w:bCs/>
                <w:sz w:val="18"/>
              </w:rPr>
            </w:pPr>
            <w:r w:rsidRPr="0031479E">
              <w:rPr>
                <w:b/>
                <w:bCs/>
                <w:sz w:val="18"/>
              </w:rPr>
              <w:t>Intervention</w:t>
            </w:r>
          </w:p>
        </w:tc>
        <w:tc>
          <w:tcPr>
            <w:tcW w:w="2268" w:type="dxa"/>
            <w:tcBorders>
              <w:left w:val="single" w:sz="4" w:space="0" w:color="auto"/>
            </w:tcBorders>
            <w:shd w:val="clear" w:color="auto" w:fill="auto"/>
            <w:vAlign w:val="center"/>
          </w:tcPr>
          <w:p w14:paraId="2A81EC13" w14:textId="77777777" w:rsidR="00D84ECC" w:rsidRPr="0031479E" w:rsidRDefault="00D84ECC" w:rsidP="00E15A74">
            <w:pPr>
              <w:pStyle w:val="Sinespaciado"/>
              <w:jc w:val="center"/>
              <w:rPr>
                <w:b/>
                <w:bCs/>
                <w:sz w:val="18"/>
              </w:rPr>
            </w:pPr>
            <w:r w:rsidRPr="0031479E">
              <w:rPr>
                <w:b/>
                <w:bCs/>
                <w:sz w:val="18"/>
              </w:rPr>
              <w:t>Intervention</w:t>
            </w:r>
          </w:p>
        </w:tc>
      </w:tr>
      <w:tr w:rsidR="00D84ECC" w:rsidRPr="00A15F5C" w14:paraId="213E215E" w14:textId="77777777" w:rsidTr="0031479E">
        <w:trPr>
          <w:trHeight w:val="554"/>
        </w:trPr>
        <w:tc>
          <w:tcPr>
            <w:tcW w:w="2127" w:type="dxa"/>
            <w:shd w:val="clear" w:color="auto" w:fill="auto"/>
            <w:vAlign w:val="center"/>
          </w:tcPr>
          <w:p w14:paraId="1E6B5B8A" w14:textId="77777777" w:rsidR="00D84ECC" w:rsidRPr="004E485A" w:rsidRDefault="00D84ECC" w:rsidP="00E15A74">
            <w:pPr>
              <w:pStyle w:val="Sinespaciado"/>
              <w:rPr>
                <w:b/>
                <w:bCs/>
                <w:sz w:val="20"/>
              </w:rPr>
            </w:pPr>
            <w:r w:rsidRPr="00A15F5C">
              <w:rPr>
                <w:b/>
                <w:bCs/>
                <w:sz w:val="20"/>
              </w:rPr>
              <w:t>Group 2</w:t>
            </w:r>
          </w:p>
        </w:tc>
        <w:tc>
          <w:tcPr>
            <w:tcW w:w="708" w:type="dxa"/>
            <w:shd w:val="clear" w:color="auto" w:fill="auto"/>
            <w:vAlign w:val="center"/>
          </w:tcPr>
          <w:p w14:paraId="17A391CE" w14:textId="77777777" w:rsidR="00D84ECC" w:rsidRPr="0031479E" w:rsidRDefault="00D84ECC" w:rsidP="00E15A74">
            <w:pPr>
              <w:pStyle w:val="Sinespaciado"/>
              <w:jc w:val="center"/>
              <w:rPr>
                <w:b/>
                <w:bCs/>
                <w:sz w:val="18"/>
              </w:rPr>
            </w:pPr>
            <w:r w:rsidRPr="0031479E">
              <w:rPr>
                <w:b/>
                <w:bCs/>
                <w:sz w:val="18"/>
              </w:rPr>
              <w:t>No</w:t>
            </w:r>
          </w:p>
        </w:tc>
        <w:tc>
          <w:tcPr>
            <w:tcW w:w="709" w:type="dxa"/>
            <w:shd w:val="clear" w:color="auto" w:fill="auto"/>
            <w:vAlign w:val="center"/>
          </w:tcPr>
          <w:p w14:paraId="791D490D" w14:textId="77777777" w:rsidR="00D84ECC" w:rsidRPr="0031479E" w:rsidRDefault="00D84ECC" w:rsidP="00E15A74">
            <w:pPr>
              <w:pStyle w:val="Sinespaciado"/>
              <w:jc w:val="center"/>
              <w:rPr>
                <w:b/>
                <w:bCs/>
                <w:sz w:val="18"/>
              </w:rPr>
            </w:pPr>
            <w:r w:rsidRPr="0031479E">
              <w:rPr>
                <w:b/>
                <w:bCs/>
                <w:sz w:val="18"/>
              </w:rPr>
              <w:t>Yes</w:t>
            </w:r>
          </w:p>
        </w:tc>
        <w:tc>
          <w:tcPr>
            <w:tcW w:w="709" w:type="dxa"/>
            <w:shd w:val="clear" w:color="auto" w:fill="auto"/>
            <w:vAlign w:val="center"/>
          </w:tcPr>
          <w:p w14:paraId="738860EB" w14:textId="77777777" w:rsidR="00D84ECC" w:rsidRPr="0031479E" w:rsidRDefault="00D84ECC" w:rsidP="00E15A74">
            <w:pPr>
              <w:pStyle w:val="Sinespaciado"/>
              <w:jc w:val="center"/>
              <w:rPr>
                <w:b/>
                <w:bCs/>
                <w:sz w:val="18"/>
              </w:rPr>
            </w:pPr>
            <w:r w:rsidRPr="0031479E">
              <w:rPr>
                <w:b/>
                <w:bCs/>
                <w:sz w:val="18"/>
              </w:rPr>
              <w:t>Yes</w:t>
            </w:r>
          </w:p>
        </w:tc>
        <w:tc>
          <w:tcPr>
            <w:tcW w:w="1701" w:type="dxa"/>
            <w:tcBorders>
              <w:right w:val="single" w:sz="4" w:space="0" w:color="auto"/>
            </w:tcBorders>
            <w:shd w:val="clear" w:color="auto" w:fill="auto"/>
            <w:vAlign w:val="center"/>
          </w:tcPr>
          <w:p w14:paraId="51FB1879" w14:textId="77777777" w:rsidR="00D84ECC" w:rsidRPr="0031479E" w:rsidRDefault="00D84ECC" w:rsidP="00E15A74">
            <w:pPr>
              <w:pStyle w:val="Sinespaciado"/>
              <w:jc w:val="center"/>
              <w:rPr>
                <w:b/>
                <w:bCs/>
                <w:sz w:val="18"/>
              </w:rPr>
            </w:pPr>
            <w:r w:rsidRPr="0031479E">
              <w:rPr>
                <w:b/>
                <w:bCs/>
                <w:sz w:val="18"/>
              </w:rPr>
              <w:t>Yes</w:t>
            </w:r>
          </w:p>
        </w:tc>
        <w:tc>
          <w:tcPr>
            <w:tcW w:w="255" w:type="dxa"/>
            <w:tcBorders>
              <w:top w:val="nil"/>
              <w:left w:val="single" w:sz="4" w:space="0" w:color="auto"/>
              <w:bottom w:val="nil"/>
              <w:right w:val="single" w:sz="4" w:space="0" w:color="auto"/>
            </w:tcBorders>
            <w:shd w:val="clear" w:color="auto" w:fill="auto"/>
          </w:tcPr>
          <w:p w14:paraId="28E6B299" w14:textId="77777777" w:rsidR="00D84ECC" w:rsidRPr="0031479E" w:rsidRDefault="00D84ECC" w:rsidP="00E15A74">
            <w:pPr>
              <w:pStyle w:val="Sinespaciado"/>
              <w:rPr>
                <w:b/>
                <w:bCs/>
                <w:color w:val="00B050"/>
                <w:sz w:val="18"/>
              </w:rPr>
            </w:pPr>
          </w:p>
        </w:tc>
        <w:tc>
          <w:tcPr>
            <w:tcW w:w="3118" w:type="dxa"/>
            <w:vMerge/>
            <w:tcBorders>
              <w:left w:val="single" w:sz="4" w:space="0" w:color="auto"/>
              <w:right w:val="single" w:sz="4" w:space="0" w:color="auto"/>
            </w:tcBorders>
            <w:vAlign w:val="center"/>
          </w:tcPr>
          <w:p w14:paraId="355E6CDA" w14:textId="77777777" w:rsidR="00D84ECC" w:rsidRPr="0031479E" w:rsidRDefault="00D84ECC" w:rsidP="00E15A74">
            <w:pPr>
              <w:pStyle w:val="Sinespaciado"/>
              <w:jc w:val="center"/>
              <w:rPr>
                <w:b/>
                <w:bCs/>
                <w:sz w:val="18"/>
              </w:rPr>
            </w:pPr>
          </w:p>
        </w:tc>
        <w:tc>
          <w:tcPr>
            <w:tcW w:w="284" w:type="dxa"/>
            <w:tcBorders>
              <w:top w:val="nil"/>
              <w:left w:val="single" w:sz="4" w:space="0" w:color="auto"/>
              <w:bottom w:val="nil"/>
              <w:right w:val="single" w:sz="4" w:space="0" w:color="auto"/>
            </w:tcBorders>
            <w:shd w:val="clear" w:color="auto" w:fill="auto"/>
          </w:tcPr>
          <w:p w14:paraId="0282B5CD" w14:textId="77777777" w:rsidR="00D84ECC" w:rsidRPr="0031479E" w:rsidRDefault="00D84ECC" w:rsidP="00E15A74">
            <w:pPr>
              <w:pStyle w:val="Sinespaciado"/>
              <w:jc w:val="center"/>
              <w:rPr>
                <w:b/>
                <w:bCs/>
                <w:sz w:val="18"/>
              </w:rPr>
            </w:pPr>
          </w:p>
        </w:tc>
        <w:tc>
          <w:tcPr>
            <w:tcW w:w="2268" w:type="dxa"/>
            <w:tcBorders>
              <w:left w:val="single" w:sz="4" w:space="0" w:color="auto"/>
              <w:right w:val="single" w:sz="4" w:space="0" w:color="auto"/>
            </w:tcBorders>
            <w:shd w:val="clear" w:color="auto" w:fill="auto"/>
            <w:vAlign w:val="center"/>
          </w:tcPr>
          <w:p w14:paraId="6B851B57" w14:textId="659EF6B3" w:rsidR="00D84ECC" w:rsidRPr="0031479E" w:rsidRDefault="00757F75" w:rsidP="00E15A74">
            <w:pPr>
              <w:pStyle w:val="Sinespaciado"/>
              <w:jc w:val="center"/>
              <w:rPr>
                <w:b/>
                <w:bCs/>
                <w:sz w:val="18"/>
              </w:rPr>
            </w:pPr>
            <w:r w:rsidRPr="0031479E">
              <w:rPr>
                <w:b/>
                <w:bCs/>
                <w:sz w:val="18"/>
              </w:rPr>
              <w:t>-</w:t>
            </w:r>
          </w:p>
        </w:tc>
        <w:tc>
          <w:tcPr>
            <w:tcW w:w="2268" w:type="dxa"/>
            <w:tcBorders>
              <w:left w:val="single" w:sz="4" w:space="0" w:color="auto"/>
            </w:tcBorders>
            <w:shd w:val="clear" w:color="auto" w:fill="auto"/>
            <w:vAlign w:val="center"/>
          </w:tcPr>
          <w:p w14:paraId="6C76B657" w14:textId="77777777" w:rsidR="00D84ECC" w:rsidRPr="0031479E" w:rsidRDefault="00D84ECC" w:rsidP="00E15A74">
            <w:pPr>
              <w:pStyle w:val="Sinespaciado"/>
              <w:jc w:val="center"/>
              <w:rPr>
                <w:b/>
                <w:bCs/>
                <w:sz w:val="18"/>
              </w:rPr>
            </w:pPr>
            <w:r w:rsidRPr="0031479E">
              <w:rPr>
                <w:b/>
                <w:bCs/>
                <w:sz w:val="18"/>
              </w:rPr>
              <w:t>Intervention</w:t>
            </w:r>
          </w:p>
        </w:tc>
      </w:tr>
      <w:tr w:rsidR="00D84ECC" w:rsidRPr="00A15F5C" w14:paraId="27ECD932" w14:textId="77777777" w:rsidTr="0031479E">
        <w:trPr>
          <w:trHeight w:val="567"/>
        </w:trPr>
        <w:tc>
          <w:tcPr>
            <w:tcW w:w="2127" w:type="dxa"/>
            <w:shd w:val="clear" w:color="auto" w:fill="auto"/>
            <w:vAlign w:val="center"/>
          </w:tcPr>
          <w:p w14:paraId="6792CD11" w14:textId="77777777" w:rsidR="00D84ECC" w:rsidRPr="004E485A" w:rsidRDefault="00D84ECC" w:rsidP="00E15A74">
            <w:pPr>
              <w:pStyle w:val="Sinespaciado"/>
              <w:rPr>
                <w:b/>
                <w:bCs/>
                <w:sz w:val="20"/>
              </w:rPr>
            </w:pPr>
            <w:r w:rsidRPr="00A15F5C">
              <w:rPr>
                <w:b/>
                <w:bCs/>
                <w:sz w:val="20"/>
              </w:rPr>
              <w:t>Group 3</w:t>
            </w:r>
          </w:p>
        </w:tc>
        <w:tc>
          <w:tcPr>
            <w:tcW w:w="708" w:type="dxa"/>
            <w:shd w:val="clear" w:color="auto" w:fill="auto"/>
            <w:vAlign w:val="center"/>
          </w:tcPr>
          <w:p w14:paraId="05D1EEAE" w14:textId="77777777" w:rsidR="00D84ECC" w:rsidRPr="0031479E" w:rsidRDefault="00D84ECC" w:rsidP="00E15A74">
            <w:pPr>
              <w:pStyle w:val="Sinespaciado"/>
              <w:jc w:val="center"/>
              <w:rPr>
                <w:b/>
                <w:bCs/>
                <w:sz w:val="18"/>
              </w:rPr>
            </w:pPr>
            <w:r w:rsidRPr="0031479E">
              <w:rPr>
                <w:b/>
                <w:bCs/>
                <w:sz w:val="18"/>
              </w:rPr>
              <w:t>No</w:t>
            </w:r>
          </w:p>
        </w:tc>
        <w:tc>
          <w:tcPr>
            <w:tcW w:w="709" w:type="dxa"/>
            <w:shd w:val="clear" w:color="auto" w:fill="auto"/>
            <w:vAlign w:val="center"/>
          </w:tcPr>
          <w:p w14:paraId="61BE3318" w14:textId="77777777" w:rsidR="00D84ECC" w:rsidRPr="0031479E" w:rsidRDefault="00D84ECC" w:rsidP="00E15A74">
            <w:pPr>
              <w:pStyle w:val="Sinespaciado"/>
              <w:jc w:val="center"/>
              <w:rPr>
                <w:b/>
                <w:bCs/>
                <w:sz w:val="18"/>
                <w:vertAlign w:val="superscript"/>
              </w:rPr>
            </w:pPr>
            <w:r w:rsidRPr="0031479E">
              <w:rPr>
                <w:b/>
                <w:bCs/>
                <w:sz w:val="18"/>
              </w:rPr>
              <w:t>No</w:t>
            </w:r>
          </w:p>
        </w:tc>
        <w:tc>
          <w:tcPr>
            <w:tcW w:w="709" w:type="dxa"/>
            <w:shd w:val="clear" w:color="auto" w:fill="auto"/>
            <w:vAlign w:val="center"/>
          </w:tcPr>
          <w:p w14:paraId="58BB0E29" w14:textId="77777777" w:rsidR="00D84ECC" w:rsidRPr="0031479E" w:rsidRDefault="00D84ECC" w:rsidP="00E15A74">
            <w:pPr>
              <w:pStyle w:val="Sinespaciado"/>
              <w:jc w:val="center"/>
              <w:rPr>
                <w:b/>
                <w:bCs/>
                <w:sz w:val="18"/>
              </w:rPr>
            </w:pPr>
            <w:r w:rsidRPr="0031479E">
              <w:rPr>
                <w:b/>
                <w:bCs/>
                <w:sz w:val="18"/>
              </w:rPr>
              <w:t>No</w:t>
            </w:r>
          </w:p>
        </w:tc>
        <w:tc>
          <w:tcPr>
            <w:tcW w:w="1701" w:type="dxa"/>
            <w:tcBorders>
              <w:right w:val="single" w:sz="4" w:space="0" w:color="auto"/>
            </w:tcBorders>
            <w:shd w:val="clear" w:color="auto" w:fill="auto"/>
            <w:vAlign w:val="center"/>
          </w:tcPr>
          <w:p w14:paraId="1B1B310F" w14:textId="77777777" w:rsidR="00D84ECC" w:rsidRPr="0031479E" w:rsidRDefault="00D84ECC" w:rsidP="00E15A74">
            <w:pPr>
              <w:pStyle w:val="Sinespaciado"/>
              <w:jc w:val="center"/>
              <w:rPr>
                <w:b/>
                <w:bCs/>
                <w:sz w:val="18"/>
              </w:rPr>
            </w:pPr>
            <w:r w:rsidRPr="0031479E">
              <w:rPr>
                <w:b/>
                <w:bCs/>
                <w:sz w:val="18"/>
              </w:rPr>
              <w:t>Yes</w:t>
            </w:r>
          </w:p>
        </w:tc>
        <w:tc>
          <w:tcPr>
            <w:tcW w:w="255" w:type="dxa"/>
            <w:tcBorders>
              <w:top w:val="nil"/>
              <w:left w:val="single" w:sz="4" w:space="0" w:color="auto"/>
              <w:bottom w:val="nil"/>
              <w:right w:val="single" w:sz="4" w:space="0" w:color="auto"/>
            </w:tcBorders>
            <w:shd w:val="clear" w:color="auto" w:fill="auto"/>
          </w:tcPr>
          <w:p w14:paraId="7D35D115" w14:textId="77777777" w:rsidR="00D84ECC" w:rsidRPr="0031479E" w:rsidRDefault="00D84ECC" w:rsidP="00E15A74">
            <w:pPr>
              <w:pStyle w:val="Sinespaciado"/>
              <w:rPr>
                <w:b/>
                <w:bCs/>
                <w:color w:val="00B050"/>
                <w:sz w:val="18"/>
              </w:rPr>
            </w:pPr>
          </w:p>
        </w:tc>
        <w:tc>
          <w:tcPr>
            <w:tcW w:w="3118" w:type="dxa"/>
            <w:tcBorders>
              <w:left w:val="single" w:sz="4" w:space="0" w:color="auto"/>
              <w:right w:val="single" w:sz="4" w:space="0" w:color="auto"/>
            </w:tcBorders>
            <w:vAlign w:val="center"/>
          </w:tcPr>
          <w:p w14:paraId="14A2FB28" w14:textId="77777777" w:rsidR="00D84ECC" w:rsidRPr="0031479E" w:rsidRDefault="00D84ECC" w:rsidP="00E15A74">
            <w:pPr>
              <w:pStyle w:val="Sinespaciado"/>
              <w:jc w:val="center"/>
              <w:rPr>
                <w:b/>
                <w:bCs/>
                <w:sz w:val="18"/>
              </w:rPr>
            </w:pPr>
            <w:r w:rsidRPr="0031479E">
              <w:rPr>
                <w:b/>
                <w:bCs/>
                <w:sz w:val="18"/>
              </w:rPr>
              <w:t>Control</w:t>
            </w:r>
          </w:p>
        </w:tc>
        <w:tc>
          <w:tcPr>
            <w:tcW w:w="284" w:type="dxa"/>
            <w:tcBorders>
              <w:top w:val="nil"/>
              <w:left w:val="single" w:sz="4" w:space="0" w:color="auto"/>
              <w:bottom w:val="nil"/>
              <w:right w:val="single" w:sz="4" w:space="0" w:color="auto"/>
            </w:tcBorders>
            <w:shd w:val="clear" w:color="auto" w:fill="auto"/>
          </w:tcPr>
          <w:p w14:paraId="4B89EFFE" w14:textId="77777777" w:rsidR="00D84ECC" w:rsidRPr="0031479E" w:rsidRDefault="00D84ECC" w:rsidP="00E15A74">
            <w:pPr>
              <w:pStyle w:val="Sinespaciado"/>
              <w:jc w:val="center"/>
              <w:rPr>
                <w:b/>
                <w:bCs/>
                <w:sz w:val="18"/>
              </w:rPr>
            </w:pPr>
          </w:p>
        </w:tc>
        <w:tc>
          <w:tcPr>
            <w:tcW w:w="2268" w:type="dxa"/>
            <w:tcBorders>
              <w:left w:val="single" w:sz="4" w:space="0" w:color="auto"/>
              <w:right w:val="single" w:sz="4" w:space="0" w:color="auto"/>
            </w:tcBorders>
            <w:shd w:val="clear" w:color="auto" w:fill="auto"/>
            <w:vAlign w:val="center"/>
          </w:tcPr>
          <w:p w14:paraId="05C8C189" w14:textId="77777777" w:rsidR="00D84ECC" w:rsidRPr="0031479E" w:rsidRDefault="00D84ECC" w:rsidP="00E15A74">
            <w:pPr>
              <w:pStyle w:val="Sinespaciado"/>
              <w:jc w:val="center"/>
              <w:rPr>
                <w:b/>
                <w:bCs/>
                <w:sz w:val="18"/>
              </w:rPr>
            </w:pPr>
            <w:r w:rsidRPr="0031479E">
              <w:rPr>
                <w:b/>
                <w:bCs/>
                <w:sz w:val="18"/>
              </w:rPr>
              <w:t>Control</w:t>
            </w:r>
          </w:p>
        </w:tc>
        <w:tc>
          <w:tcPr>
            <w:tcW w:w="2268" w:type="dxa"/>
            <w:tcBorders>
              <w:left w:val="single" w:sz="4" w:space="0" w:color="auto"/>
            </w:tcBorders>
            <w:shd w:val="clear" w:color="auto" w:fill="auto"/>
            <w:vAlign w:val="center"/>
          </w:tcPr>
          <w:p w14:paraId="01B56B95" w14:textId="77777777" w:rsidR="00D84ECC" w:rsidRPr="0031479E" w:rsidRDefault="00D84ECC" w:rsidP="00E15A74">
            <w:pPr>
              <w:pStyle w:val="Sinespaciado"/>
              <w:jc w:val="center"/>
              <w:rPr>
                <w:b/>
                <w:bCs/>
                <w:sz w:val="18"/>
              </w:rPr>
            </w:pPr>
            <w:r w:rsidRPr="0031479E">
              <w:rPr>
                <w:b/>
                <w:bCs/>
                <w:sz w:val="18"/>
              </w:rPr>
              <w:t>Control</w:t>
            </w:r>
          </w:p>
        </w:tc>
      </w:tr>
      <w:tr w:rsidR="00757F75" w:rsidRPr="00A15F5C" w14:paraId="4AB537AA" w14:textId="77777777" w:rsidTr="0031479E">
        <w:trPr>
          <w:trHeight w:val="567"/>
        </w:trPr>
        <w:tc>
          <w:tcPr>
            <w:tcW w:w="2127" w:type="dxa"/>
            <w:shd w:val="clear" w:color="auto" w:fill="auto"/>
            <w:vAlign w:val="center"/>
          </w:tcPr>
          <w:p w14:paraId="48CCAE96" w14:textId="25254861" w:rsidR="00757F75" w:rsidRPr="00A15F5C" w:rsidRDefault="00757F75" w:rsidP="00E15A74">
            <w:pPr>
              <w:pStyle w:val="Sinespaciado"/>
              <w:rPr>
                <w:b/>
                <w:bCs/>
                <w:sz w:val="20"/>
              </w:rPr>
            </w:pPr>
            <w:r>
              <w:rPr>
                <w:b/>
                <w:bCs/>
                <w:sz w:val="20"/>
              </w:rPr>
              <w:t>Total participants</w:t>
            </w:r>
          </w:p>
        </w:tc>
        <w:tc>
          <w:tcPr>
            <w:tcW w:w="3827" w:type="dxa"/>
            <w:gridSpan w:val="4"/>
            <w:tcBorders>
              <w:right w:val="single" w:sz="4" w:space="0" w:color="auto"/>
            </w:tcBorders>
            <w:shd w:val="clear" w:color="auto" w:fill="auto"/>
            <w:vAlign w:val="center"/>
          </w:tcPr>
          <w:p w14:paraId="3E667B6D" w14:textId="7ED19F8D" w:rsidR="00757F75" w:rsidRPr="0031479E" w:rsidRDefault="00757F75" w:rsidP="00E15A74">
            <w:pPr>
              <w:pStyle w:val="Sinespaciado"/>
              <w:jc w:val="center"/>
              <w:rPr>
                <w:b/>
                <w:bCs/>
                <w:sz w:val="18"/>
              </w:rPr>
            </w:pPr>
            <w:r w:rsidRPr="0031479E">
              <w:rPr>
                <w:b/>
                <w:bCs/>
                <w:sz w:val="18"/>
              </w:rPr>
              <w:t>32</w:t>
            </w:r>
            <w:r w:rsidR="00F15469" w:rsidRPr="0031479E">
              <w:rPr>
                <w:b/>
                <w:bCs/>
                <w:sz w:val="18"/>
              </w:rPr>
              <w:t xml:space="preserve"> </w:t>
            </w:r>
            <w:r w:rsidRPr="0031479E">
              <w:rPr>
                <w:b/>
                <w:bCs/>
                <w:sz w:val="18"/>
              </w:rPr>
              <w:t>565</w:t>
            </w:r>
          </w:p>
        </w:tc>
        <w:tc>
          <w:tcPr>
            <w:tcW w:w="255" w:type="dxa"/>
            <w:tcBorders>
              <w:top w:val="nil"/>
              <w:left w:val="single" w:sz="4" w:space="0" w:color="auto"/>
              <w:bottom w:val="nil"/>
              <w:right w:val="single" w:sz="4" w:space="0" w:color="auto"/>
            </w:tcBorders>
            <w:shd w:val="clear" w:color="auto" w:fill="auto"/>
          </w:tcPr>
          <w:p w14:paraId="7C99DAD6" w14:textId="77777777" w:rsidR="00757F75" w:rsidRPr="0031479E" w:rsidRDefault="00757F75" w:rsidP="00E15A74">
            <w:pPr>
              <w:pStyle w:val="Sinespaciado"/>
              <w:rPr>
                <w:b/>
                <w:bCs/>
                <w:color w:val="00B050"/>
                <w:sz w:val="18"/>
              </w:rPr>
            </w:pPr>
          </w:p>
        </w:tc>
        <w:tc>
          <w:tcPr>
            <w:tcW w:w="3118" w:type="dxa"/>
            <w:tcBorders>
              <w:left w:val="single" w:sz="4" w:space="0" w:color="auto"/>
              <w:right w:val="single" w:sz="4" w:space="0" w:color="auto"/>
            </w:tcBorders>
            <w:vAlign w:val="center"/>
          </w:tcPr>
          <w:p w14:paraId="356D4691" w14:textId="551EF770" w:rsidR="00757F75" w:rsidRPr="0031479E" w:rsidRDefault="00757F75" w:rsidP="00E15A74">
            <w:pPr>
              <w:pStyle w:val="Sinespaciado"/>
              <w:jc w:val="center"/>
              <w:rPr>
                <w:b/>
                <w:bCs/>
                <w:sz w:val="18"/>
              </w:rPr>
            </w:pPr>
            <w:r w:rsidRPr="0031479E">
              <w:rPr>
                <w:b/>
                <w:bCs/>
                <w:sz w:val="18"/>
              </w:rPr>
              <w:t>5084</w:t>
            </w:r>
          </w:p>
        </w:tc>
        <w:tc>
          <w:tcPr>
            <w:tcW w:w="284" w:type="dxa"/>
            <w:tcBorders>
              <w:top w:val="nil"/>
              <w:left w:val="single" w:sz="4" w:space="0" w:color="auto"/>
              <w:bottom w:val="nil"/>
              <w:right w:val="single" w:sz="4" w:space="0" w:color="auto"/>
            </w:tcBorders>
            <w:shd w:val="clear" w:color="auto" w:fill="auto"/>
          </w:tcPr>
          <w:p w14:paraId="3C390836" w14:textId="77777777" w:rsidR="00757F75" w:rsidRPr="0031479E" w:rsidRDefault="00757F75" w:rsidP="00E15A74">
            <w:pPr>
              <w:pStyle w:val="Sinespaciado"/>
              <w:jc w:val="center"/>
              <w:rPr>
                <w:b/>
                <w:bCs/>
                <w:sz w:val="18"/>
              </w:rPr>
            </w:pPr>
          </w:p>
        </w:tc>
        <w:tc>
          <w:tcPr>
            <w:tcW w:w="2268" w:type="dxa"/>
            <w:tcBorders>
              <w:left w:val="single" w:sz="4" w:space="0" w:color="auto"/>
              <w:right w:val="single" w:sz="4" w:space="0" w:color="auto"/>
            </w:tcBorders>
            <w:shd w:val="clear" w:color="auto" w:fill="auto"/>
            <w:vAlign w:val="center"/>
          </w:tcPr>
          <w:p w14:paraId="72FCC9CB" w14:textId="7A64461E" w:rsidR="00757F75" w:rsidRPr="0031479E" w:rsidRDefault="00757F75" w:rsidP="00E15A74">
            <w:pPr>
              <w:pStyle w:val="Sinespaciado"/>
              <w:jc w:val="center"/>
              <w:rPr>
                <w:b/>
                <w:bCs/>
                <w:sz w:val="18"/>
                <w:vertAlign w:val="superscript"/>
              </w:rPr>
            </w:pPr>
            <w:r w:rsidRPr="0031479E">
              <w:rPr>
                <w:b/>
                <w:bCs/>
                <w:sz w:val="18"/>
              </w:rPr>
              <w:t>Approx. 300</w:t>
            </w:r>
            <w:r w:rsidRPr="0031479E">
              <w:rPr>
                <w:b/>
                <w:bCs/>
                <w:sz w:val="18"/>
                <w:vertAlign w:val="superscript"/>
              </w:rPr>
              <w:t>3</w:t>
            </w:r>
          </w:p>
        </w:tc>
        <w:tc>
          <w:tcPr>
            <w:tcW w:w="2268" w:type="dxa"/>
            <w:tcBorders>
              <w:left w:val="single" w:sz="4" w:space="0" w:color="auto"/>
            </w:tcBorders>
            <w:shd w:val="clear" w:color="auto" w:fill="auto"/>
            <w:vAlign w:val="center"/>
          </w:tcPr>
          <w:p w14:paraId="66D66A34" w14:textId="73E2E275" w:rsidR="00757F75" w:rsidRPr="0031479E" w:rsidRDefault="00757F75" w:rsidP="00E15A74">
            <w:pPr>
              <w:pStyle w:val="Sinespaciado"/>
              <w:jc w:val="center"/>
              <w:rPr>
                <w:b/>
                <w:bCs/>
                <w:sz w:val="18"/>
                <w:vertAlign w:val="superscript"/>
              </w:rPr>
            </w:pPr>
            <w:r w:rsidRPr="0031479E">
              <w:rPr>
                <w:b/>
                <w:bCs/>
                <w:sz w:val="18"/>
              </w:rPr>
              <w:t>Approx. 300</w:t>
            </w:r>
            <w:r w:rsidRPr="0031479E">
              <w:rPr>
                <w:b/>
                <w:bCs/>
                <w:sz w:val="18"/>
                <w:vertAlign w:val="superscript"/>
              </w:rPr>
              <w:t>3</w:t>
            </w:r>
          </w:p>
        </w:tc>
      </w:tr>
    </w:tbl>
    <w:p w14:paraId="44551122" w14:textId="77777777" w:rsidR="00D84ECC" w:rsidRPr="0011689D" w:rsidRDefault="00D84ECC" w:rsidP="00D84ECC">
      <w:pPr>
        <w:pStyle w:val="Sinespaciado"/>
        <w:spacing w:line="276" w:lineRule="auto"/>
        <w:ind w:left="1440"/>
        <w:rPr>
          <w:sz w:val="6"/>
          <w:vertAlign w:val="superscript"/>
        </w:rPr>
      </w:pPr>
    </w:p>
    <w:p w14:paraId="4164939E" w14:textId="77777777" w:rsidR="0031479E" w:rsidRDefault="0031479E" w:rsidP="00C550EC">
      <w:pPr>
        <w:pStyle w:val="Sinespaciado"/>
        <w:rPr>
          <w:sz w:val="18"/>
          <w:szCs w:val="16"/>
          <w:vertAlign w:val="superscript"/>
        </w:rPr>
      </w:pPr>
    </w:p>
    <w:p w14:paraId="6282FF3C" w14:textId="513F0011" w:rsidR="00D80A9D" w:rsidRPr="0031479E" w:rsidRDefault="00D84ECC" w:rsidP="00C550EC">
      <w:pPr>
        <w:pStyle w:val="Sinespaciado"/>
        <w:rPr>
          <w:sz w:val="18"/>
          <w:szCs w:val="16"/>
          <w:highlight w:val="green"/>
        </w:rPr>
      </w:pPr>
      <w:r w:rsidRPr="0031479E">
        <w:rPr>
          <w:sz w:val="18"/>
          <w:szCs w:val="16"/>
          <w:vertAlign w:val="superscript"/>
        </w:rPr>
        <w:t>1</w:t>
      </w:r>
      <w:r w:rsidR="00757F75" w:rsidRPr="0031479E">
        <w:rPr>
          <w:sz w:val="18"/>
          <w:szCs w:val="16"/>
          <w:vertAlign w:val="superscript"/>
        </w:rPr>
        <w:t xml:space="preserve"> </w:t>
      </w:r>
      <w:r w:rsidR="00757F75" w:rsidRPr="0031479E">
        <w:rPr>
          <w:sz w:val="18"/>
          <w:szCs w:val="16"/>
        </w:rPr>
        <w:t xml:space="preserve">Baird </w:t>
      </w:r>
      <w:r w:rsidR="00B67458" w:rsidRPr="0031479E">
        <w:rPr>
          <w:sz w:val="18"/>
          <w:szCs w:val="16"/>
        </w:rPr>
        <w:t>series</w:t>
      </w:r>
      <w:r w:rsidR="00757F75" w:rsidRPr="0031479E">
        <w:rPr>
          <w:sz w:val="18"/>
          <w:szCs w:val="16"/>
        </w:rPr>
        <w:t>:</w:t>
      </w:r>
      <w:r w:rsidR="00867479" w:rsidRPr="0031479E">
        <w:rPr>
          <w:sz w:val="18"/>
          <w:szCs w:val="16"/>
        </w:rPr>
        <w:t xml:space="preserve"> Recruited adults aged who had participated in the Miguel </w:t>
      </w:r>
      <w:r w:rsidR="00B67458" w:rsidRPr="0031479E">
        <w:rPr>
          <w:sz w:val="18"/>
          <w:szCs w:val="16"/>
        </w:rPr>
        <w:t xml:space="preserve">and Kremer </w:t>
      </w:r>
      <w:r w:rsidR="00867479" w:rsidRPr="0031479E">
        <w:rPr>
          <w:sz w:val="18"/>
          <w:szCs w:val="16"/>
        </w:rPr>
        <w:t>2004 trial as children. The analysis compares groups 1 and 2 with group 3, so the difference in deworming exposure is around 2.4 years.</w:t>
      </w:r>
      <w:r w:rsidR="00757F75" w:rsidRPr="0031479E">
        <w:rPr>
          <w:sz w:val="18"/>
          <w:szCs w:val="16"/>
        </w:rPr>
        <w:br/>
      </w:r>
      <w:r w:rsidR="00757F75" w:rsidRPr="0031479E">
        <w:rPr>
          <w:sz w:val="18"/>
          <w:szCs w:val="16"/>
          <w:vertAlign w:val="superscript"/>
        </w:rPr>
        <w:t xml:space="preserve">2 </w:t>
      </w:r>
      <w:proofErr w:type="spellStart"/>
      <w:r w:rsidR="00757F75" w:rsidRPr="0031479E">
        <w:rPr>
          <w:sz w:val="18"/>
          <w:szCs w:val="16"/>
        </w:rPr>
        <w:t>Ozier</w:t>
      </w:r>
      <w:proofErr w:type="spellEnd"/>
      <w:r w:rsidR="00757F75" w:rsidRPr="0031479E">
        <w:rPr>
          <w:sz w:val="18"/>
          <w:szCs w:val="16"/>
        </w:rPr>
        <w:t xml:space="preserve"> </w:t>
      </w:r>
      <w:r w:rsidR="00B67458" w:rsidRPr="0031479E">
        <w:rPr>
          <w:sz w:val="18"/>
          <w:szCs w:val="16"/>
        </w:rPr>
        <w:t>series</w:t>
      </w:r>
      <w:r w:rsidR="00757F75" w:rsidRPr="0031479E">
        <w:rPr>
          <w:sz w:val="18"/>
          <w:szCs w:val="16"/>
        </w:rPr>
        <w:t>:</w:t>
      </w:r>
      <w:r w:rsidR="00867479" w:rsidRPr="0031479E">
        <w:rPr>
          <w:sz w:val="18"/>
          <w:szCs w:val="16"/>
        </w:rPr>
        <w:t xml:space="preserve"> Recruited children aged 8 to 15 from the schools originally quasi-randomized by Miguel </w:t>
      </w:r>
      <w:r w:rsidR="00E32C92" w:rsidRPr="0031479E">
        <w:rPr>
          <w:sz w:val="18"/>
          <w:szCs w:val="16"/>
        </w:rPr>
        <w:t xml:space="preserve">and Kremer </w:t>
      </w:r>
      <w:r w:rsidR="00867479" w:rsidRPr="0031479E">
        <w:rPr>
          <w:sz w:val="18"/>
          <w:szCs w:val="16"/>
        </w:rPr>
        <w:t xml:space="preserve">2004. The analysis compares </w:t>
      </w:r>
      <w:r w:rsidR="00FF34B6" w:rsidRPr="0031479E">
        <w:rPr>
          <w:sz w:val="18"/>
          <w:szCs w:val="16"/>
        </w:rPr>
        <w:t>children aged less than 1 year living in communities where the deworming intervention had started with those living in communities where deworming had not yet started</w:t>
      </w:r>
      <w:r w:rsidR="009276AB" w:rsidRPr="0031479E">
        <w:rPr>
          <w:sz w:val="18"/>
          <w:szCs w:val="16"/>
        </w:rPr>
        <w:t>, so the difference between these groups is that the children in the intervention group may have benefitted from decreased worm prevalence among older siblings and the community during the first year of life.</w:t>
      </w:r>
      <w:r w:rsidR="00757F75" w:rsidRPr="0031479E">
        <w:rPr>
          <w:sz w:val="18"/>
          <w:szCs w:val="16"/>
        </w:rPr>
        <w:br/>
      </w:r>
      <w:r w:rsidR="00757F75" w:rsidRPr="0031479E">
        <w:rPr>
          <w:sz w:val="18"/>
          <w:szCs w:val="16"/>
          <w:vertAlign w:val="superscript"/>
        </w:rPr>
        <w:t xml:space="preserve">3 </w:t>
      </w:r>
      <w:r w:rsidR="00757F75" w:rsidRPr="0031479E">
        <w:rPr>
          <w:sz w:val="18"/>
          <w:szCs w:val="16"/>
        </w:rPr>
        <w:t xml:space="preserve">The total sample size for cognitive assessments was 2584 including 7 birth cohorts from 1996 to 2001. </w:t>
      </w:r>
      <w:r w:rsidR="00757F75" w:rsidRPr="0031479E">
        <w:rPr>
          <w:sz w:val="18"/>
          <w:szCs w:val="16"/>
          <w:vertAlign w:val="superscript"/>
        </w:rPr>
        <w:t xml:space="preserve"> </w:t>
      </w:r>
    </w:p>
    <w:p w14:paraId="0A0EED4A" w14:textId="35F68161" w:rsidR="00A3282D" w:rsidRDefault="00A3282D" w:rsidP="008028C8">
      <w:pPr>
        <w:rPr>
          <w:highlight w:val="green"/>
        </w:rPr>
      </w:pPr>
    </w:p>
    <w:p w14:paraId="4F7F1663" w14:textId="77777777" w:rsidR="0031479E" w:rsidRDefault="0031479E">
      <w:pPr>
        <w:rPr>
          <w:rFonts w:asciiTheme="majorHAnsi" w:eastAsiaTheme="majorEastAsia" w:hAnsiTheme="majorHAnsi" w:cstheme="majorBidi"/>
          <w:b/>
          <w:sz w:val="24"/>
          <w:szCs w:val="24"/>
        </w:rPr>
      </w:pPr>
      <w:r>
        <w:br w:type="page"/>
      </w:r>
    </w:p>
    <w:p w14:paraId="44244CFF" w14:textId="19379FC4" w:rsidR="00B76FF1" w:rsidRPr="00D80A9D" w:rsidRDefault="00B76FF1" w:rsidP="00B76FF1">
      <w:pPr>
        <w:pStyle w:val="Epgrafe"/>
        <w:rPr>
          <w:color w:val="auto"/>
        </w:rPr>
      </w:pPr>
      <w:r>
        <w:rPr>
          <w:color w:val="auto"/>
        </w:rPr>
        <w:lastRenderedPageBreak/>
        <w:t>Appendix 3.</w:t>
      </w:r>
      <w:r w:rsidRPr="00D80A9D">
        <w:rPr>
          <w:color w:val="auto"/>
        </w:rPr>
        <w:t xml:space="preserve"> </w:t>
      </w:r>
      <w:r w:rsidRPr="00D80A9D">
        <w:t xml:space="preserve">Number of </w:t>
      </w:r>
      <w:r>
        <w:t>comparisons</w:t>
      </w:r>
      <w:r w:rsidRPr="00D80A9D">
        <w:t xml:space="preserve"> reported </w:t>
      </w:r>
      <w:r>
        <w:t xml:space="preserve">and tested for statistical significance </w:t>
      </w:r>
      <w:r w:rsidRPr="00D80A9D">
        <w:t xml:space="preserve">in the </w:t>
      </w:r>
      <w:r>
        <w:t>five</w:t>
      </w:r>
      <w:r w:rsidRPr="00D80A9D">
        <w:t xml:space="preserve"> </w:t>
      </w:r>
      <w:r>
        <w:t>editions of the Baird publications</w:t>
      </w:r>
    </w:p>
    <w:tbl>
      <w:tblPr>
        <w:tblStyle w:val="Tablaconcuadrcula"/>
        <w:tblW w:w="0" w:type="auto"/>
        <w:tblInd w:w="108" w:type="dxa"/>
        <w:tblLook w:val="04A0" w:firstRow="1" w:lastRow="0" w:firstColumn="1" w:lastColumn="0" w:noHBand="0" w:noVBand="1"/>
      </w:tblPr>
      <w:tblGrid>
        <w:gridCol w:w="1183"/>
        <w:gridCol w:w="1936"/>
        <w:gridCol w:w="1510"/>
        <w:gridCol w:w="1418"/>
        <w:gridCol w:w="1417"/>
        <w:gridCol w:w="1560"/>
        <w:gridCol w:w="1560"/>
      </w:tblGrid>
      <w:tr w:rsidR="00B76FF1" w:rsidRPr="00436F39" w14:paraId="31D56193" w14:textId="77777777" w:rsidTr="00E024BB">
        <w:tc>
          <w:tcPr>
            <w:tcW w:w="3119" w:type="dxa"/>
            <w:gridSpan w:val="2"/>
            <w:shd w:val="clear" w:color="auto" w:fill="D9D9D9" w:themeFill="background1" w:themeFillShade="D9"/>
            <w:tcMar>
              <w:top w:w="28" w:type="dxa"/>
              <w:bottom w:w="85" w:type="dxa"/>
            </w:tcMar>
          </w:tcPr>
          <w:p w14:paraId="3FAAAD3A" w14:textId="77777777" w:rsidR="00B76FF1" w:rsidRPr="00B33545" w:rsidRDefault="00B76FF1" w:rsidP="00E024BB">
            <w:pPr>
              <w:pStyle w:val="Sinespaciado"/>
              <w:rPr>
                <w:b/>
                <w:sz w:val="20"/>
              </w:rPr>
            </w:pPr>
            <w:r w:rsidRPr="00B33545">
              <w:rPr>
                <w:b/>
                <w:sz w:val="20"/>
              </w:rPr>
              <w:t>Number of outcomes tested</w:t>
            </w:r>
            <w:r>
              <w:rPr>
                <w:b/>
                <w:sz w:val="20"/>
              </w:rPr>
              <w:t xml:space="preserve"> for statistical significance</w:t>
            </w:r>
          </w:p>
        </w:tc>
        <w:tc>
          <w:tcPr>
            <w:tcW w:w="1510" w:type="dxa"/>
            <w:shd w:val="clear" w:color="auto" w:fill="D9D9D9" w:themeFill="background1" w:themeFillShade="D9"/>
            <w:tcMar>
              <w:top w:w="28" w:type="dxa"/>
              <w:bottom w:w="85" w:type="dxa"/>
            </w:tcMar>
            <w:vAlign w:val="center"/>
          </w:tcPr>
          <w:p w14:paraId="11C454B4" w14:textId="77777777" w:rsidR="00B76FF1" w:rsidRPr="00436F39" w:rsidRDefault="00B76FF1" w:rsidP="00E024BB">
            <w:pPr>
              <w:pStyle w:val="Sinespaciado"/>
              <w:jc w:val="center"/>
              <w:rPr>
                <w:b/>
                <w:sz w:val="20"/>
              </w:rPr>
            </w:pPr>
            <w:r w:rsidRPr="00436F39">
              <w:rPr>
                <w:b/>
                <w:sz w:val="20"/>
              </w:rPr>
              <w:t>Baird 2011a</w:t>
            </w:r>
          </w:p>
        </w:tc>
        <w:tc>
          <w:tcPr>
            <w:tcW w:w="1418" w:type="dxa"/>
            <w:shd w:val="clear" w:color="auto" w:fill="D9D9D9" w:themeFill="background1" w:themeFillShade="D9"/>
            <w:tcMar>
              <w:top w:w="28" w:type="dxa"/>
              <w:bottom w:w="85" w:type="dxa"/>
            </w:tcMar>
            <w:vAlign w:val="center"/>
          </w:tcPr>
          <w:p w14:paraId="33F22D92" w14:textId="77777777" w:rsidR="00B76FF1" w:rsidRPr="00436F39" w:rsidRDefault="00B76FF1" w:rsidP="00E024BB">
            <w:pPr>
              <w:pStyle w:val="Sinespaciado"/>
              <w:jc w:val="center"/>
              <w:rPr>
                <w:b/>
                <w:sz w:val="20"/>
              </w:rPr>
            </w:pPr>
            <w:r w:rsidRPr="00436F39">
              <w:rPr>
                <w:b/>
                <w:sz w:val="20"/>
              </w:rPr>
              <w:t>Baird 2011b</w:t>
            </w:r>
          </w:p>
        </w:tc>
        <w:tc>
          <w:tcPr>
            <w:tcW w:w="1417" w:type="dxa"/>
            <w:shd w:val="clear" w:color="auto" w:fill="D9D9D9" w:themeFill="background1" w:themeFillShade="D9"/>
            <w:tcMar>
              <w:top w:w="28" w:type="dxa"/>
              <w:bottom w:w="85" w:type="dxa"/>
            </w:tcMar>
            <w:vAlign w:val="center"/>
          </w:tcPr>
          <w:p w14:paraId="6CCB0C02" w14:textId="77777777" w:rsidR="00B76FF1" w:rsidRPr="00436F39" w:rsidRDefault="00B76FF1" w:rsidP="00E024BB">
            <w:pPr>
              <w:pStyle w:val="Sinespaciado"/>
              <w:jc w:val="center"/>
              <w:rPr>
                <w:b/>
                <w:sz w:val="20"/>
              </w:rPr>
            </w:pPr>
            <w:r w:rsidRPr="00436F39">
              <w:rPr>
                <w:b/>
                <w:sz w:val="20"/>
              </w:rPr>
              <w:t>Baird 2012</w:t>
            </w:r>
          </w:p>
        </w:tc>
        <w:tc>
          <w:tcPr>
            <w:tcW w:w="1560" w:type="dxa"/>
            <w:shd w:val="clear" w:color="auto" w:fill="D9D9D9" w:themeFill="background1" w:themeFillShade="D9"/>
            <w:tcMar>
              <w:top w:w="28" w:type="dxa"/>
              <w:bottom w:w="85" w:type="dxa"/>
            </w:tcMar>
            <w:vAlign w:val="center"/>
          </w:tcPr>
          <w:p w14:paraId="44989DFD" w14:textId="77777777" w:rsidR="00B76FF1" w:rsidRPr="00436F39" w:rsidRDefault="00B76FF1" w:rsidP="00E024BB">
            <w:pPr>
              <w:pStyle w:val="Sinespaciado"/>
              <w:jc w:val="center"/>
              <w:rPr>
                <w:b/>
                <w:sz w:val="20"/>
              </w:rPr>
            </w:pPr>
            <w:r w:rsidRPr="00436F39">
              <w:rPr>
                <w:b/>
                <w:sz w:val="20"/>
              </w:rPr>
              <w:t>Baird 2015</w:t>
            </w:r>
          </w:p>
        </w:tc>
        <w:tc>
          <w:tcPr>
            <w:tcW w:w="1560" w:type="dxa"/>
            <w:shd w:val="clear" w:color="auto" w:fill="D9D9D9" w:themeFill="background1" w:themeFillShade="D9"/>
            <w:tcMar>
              <w:top w:w="28" w:type="dxa"/>
            </w:tcMar>
            <w:vAlign w:val="center"/>
          </w:tcPr>
          <w:p w14:paraId="2DF1D717" w14:textId="77777777" w:rsidR="00B76FF1" w:rsidRPr="00436F39" w:rsidRDefault="00B76FF1" w:rsidP="00E024BB">
            <w:pPr>
              <w:pStyle w:val="Sinespaciado"/>
              <w:jc w:val="center"/>
              <w:rPr>
                <w:b/>
                <w:sz w:val="20"/>
              </w:rPr>
            </w:pPr>
            <w:r>
              <w:rPr>
                <w:b/>
                <w:sz w:val="20"/>
              </w:rPr>
              <w:t>Baird 2016</w:t>
            </w:r>
          </w:p>
        </w:tc>
      </w:tr>
      <w:tr w:rsidR="00B76FF1" w:rsidRPr="00436F39" w14:paraId="68B26946" w14:textId="77777777" w:rsidTr="00E024BB">
        <w:tc>
          <w:tcPr>
            <w:tcW w:w="3119" w:type="dxa"/>
            <w:gridSpan w:val="2"/>
            <w:tcMar>
              <w:top w:w="28" w:type="dxa"/>
            </w:tcMar>
          </w:tcPr>
          <w:p w14:paraId="620D2489" w14:textId="77777777" w:rsidR="00B76FF1" w:rsidRPr="00B33545" w:rsidRDefault="00B76FF1" w:rsidP="00E024BB">
            <w:pPr>
              <w:pStyle w:val="Sinespaciado"/>
              <w:rPr>
                <w:b/>
                <w:sz w:val="20"/>
              </w:rPr>
            </w:pPr>
            <w:r w:rsidRPr="00B33545">
              <w:rPr>
                <w:b/>
                <w:sz w:val="20"/>
              </w:rPr>
              <w:t>Total number of outcomes</w:t>
            </w:r>
          </w:p>
        </w:tc>
        <w:tc>
          <w:tcPr>
            <w:tcW w:w="1510" w:type="dxa"/>
            <w:tcMar>
              <w:top w:w="28" w:type="dxa"/>
            </w:tcMar>
          </w:tcPr>
          <w:p w14:paraId="2D3F7755" w14:textId="77777777" w:rsidR="00B76FF1" w:rsidRDefault="00B76FF1" w:rsidP="00E024BB">
            <w:pPr>
              <w:pStyle w:val="Sinespaciado"/>
              <w:jc w:val="center"/>
              <w:rPr>
                <w:sz w:val="20"/>
              </w:rPr>
            </w:pPr>
            <w:r>
              <w:rPr>
                <w:sz w:val="20"/>
              </w:rPr>
              <w:t>228</w:t>
            </w:r>
          </w:p>
        </w:tc>
        <w:tc>
          <w:tcPr>
            <w:tcW w:w="1418" w:type="dxa"/>
            <w:tcMar>
              <w:top w:w="28" w:type="dxa"/>
            </w:tcMar>
          </w:tcPr>
          <w:p w14:paraId="76D1D05E" w14:textId="77777777" w:rsidR="00B76FF1" w:rsidRDefault="00B76FF1" w:rsidP="00E024BB">
            <w:pPr>
              <w:pStyle w:val="Sinespaciado"/>
              <w:jc w:val="center"/>
              <w:rPr>
                <w:sz w:val="20"/>
              </w:rPr>
            </w:pPr>
            <w:r>
              <w:rPr>
                <w:sz w:val="20"/>
              </w:rPr>
              <w:t>290</w:t>
            </w:r>
          </w:p>
        </w:tc>
        <w:tc>
          <w:tcPr>
            <w:tcW w:w="1417" w:type="dxa"/>
            <w:tcMar>
              <w:top w:w="28" w:type="dxa"/>
            </w:tcMar>
          </w:tcPr>
          <w:p w14:paraId="6A3393D7" w14:textId="77777777" w:rsidR="00B76FF1" w:rsidRDefault="00B76FF1" w:rsidP="00E024BB">
            <w:pPr>
              <w:pStyle w:val="Sinespaciado"/>
              <w:jc w:val="center"/>
              <w:rPr>
                <w:sz w:val="20"/>
              </w:rPr>
            </w:pPr>
            <w:r>
              <w:rPr>
                <w:sz w:val="20"/>
              </w:rPr>
              <w:t>350</w:t>
            </w:r>
          </w:p>
        </w:tc>
        <w:tc>
          <w:tcPr>
            <w:tcW w:w="1560" w:type="dxa"/>
            <w:tcMar>
              <w:top w:w="28" w:type="dxa"/>
            </w:tcMar>
          </w:tcPr>
          <w:p w14:paraId="57BB9C4F" w14:textId="77777777" w:rsidR="00B76FF1" w:rsidRPr="00436F39" w:rsidRDefault="00B76FF1" w:rsidP="00E024BB">
            <w:pPr>
              <w:pStyle w:val="Sinespaciado"/>
              <w:jc w:val="center"/>
              <w:rPr>
                <w:sz w:val="20"/>
              </w:rPr>
            </w:pPr>
            <w:r>
              <w:rPr>
                <w:sz w:val="20"/>
              </w:rPr>
              <w:t>642</w:t>
            </w:r>
          </w:p>
        </w:tc>
        <w:tc>
          <w:tcPr>
            <w:tcW w:w="1560" w:type="dxa"/>
            <w:tcMar>
              <w:top w:w="28" w:type="dxa"/>
            </w:tcMar>
          </w:tcPr>
          <w:p w14:paraId="5368708B" w14:textId="77777777" w:rsidR="00B76FF1" w:rsidRDefault="00B76FF1" w:rsidP="00E024BB">
            <w:pPr>
              <w:pStyle w:val="Sinespaciado"/>
              <w:jc w:val="center"/>
              <w:rPr>
                <w:sz w:val="20"/>
              </w:rPr>
            </w:pPr>
            <w:r>
              <w:rPr>
                <w:sz w:val="20"/>
              </w:rPr>
              <w:t>650</w:t>
            </w:r>
          </w:p>
        </w:tc>
      </w:tr>
      <w:tr w:rsidR="00B76FF1" w:rsidRPr="00436F39" w14:paraId="60B1B6FE" w14:textId="77777777" w:rsidTr="00E024BB">
        <w:tc>
          <w:tcPr>
            <w:tcW w:w="1183" w:type="dxa"/>
            <w:vMerge w:val="restart"/>
            <w:tcMar>
              <w:top w:w="28" w:type="dxa"/>
            </w:tcMar>
          </w:tcPr>
          <w:p w14:paraId="1F7D8809" w14:textId="77777777" w:rsidR="00B76FF1" w:rsidRPr="00B33545" w:rsidRDefault="00B76FF1" w:rsidP="00E024BB">
            <w:pPr>
              <w:pStyle w:val="Sinespaciado"/>
              <w:rPr>
                <w:b/>
                <w:sz w:val="20"/>
              </w:rPr>
            </w:pPr>
            <w:r>
              <w:rPr>
                <w:b/>
                <w:sz w:val="20"/>
              </w:rPr>
              <w:t>Level of statistical significance</w:t>
            </w:r>
          </w:p>
        </w:tc>
        <w:tc>
          <w:tcPr>
            <w:tcW w:w="1936" w:type="dxa"/>
            <w:tcMar>
              <w:top w:w="28" w:type="dxa"/>
            </w:tcMar>
          </w:tcPr>
          <w:p w14:paraId="2DD8806F" w14:textId="77777777" w:rsidR="00B76FF1" w:rsidRPr="00B33545" w:rsidRDefault="00B76FF1" w:rsidP="00E024BB">
            <w:pPr>
              <w:pStyle w:val="Sinespaciado"/>
              <w:rPr>
                <w:b/>
                <w:sz w:val="20"/>
              </w:rPr>
            </w:pPr>
            <w:r>
              <w:rPr>
                <w:b/>
                <w:sz w:val="20"/>
              </w:rPr>
              <w:t>P &lt; 0.1 &gt; 0.05</w:t>
            </w:r>
          </w:p>
        </w:tc>
        <w:tc>
          <w:tcPr>
            <w:tcW w:w="1510" w:type="dxa"/>
            <w:tcMar>
              <w:top w:w="28" w:type="dxa"/>
            </w:tcMar>
          </w:tcPr>
          <w:p w14:paraId="65C400E2" w14:textId="77777777" w:rsidR="00B76FF1" w:rsidRDefault="00B76FF1" w:rsidP="00E024BB">
            <w:pPr>
              <w:pStyle w:val="Sinespaciado"/>
              <w:jc w:val="center"/>
              <w:rPr>
                <w:sz w:val="20"/>
              </w:rPr>
            </w:pPr>
            <w:r>
              <w:rPr>
                <w:sz w:val="20"/>
              </w:rPr>
              <w:t>19</w:t>
            </w:r>
          </w:p>
        </w:tc>
        <w:tc>
          <w:tcPr>
            <w:tcW w:w="1418" w:type="dxa"/>
            <w:tcMar>
              <w:top w:w="28" w:type="dxa"/>
            </w:tcMar>
          </w:tcPr>
          <w:p w14:paraId="2B62C0C9" w14:textId="77777777" w:rsidR="00B76FF1" w:rsidRDefault="00B76FF1" w:rsidP="00E024BB">
            <w:pPr>
              <w:pStyle w:val="Sinespaciado"/>
              <w:jc w:val="center"/>
              <w:rPr>
                <w:sz w:val="20"/>
              </w:rPr>
            </w:pPr>
            <w:r>
              <w:rPr>
                <w:sz w:val="20"/>
              </w:rPr>
              <w:t>28</w:t>
            </w:r>
          </w:p>
        </w:tc>
        <w:tc>
          <w:tcPr>
            <w:tcW w:w="1417" w:type="dxa"/>
            <w:tcMar>
              <w:top w:w="28" w:type="dxa"/>
            </w:tcMar>
          </w:tcPr>
          <w:p w14:paraId="068A9AF7" w14:textId="77777777" w:rsidR="00B76FF1" w:rsidRDefault="00B76FF1" w:rsidP="00E024BB">
            <w:pPr>
              <w:pStyle w:val="Sinespaciado"/>
              <w:jc w:val="center"/>
              <w:rPr>
                <w:sz w:val="20"/>
              </w:rPr>
            </w:pPr>
            <w:r>
              <w:rPr>
                <w:sz w:val="20"/>
              </w:rPr>
              <w:t>34</w:t>
            </w:r>
          </w:p>
        </w:tc>
        <w:tc>
          <w:tcPr>
            <w:tcW w:w="1560" w:type="dxa"/>
            <w:tcMar>
              <w:top w:w="28" w:type="dxa"/>
            </w:tcMar>
          </w:tcPr>
          <w:p w14:paraId="0E67B533" w14:textId="77777777" w:rsidR="00B76FF1" w:rsidRDefault="00B76FF1" w:rsidP="00E024BB">
            <w:pPr>
              <w:pStyle w:val="Sinespaciado"/>
              <w:jc w:val="center"/>
              <w:rPr>
                <w:sz w:val="20"/>
              </w:rPr>
            </w:pPr>
            <w:r>
              <w:rPr>
                <w:sz w:val="20"/>
              </w:rPr>
              <w:t>59</w:t>
            </w:r>
          </w:p>
        </w:tc>
        <w:tc>
          <w:tcPr>
            <w:tcW w:w="1560" w:type="dxa"/>
            <w:tcMar>
              <w:top w:w="28" w:type="dxa"/>
            </w:tcMar>
          </w:tcPr>
          <w:p w14:paraId="3B9F133C" w14:textId="77777777" w:rsidR="00B76FF1" w:rsidRDefault="00B76FF1" w:rsidP="00E024BB">
            <w:pPr>
              <w:pStyle w:val="Sinespaciado"/>
              <w:jc w:val="center"/>
              <w:rPr>
                <w:sz w:val="20"/>
              </w:rPr>
            </w:pPr>
            <w:r>
              <w:rPr>
                <w:sz w:val="20"/>
              </w:rPr>
              <w:t>63</w:t>
            </w:r>
          </w:p>
        </w:tc>
      </w:tr>
      <w:tr w:rsidR="00B76FF1" w:rsidRPr="00436F39" w14:paraId="1296504C" w14:textId="77777777" w:rsidTr="00E024BB">
        <w:tc>
          <w:tcPr>
            <w:tcW w:w="1183" w:type="dxa"/>
            <w:vMerge/>
            <w:tcMar>
              <w:top w:w="28" w:type="dxa"/>
            </w:tcMar>
          </w:tcPr>
          <w:p w14:paraId="1CC61215" w14:textId="77777777" w:rsidR="00B76FF1" w:rsidRDefault="00B76FF1" w:rsidP="00E024BB">
            <w:pPr>
              <w:pStyle w:val="Sinespaciado"/>
              <w:rPr>
                <w:b/>
                <w:sz w:val="20"/>
              </w:rPr>
            </w:pPr>
          </w:p>
        </w:tc>
        <w:tc>
          <w:tcPr>
            <w:tcW w:w="1936" w:type="dxa"/>
            <w:tcMar>
              <w:top w:w="28" w:type="dxa"/>
            </w:tcMar>
          </w:tcPr>
          <w:p w14:paraId="75B06101" w14:textId="77777777" w:rsidR="00B76FF1" w:rsidRPr="00B33545" w:rsidRDefault="00B76FF1" w:rsidP="00E024BB">
            <w:pPr>
              <w:pStyle w:val="Sinespaciado"/>
              <w:rPr>
                <w:b/>
                <w:sz w:val="20"/>
              </w:rPr>
            </w:pPr>
            <w:r>
              <w:rPr>
                <w:b/>
                <w:sz w:val="20"/>
              </w:rPr>
              <w:t>P &lt; 0.05 &gt; 0.01</w:t>
            </w:r>
          </w:p>
        </w:tc>
        <w:tc>
          <w:tcPr>
            <w:tcW w:w="1510" w:type="dxa"/>
            <w:tcMar>
              <w:top w:w="28" w:type="dxa"/>
            </w:tcMar>
          </w:tcPr>
          <w:p w14:paraId="0A86581B" w14:textId="77777777" w:rsidR="00B76FF1" w:rsidRDefault="00B76FF1" w:rsidP="00E024BB">
            <w:pPr>
              <w:pStyle w:val="Sinespaciado"/>
              <w:jc w:val="center"/>
              <w:rPr>
                <w:sz w:val="20"/>
              </w:rPr>
            </w:pPr>
            <w:r>
              <w:rPr>
                <w:sz w:val="20"/>
              </w:rPr>
              <w:t>26</w:t>
            </w:r>
          </w:p>
        </w:tc>
        <w:tc>
          <w:tcPr>
            <w:tcW w:w="1418" w:type="dxa"/>
            <w:tcMar>
              <w:top w:w="28" w:type="dxa"/>
            </w:tcMar>
          </w:tcPr>
          <w:p w14:paraId="5EEEB748" w14:textId="77777777" w:rsidR="00B76FF1" w:rsidRDefault="00B76FF1" w:rsidP="00E024BB">
            <w:pPr>
              <w:pStyle w:val="Sinespaciado"/>
              <w:jc w:val="center"/>
              <w:rPr>
                <w:sz w:val="20"/>
              </w:rPr>
            </w:pPr>
            <w:r>
              <w:rPr>
                <w:sz w:val="20"/>
              </w:rPr>
              <w:t>38</w:t>
            </w:r>
          </w:p>
        </w:tc>
        <w:tc>
          <w:tcPr>
            <w:tcW w:w="1417" w:type="dxa"/>
            <w:tcMar>
              <w:top w:w="28" w:type="dxa"/>
            </w:tcMar>
          </w:tcPr>
          <w:p w14:paraId="06FA3D32" w14:textId="77777777" w:rsidR="00B76FF1" w:rsidRDefault="00B76FF1" w:rsidP="00E024BB">
            <w:pPr>
              <w:pStyle w:val="Sinespaciado"/>
              <w:jc w:val="center"/>
              <w:rPr>
                <w:sz w:val="20"/>
              </w:rPr>
            </w:pPr>
            <w:r>
              <w:rPr>
                <w:sz w:val="20"/>
              </w:rPr>
              <w:t>45</w:t>
            </w:r>
          </w:p>
        </w:tc>
        <w:tc>
          <w:tcPr>
            <w:tcW w:w="1560" w:type="dxa"/>
            <w:tcMar>
              <w:top w:w="28" w:type="dxa"/>
            </w:tcMar>
          </w:tcPr>
          <w:p w14:paraId="490A5A31" w14:textId="77777777" w:rsidR="00B76FF1" w:rsidRDefault="00B76FF1" w:rsidP="00E024BB">
            <w:pPr>
              <w:pStyle w:val="Sinespaciado"/>
              <w:jc w:val="center"/>
              <w:rPr>
                <w:sz w:val="20"/>
              </w:rPr>
            </w:pPr>
            <w:r>
              <w:rPr>
                <w:sz w:val="20"/>
              </w:rPr>
              <w:t>91</w:t>
            </w:r>
          </w:p>
        </w:tc>
        <w:tc>
          <w:tcPr>
            <w:tcW w:w="1560" w:type="dxa"/>
            <w:tcMar>
              <w:top w:w="28" w:type="dxa"/>
            </w:tcMar>
          </w:tcPr>
          <w:p w14:paraId="2D32D807" w14:textId="77777777" w:rsidR="00B76FF1" w:rsidRDefault="00B76FF1" w:rsidP="00E024BB">
            <w:pPr>
              <w:pStyle w:val="Sinespaciado"/>
              <w:jc w:val="center"/>
              <w:rPr>
                <w:sz w:val="20"/>
              </w:rPr>
            </w:pPr>
            <w:r>
              <w:rPr>
                <w:sz w:val="20"/>
              </w:rPr>
              <w:t>89</w:t>
            </w:r>
          </w:p>
        </w:tc>
      </w:tr>
      <w:tr w:rsidR="00B76FF1" w:rsidRPr="00436F39" w14:paraId="48180E11" w14:textId="77777777" w:rsidTr="00E024BB">
        <w:tc>
          <w:tcPr>
            <w:tcW w:w="1183" w:type="dxa"/>
            <w:vMerge/>
            <w:tcMar>
              <w:top w:w="28" w:type="dxa"/>
            </w:tcMar>
          </w:tcPr>
          <w:p w14:paraId="2B933F97" w14:textId="77777777" w:rsidR="00B76FF1" w:rsidRDefault="00B76FF1" w:rsidP="00E024BB">
            <w:pPr>
              <w:pStyle w:val="Sinespaciado"/>
              <w:rPr>
                <w:b/>
                <w:sz w:val="20"/>
              </w:rPr>
            </w:pPr>
          </w:p>
        </w:tc>
        <w:tc>
          <w:tcPr>
            <w:tcW w:w="1936" w:type="dxa"/>
            <w:tcMar>
              <w:top w:w="28" w:type="dxa"/>
            </w:tcMar>
          </w:tcPr>
          <w:p w14:paraId="4AFB3E60" w14:textId="77777777" w:rsidR="00B76FF1" w:rsidRPr="00B33545" w:rsidRDefault="00B76FF1" w:rsidP="00E024BB">
            <w:pPr>
              <w:pStyle w:val="Sinespaciado"/>
              <w:rPr>
                <w:b/>
                <w:sz w:val="20"/>
              </w:rPr>
            </w:pPr>
            <w:r>
              <w:rPr>
                <w:b/>
                <w:sz w:val="20"/>
              </w:rPr>
              <w:t>P &lt; 0.01</w:t>
            </w:r>
          </w:p>
        </w:tc>
        <w:tc>
          <w:tcPr>
            <w:tcW w:w="1510" w:type="dxa"/>
            <w:tcMar>
              <w:top w:w="28" w:type="dxa"/>
            </w:tcMar>
          </w:tcPr>
          <w:p w14:paraId="2394BD65" w14:textId="77777777" w:rsidR="00B76FF1" w:rsidRDefault="00B76FF1" w:rsidP="00E024BB">
            <w:pPr>
              <w:pStyle w:val="Sinespaciado"/>
              <w:jc w:val="center"/>
              <w:rPr>
                <w:sz w:val="20"/>
              </w:rPr>
            </w:pPr>
            <w:r>
              <w:rPr>
                <w:sz w:val="20"/>
              </w:rPr>
              <w:t>28</w:t>
            </w:r>
          </w:p>
        </w:tc>
        <w:tc>
          <w:tcPr>
            <w:tcW w:w="1418" w:type="dxa"/>
            <w:tcMar>
              <w:top w:w="28" w:type="dxa"/>
            </w:tcMar>
          </w:tcPr>
          <w:p w14:paraId="1C32A156" w14:textId="77777777" w:rsidR="00B76FF1" w:rsidRDefault="00B76FF1" w:rsidP="00E024BB">
            <w:pPr>
              <w:pStyle w:val="Sinespaciado"/>
              <w:jc w:val="center"/>
              <w:rPr>
                <w:sz w:val="20"/>
              </w:rPr>
            </w:pPr>
            <w:r>
              <w:rPr>
                <w:sz w:val="20"/>
              </w:rPr>
              <w:t>50</w:t>
            </w:r>
          </w:p>
        </w:tc>
        <w:tc>
          <w:tcPr>
            <w:tcW w:w="1417" w:type="dxa"/>
            <w:tcMar>
              <w:top w:w="28" w:type="dxa"/>
            </w:tcMar>
          </w:tcPr>
          <w:p w14:paraId="5D642B52" w14:textId="77777777" w:rsidR="00B76FF1" w:rsidRDefault="00B76FF1" w:rsidP="00E024BB">
            <w:pPr>
              <w:pStyle w:val="Sinespaciado"/>
              <w:jc w:val="center"/>
              <w:rPr>
                <w:sz w:val="20"/>
              </w:rPr>
            </w:pPr>
            <w:r>
              <w:rPr>
                <w:sz w:val="20"/>
              </w:rPr>
              <w:t>48</w:t>
            </w:r>
          </w:p>
        </w:tc>
        <w:tc>
          <w:tcPr>
            <w:tcW w:w="1560" w:type="dxa"/>
            <w:tcMar>
              <w:top w:w="28" w:type="dxa"/>
            </w:tcMar>
          </w:tcPr>
          <w:p w14:paraId="66DEC2C7" w14:textId="77777777" w:rsidR="00B76FF1" w:rsidRDefault="00B76FF1" w:rsidP="00E024BB">
            <w:pPr>
              <w:pStyle w:val="Sinespaciado"/>
              <w:jc w:val="center"/>
              <w:rPr>
                <w:sz w:val="20"/>
              </w:rPr>
            </w:pPr>
            <w:r>
              <w:rPr>
                <w:sz w:val="20"/>
              </w:rPr>
              <w:t>97</w:t>
            </w:r>
          </w:p>
        </w:tc>
        <w:tc>
          <w:tcPr>
            <w:tcW w:w="1560" w:type="dxa"/>
            <w:tcMar>
              <w:top w:w="28" w:type="dxa"/>
            </w:tcMar>
          </w:tcPr>
          <w:p w14:paraId="0AE32BE8" w14:textId="77777777" w:rsidR="00B76FF1" w:rsidRDefault="00B76FF1" w:rsidP="00E024BB">
            <w:pPr>
              <w:pStyle w:val="Sinespaciado"/>
              <w:jc w:val="center"/>
              <w:rPr>
                <w:sz w:val="20"/>
              </w:rPr>
            </w:pPr>
            <w:r>
              <w:rPr>
                <w:sz w:val="20"/>
              </w:rPr>
              <w:t>96</w:t>
            </w:r>
          </w:p>
        </w:tc>
      </w:tr>
      <w:tr w:rsidR="00B76FF1" w:rsidRPr="00436F39" w14:paraId="790AF429" w14:textId="77777777" w:rsidTr="00E024BB">
        <w:tc>
          <w:tcPr>
            <w:tcW w:w="1183" w:type="dxa"/>
            <w:vMerge/>
            <w:tcMar>
              <w:top w:w="28" w:type="dxa"/>
            </w:tcMar>
          </w:tcPr>
          <w:p w14:paraId="5DE07126" w14:textId="77777777" w:rsidR="00B76FF1" w:rsidRDefault="00B76FF1" w:rsidP="00E024BB">
            <w:pPr>
              <w:pStyle w:val="Sinespaciado"/>
              <w:rPr>
                <w:b/>
                <w:sz w:val="20"/>
              </w:rPr>
            </w:pPr>
          </w:p>
        </w:tc>
        <w:tc>
          <w:tcPr>
            <w:tcW w:w="1936" w:type="dxa"/>
            <w:tcMar>
              <w:top w:w="28" w:type="dxa"/>
            </w:tcMar>
          </w:tcPr>
          <w:p w14:paraId="0661A9E2" w14:textId="77777777" w:rsidR="00B76FF1" w:rsidRDefault="00B76FF1" w:rsidP="00E024BB">
            <w:pPr>
              <w:pStyle w:val="Sinespaciado"/>
              <w:rPr>
                <w:b/>
                <w:sz w:val="20"/>
              </w:rPr>
            </w:pPr>
            <w:r>
              <w:rPr>
                <w:b/>
                <w:sz w:val="20"/>
              </w:rPr>
              <w:t>Total P &lt; 0.05</w:t>
            </w:r>
          </w:p>
        </w:tc>
        <w:tc>
          <w:tcPr>
            <w:tcW w:w="1510" w:type="dxa"/>
            <w:tcMar>
              <w:top w:w="28" w:type="dxa"/>
            </w:tcMar>
          </w:tcPr>
          <w:p w14:paraId="6BBEE5DE" w14:textId="77777777" w:rsidR="00B76FF1" w:rsidRDefault="00B76FF1" w:rsidP="00E024BB">
            <w:pPr>
              <w:pStyle w:val="Sinespaciado"/>
              <w:jc w:val="center"/>
              <w:rPr>
                <w:sz w:val="20"/>
              </w:rPr>
            </w:pPr>
            <w:r>
              <w:rPr>
                <w:sz w:val="20"/>
              </w:rPr>
              <w:t>54</w:t>
            </w:r>
          </w:p>
        </w:tc>
        <w:tc>
          <w:tcPr>
            <w:tcW w:w="1418" w:type="dxa"/>
            <w:tcMar>
              <w:top w:w="28" w:type="dxa"/>
            </w:tcMar>
          </w:tcPr>
          <w:p w14:paraId="15855A48" w14:textId="77777777" w:rsidR="00B76FF1" w:rsidRDefault="00B76FF1" w:rsidP="00E024BB">
            <w:pPr>
              <w:pStyle w:val="Sinespaciado"/>
              <w:jc w:val="center"/>
              <w:rPr>
                <w:sz w:val="20"/>
              </w:rPr>
            </w:pPr>
            <w:r>
              <w:rPr>
                <w:sz w:val="20"/>
              </w:rPr>
              <w:t>88</w:t>
            </w:r>
          </w:p>
        </w:tc>
        <w:tc>
          <w:tcPr>
            <w:tcW w:w="1417" w:type="dxa"/>
            <w:tcMar>
              <w:top w:w="28" w:type="dxa"/>
            </w:tcMar>
          </w:tcPr>
          <w:p w14:paraId="37E52D89" w14:textId="77777777" w:rsidR="00B76FF1" w:rsidRDefault="00B76FF1" w:rsidP="00E024BB">
            <w:pPr>
              <w:pStyle w:val="Sinespaciado"/>
              <w:jc w:val="center"/>
              <w:rPr>
                <w:sz w:val="20"/>
              </w:rPr>
            </w:pPr>
            <w:r>
              <w:rPr>
                <w:sz w:val="20"/>
              </w:rPr>
              <w:t>93</w:t>
            </w:r>
          </w:p>
        </w:tc>
        <w:tc>
          <w:tcPr>
            <w:tcW w:w="1560" w:type="dxa"/>
            <w:tcMar>
              <w:top w:w="28" w:type="dxa"/>
            </w:tcMar>
          </w:tcPr>
          <w:p w14:paraId="6E10AF24" w14:textId="77777777" w:rsidR="00B76FF1" w:rsidRDefault="00B76FF1" w:rsidP="00E024BB">
            <w:pPr>
              <w:pStyle w:val="Sinespaciado"/>
              <w:jc w:val="center"/>
              <w:rPr>
                <w:sz w:val="20"/>
              </w:rPr>
            </w:pPr>
            <w:r>
              <w:rPr>
                <w:sz w:val="20"/>
              </w:rPr>
              <w:t>188</w:t>
            </w:r>
          </w:p>
        </w:tc>
        <w:tc>
          <w:tcPr>
            <w:tcW w:w="1560" w:type="dxa"/>
            <w:tcMar>
              <w:top w:w="28" w:type="dxa"/>
            </w:tcMar>
          </w:tcPr>
          <w:p w14:paraId="111BF822" w14:textId="77777777" w:rsidR="00B76FF1" w:rsidRDefault="00B76FF1" w:rsidP="00E024BB">
            <w:pPr>
              <w:pStyle w:val="Sinespaciado"/>
              <w:jc w:val="center"/>
              <w:rPr>
                <w:sz w:val="20"/>
              </w:rPr>
            </w:pPr>
            <w:r>
              <w:rPr>
                <w:sz w:val="20"/>
              </w:rPr>
              <w:t>185</w:t>
            </w:r>
          </w:p>
        </w:tc>
      </w:tr>
      <w:tr w:rsidR="00B76FF1" w:rsidRPr="00436F39" w14:paraId="6B304B6A" w14:textId="77777777" w:rsidTr="00E024BB">
        <w:tc>
          <w:tcPr>
            <w:tcW w:w="1183" w:type="dxa"/>
            <w:vMerge/>
            <w:tcMar>
              <w:top w:w="28" w:type="dxa"/>
            </w:tcMar>
          </w:tcPr>
          <w:p w14:paraId="3445B17F" w14:textId="77777777" w:rsidR="00B76FF1" w:rsidRDefault="00B76FF1" w:rsidP="00E024BB">
            <w:pPr>
              <w:pStyle w:val="Sinespaciado"/>
              <w:rPr>
                <w:b/>
                <w:sz w:val="20"/>
              </w:rPr>
            </w:pPr>
          </w:p>
        </w:tc>
        <w:tc>
          <w:tcPr>
            <w:tcW w:w="1936" w:type="dxa"/>
            <w:tcMar>
              <w:top w:w="28" w:type="dxa"/>
            </w:tcMar>
          </w:tcPr>
          <w:p w14:paraId="70B71E7D" w14:textId="77777777" w:rsidR="00B76FF1" w:rsidRDefault="00B76FF1" w:rsidP="00E024BB">
            <w:pPr>
              <w:pStyle w:val="Sinespaciado"/>
              <w:rPr>
                <w:b/>
                <w:sz w:val="20"/>
              </w:rPr>
            </w:pPr>
            <w:r>
              <w:rPr>
                <w:b/>
                <w:sz w:val="20"/>
              </w:rPr>
              <w:t>Proportion P &lt; 0.05</w:t>
            </w:r>
          </w:p>
        </w:tc>
        <w:tc>
          <w:tcPr>
            <w:tcW w:w="1510" w:type="dxa"/>
            <w:tcMar>
              <w:top w:w="28" w:type="dxa"/>
            </w:tcMar>
          </w:tcPr>
          <w:p w14:paraId="3C199AF2" w14:textId="77777777" w:rsidR="00B76FF1" w:rsidRDefault="00B76FF1" w:rsidP="00E024BB">
            <w:pPr>
              <w:pStyle w:val="Sinespaciado"/>
              <w:jc w:val="center"/>
              <w:rPr>
                <w:sz w:val="20"/>
              </w:rPr>
            </w:pPr>
            <w:r>
              <w:rPr>
                <w:sz w:val="20"/>
              </w:rPr>
              <w:t>0.24</w:t>
            </w:r>
          </w:p>
        </w:tc>
        <w:tc>
          <w:tcPr>
            <w:tcW w:w="1418" w:type="dxa"/>
            <w:tcMar>
              <w:top w:w="28" w:type="dxa"/>
            </w:tcMar>
          </w:tcPr>
          <w:p w14:paraId="3D5A015E" w14:textId="77777777" w:rsidR="00B76FF1" w:rsidRDefault="00B76FF1" w:rsidP="00E024BB">
            <w:pPr>
              <w:pStyle w:val="Sinespaciado"/>
              <w:jc w:val="center"/>
              <w:rPr>
                <w:sz w:val="20"/>
              </w:rPr>
            </w:pPr>
            <w:r>
              <w:rPr>
                <w:sz w:val="20"/>
              </w:rPr>
              <w:t>0.30</w:t>
            </w:r>
          </w:p>
        </w:tc>
        <w:tc>
          <w:tcPr>
            <w:tcW w:w="1417" w:type="dxa"/>
            <w:tcMar>
              <w:top w:w="28" w:type="dxa"/>
            </w:tcMar>
          </w:tcPr>
          <w:p w14:paraId="40F3499E" w14:textId="77777777" w:rsidR="00B76FF1" w:rsidRDefault="00B76FF1" w:rsidP="00E024BB">
            <w:pPr>
              <w:pStyle w:val="Sinespaciado"/>
              <w:jc w:val="center"/>
              <w:rPr>
                <w:sz w:val="20"/>
              </w:rPr>
            </w:pPr>
            <w:r>
              <w:rPr>
                <w:sz w:val="20"/>
              </w:rPr>
              <w:t>0.27</w:t>
            </w:r>
          </w:p>
        </w:tc>
        <w:tc>
          <w:tcPr>
            <w:tcW w:w="1560" w:type="dxa"/>
            <w:tcMar>
              <w:top w:w="28" w:type="dxa"/>
            </w:tcMar>
          </w:tcPr>
          <w:p w14:paraId="505BFD67" w14:textId="77777777" w:rsidR="00B76FF1" w:rsidRDefault="00B76FF1" w:rsidP="00E024BB">
            <w:pPr>
              <w:pStyle w:val="Sinespaciado"/>
              <w:jc w:val="center"/>
              <w:rPr>
                <w:sz w:val="20"/>
              </w:rPr>
            </w:pPr>
            <w:r>
              <w:rPr>
                <w:sz w:val="20"/>
              </w:rPr>
              <w:t>0.29</w:t>
            </w:r>
          </w:p>
        </w:tc>
        <w:tc>
          <w:tcPr>
            <w:tcW w:w="1560" w:type="dxa"/>
            <w:tcMar>
              <w:top w:w="28" w:type="dxa"/>
            </w:tcMar>
          </w:tcPr>
          <w:p w14:paraId="74152B70" w14:textId="77777777" w:rsidR="00B76FF1" w:rsidRDefault="00B76FF1" w:rsidP="00E024BB">
            <w:pPr>
              <w:pStyle w:val="Sinespaciado"/>
              <w:jc w:val="center"/>
              <w:rPr>
                <w:sz w:val="20"/>
              </w:rPr>
            </w:pPr>
            <w:r>
              <w:rPr>
                <w:sz w:val="20"/>
              </w:rPr>
              <w:t>0.28</w:t>
            </w:r>
          </w:p>
        </w:tc>
      </w:tr>
    </w:tbl>
    <w:p w14:paraId="36CA18B8" w14:textId="77777777" w:rsidR="00B76FF1" w:rsidRDefault="00B76FF1" w:rsidP="00B76FF1">
      <w:pPr>
        <w:rPr>
          <w:b/>
          <w:highlight w:val="yellow"/>
        </w:rPr>
      </w:pPr>
    </w:p>
    <w:p w14:paraId="219F5FD4" w14:textId="77777777" w:rsidR="00B76FF1" w:rsidRDefault="00B76FF1">
      <w:pPr>
        <w:rPr>
          <w:b/>
          <w:iCs/>
          <w:color w:val="000000" w:themeColor="text1"/>
          <w:szCs w:val="18"/>
        </w:rPr>
      </w:pPr>
      <w:r>
        <w:br w:type="page"/>
      </w:r>
    </w:p>
    <w:p w14:paraId="496FF6AC" w14:textId="4116C564" w:rsidR="00F77248" w:rsidRPr="00D80A9D" w:rsidRDefault="00B76FF1" w:rsidP="0031479E">
      <w:pPr>
        <w:pStyle w:val="Epgrafe"/>
      </w:pPr>
      <w:r>
        <w:lastRenderedPageBreak/>
        <w:t>Appendix 4</w:t>
      </w:r>
      <w:r w:rsidR="008A1D60">
        <w:t>.</w:t>
      </w:r>
      <w:r w:rsidR="00D80A9D">
        <w:t xml:space="preserve"> Comparison of outcome reporting in the abstracts of B</w:t>
      </w:r>
      <w:r w:rsidR="00DE5C20">
        <w:t>aird 2011a, 2011b, 2012, 2015 and 2016</w:t>
      </w:r>
    </w:p>
    <w:tbl>
      <w:tblPr>
        <w:tblStyle w:val="Tablaconcuadrcula"/>
        <w:tblW w:w="4955" w:type="pct"/>
        <w:tblInd w:w="108" w:type="dxa"/>
        <w:tblLook w:val="04A0" w:firstRow="1" w:lastRow="0" w:firstColumn="1" w:lastColumn="0" w:noHBand="0" w:noVBand="1"/>
      </w:tblPr>
      <w:tblGrid>
        <w:gridCol w:w="3075"/>
        <w:gridCol w:w="3075"/>
        <w:gridCol w:w="3074"/>
        <w:gridCol w:w="3074"/>
        <w:gridCol w:w="3074"/>
      </w:tblGrid>
      <w:tr w:rsidR="0031479E" w:rsidRPr="0031479E" w14:paraId="10C23395" w14:textId="77777777" w:rsidTr="0031479E">
        <w:tc>
          <w:tcPr>
            <w:tcW w:w="1000" w:type="pct"/>
            <w:shd w:val="clear" w:color="auto" w:fill="D9D9D9" w:themeFill="background1" w:themeFillShade="D9"/>
            <w:tcMar>
              <w:top w:w="28" w:type="dxa"/>
              <w:left w:w="57" w:type="dxa"/>
              <w:right w:w="57" w:type="dxa"/>
            </w:tcMar>
          </w:tcPr>
          <w:p w14:paraId="6756F362" w14:textId="67571725" w:rsidR="0031479E" w:rsidRPr="0031479E" w:rsidRDefault="0031479E" w:rsidP="008E027C">
            <w:pPr>
              <w:jc w:val="center"/>
              <w:rPr>
                <w:b/>
                <w:sz w:val="20"/>
                <w:szCs w:val="18"/>
              </w:rPr>
            </w:pPr>
            <w:r>
              <w:rPr>
                <w:b/>
                <w:sz w:val="20"/>
                <w:szCs w:val="18"/>
              </w:rPr>
              <w:t>Outcomes reported</w:t>
            </w:r>
          </w:p>
        </w:tc>
        <w:tc>
          <w:tcPr>
            <w:tcW w:w="1000" w:type="pct"/>
            <w:shd w:val="clear" w:color="auto" w:fill="D9D9D9" w:themeFill="background1" w:themeFillShade="D9"/>
            <w:tcMar>
              <w:top w:w="28" w:type="dxa"/>
              <w:left w:w="57" w:type="dxa"/>
              <w:bottom w:w="85" w:type="dxa"/>
              <w:right w:w="57" w:type="dxa"/>
            </w:tcMar>
          </w:tcPr>
          <w:p w14:paraId="0DC3DAB6" w14:textId="77777777" w:rsidR="0031479E" w:rsidRPr="0031479E" w:rsidRDefault="0031479E" w:rsidP="008E027C">
            <w:pPr>
              <w:jc w:val="center"/>
              <w:rPr>
                <w:b/>
                <w:sz w:val="20"/>
                <w:szCs w:val="18"/>
              </w:rPr>
            </w:pPr>
            <w:r w:rsidRPr="0031479E">
              <w:rPr>
                <w:b/>
                <w:sz w:val="20"/>
                <w:szCs w:val="18"/>
              </w:rPr>
              <w:t>Baird 2011a</w:t>
            </w:r>
          </w:p>
        </w:tc>
        <w:tc>
          <w:tcPr>
            <w:tcW w:w="1000" w:type="pct"/>
            <w:shd w:val="clear" w:color="auto" w:fill="D9D9D9" w:themeFill="background1" w:themeFillShade="D9"/>
            <w:tcMar>
              <w:top w:w="28" w:type="dxa"/>
              <w:left w:w="57" w:type="dxa"/>
              <w:bottom w:w="85" w:type="dxa"/>
              <w:right w:w="57" w:type="dxa"/>
            </w:tcMar>
          </w:tcPr>
          <w:p w14:paraId="2DAA1F02" w14:textId="77777777" w:rsidR="0031479E" w:rsidRPr="0031479E" w:rsidRDefault="0031479E" w:rsidP="008E027C">
            <w:pPr>
              <w:jc w:val="center"/>
              <w:rPr>
                <w:b/>
                <w:sz w:val="20"/>
                <w:szCs w:val="18"/>
              </w:rPr>
            </w:pPr>
            <w:r w:rsidRPr="0031479E">
              <w:rPr>
                <w:b/>
                <w:sz w:val="20"/>
                <w:szCs w:val="18"/>
              </w:rPr>
              <w:t>Baird 2011b</w:t>
            </w:r>
          </w:p>
        </w:tc>
        <w:tc>
          <w:tcPr>
            <w:tcW w:w="1000" w:type="pct"/>
            <w:shd w:val="clear" w:color="auto" w:fill="D9D9D9" w:themeFill="background1" w:themeFillShade="D9"/>
            <w:tcMar>
              <w:top w:w="28" w:type="dxa"/>
              <w:left w:w="57" w:type="dxa"/>
              <w:bottom w:w="85" w:type="dxa"/>
              <w:right w:w="57" w:type="dxa"/>
            </w:tcMar>
          </w:tcPr>
          <w:p w14:paraId="72744D9D" w14:textId="77777777" w:rsidR="0031479E" w:rsidRPr="0031479E" w:rsidRDefault="0031479E" w:rsidP="008E027C">
            <w:pPr>
              <w:jc w:val="center"/>
              <w:rPr>
                <w:b/>
                <w:sz w:val="20"/>
                <w:szCs w:val="18"/>
              </w:rPr>
            </w:pPr>
            <w:r w:rsidRPr="0031479E">
              <w:rPr>
                <w:b/>
                <w:sz w:val="20"/>
                <w:szCs w:val="18"/>
              </w:rPr>
              <w:t>Baird 2012</w:t>
            </w:r>
          </w:p>
        </w:tc>
        <w:tc>
          <w:tcPr>
            <w:tcW w:w="1000" w:type="pct"/>
            <w:shd w:val="clear" w:color="auto" w:fill="D9D9D9" w:themeFill="background1" w:themeFillShade="D9"/>
            <w:tcMar>
              <w:top w:w="28" w:type="dxa"/>
              <w:left w:w="57" w:type="dxa"/>
              <w:bottom w:w="85" w:type="dxa"/>
              <w:right w:w="57" w:type="dxa"/>
            </w:tcMar>
          </w:tcPr>
          <w:p w14:paraId="72D28195" w14:textId="530E74C7" w:rsidR="0031479E" w:rsidRPr="0031479E" w:rsidRDefault="0031479E" w:rsidP="008E027C">
            <w:pPr>
              <w:jc w:val="center"/>
              <w:rPr>
                <w:b/>
                <w:sz w:val="20"/>
                <w:szCs w:val="18"/>
              </w:rPr>
            </w:pPr>
            <w:r w:rsidRPr="0031479E">
              <w:rPr>
                <w:b/>
                <w:sz w:val="20"/>
                <w:szCs w:val="18"/>
              </w:rPr>
              <w:t>Baird 2015 (and Baird 2016</w:t>
            </w:r>
            <w:r w:rsidRPr="0031479E">
              <w:rPr>
                <w:b/>
                <w:sz w:val="20"/>
                <w:szCs w:val="18"/>
                <w:vertAlign w:val="superscript"/>
              </w:rPr>
              <w:t>a</w:t>
            </w:r>
            <w:r w:rsidRPr="0031479E">
              <w:rPr>
                <w:b/>
                <w:sz w:val="20"/>
                <w:szCs w:val="18"/>
              </w:rPr>
              <w:t>)</w:t>
            </w:r>
          </w:p>
        </w:tc>
      </w:tr>
      <w:tr w:rsidR="0031479E" w:rsidRPr="00D80A9D" w14:paraId="31FD9877" w14:textId="77777777" w:rsidTr="0031479E">
        <w:tc>
          <w:tcPr>
            <w:tcW w:w="1000" w:type="pct"/>
            <w:tcMar>
              <w:top w:w="28" w:type="dxa"/>
              <w:left w:w="57" w:type="dxa"/>
              <w:right w:w="57" w:type="dxa"/>
            </w:tcMar>
          </w:tcPr>
          <w:p w14:paraId="3582783A" w14:textId="4E38909C" w:rsidR="0031479E" w:rsidRPr="0031479E" w:rsidRDefault="0031479E" w:rsidP="008E027C">
            <w:pPr>
              <w:rPr>
                <w:b/>
                <w:sz w:val="20"/>
                <w:szCs w:val="18"/>
              </w:rPr>
            </w:pPr>
            <w:r w:rsidRPr="0031479E">
              <w:rPr>
                <w:b/>
                <w:sz w:val="20"/>
                <w:szCs w:val="18"/>
              </w:rPr>
              <w:t>Tracking rate over a decade</w:t>
            </w:r>
          </w:p>
        </w:tc>
        <w:tc>
          <w:tcPr>
            <w:tcW w:w="1000" w:type="pct"/>
            <w:tcMar>
              <w:top w:w="28" w:type="dxa"/>
              <w:left w:w="57" w:type="dxa"/>
              <w:right w:w="57" w:type="dxa"/>
            </w:tcMar>
          </w:tcPr>
          <w:p w14:paraId="694B1DBD" w14:textId="77777777" w:rsidR="0031479E" w:rsidRPr="00D80A9D" w:rsidRDefault="0031479E" w:rsidP="008E027C">
            <w:pPr>
              <w:rPr>
                <w:sz w:val="18"/>
                <w:szCs w:val="18"/>
              </w:rPr>
            </w:pPr>
            <w:r w:rsidRPr="00D80A9D">
              <w:rPr>
                <w:sz w:val="18"/>
                <w:szCs w:val="18"/>
              </w:rPr>
              <w:t>83%</w:t>
            </w:r>
          </w:p>
        </w:tc>
        <w:tc>
          <w:tcPr>
            <w:tcW w:w="1000" w:type="pct"/>
            <w:tcMar>
              <w:top w:w="28" w:type="dxa"/>
              <w:left w:w="57" w:type="dxa"/>
              <w:right w:w="57" w:type="dxa"/>
            </w:tcMar>
          </w:tcPr>
          <w:p w14:paraId="01C0BF3E" w14:textId="1081D309"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5A75705C" w14:textId="7F708AF2"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66645429" w14:textId="6ADBD63D" w:rsidR="0031479E" w:rsidRPr="00D80A9D" w:rsidRDefault="0031479E" w:rsidP="008E027C">
            <w:pPr>
              <w:rPr>
                <w:sz w:val="18"/>
                <w:szCs w:val="18"/>
              </w:rPr>
            </w:pPr>
            <w:r>
              <w:rPr>
                <w:sz w:val="18"/>
                <w:szCs w:val="18"/>
              </w:rPr>
              <w:t>Not reported</w:t>
            </w:r>
          </w:p>
        </w:tc>
      </w:tr>
      <w:tr w:rsidR="0031479E" w:rsidRPr="00D80A9D" w14:paraId="30D5CE9B" w14:textId="77777777" w:rsidTr="0031479E">
        <w:tc>
          <w:tcPr>
            <w:tcW w:w="1000" w:type="pct"/>
            <w:shd w:val="clear" w:color="auto" w:fill="auto"/>
            <w:tcMar>
              <w:top w:w="28" w:type="dxa"/>
              <w:left w:w="57" w:type="dxa"/>
              <w:right w:w="57" w:type="dxa"/>
            </w:tcMar>
          </w:tcPr>
          <w:p w14:paraId="616CF2C6" w14:textId="77777777" w:rsidR="0031479E" w:rsidRPr="0031479E" w:rsidRDefault="0031479E" w:rsidP="008E027C">
            <w:pPr>
              <w:rPr>
                <w:b/>
                <w:sz w:val="20"/>
                <w:szCs w:val="18"/>
              </w:rPr>
            </w:pPr>
            <w:r w:rsidRPr="0031479E">
              <w:rPr>
                <w:b/>
                <w:sz w:val="20"/>
                <w:szCs w:val="18"/>
              </w:rPr>
              <w:t>Self-reported health</w:t>
            </w:r>
          </w:p>
        </w:tc>
        <w:tc>
          <w:tcPr>
            <w:tcW w:w="1000" w:type="pct"/>
            <w:tcMar>
              <w:top w:w="28" w:type="dxa"/>
              <w:left w:w="57" w:type="dxa"/>
              <w:right w:w="57" w:type="dxa"/>
            </w:tcMar>
          </w:tcPr>
          <w:p w14:paraId="2BAA8413" w14:textId="77777777" w:rsidR="0031479E" w:rsidRPr="00D80A9D" w:rsidRDefault="0031479E" w:rsidP="008E027C">
            <w:pPr>
              <w:rPr>
                <w:sz w:val="18"/>
                <w:szCs w:val="18"/>
              </w:rPr>
            </w:pPr>
            <w:r w:rsidRPr="00D80A9D">
              <w:rPr>
                <w:sz w:val="18"/>
                <w:szCs w:val="18"/>
              </w:rPr>
              <w:t>“Improved significantly”</w:t>
            </w:r>
          </w:p>
        </w:tc>
        <w:tc>
          <w:tcPr>
            <w:tcW w:w="1000" w:type="pct"/>
            <w:tcMar>
              <w:top w:w="28" w:type="dxa"/>
              <w:left w:w="57" w:type="dxa"/>
              <w:right w:w="57" w:type="dxa"/>
            </w:tcMar>
          </w:tcPr>
          <w:p w14:paraId="4799A731" w14:textId="7ABAFFDF"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6CAFD7EB" w14:textId="77777777" w:rsidR="0031479E" w:rsidRPr="00D80A9D" w:rsidRDefault="0031479E" w:rsidP="008E027C">
            <w:pPr>
              <w:rPr>
                <w:sz w:val="18"/>
                <w:szCs w:val="18"/>
              </w:rPr>
            </w:pPr>
            <w:r w:rsidRPr="00D80A9D">
              <w:rPr>
                <w:sz w:val="18"/>
                <w:szCs w:val="18"/>
              </w:rPr>
              <w:t>“Better”</w:t>
            </w:r>
          </w:p>
        </w:tc>
        <w:tc>
          <w:tcPr>
            <w:tcW w:w="1000" w:type="pct"/>
            <w:tcMar>
              <w:top w:w="28" w:type="dxa"/>
              <w:left w:w="57" w:type="dxa"/>
              <w:right w:w="57" w:type="dxa"/>
            </w:tcMar>
          </w:tcPr>
          <w:p w14:paraId="30FB3966" w14:textId="02F95D0A" w:rsidR="0031479E" w:rsidRPr="00D80A9D" w:rsidRDefault="0031479E" w:rsidP="008E027C">
            <w:pPr>
              <w:rPr>
                <w:sz w:val="18"/>
                <w:szCs w:val="18"/>
              </w:rPr>
            </w:pPr>
            <w:r>
              <w:rPr>
                <w:sz w:val="18"/>
                <w:szCs w:val="18"/>
              </w:rPr>
              <w:t>Not reported</w:t>
            </w:r>
          </w:p>
        </w:tc>
      </w:tr>
      <w:tr w:rsidR="0031479E" w:rsidRPr="00D80A9D" w14:paraId="0B4935C5" w14:textId="77777777" w:rsidTr="0031479E">
        <w:tc>
          <w:tcPr>
            <w:tcW w:w="1000" w:type="pct"/>
            <w:shd w:val="clear" w:color="auto" w:fill="auto"/>
            <w:tcMar>
              <w:top w:w="28" w:type="dxa"/>
              <w:left w:w="57" w:type="dxa"/>
              <w:right w:w="57" w:type="dxa"/>
            </w:tcMar>
          </w:tcPr>
          <w:p w14:paraId="30DED63C" w14:textId="7818D33D" w:rsidR="0031479E" w:rsidRPr="0031479E" w:rsidRDefault="0031479E" w:rsidP="0047118F">
            <w:pPr>
              <w:rPr>
                <w:b/>
                <w:sz w:val="20"/>
                <w:szCs w:val="18"/>
              </w:rPr>
            </w:pPr>
            <w:r w:rsidRPr="0031479E">
              <w:rPr>
                <w:b/>
                <w:sz w:val="20"/>
                <w:szCs w:val="18"/>
              </w:rPr>
              <w:t xml:space="preserve">Miscarriages </w:t>
            </w:r>
          </w:p>
        </w:tc>
        <w:tc>
          <w:tcPr>
            <w:tcW w:w="1000" w:type="pct"/>
            <w:tcMar>
              <w:top w:w="28" w:type="dxa"/>
              <w:left w:w="57" w:type="dxa"/>
              <w:right w:w="57" w:type="dxa"/>
            </w:tcMar>
          </w:tcPr>
          <w:p w14:paraId="6FCD81ED" w14:textId="67663B61"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39FE61E6" w14:textId="0A1FEEC9"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6EFE97AF" w14:textId="77777777" w:rsidR="0031479E" w:rsidRPr="00D80A9D" w:rsidRDefault="0031479E" w:rsidP="008E027C">
            <w:pPr>
              <w:rPr>
                <w:sz w:val="18"/>
                <w:szCs w:val="18"/>
              </w:rPr>
            </w:pPr>
            <w:r w:rsidRPr="00D80A9D">
              <w:rPr>
                <w:sz w:val="18"/>
                <w:szCs w:val="18"/>
              </w:rPr>
              <w:t>“Fewer”</w:t>
            </w:r>
          </w:p>
        </w:tc>
        <w:tc>
          <w:tcPr>
            <w:tcW w:w="1000" w:type="pct"/>
            <w:tcMar>
              <w:top w:w="28" w:type="dxa"/>
              <w:left w:w="57" w:type="dxa"/>
              <w:right w:w="57" w:type="dxa"/>
            </w:tcMar>
          </w:tcPr>
          <w:p w14:paraId="380DFA54" w14:textId="5DD12940" w:rsidR="0031479E" w:rsidRPr="00D80A9D" w:rsidRDefault="0031479E" w:rsidP="008E027C">
            <w:pPr>
              <w:rPr>
                <w:sz w:val="18"/>
                <w:szCs w:val="18"/>
              </w:rPr>
            </w:pPr>
            <w:r>
              <w:rPr>
                <w:sz w:val="18"/>
                <w:szCs w:val="18"/>
              </w:rPr>
              <w:t>Not reported</w:t>
            </w:r>
          </w:p>
        </w:tc>
      </w:tr>
      <w:tr w:rsidR="0031479E" w:rsidRPr="00D80A9D" w14:paraId="60A8F887" w14:textId="77777777" w:rsidTr="0031479E">
        <w:tc>
          <w:tcPr>
            <w:tcW w:w="1000" w:type="pct"/>
            <w:shd w:val="clear" w:color="auto" w:fill="auto"/>
            <w:tcMar>
              <w:top w:w="28" w:type="dxa"/>
              <w:left w:w="57" w:type="dxa"/>
              <w:right w:w="57" w:type="dxa"/>
            </w:tcMar>
          </w:tcPr>
          <w:p w14:paraId="330657B1" w14:textId="77777777" w:rsidR="0031479E" w:rsidRPr="0031479E" w:rsidRDefault="0031479E" w:rsidP="008E027C">
            <w:pPr>
              <w:rPr>
                <w:b/>
                <w:sz w:val="20"/>
                <w:szCs w:val="18"/>
              </w:rPr>
            </w:pPr>
            <w:r w:rsidRPr="0031479E">
              <w:rPr>
                <w:b/>
                <w:sz w:val="20"/>
                <w:szCs w:val="18"/>
              </w:rPr>
              <w:t>Years enrolled in school</w:t>
            </w:r>
          </w:p>
        </w:tc>
        <w:tc>
          <w:tcPr>
            <w:tcW w:w="1000" w:type="pct"/>
            <w:tcMar>
              <w:top w:w="28" w:type="dxa"/>
              <w:left w:w="57" w:type="dxa"/>
              <w:right w:w="57" w:type="dxa"/>
            </w:tcMar>
          </w:tcPr>
          <w:p w14:paraId="155EFD51" w14:textId="77777777" w:rsidR="0031479E" w:rsidRPr="00D80A9D" w:rsidRDefault="0031479E" w:rsidP="008E027C">
            <w:pPr>
              <w:rPr>
                <w:sz w:val="18"/>
                <w:szCs w:val="18"/>
              </w:rPr>
            </w:pPr>
            <w:r w:rsidRPr="00D80A9D">
              <w:rPr>
                <w:sz w:val="18"/>
                <w:szCs w:val="18"/>
              </w:rPr>
              <w:t>“Improved significantly”</w:t>
            </w:r>
          </w:p>
        </w:tc>
        <w:tc>
          <w:tcPr>
            <w:tcW w:w="1000" w:type="pct"/>
            <w:tcMar>
              <w:top w:w="28" w:type="dxa"/>
              <w:left w:w="57" w:type="dxa"/>
              <w:right w:w="57" w:type="dxa"/>
            </w:tcMar>
          </w:tcPr>
          <w:p w14:paraId="7828C1FF" w14:textId="6177D502"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4EA74EF8" w14:textId="731C7AC8"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038D5956" w14:textId="77777777" w:rsidR="0031479E" w:rsidRPr="00D80A9D" w:rsidRDefault="0031479E" w:rsidP="008E027C">
            <w:pPr>
              <w:rPr>
                <w:sz w:val="18"/>
                <w:szCs w:val="18"/>
              </w:rPr>
            </w:pPr>
            <w:r w:rsidRPr="00D80A9D">
              <w:rPr>
                <w:sz w:val="18"/>
                <w:szCs w:val="18"/>
              </w:rPr>
              <w:t>Boys: “stay enrolled for more years of primary school”</w:t>
            </w:r>
          </w:p>
        </w:tc>
      </w:tr>
      <w:tr w:rsidR="0031479E" w:rsidRPr="00D80A9D" w14:paraId="41E8FEB8" w14:textId="77777777" w:rsidTr="0031479E">
        <w:tc>
          <w:tcPr>
            <w:tcW w:w="1000" w:type="pct"/>
            <w:shd w:val="clear" w:color="auto" w:fill="auto"/>
            <w:tcMar>
              <w:top w:w="28" w:type="dxa"/>
              <w:left w:w="57" w:type="dxa"/>
              <w:right w:w="57" w:type="dxa"/>
            </w:tcMar>
          </w:tcPr>
          <w:p w14:paraId="0FCD33A6" w14:textId="77777777" w:rsidR="0031479E" w:rsidRPr="0031479E" w:rsidRDefault="0031479E" w:rsidP="008E027C">
            <w:pPr>
              <w:rPr>
                <w:b/>
                <w:sz w:val="20"/>
                <w:szCs w:val="18"/>
              </w:rPr>
            </w:pPr>
            <w:r w:rsidRPr="0031479E">
              <w:rPr>
                <w:b/>
                <w:sz w:val="20"/>
                <w:szCs w:val="18"/>
              </w:rPr>
              <w:t>Attended secondary school</w:t>
            </w:r>
          </w:p>
        </w:tc>
        <w:tc>
          <w:tcPr>
            <w:tcW w:w="1000" w:type="pct"/>
            <w:tcMar>
              <w:top w:w="28" w:type="dxa"/>
              <w:left w:w="57" w:type="dxa"/>
              <w:right w:w="57" w:type="dxa"/>
            </w:tcMar>
          </w:tcPr>
          <w:p w14:paraId="4E4328DE" w14:textId="38227A68"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0183A405" w14:textId="6D518BD5"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3237FF5A" w14:textId="4B25FDC3"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6001D8DA" w14:textId="2791A7E5" w:rsidR="0031479E" w:rsidRPr="00D80A9D" w:rsidRDefault="0031479E" w:rsidP="008E027C">
            <w:pPr>
              <w:rPr>
                <w:sz w:val="18"/>
                <w:szCs w:val="18"/>
              </w:rPr>
            </w:pPr>
            <w:r w:rsidRPr="00D80A9D">
              <w:rPr>
                <w:sz w:val="18"/>
                <w:szCs w:val="18"/>
              </w:rPr>
              <w:t>“25% more likely” in women</w:t>
            </w:r>
            <w:r>
              <w:rPr>
                <w:sz w:val="18"/>
                <w:szCs w:val="18"/>
              </w:rPr>
              <w:t>, “halving the gender gap”</w:t>
            </w:r>
          </w:p>
        </w:tc>
      </w:tr>
      <w:tr w:rsidR="0031479E" w:rsidRPr="00D80A9D" w14:paraId="2742529A" w14:textId="77777777" w:rsidTr="0031479E">
        <w:tc>
          <w:tcPr>
            <w:tcW w:w="1000" w:type="pct"/>
            <w:shd w:val="clear" w:color="auto" w:fill="auto"/>
            <w:tcMar>
              <w:top w:w="28" w:type="dxa"/>
              <w:left w:w="57" w:type="dxa"/>
              <w:right w:w="57" w:type="dxa"/>
            </w:tcMar>
          </w:tcPr>
          <w:p w14:paraId="4078BC8C" w14:textId="77777777" w:rsidR="0031479E" w:rsidRPr="0031479E" w:rsidRDefault="0031479E" w:rsidP="008E027C">
            <w:pPr>
              <w:rPr>
                <w:b/>
                <w:sz w:val="20"/>
                <w:szCs w:val="18"/>
              </w:rPr>
            </w:pPr>
            <w:r w:rsidRPr="0031479E">
              <w:rPr>
                <w:b/>
                <w:sz w:val="20"/>
                <w:szCs w:val="18"/>
              </w:rPr>
              <w:t>Test scores</w:t>
            </w:r>
          </w:p>
        </w:tc>
        <w:tc>
          <w:tcPr>
            <w:tcW w:w="1000" w:type="pct"/>
            <w:tcMar>
              <w:top w:w="28" w:type="dxa"/>
              <w:left w:w="57" w:type="dxa"/>
              <w:right w:w="57" w:type="dxa"/>
            </w:tcMar>
          </w:tcPr>
          <w:p w14:paraId="72E60C64" w14:textId="77777777" w:rsidR="0031479E" w:rsidRPr="00D80A9D" w:rsidRDefault="0031479E" w:rsidP="008E027C">
            <w:pPr>
              <w:rPr>
                <w:sz w:val="18"/>
                <w:szCs w:val="18"/>
              </w:rPr>
            </w:pPr>
            <w:r w:rsidRPr="00D80A9D">
              <w:rPr>
                <w:sz w:val="18"/>
                <w:szCs w:val="18"/>
              </w:rPr>
              <w:t>“Improved significantly”</w:t>
            </w:r>
          </w:p>
        </w:tc>
        <w:tc>
          <w:tcPr>
            <w:tcW w:w="1000" w:type="pct"/>
            <w:tcMar>
              <w:top w:w="28" w:type="dxa"/>
              <w:left w:w="57" w:type="dxa"/>
              <w:right w:w="57" w:type="dxa"/>
            </w:tcMar>
          </w:tcPr>
          <w:p w14:paraId="7E7647BE" w14:textId="6063A5AC"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1AAB4820" w14:textId="06A4204D"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37FAB018" w14:textId="4837A612" w:rsidR="0031479E" w:rsidRPr="00D80A9D" w:rsidRDefault="0031479E" w:rsidP="008E027C">
            <w:pPr>
              <w:rPr>
                <w:sz w:val="18"/>
                <w:szCs w:val="18"/>
              </w:rPr>
            </w:pPr>
            <w:r>
              <w:rPr>
                <w:sz w:val="18"/>
                <w:szCs w:val="18"/>
              </w:rPr>
              <w:t>Not reported</w:t>
            </w:r>
          </w:p>
        </w:tc>
      </w:tr>
      <w:tr w:rsidR="0031479E" w:rsidRPr="00D80A9D" w14:paraId="49418384" w14:textId="77777777" w:rsidTr="0031479E">
        <w:tc>
          <w:tcPr>
            <w:tcW w:w="1000" w:type="pct"/>
            <w:shd w:val="clear" w:color="auto" w:fill="auto"/>
            <w:tcMar>
              <w:top w:w="28" w:type="dxa"/>
              <w:left w:w="57" w:type="dxa"/>
              <w:right w:w="57" w:type="dxa"/>
            </w:tcMar>
          </w:tcPr>
          <w:p w14:paraId="3ED26771" w14:textId="16A8C1C2" w:rsidR="0031479E" w:rsidRPr="0031479E" w:rsidRDefault="0031479E" w:rsidP="0047118F">
            <w:pPr>
              <w:rPr>
                <w:b/>
                <w:sz w:val="20"/>
                <w:szCs w:val="18"/>
              </w:rPr>
            </w:pPr>
            <w:r w:rsidRPr="0031479E">
              <w:rPr>
                <w:b/>
                <w:color w:val="000000" w:themeColor="text1"/>
                <w:sz w:val="20"/>
                <w:szCs w:val="18"/>
              </w:rPr>
              <w:t>Education overall comment</w:t>
            </w:r>
          </w:p>
        </w:tc>
        <w:tc>
          <w:tcPr>
            <w:tcW w:w="1000" w:type="pct"/>
            <w:tcMar>
              <w:top w:w="28" w:type="dxa"/>
              <w:left w:w="57" w:type="dxa"/>
              <w:right w:w="57" w:type="dxa"/>
            </w:tcMar>
          </w:tcPr>
          <w:p w14:paraId="28D72535" w14:textId="368D4B2C"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60BB1CD9" w14:textId="128F398C"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054E8C53" w14:textId="50320288"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3169F750" w14:textId="77777777" w:rsidR="0031479E" w:rsidRPr="00D80A9D" w:rsidRDefault="0031479E" w:rsidP="008E027C">
            <w:pPr>
              <w:rPr>
                <w:sz w:val="18"/>
                <w:szCs w:val="18"/>
              </w:rPr>
            </w:pPr>
            <w:r w:rsidRPr="00D80A9D">
              <w:rPr>
                <w:sz w:val="18"/>
                <w:szCs w:val="18"/>
              </w:rPr>
              <w:t>“Increased education among women”</w:t>
            </w:r>
          </w:p>
        </w:tc>
      </w:tr>
      <w:tr w:rsidR="0031479E" w:rsidRPr="00D80A9D" w14:paraId="0F0C2FCC" w14:textId="77777777" w:rsidTr="0031479E">
        <w:tc>
          <w:tcPr>
            <w:tcW w:w="1000" w:type="pct"/>
            <w:shd w:val="clear" w:color="auto" w:fill="auto"/>
            <w:tcMar>
              <w:top w:w="28" w:type="dxa"/>
              <w:left w:w="57" w:type="dxa"/>
              <w:right w:w="57" w:type="dxa"/>
            </w:tcMar>
          </w:tcPr>
          <w:p w14:paraId="6C913B3C" w14:textId="77777777" w:rsidR="0031479E" w:rsidRPr="0031479E" w:rsidRDefault="0031479E" w:rsidP="008E027C">
            <w:pPr>
              <w:rPr>
                <w:b/>
                <w:sz w:val="20"/>
                <w:szCs w:val="18"/>
              </w:rPr>
            </w:pPr>
            <w:r w:rsidRPr="0031479E">
              <w:rPr>
                <w:b/>
                <w:sz w:val="20"/>
                <w:szCs w:val="18"/>
              </w:rPr>
              <w:t>Hours worked</w:t>
            </w:r>
          </w:p>
        </w:tc>
        <w:tc>
          <w:tcPr>
            <w:tcW w:w="1000" w:type="pct"/>
            <w:tcMar>
              <w:top w:w="28" w:type="dxa"/>
              <w:left w:w="57" w:type="dxa"/>
              <w:right w:w="57" w:type="dxa"/>
            </w:tcMar>
          </w:tcPr>
          <w:p w14:paraId="1A9A6642" w14:textId="77777777" w:rsidR="0031479E" w:rsidRPr="00D80A9D" w:rsidRDefault="0031479E" w:rsidP="008E027C">
            <w:pPr>
              <w:rPr>
                <w:sz w:val="18"/>
                <w:szCs w:val="18"/>
              </w:rPr>
            </w:pPr>
            <w:r w:rsidRPr="00D80A9D">
              <w:rPr>
                <w:sz w:val="18"/>
                <w:szCs w:val="18"/>
              </w:rPr>
              <w:t>12% more</w:t>
            </w:r>
          </w:p>
        </w:tc>
        <w:tc>
          <w:tcPr>
            <w:tcW w:w="1000" w:type="pct"/>
            <w:tcMar>
              <w:top w:w="28" w:type="dxa"/>
              <w:left w:w="57" w:type="dxa"/>
              <w:right w:w="57" w:type="dxa"/>
            </w:tcMar>
          </w:tcPr>
          <w:p w14:paraId="3051B663" w14:textId="77777777" w:rsidR="0031479E" w:rsidRPr="00D80A9D" w:rsidRDefault="0031479E" w:rsidP="008E027C">
            <w:pPr>
              <w:rPr>
                <w:sz w:val="18"/>
                <w:szCs w:val="18"/>
              </w:rPr>
            </w:pPr>
            <w:r w:rsidRPr="00D80A9D">
              <w:rPr>
                <w:sz w:val="18"/>
                <w:szCs w:val="18"/>
              </w:rPr>
              <w:t>12% more, or</w:t>
            </w:r>
          </w:p>
          <w:p w14:paraId="49CEC796" w14:textId="77777777" w:rsidR="0031479E" w:rsidRPr="00D80A9D" w:rsidRDefault="0031479E" w:rsidP="008E027C">
            <w:pPr>
              <w:rPr>
                <w:sz w:val="18"/>
                <w:szCs w:val="18"/>
              </w:rPr>
            </w:pPr>
            <w:r w:rsidRPr="00D80A9D">
              <w:rPr>
                <w:sz w:val="18"/>
                <w:szCs w:val="18"/>
              </w:rPr>
              <w:t>1.8 more hours/week (base of 15.2)</w:t>
            </w:r>
          </w:p>
        </w:tc>
        <w:tc>
          <w:tcPr>
            <w:tcW w:w="1000" w:type="pct"/>
            <w:tcMar>
              <w:top w:w="28" w:type="dxa"/>
              <w:left w:w="57" w:type="dxa"/>
              <w:right w:w="57" w:type="dxa"/>
            </w:tcMar>
          </w:tcPr>
          <w:p w14:paraId="1CCB943F" w14:textId="77777777" w:rsidR="0031479E" w:rsidRPr="00D80A9D" w:rsidRDefault="0031479E" w:rsidP="008E027C">
            <w:pPr>
              <w:rPr>
                <w:sz w:val="18"/>
                <w:szCs w:val="18"/>
              </w:rPr>
            </w:pPr>
            <w:r w:rsidRPr="00D80A9D">
              <w:rPr>
                <w:sz w:val="18"/>
                <w:szCs w:val="18"/>
              </w:rPr>
              <w:t>3.4 more hours/week in men</w:t>
            </w:r>
          </w:p>
        </w:tc>
        <w:tc>
          <w:tcPr>
            <w:tcW w:w="1000" w:type="pct"/>
            <w:tcMar>
              <w:top w:w="28" w:type="dxa"/>
              <w:left w:w="57" w:type="dxa"/>
              <w:right w:w="57" w:type="dxa"/>
            </w:tcMar>
          </w:tcPr>
          <w:p w14:paraId="4902E4B1" w14:textId="77777777" w:rsidR="0031479E" w:rsidRPr="00D80A9D" w:rsidRDefault="0031479E" w:rsidP="008E027C">
            <w:pPr>
              <w:rPr>
                <w:sz w:val="18"/>
                <w:szCs w:val="18"/>
              </w:rPr>
            </w:pPr>
            <w:r w:rsidRPr="00D80A9D">
              <w:rPr>
                <w:sz w:val="18"/>
                <w:szCs w:val="18"/>
              </w:rPr>
              <w:t>17% more hours/week in men</w:t>
            </w:r>
          </w:p>
        </w:tc>
      </w:tr>
      <w:tr w:rsidR="0031479E" w:rsidRPr="00D80A9D" w14:paraId="2E7A62E5" w14:textId="77777777" w:rsidTr="0031479E">
        <w:tc>
          <w:tcPr>
            <w:tcW w:w="1000" w:type="pct"/>
            <w:shd w:val="clear" w:color="auto" w:fill="auto"/>
            <w:tcMar>
              <w:top w:w="28" w:type="dxa"/>
              <w:left w:w="57" w:type="dxa"/>
              <w:right w:w="57" w:type="dxa"/>
            </w:tcMar>
          </w:tcPr>
          <w:p w14:paraId="47D0137B" w14:textId="77777777" w:rsidR="0031479E" w:rsidRPr="0031479E" w:rsidRDefault="0031479E" w:rsidP="008E027C">
            <w:pPr>
              <w:rPr>
                <w:b/>
                <w:sz w:val="20"/>
                <w:szCs w:val="18"/>
              </w:rPr>
            </w:pPr>
            <w:r w:rsidRPr="0031479E">
              <w:rPr>
                <w:b/>
                <w:sz w:val="20"/>
                <w:szCs w:val="18"/>
              </w:rPr>
              <w:t>Food eaten</w:t>
            </w:r>
          </w:p>
        </w:tc>
        <w:tc>
          <w:tcPr>
            <w:tcW w:w="1000" w:type="pct"/>
            <w:tcMar>
              <w:top w:w="28" w:type="dxa"/>
              <w:left w:w="57" w:type="dxa"/>
              <w:right w:w="57" w:type="dxa"/>
            </w:tcMar>
          </w:tcPr>
          <w:p w14:paraId="1488348C" w14:textId="77777777" w:rsidR="0031479E" w:rsidRPr="00D80A9D" w:rsidRDefault="0031479E" w:rsidP="008E027C">
            <w:pPr>
              <w:rPr>
                <w:sz w:val="18"/>
                <w:szCs w:val="18"/>
              </w:rPr>
            </w:pPr>
            <w:r w:rsidRPr="00D80A9D">
              <w:rPr>
                <w:sz w:val="18"/>
                <w:szCs w:val="18"/>
              </w:rPr>
              <w:t>0.1 meal/day more</w:t>
            </w:r>
          </w:p>
        </w:tc>
        <w:tc>
          <w:tcPr>
            <w:tcW w:w="1000" w:type="pct"/>
            <w:tcMar>
              <w:top w:w="28" w:type="dxa"/>
              <w:left w:w="57" w:type="dxa"/>
              <w:right w:w="57" w:type="dxa"/>
            </w:tcMar>
          </w:tcPr>
          <w:p w14:paraId="485490B0" w14:textId="77777777" w:rsidR="0031479E" w:rsidRPr="00D80A9D" w:rsidRDefault="0031479E" w:rsidP="008E027C">
            <w:pPr>
              <w:rPr>
                <w:sz w:val="18"/>
                <w:szCs w:val="18"/>
              </w:rPr>
            </w:pPr>
            <w:r w:rsidRPr="00D80A9D">
              <w:rPr>
                <w:sz w:val="18"/>
                <w:szCs w:val="18"/>
              </w:rPr>
              <w:t>0.1 meal/day more (base of 2.2)</w:t>
            </w:r>
          </w:p>
        </w:tc>
        <w:tc>
          <w:tcPr>
            <w:tcW w:w="1000" w:type="pct"/>
            <w:tcMar>
              <w:top w:w="28" w:type="dxa"/>
              <w:left w:w="57" w:type="dxa"/>
              <w:right w:w="57" w:type="dxa"/>
            </w:tcMar>
          </w:tcPr>
          <w:p w14:paraId="6F3F81C2" w14:textId="77777777" w:rsidR="0031479E" w:rsidRPr="00D80A9D" w:rsidRDefault="0031479E" w:rsidP="008E027C">
            <w:pPr>
              <w:rPr>
                <w:sz w:val="18"/>
                <w:szCs w:val="18"/>
              </w:rPr>
            </w:pPr>
            <w:r w:rsidRPr="00D80A9D">
              <w:rPr>
                <w:sz w:val="18"/>
                <w:szCs w:val="18"/>
              </w:rPr>
              <w:t>“More meals” consumed</w:t>
            </w:r>
          </w:p>
        </w:tc>
        <w:tc>
          <w:tcPr>
            <w:tcW w:w="1000" w:type="pct"/>
            <w:tcMar>
              <w:top w:w="28" w:type="dxa"/>
              <w:left w:w="57" w:type="dxa"/>
              <w:right w:w="57" w:type="dxa"/>
            </w:tcMar>
          </w:tcPr>
          <w:p w14:paraId="7261D6CD" w14:textId="77777777" w:rsidR="0031479E" w:rsidRPr="00D80A9D" w:rsidRDefault="0031479E" w:rsidP="008E027C">
            <w:pPr>
              <w:rPr>
                <w:sz w:val="18"/>
                <w:szCs w:val="18"/>
              </w:rPr>
            </w:pPr>
            <w:r w:rsidRPr="00D80A9D">
              <w:rPr>
                <w:sz w:val="18"/>
                <w:szCs w:val="18"/>
              </w:rPr>
              <w:t>“Men miss 1 meal fewer per week”</w:t>
            </w:r>
          </w:p>
        </w:tc>
      </w:tr>
      <w:tr w:rsidR="0031479E" w:rsidRPr="00D80A9D" w14:paraId="6E92F61F" w14:textId="77777777" w:rsidTr="0031479E">
        <w:tc>
          <w:tcPr>
            <w:tcW w:w="1000" w:type="pct"/>
            <w:shd w:val="clear" w:color="auto" w:fill="auto"/>
            <w:tcMar>
              <w:top w:w="28" w:type="dxa"/>
              <w:left w:w="57" w:type="dxa"/>
              <w:right w:w="57" w:type="dxa"/>
            </w:tcMar>
          </w:tcPr>
          <w:p w14:paraId="71122070" w14:textId="77777777" w:rsidR="0031479E" w:rsidRPr="0031479E" w:rsidRDefault="0031479E" w:rsidP="008E027C">
            <w:pPr>
              <w:rPr>
                <w:b/>
                <w:sz w:val="20"/>
                <w:szCs w:val="18"/>
              </w:rPr>
            </w:pPr>
            <w:r w:rsidRPr="0031479E">
              <w:rPr>
                <w:b/>
                <w:sz w:val="20"/>
                <w:szCs w:val="18"/>
              </w:rPr>
              <w:t>Labour market</w:t>
            </w:r>
          </w:p>
        </w:tc>
        <w:tc>
          <w:tcPr>
            <w:tcW w:w="1000" w:type="pct"/>
            <w:tcMar>
              <w:top w:w="28" w:type="dxa"/>
              <w:left w:w="57" w:type="dxa"/>
              <w:right w:w="57" w:type="dxa"/>
            </w:tcMar>
          </w:tcPr>
          <w:p w14:paraId="5F736956" w14:textId="5C031023" w:rsidR="0031479E" w:rsidRPr="00D80A9D" w:rsidRDefault="0031479E" w:rsidP="008E027C">
            <w:pPr>
              <w:rPr>
                <w:sz w:val="18"/>
                <w:szCs w:val="18"/>
              </w:rPr>
            </w:pPr>
            <w:r w:rsidRPr="00D80A9D">
              <w:rPr>
                <w:sz w:val="18"/>
                <w:szCs w:val="18"/>
              </w:rPr>
              <w:t xml:space="preserve">- Earnings </w:t>
            </w:r>
            <w:r>
              <w:rPr>
                <w:sz w:val="18"/>
                <w:szCs w:val="18"/>
              </w:rPr>
              <w:t>with</w:t>
            </w:r>
            <w:r w:rsidRPr="00D80A9D">
              <w:rPr>
                <w:sz w:val="18"/>
                <w:szCs w:val="18"/>
              </w:rPr>
              <w:t xml:space="preserve">in the subsample working for wages: 20% higher </w:t>
            </w:r>
          </w:p>
          <w:p w14:paraId="699D03CC" w14:textId="77777777" w:rsidR="0031479E" w:rsidRPr="00D80A9D" w:rsidRDefault="0031479E" w:rsidP="008E027C">
            <w:pPr>
              <w:rPr>
                <w:sz w:val="18"/>
                <w:szCs w:val="18"/>
              </w:rPr>
            </w:pPr>
            <w:r w:rsidRPr="00D80A9D">
              <w:rPr>
                <w:sz w:val="18"/>
                <w:szCs w:val="18"/>
              </w:rPr>
              <w:t xml:space="preserve">- “Most of the earnings gain are explained by </w:t>
            </w:r>
            <w:proofErr w:type="spellStart"/>
            <w:r w:rsidRPr="00D80A9D">
              <w:rPr>
                <w:sz w:val="18"/>
                <w:szCs w:val="18"/>
              </w:rPr>
              <w:t>sectoral</w:t>
            </w:r>
            <w:proofErr w:type="spellEnd"/>
            <w:r w:rsidRPr="00D80A9D">
              <w:rPr>
                <w:sz w:val="18"/>
                <w:szCs w:val="18"/>
              </w:rPr>
              <w:t xml:space="preserve"> shifts, including a </w:t>
            </w:r>
            <w:r w:rsidRPr="00D80A9D">
              <w:rPr>
                <w:sz w:val="18"/>
                <w:szCs w:val="18"/>
                <w:u w:val="single"/>
              </w:rPr>
              <w:t>doubling</w:t>
            </w:r>
            <w:r w:rsidRPr="00D80A9D">
              <w:rPr>
                <w:sz w:val="18"/>
                <w:szCs w:val="18"/>
              </w:rPr>
              <w:t xml:space="preserve"> of manufacturing employment”</w:t>
            </w:r>
          </w:p>
          <w:p w14:paraId="47A7971B" w14:textId="77777777" w:rsidR="0031479E" w:rsidRPr="00D80A9D" w:rsidRDefault="0031479E" w:rsidP="008E027C">
            <w:pPr>
              <w:rPr>
                <w:sz w:val="18"/>
                <w:szCs w:val="18"/>
              </w:rPr>
            </w:pPr>
            <w:r w:rsidRPr="00D80A9D">
              <w:rPr>
                <w:sz w:val="18"/>
                <w:szCs w:val="18"/>
              </w:rPr>
              <w:t>- Business performance: “improved among the self-employed”</w:t>
            </w:r>
          </w:p>
        </w:tc>
        <w:tc>
          <w:tcPr>
            <w:tcW w:w="1000" w:type="pct"/>
            <w:tcMar>
              <w:top w:w="28" w:type="dxa"/>
              <w:left w:w="57" w:type="dxa"/>
              <w:right w:w="57" w:type="dxa"/>
            </w:tcMar>
          </w:tcPr>
          <w:p w14:paraId="035CB32A" w14:textId="77777777" w:rsidR="0031479E" w:rsidRPr="00D80A9D" w:rsidRDefault="0031479E" w:rsidP="008E027C">
            <w:pPr>
              <w:rPr>
                <w:sz w:val="18"/>
                <w:szCs w:val="18"/>
              </w:rPr>
            </w:pPr>
            <w:r w:rsidRPr="00D80A9D">
              <w:rPr>
                <w:sz w:val="18"/>
                <w:szCs w:val="18"/>
              </w:rPr>
              <w:t>- “Over 20%” higher (among wage earners no longer in school)</w:t>
            </w:r>
          </w:p>
          <w:p w14:paraId="16520942" w14:textId="77777777" w:rsidR="0031479E" w:rsidRPr="00D80A9D" w:rsidRDefault="0031479E" w:rsidP="008E027C">
            <w:pPr>
              <w:rPr>
                <w:sz w:val="18"/>
                <w:szCs w:val="18"/>
              </w:rPr>
            </w:pPr>
            <w:r w:rsidRPr="00D80A9D">
              <w:rPr>
                <w:sz w:val="18"/>
                <w:szCs w:val="18"/>
              </w:rPr>
              <w:t>- “</w:t>
            </w:r>
            <w:proofErr w:type="gramStart"/>
            <w:r w:rsidRPr="00D80A9D">
              <w:rPr>
                <w:sz w:val="18"/>
                <w:szCs w:val="18"/>
              </w:rPr>
              <w:t>with</w:t>
            </w:r>
            <w:proofErr w:type="gramEnd"/>
            <w:r w:rsidRPr="00D80A9D">
              <w:rPr>
                <w:sz w:val="18"/>
                <w:szCs w:val="18"/>
              </w:rPr>
              <w:t xml:space="preserve"> manufacturing employment </w:t>
            </w:r>
            <w:r w:rsidRPr="00D80A9D">
              <w:rPr>
                <w:sz w:val="18"/>
                <w:szCs w:val="18"/>
                <w:u w:val="single"/>
              </w:rPr>
              <w:t>tripling</w:t>
            </w:r>
            <w:r w:rsidRPr="00D80A9D">
              <w:rPr>
                <w:sz w:val="18"/>
                <w:szCs w:val="18"/>
              </w:rPr>
              <w:t>”</w:t>
            </w:r>
          </w:p>
          <w:p w14:paraId="6439E8E3" w14:textId="77777777" w:rsidR="0031479E" w:rsidRPr="00D80A9D" w:rsidRDefault="0031479E" w:rsidP="008E027C">
            <w:pPr>
              <w:rPr>
                <w:sz w:val="18"/>
                <w:szCs w:val="18"/>
              </w:rPr>
            </w:pPr>
            <w:r w:rsidRPr="00D80A9D">
              <w:rPr>
                <w:sz w:val="18"/>
                <w:szCs w:val="18"/>
              </w:rPr>
              <w:t>- “Gains are concentrated outside of traditional agriculture, among small business owners and those working for wages”</w:t>
            </w:r>
          </w:p>
        </w:tc>
        <w:tc>
          <w:tcPr>
            <w:tcW w:w="1000" w:type="pct"/>
            <w:tcMar>
              <w:top w:w="28" w:type="dxa"/>
              <w:left w:w="57" w:type="dxa"/>
              <w:right w:w="57" w:type="dxa"/>
            </w:tcMar>
          </w:tcPr>
          <w:p w14:paraId="1CA84A59" w14:textId="77777777" w:rsidR="0031479E" w:rsidRPr="00D80A9D" w:rsidRDefault="0031479E" w:rsidP="008E027C">
            <w:pPr>
              <w:rPr>
                <w:sz w:val="18"/>
                <w:szCs w:val="18"/>
              </w:rPr>
            </w:pPr>
            <w:r w:rsidRPr="00D80A9D">
              <w:rPr>
                <w:sz w:val="18"/>
                <w:szCs w:val="18"/>
              </w:rPr>
              <w:t>- “More time” spent in entrepreneurship</w:t>
            </w:r>
          </w:p>
          <w:p w14:paraId="7F38F1CC" w14:textId="77777777" w:rsidR="0031479E" w:rsidRPr="00D80A9D" w:rsidRDefault="0031479E" w:rsidP="008E027C">
            <w:pPr>
              <w:rPr>
                <w:sz w:val="18"/>
                <w:szCs w:val="18"/>
              </w:rPr>
            </w:pPr>
            <w:r w:rsidRPr="00D80A9D">
              <w:rPr>
                <w:sz w:val="18"/>
                <w:szCs w:val="18"/>
              </w:rPr>
              <w:t>- Cash crops “more likely” to be grown</w:t>
            </w:r>
          </w:p>
          <w:p w14:paraId="46A12B86" w14:textId="77777777" w:rsidR="0031479E" w:rsidRPr="00D80A9D" w:rsidRDefault="0031479E" w:rsidP="008E027C">
            <w:pPr>
              <w:rPr>
                <w:sz w:val="18"/>
                <w:szCs w:val="18"/>
              </w:rPr>
            </w:pPr>
            <w:r w:rsidRPr="00D80A9D">
              <w:rPr>
                <w:sz w:val="18"/>
                <w:szCs w:val="18"/>
              </w:rPr>
              <w:t>- Women “reallocate labour time from agriculture to entrepreneurship”</w:t>
            </w:r>
          </w:p>
          <w:p w14:paraId="300F9CCE" w14:textId="77777777" w:rsidR="0031479E" w:rsidRPr="00D80A9D" w:rsidRDefault="0031479E" w:rsidP="008E027C">
            <w:pPr>
              <w:rPr>
                <w:sz w:val="18"/>
                <w:szCs w:val="18"/>
              </w:rPr>
            </w:pPr>
            <w:r w:rsidRPr="00D80A9D">
              <w:rPr>
                <w:sz w:val="18"/>
                <w:szCs w:val="18"/>
              </w:rPr>
              <w:t>- Men “are more likely to hold manufacturing jobs with higher wage earnings.”</w:t>
            </w:r>
          </w:p>
        </w:tc>
        <w:tc>
          <w:tcPr>
            <w:tcW w:w="1000" w:type="pct"/>
            <w:tcMar>
              <w:top w:w="28" w:type="dxa"/>
              <w:left w:w="57" w:type="dxa"/>
              <w:right w:w="57" w:type="dxa"/>
            </w:tcMar>
          </w:tcPr>
          <w:p w14:paraId="61FF5E9B" w14:textId="77777777" w:rsidR="0031479E" w:rsidRPr="00D80A9D" w:rsidRDefault="0031479E" w:rsidP="008E027C">
            <w:pPr>
              <w:rPr>
                <w:sz w:val="18"/>
                <w:szCs w:val="18"/>
              </w:rPr>
            </w:pPr>
            <w:r w:rsidRPr="00D80A9D">
              <w:rPr>
                <w:sz w:val="18"/>
                <w:szCs w:val="18"/>
              </w:rPr>
              <w:t>- Men “spend more time in entrepreneurship”</w:t>
            </w:r>
          </w:p>
          <w:p w14:paraId="1CDD3CFF" w14:textId="77777777" w:rsidR="0031479E" w:rsidRPr="00D80A9D" w:rsidRDefault="0031479E" w:rsidP="008E027C">
            <w:pPr>
              <w:rPr>
                <w:sz w:val="18"/>
                <w:szCs w:val="18"/>
              </w:rPr>
            </w:pPr>
            <w:r w:rsidRPr="00D80A9D">
              <w:rPr>
                <w:sz w:val="18"/>
                <w:szCs w:val="18"/>
              </w:rPr>
              <w:t xml:space="preserve">- Labour supply increased among men, with shifts in labour market specialization. </w:t>
            </w:r>
          </w:p>
          <w:p w14:paraId="6E79D08F" w14:textId="77777777" w:rsidR="0031479E" w:rsidRPr="00D80A9D" w:rsidRDefault="0031479E" w:rsidP="008E027C">
            <w:pPr>
              <w:rPr>
                <w:sz w:val="18"/>
                <w:szCs w:val="18"/>
              </w:rPr>
            </w:pPr>
            <w:r w:rsidRPr="00D80A9D">
              <w:rPr>
                <w:sz w:val="18"/>
                <w:szCs w:val="18"/>
              </w:rPr>
              <w:t>- Women “reallocate time from traditional agriculture into cash crops and entrepreneurship.”</w:t>
            </w:r>
          </w:p>
          <w:p w14:paraId="5242FA8E" w14:textId="77777777" w:rsidR="0031479E" w:rsidRPr="00D80A9D" w:rsidRDefault="0031479E" w:rsidP="008E027C">
            <w:pPr>
              <w:rPr>
                <w:sz w:val="18"/>
                <w:szCs w:val="18"/>
              </w:rPr>
            </w:pPr>
            <w:r w:rsidRPr="00D80A9D">
              <w:rPr>
                <w:sz w:val="18"/>
                <w:szCs w:val="18"/>
              </w:rPr>
              <w:t>- Men “are more likely to hold manufacturing jobs”</w:t>
            </w:r>
          </w:p>
        </w:tc>
      </w:tr>
      <w:tr w:rsidR="0031479E" w:rsidRPr="00D80A9D" w14:paraId="131017D7" w14:textId="77777777" w:rsidTr="0031479E">
        <w:tc>
          <w:tcPr>
            <w:tcW w:w="1000" w:type="pct"/>
            <w:shd w:val="clear" w:color="auto" w:fill="auto"/>
            <w:tcMar>
              <w:top w:w="28" w:type="dxa"/>
              <w:left w:w="57" w:type="dxa"/>
              <w:right w:w="57" w:type="dxa"/>
            </w:tcMar>
          </w:tcPr>
          <w:p w14:paraId="66270AAB" w14:textId="77777777" w:rsidR="0031479E" w:rsidRPr="0031479E" w:rsidRDefault="0031479E" w:rsidP="008E027C">
            <w:pPr>
              <w:rPr>
                <w:b/>
                <w:sz w:val="20"/>
                <w:szCs w:val="18"/>
              </w:rPr>
            </w:pPr>
            <w:r w:rsidRPr="0031479E">
              <w:rPr>
                <w:b/>
                <w:sz w:val="20"/>
                <w:szCs w:val="18"/>
              </w:rPr>
              <w:t>Annualised social internal rate of return</w:t>
            </w:r>
          </w:p>
        </w:tc>
        <w:tc>
          <w:tcPr>
            <w:tcW w:w="1000" w:type="pct"/>
            <w:tcMar>
              <w:top w:w="28" w:type="dxa"/>
              <w:left w:w="57" w:type="dxa"/>
              <w:right w:w="57" w:type="dxa"/>
            </w:tcMar>
          </w:tcPr>
          <w:p w14:paraId="02D12BC6" w14:textId="77777777" w:rsidR="0031479E" w:rsidRPr="00D80A9D" w:rsidRDefault="0031479E" w:rsidP="008E027C">
            <w:pPr>
              <w:rPr>
                <w:sz w:val="18"/>
                <w:szCs w:val="18"/>
              </w:rPr>
            </w:pPr>
            <w:r w:rsidRPr="00D80A9D">
              <w:rPr>
                <w:sz w:val="18"/>
                <w:szCs w:val="18"/>
              </w:rPr>
              <w:t>Lower bound “is large, at 83%”</w:t>
            </w:r>
          </w:p>
        </w:tc>
        <w:tc>
          <w:tcPr>
            <w:tcW w:w="1000" w:type="pct"/>
            <w:tcMar>
              <w:top w:w="28" w:type="dxa"/>
              <w:left w:w="57" w:type="dxa"/>
              <w:right w:w="57" w:type="dxa"/>
            </w:tcMar>
          </w:tcPr>
          <w:p w14:paraId="2D8902C1" w14:textId="77777777" w:rsidR="0031479E" w:rsidRPr="00D80A9D" w:rsidRDefault="0031479E" w:rsidP="008E027C">
            <w:pPr>
              <w:rPr>
                <w:sz w:val="18"/>
                <w:szCs w:val="18"/>
              </w:rPr>
            </w:pPr>
            <w:r w:rsidRPr="00D80A9D">
              <w:rPr>
                <w:sz w:val="18"/>
                <w:szCs w:val="18"/>
              </w:rPr>
              <w:t>“A calibration of the model combining data on the impacts of deworming and the price responsive-ness of deworming take-up suggests that fully subsidizing deworming yields greater welfare than partial subsidies or laissez-faire”</w:t>
            </w:r>
          </w:p>
        </w:tc>
        <w:tc>
          <w:tcPr>
            <w:tcW w:w="1000" w:type="pct"/>
            <w:tcMar>
              <w:top w:w="28" w:type="dxa"/>
              <w:left w:w="57" w:type="dxa"/>
              <w:right w:w="57" w:type="dxa"/>
            </w:tcMar>
          </w:tcPr>
          <w:p w14:paraId="7C3B65F4" w14:textId="77777777" w:rsidR="0031479E" w:rsidRPr="00D80A9D" w:rsidRDefault="0031479E" w:rsidP="008E027C">
            <w:pPr>
              <w:rPr>
                <w:sz w:val="18"/>
                <w:szCs w:val="18"/>
              </w:rPr>
            </w:pPr>
            <w:r w:rsidRPr="00D80A9D">
              <w:rPr>
                <w:sz w:val="18"/>
                <w:szCs w:val="18"/>
              </w:rPr>
              <w:t xml:space="preserve">“A calibration suggests that fully subsidizing deworming costs less than the additional net present value of government revenue it generates, creating an ‘expenditure </w:t>
            </w:r>
            <w:proofErr w:type="spellStart"/>
            <w:r w:rsidRPr="00D80A9D">
              <w:rPr>
                <w:sz w:val="18"/>
                <w:szCs w:val="18"/>
              </w:rPr>
              <w:t>Laffer</w:t>
            </w:r>
            <w:proofErr w:type="spellEnd"/>
            <w:r w:rsidRPr="00D80A9D">
              <w:rPr>
                <w:sz w:val="18"/>
                <w:szCs w:val="18"/>
              </w:rPr>
              <w:t xml:space="preserve"> effect’ in which government subsidies for health investments allow for reduced tax rates.”</w:t>
            </w:r>
          </w:p>
        </w:tc>
        <w:tc>
          <w:tcPr>
            <w:tcW w:w="1000" w:type="pct"/>
            <w:tcMar>
              <w:top w:w="28" w:type="dxa"/>
              <w:left w:w="57" w:type="dxa"/>
              <w:right w:w="57" w:type="dxa"/>
            </w:tcMar>
          </w:tcPr>
          <w:p w14:paraId="0DC32932" w14:textId="77777777" w:rsidR="0031479E" w:rsidRPr="00D80A9D" w:rsidRDefault="0031479E" w:rsidP="008E027C">
            <w:pPr>
              <w:rPr>
                <w:sz w:val="18"/>
                <w:szCs w:val="18"/>
              </w:rPr>
            </w:pPr>
            <w:r w:rsidRPr="00D80A9D">
              <w:rPr>
                <w:sz w:val="18"/>
                <w:szCs w:val="18"/>
              </w:rPr>
              <w:t>“At least 32.2%”</w:t>
            </w:r>
          </w:p>
        </w:tc>
      </w:tr>
      <w:tr w:rsidR="0031479E" w:rsidRPr="00D80A9D" w14:paraId="077C013E" w14:textId="77777777" w:rsidTr="0031479E">
        <w:tc>
          <w:tcPr>
            <w:tcW w:w="1000" w:type="pct"/>
            <w:shd w:val="clear" w:color="auto" w:fill="auto"/>
            <w:tcMar>
              <w:top w:w="28" w:type="dxa"/>
              <w:left w:w="57" w:type="dxa"/>
              <w:right w:w="57" w:type="dxa"/>
            </w:tcMar>
          </w:tcPr>
          <w:p w14:paraId="2AF005E4" w14:textId="77777777" w:rsidR="0031479E" w:rsidRPr="0031479E" w:rsidRDefault="0031479E" w:rsidP="008E027C">
            <w:pPr>
              <w:rPr>
                <w:b/>
                <w:sz w:val="20"/>
                <w:szCs w:val="18"/>
              </w:rPr>
            </w:pPr>
            <w:r w:rsidRPr="0031479E">
              <w:rPr>
                <w:b/>
                <w:sz w:val="20"/>
                <w:szCs w:val="18"/>
              </w:rPr>
              <w:t>Positive externalities</w:t>
            </w:r>
          </w:p>
        </w:tc>
        <w:tc>
          <w:tcPr>
            <w:tcW w:w="1000" w:type="pct"/>
            <w:tcMar>
              <w:top w:w="28" w:type="dxa"/>
              <w:left w:w="57" w:type="dxa"/>
              <w:right w:w="57" w:type="dxa"/>
            </w:tcMar>
          </w:tcPr>
          <w:p w14:paraId="551ED01F" w14:textId="560A6DEC" w:rsidR="0031479E" w:rsidRPr="00D80A9D" w:rsidRDefault="0031479E" w:rsidP="008E027C">
            <w:pPr>
              <w:rPr>
                <w:sz w:val="18"/>
                <w:szCs w:val="18"/>
              </w:rPr>
            </w:pPr>
            <w:r w:rsidRPr="00D80A9D">
              <w:rPr>
                <w:sz w:val="18"/>
                <w:szCs w:val="18"/>
              </w:rPr>
              <w:t>- “Substantial” within 6 km</w:t>
            </w:r>
          </w:p>
          <w:p w14:paraId="1A231C5E" w14:textId="77777777" w:rsidR="0031479E" w:rsidRPr="00D80A9D" w:rsidRDefault="0031479E" w:rsidP="008E027C">
            <w:pPr>
              <w:rPr>
                <w:sz w:val="18"/>
                <w:szCs w:val="18"/>
              </w:rPr>
            </w:pPr>
            <w:r w:rsidRPr="00D80A9D">
              <w:rPr>
                <w:sz w:val="18"/>
                <w:szCs w:val="18"/>
              </w:rPr>
              <w:t>- “The externality benefits alone appear to justify fully subsidizing school-based deworming”</w:t>
            </w:r>
          </w:p>
        </w:tc>
        <w:tc>
          <w:tcPr>
            <w:tcW w:w="1000" w:type="pct"/>
            <w:tcMar>
              <w:top w:w="28" w:type="dxa"/>
              <w:left w:w="57" w:type="dxa"/>
              <w:right w:w="57" w:type="dxa"/>
            </w:tcMar>
          </w:tcPr>
          <w:p w14:paraId="5003F33A" w14:textId="77777777" w:rsidR="0031479E" w:rsidRPr="00D80A9D" w:rsidRDefault="0031479E" w:rsidP="008E027C">
            <w:pPr>
              <w:rPr>
                <w:sz w:val="18"/>
                <w:szCs w:val="18"/>
              </w:rPr>
            </w:pPr>
            <w:r w:rsidRPr="00D80A9D">
              <w:rPr>
                <w:sz w:val="18"/>
                <w:szCs w:val="18"/>
              </w:rPr>
              <w:t>In “work hours and meals eaten”</w:t>
            </w:r>
          </w:p>
        </w:tc>
        <w:tc>
          <w:tcPr>
            <w:tcW w:w="1000" w:type="pct"/>
            <w:tcMar>
              <w:top w:w="28" w:type="dxa"/>
              <w:left w:w="57" w:type="dxa"/>
              <w:right w:w="57" w:type="dxa"/>
            </w:tcMar>
          </w:tcPr>
          <w:p w14:paraId="4296D0EF" w14:textId="77777777" w:rsidR="0031479E" w:rsidRPr="00D80A9D" w:rsidRDefault="0031479E" w:rsidP="008E027C">
            <w:pPr>
              <w:rPr>
                <w:sz w:val="18"/>
                <w:szCs w:val="18"/>
              </w:rPr>
            </w:pPr>
            <w:r w:rsidRPr="00D80A9D">
              <w:rPr>
                <w:sz w:val="18"/>
                <w:szCs w:val="18"/>
              </w:rPr>
              <w:t>“The deworming program generates positive externalities from reduced disease transmission”</w:t>
            </w:r>
          </w:p>
        </w:tc>
        <w:tc>
          <w:tcPr>
            <w:tcW w:w="1000" w:type="pct"/>
            <w:tcMar>
              <w:top w:w="28" w:type="dxa"/>
              <w:left w:w="57" w:type="dxa"/>
              <w:right w:w="57" w:type="dxa"/>
            </w:tcMar>
          </w:tcPr>
          <w:p w14:paraId="2EDA4B00" w14:textId="388BBF0B" w:rsidR="0031479E" w:rsidRPr="00D80A9D" w:rsidRDefault="0031479E" w:rsidP="008E027C">
            <w:pPr>
              <w:rPr>
                <w:sz w:val="18"/>
                <w:szCs w:val="18"/>
              </w:rPr>
            </w:pPr>
            <w:r>
              <w:rPr>
                <w:sz w:val="18"/>
                <w:szCs w:val="18"/>
              </w:rPr>
              <w:t>Not reported</w:t>
            </w:r>
          </w:p>
        </w:tc>
      </w:tr>
      <w:tr w:rsidR="0031479E" w:rsidRPr="00D80A9D" w14:paraId="40FEC944" w14:textId="77777777" w:rsidTr="0031479E">
        <w:tc>
          <w:tcPr>
            <w:tcW w:w="1000" w:type="pct"/>
            <w:shd w:val="clear" w:color="auto" w:fill="auto"/>
            <w:tcMar>
              <w:top w:w="28" w:type="dxa"/>
              <w:left w:w="57" w:type="dxa"/>
              <w:right w:w="57" w:type="dxa"/>
            </w:tcMar>
          </w:tcPr>
          <w:p w14:paraId="5F5F7D1F" w14:textId="77777777" w:rsidR="0031479E" w:rsidRPr="0031479E" w:rsidRDefault="0031479E" w:rsidP="008E027C">
            <w:pPr>
              <w:rPr>
                <w:b/>
                <w:sz w:val="20"/>
                <w:szCs w:val="18"/>
              </w:rPr>
            </w:pPr>
            <w:r w:rsidRPr="0031479E">
              <w:rPr>
                <w:b/>
                <w:sz w:val="20"/>
                <w:szCs w:val="18"/>
              </w:rPr>
              <w:t>Effects on out-of-school youth</w:t>
            </w:r>
          </w:p>
        </w:tc>
        <w:tc>
          <w:tcPr>
            <w:tcW w:w="1000" w:type="pct"/>
            <w:tcMar>
              <w:top w:w="28" w:type="dxa"/>
              <w:left w:w="57" w:type="dxa"/>
              <w:right w:w="57" w:type="dxa"/>
            </w:tcMar>
          </w:tcPr>
          <w:p w14:paraId="6D4FFFED" w14:textId="64A2AC0F"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311A15FE" w14:textId="77777777" w:rsidR="0031479E" w:rsidRPr="00D80A9D" w:rsidRDefault="0031479E" w:rsidP="008E027C">
            <w:pPr>
              <w:rPr>
                <w:sz w:val="18"/>
                <w:szCs w:val="18"/>
              </w:rPr>
            </w:pPr>
            <w:r w:rsidRPr="00D80A9D">
              <w:rPr>
                <w:sz w:val="18"/>
                <w:szCs w:val="18"/>
              </w:rPr>
              <w:t>“Both direct and externality effect are larger in our preferred subsample analysis on out-of-school youth”</w:t>
            </w:r>
          </w:p>
        </w:tc>
        <w:tc>
          <w:tcPr>
            <w:tcW w:w="1000" w:type="pct"/>
            <w:tcMar>
              <w:top w:w="28" w:type="dxa"/>
              <w:left w:w="57" w:type="dxa"/>
              <w:right w:w="57" w:type="dxa"/>
            </w:tcMar>
          </w:tcPr>
          <w:p w14:paraId="50CA8485" w14:textId="2209DB00" w:rsidR="0031479E" w:rsidRPr="00D80A9D" w:rsidRDefault="0031479E" w:rsidP="008E027C">
            <w:pPr>
              <w:rPr>
                <w:sz w:val="18"/>
                <w:szCs w:val="18"/>
              </w:rPr>
            </w:pPr>
            <w:r>
              <w:rPr>
                <w:sz w:val="18"/>
                <w:szCs w:val="18"/>
              </w:rPr>
              <w:t>Not reported</w:t>
            </w:r>
          </w:p>
        </w:tc>
        <w:tc>
          <w:tcPr>
            <w:tcW w:w="1000" w:type="pct"/>
            <w:tcMar>
              <w:top w:w="28" w:type="dxa"/>
              <w:left w:w="57" w:type="dxa"/>
              <w:right w:w="57" w:type="dxa"/>
            </w:tcMar>
          </w:tcPr>
          <w:p w14:paraId="044AB497" w14:textId="26A598D5" w:rsidR="0031479E" w:rsidRPr="00D80A9D" w:rsidRDefault="0031479E" w:rsidP="008E027C">
            <w:pPr>
              <w:rPr>
                <w:sz w:val="18"/>
                <w:szCs w:val="18"/>
              </w:rPr>
            </w:pPr>
            <w:r>
              <w:rPr>
                <w:sz w:val="18"/>
                <w:szCs w:val="18"/>
              </w:rPr>
              <w:t>Not reported</w:t>
            </w:r>
          </w:p>
        </w:tc>
      </w:tr>
    </w:tbl>
    <w:p w14:paraId="15F3312B" w14:textId="77777777" w:rsidR="004045C6" w:rsidRDefault="004045C6" w:rsidP="004045C6">
      <w:pPr>
        <w:pStyle w:val="Sinespaciado"/>
        <w:rPr>
          <w:sz w:val="18"/>
          <w:vertAlign w:val="superscript"/>
        </w:rPr>
      </w:pPr>
    </w:p>
    <w:p w14:paraId="1EC98D11" w14:textId="7557CB6F" w:rsidR="00394944" w:rsidRPr="004045C6" w:rsidRDefault="00DE5C20" w:rsidP="004045C6">
      <w:pPr>
        <w:pStyle w:val="Sinespaciado"/>
        <w:rPr>
          <w:sz w:val="18"/>
        </w:rPr>
      </w:pPr>
      <w:proofErr w:type="gramStart"/>
      <w:r w:rsidRPr="004045C6">
        <w:rPr>
          <w:sz w:val="18"/>
          <w:vertAlign w:val="superscript"/>
        </w:rPr>
        <w:t>a</w:t>
      </w:r>
      <w:proofErr w:type="gramEnd"/>
      <w:r w:rsidRPr="004045C6">
        <w:rPr>
          <w:sz w:val="18"/>
        </w:rPr>
        <w:t xml:space="preserve"> Findings reported in the abstract of Baird 2016 do not substantially change from Baird 2015.</w:t>
      </w:r>
    </w:p>
    <w:sectPr w:rsidR="00394944" w:rsidRPr="004045C6" w:rsidSect="003147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E33"/>
    <w:multiLevelType w:val="hybridMultilevel"/>
    <w:tmpl w:val="D496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9A7F6A"/>
    <w:multiLevelType w:val="hybridMultilevel"/>
    <w:tmpl w:val="DE76E172"/>
    <w:lvl w:ilvl="0" w:tplc="F19C87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00208"/>
    <w:multiLevelType w:val="hybridMultilevel"/>
    <w:tmpl w:val="80C235EC"/>
    <w:lvl w:ilvl="0" w:tplc="A560CBA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D5BF0"/>
    <w:multiLevelType w:val="hybridMultilevel"/>
    <w:tmpl w:val="6CDA4A06"/>
    <w:lvl w:ilvl="0" w:tplc="FD54049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0A"/>
    <w:rsid w:val="0000393E"/>
    <w:rsid w:val="00011140"/>
    <w:rsid w:val="00013B09"/>
    <w:rsid w:val="00020DC5"/>
    <w:rsid w:val="00023842"/>
    <w:rsid w:val="00035E3F"/>
    <w:rsid w:val="00043F51"/>
    <w:rsid w:val="000766CB"/>
    <w:rsid w:val="00080E1D"/>
    <w:rsid w:val="000842AB"/>
    <w:rsid w:val="000A12F8"/>
    <w:rsid w:val="000A6A01"/>
    <w:rsid w:val="000A7A01"/>
    <w:rsid w:val="000C3839"/>
    <w:rsid w:val="000D6682"/>
    <w:rsid w:val="000E5429"/>
    <w:rsid w:val="000E5EC8"/>
    <w:rsid w:val="00102FD1"/>
    <w:rsid w:val="001127F2"/>
    <w:rsid w:val="0013751A"/>
    <w:rsid w:val="001466B4"/>
    <w:rsid w:val="00152EBF"/>
    <w:rsid w:val="00156D11"/>
    <w:rsid w:val="0018763A"/>
    <w:rsid w:val="001A09C6"/>
    <w:rsid w:val="001B00B5"/>
    <w:rsid w:val="001E2A03"/>
    <w:rsid w:val="001E2EEE"/>
    <w:rsid w:val="002040E8"/>
    <w:rsid w:val="00205DE7"/>
    <w:rsid w:val="00213AE6"/>
    <w:rsid w:val="00231A17"/>
    <w:rsid w:val="00251595"/>
    <w:rsid w:val="002515E4"/>
    <w:rsid w:val="002613EC"/>
    <w:rsid w:val="00266BF4"/>
    <w:rsid w:val="00276529"/>
    <w:rsid w:val="00276F07"/>
    <w:rsid w:val="002B3BE1"/>
    <w:rsid w:val="002B5F2C"/>
    <w:rsid w:val="002C3EE9"/>
    <w:rsid w:val="002D7336"/>
    <w:rsid w:val="0031479E"/>
    <w:rsid w:val="00324538"/>
    <w:rsid w:val="00344F4C"/>
    <w:rsid w:val="003465B3"/>
    <w:rsid w:val="00346E53"/>
    <w:rsid w:val="00356094"/>
    <w:rsid w:val="00357673"/>
    <w:rsid w:val="0036599C"/>
    <w:rsid w:val="0039266F"/>
    <w:rsid w:val="00392A11"/>
    <w:rsid w:val="00394944"/>
    <w:rsid w:val="003964DE"/>
    <w:rsid w:val="003C3997"/>
    <w:rsid w:val="003C465A"/>
    <w:rsid w:val="003D2506"/>
    <w:rsid w:val="003E2215"/>
    <w:rsid w:val="00402735"/>
    <w:rsid w:val="004045C6"/>
    <w:rsid w:val="00413AF7"/>
    <w:rsid w:val="004343F8"/>
    <w:rsid w:val="00444C4F"/>
    <w:rsid w:val="004552F6"/>
    <w:rsid w:val="00456D0B"/>
    <w:rsid w:val="0047118F"/>
    <w:rsid w:val="0048330E"/>
    <w:rsid w:val="00484884"/>
    <w:rsid w:val="00487D10"/>
    <w:rsid w:val="004B39DB"/>
    <w:rsid w:val="004B4121"/>
    <w:rsid w:val="004C01EB"/>
    <w:rsid w:val="004C1E17"/>
    <w:rsid w:val="004C3E25"/>
    <w:rsid w:val="004E167A"/>
    <w:rsid w:val="004E485A"/>
    <w:rsid w:val="004F2135"/>
    <w:rsid w:val="004F655E"/>
    <w:rsid w:val="00504DE4"/>
    <w:rsid w:val="0051255E"/>
    <w:rsid w:val="005177A2"/>
    <w:rsid w:val="005225E1"/>
    <w:rsid w:val="005257D4"/>
    <w:rsid w:val="0053261C"/>
    <w:rsid w:val="00582B0A"/>
    <w:rsid w:val="00584079"/>
    <w:rsid w:val="00584411"/>
    <w:rsid w:val="00584537"/>
    <w:rsid w:val="005A7305"/>
    <w:rsid w:val="005D1511"/>
    <w:rsid w:val="005F493A"/>
    <w:rsid w:val="00602448"/>
    <w:rsid w:val="00616D36"/>
    <w:rsid w:val="00652871"/>
    <w:rsid w:val="00666F2C"/>
    <w:rsid w:val="00683316"/>
    <w:rsid w:val="0069591C"/>
    <w:rsid w:val="006C299C"/>
    <w:rsid w:val="006C7B35"/>
    <w:rsid w:val="006E6E55"/>
    <w:rsid w:val="006F05C4"/>
    <w:rsid w:val="007000C1"/>
    <w:rsid w:val="0070441D"/>
    <w:rsid w:val="0070691D"/>
    <w:rsid w:val="007070F2"/>
    <w:rsid w:val="0072790A"/>
    <w:rsid w:val="0073555A"/>
    <w:rsid w:val="00747F58"/>
    <w:rsid w:val="00757F75"/>
    <w:rsid w:val="007601A7"/>
    <w:rsid w:val="00767604"/>
    <w:rsid w:val="00780ECE"/>
    <w:rsid w:val="00784998"/>
    <w:rsid w:val="007B2403"/>
    <w:rsid w:val="007B267C"/>
    <w:rsid w:val="007B63DE"/>
    <w:rsid w:val="007B718C"/>
    <w:rsid w:val="007C6D62"/>
    <w:rsid w:val="007D5934"/>
    <w:rsid w:val="007F0A09"/>
    <w:rsid w:val="008028C8"/>
    <w:rsid w:val="00812B2D"/>
    <w:rsid w:val="0082009D"/>
    <w:rsid w:val="0084108A"/>
    <w:rsid w:val="008440E9"/>
    <w:rsid w:val="00863A59"/>
    <w:rsid w:val="00866D72"/>
    <w:rsid w:val="00867479"/>
    <w:rsid w:val="00894551"/>
    <w:rsid w:val="008A1D60"/>
    <w:rsid w:val="008A45D7"/>
    <w:rsid w:val="008C4D9F"/>
    <w:rsid w:val="008C539D"/>
    <w:rsid w:val="008D0AE1"/>
    <w:rsid w:val="008D3375"/>
    <w:rsid w:val="008E027C"/>
    <w:rsid w:val="008E0E76"/>
    <w:rsid w:val="008E2012"/>
    <w:rsid w:val="00900695"/>
    <w:rsid w:val="00904AB0"/>
    <w:rsid w:val="009078A6"/>
    <w:rsid w:val="00913CC1"/>
    <w:rsid w:val="00915810"/>
    <w:rsid w:val="00924644"/>
    <w:rsid w:val="009265B7"/>
    <w:rsid w:val="009276AB"/>
    <w:rsid w:val="00945F58"/>
    <w:rsid w:val="00964435"/>
    <w:rsid w:val="0099589A"/>
    <w:rsid w:val="009A06AA"/>
    <w:rsid w:val="009A13DE"/>
    <w:rsid w:val="009A1A11"/>
    <w:rsid w:val="009A23B2"/>
    <w:rsid w:val="009E4313"/>
    <w:rsid w:val="009F6FC2"/>
    <w:rsid w:val="009F7550"/>
    <w:rsid w:val="00A0164E"/>
    <w:rsid w:val="00A0793F"/>
    <w:rsid w:val="00A3282D"/>
    <w:rsid w:val="00A34BF2"/>
    <w:rsid w:val="00A65B27"/>
    <w:rsid w:val="00A73AE1"/>
    <w:rsid w:val="00A80565"/>
    <w:rsid w:val="00A83AE2"/>
    <w:rsid w:val="00A85350"/>
    <w:rsid w:val="00A952AE"/>
    <w:rsid w:val="00A96C53"/>
    <w:rsid w:val="00AA1DD7"/>
    <w:rsid w:val="00AE6EAC"/>
    <w:rsid w:val="00AF4F02"/>
    <w:rsid w:val="00B00AE4"/>
    <w:rsid w:val="00B03483"/>
    <w:rsid w:val="00B21682"/>
    <w:rsid w:val="00B32FA7"/>
    <w:rsid w:val="00B36EBF"/>
    <w:rsid w:val="00B505F8"/>
    <w:rsid w:val="00B5298B"/>
    <w:rsid w:val="00B67458"/>
    <w:rsid w:val="00B70B7B"/>
    <w:rsid w:val="00B7637A"/>
    <w:rsid w:val="00B76FF1"/>
    <w:rsid w:val="00B92F12"/>
    <w:rsid w:val="00B94378"/>
    <w:rsid w:val="00BA66D1"/>
    <w:rsid w:val="00BB5307"/>
    <w:rsid w:val="00BE6EA8"/>
    <w:rsid w:val="00C01981"/>
    <w:rsid w:val="00C07F9C"/>
    <w:rsid w:val="00C33754"/>
    <w:rsid w:val="00C3541D"/>
    <w:rsid w:val="00C550EC"/>
    <w:rsid w:val="00C57F86"/>
    <w:rsid w:val="00C848DE"/>
    <w:rsid w:val="00C87CF9"/>
    <w:rsid w:val="00C96B33"/>
    <w:rsid w:val="00C97B80"/>
    <w:rsid w:val="00CA3F29"/>
    <w:rsid w:val="00CA6538"/>
    <w:rsid w:val="00CA7EE2"/>
    <w:rsid w:val="00CE743F"/>
    <w:rsid w:val="00CF557D"/>
    <w:rsid w:val="00D203AE"/>
    <w:rsid w:val="00D321D2"/>
    <w:rsid w:val="00D420A3"/>
    <w:rsid w:val="00D42478"/>
    <w:rsid w:val="00D43016"/>
    <w:rsid w:val="00D57F7A"/>
    <w:rsid w:val="00D617A8"/>
    <w:rsid w:val="00D65607"/>
    <w:rsid w:val="00D80A9D"/>
    <w:rsid w:val="00D84ECC"/>
    <w:rsid w:val="00D85DE2"/>
    <w:rsid w:val="00DC430D"/>
    <w:rsid w:val="00DC5BB2"/>
    <w:rsid w:val="00DD31B7"/>
    <w:rsid w:val="00DE5C20"/>
    <w:rsid w:val="00DE61F6"/>
    <w:rsid w:val="00DF181C"/>
    <w:rsid w:val="00E024BB"/>
    <w:rsid w:val="00E02C11"/>
    <w:rsid w:val="00E115AC"/>
    <w:rsid w:val="00E13043"/>
    <w:rsid w:val="00E15A74"/>
    <w:rsid w:val="00E30A1C"/>
    <w:rsid w:val="00E32C92"/>
    <w:rsid w:val="00E40321"/>
    <w:rsid w:val="00E44E39"/>
    <w:rsid w:val="00E5024A"/>
    <w:rsid w:val="00E64C57"/>
    <w:rsid w:val="00E706BB"/>
    <w:rsid w:val="00E82AA5"/>
    <w:rsid w:val="00EB5CEA"/>
    <w:rsid w:val="00EC033F"/>
    <w:rsid w:val="00F0229C"/>
    <w:rsid w:val="00F15469"/>
    <w:rsid w:val="00F15DDC"/>
    <w:rsid w:val="00F236CB"/>
    <w:rsid w:val="00F3769A"/>
    <w:rsid w:val="00F37B05"/>
    <w:rsid w:val="00F5006F"/>
    <w:rsid w:val="00F62C59"/>
    <w:rsid w:val="00F643A5"/>
    <w:rsid w:val="00F66CEB"/>
    <w:rsid w:val="00F77248"/>
    <w:rsid w:val="00F81327"/>
    <w:rsid w:val="00FD0F4B"/>
    <w:rsid w:val="00FD481C"/>
    <w:rsid w:val="00FE3357"/>
    <w:rsid w:val="00FE5000"/>
    <w:rsid w:val="00FE5888"/>
    <w:rsid w:val="00FF33B8"/>
    <w:rsid w:val="00FF3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F6"/>
  </w:style>
  <w:style w:type="paragraph" w:styleId="Ttulo3">
    <w:name w:val="heading 3"/>
    <w:basedOn w:val="Normal"/>
    <w:next w:val="Normal"/>
    <w:link w:val="Ttulo3Car"/>
    <w:uiPriority w:val="9"/>
    <w:unhideWhenUsed/>
    <w:qFormat/>
    <w:rsid w:val="00C550EC"/>
    <w:pPr>
      <w:keepNext/>
      <w:keepLines/>
      <w:spacing w:before="160" w:after="120"/>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1F6"/>
    <w:pPr>
      <w:spacing w:after="0" w:line="240" w:lineRule="auto"/>
    </w:pPr>
  </w:style>
  <w:style w:type="table" w:styleId="Tablaconcuadrcula">
    <w:name w:val="Table Grid"/>
    <w:basedOn w:val="Tablanormal"/>
    <w:uiPriority w:val="39"/>
    <w:rsid w:val="00DE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31479E"/>
    <w:pPr>
      <w:spacing w:before="120" w:after="200" w:line="240" w:lineRule="auto"/>
    </w:pPr>
    <w:rPr>
      <w:b/>
      <w:iCs/>
      <w:color w:val="000000" w:themeColor="text1"/>
      <w:szCs w:val="18"/>
    </w:rPr>
  </w:style>
  <w:style w:type="paragraph" w:styleId="Textodeglobo">
    <w:name w:val="Balloon Text"/>
    <w:basedOn w:val="Normal"/>
    <w:link w:val="TextodegloboCar"/>
    <w:uiPriority w:val="99"/>
    <w:semiHidden/>
    <w:unhideWhenUsed/>
    <w:rsid w:val="00924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644"/>
    <w:rPr>
      <w:rFonts w:ascii="Segoe UI" w:hAnsi="Segoe UI" w:cs="Segoe UI"/>
      <w:sz w:val="18"/>
      <w:szCs w:val="18"/>
    </w:rPr>
  </w:style>
  <w:style w:type="character" w:customStyle="1" w:styleId="Ttulo3Car">
    <w:name w:val="Título 3 Car"/>
    <w:basedOn w:val="Fuentedeprrafopredeter"/>
    <w:link w:val="Ttulo3"/>
    <w:uiPriority w:val="9"/>
    <w:rsid w:val="00C550EC"/>
    <w:rPr>
      <w:rFonts w:asciiTheme="majorHAnsi" w:eastAsiaTheme="majorEastAsia" w:hAnsiTheme="majorHAnsi" w:cstheme="majorBidi"/>
      <w:b/>
      <w:color w:val="1F4D78" w:themeColor="accent1" w:themeShade="7F"/>
      <w:sz w:val="24"/>
      <w:szCs w:val="24"/>
    </w:rPr>
  </w:style>
  <w:style w:type="character" w:styleId="Refdecomentario">
    <w:name w:val="annotation reference"/>
    <w:basedOn w:val="Fuentedeprrafopredeter"/>
    <w:uiPriority w:val="99"/>
    <w:semiHidden/>
    <w:unhideWhenUsed/>
    <w:rsid w:val="00C550EC"/>
    <w:rPr>
      <w:sz w:val="16"/>
      <w:szCs w:val="16"/>
    </w:rPr>
  </w:style>
  <w:style w:type="paragraph" w:styleId="Textocomentario">
    <w:name w:val="annotation text"/>
    <w:basedOn w:val="Normal"/>
    <w:link w:val="TextocomentarioCar"/>
    <w:uiPriority w:val="99"/>
    <w:semiHidden/>
    <w:unhideWhenUsed/>
    <w:rsid w:val="00C550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50EC"/>
    <w:rPr>
      <w:sz w:val="20"/>
      <w:szCs w:val="20"/>
    </w:rPr>
  </w:style>
  <w:style w:type="paragraph" w:styleId="Asuntodelcomentario">
    <w:name w:val="annotation subject"/>
    <w:basedOn w:val="Textocomentario"/>
    <w:next w:val="Textocomentario"/>
    <w:link w:val="AsuntodelcomentarioCar"/>
    <w:uiPriority w:val="99"/>
    <w:semiHidden/>
    <w:unhideWhenUsed/>
    <w:rsid w:val="008E2012"/>
    <w:rPr>
      <w:b/>
      <w:bCs/>
    </w:rPr>
  </w:style>
  <w:style w:type="character" w:customStyle="1" w:styleId="AsuntodelcomentarioCar">
    <w:name w:val="Asunto del comentario Car"/>
    <w:basedOn w:val="TextocomentarioCar"/>
    <w:link w:val="Asuntodelcomentario"/>
    <w:uiPriority w:val="99"/>
    <w:semiHidden/>
    <w:rsid w:val="008E2012"/>
    <w:rPr>
      <w:b/>
      <w:bCs/>
      <w:sz w:val="20"/>
      <w:szCs w:val="20"/>
    </w:rPr>
  </w:style>
  <w:style w:type="paragraph" w:styleId="Revisin">
    <w:name w:val="Revision"/>
    <w:hidden/>
    <w:uiPriority w:val="99"/>
    <w:semiHidden/>
    <w:rsid w:val="00894551"/>
    <w:pPr>
      <w:spacing w:after="0" w:line="240" w:lineRule="auto"/>
    </w:pPr>
  </w:style>
  <w:style w:type="character" w:styleId="Hipervnculo">
    <w:name w:val="Hyperlink"/>
    <w:basedOn w:val="Fuentedeprrafopredeter"/>
    <w:uiPriority w:val="99"/>
    <w:unhideWhenUsed/>
    <w:rsid w:val="006C299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F6"/>
  </w:style>
  <w:style w:type="paragraph" w:styleId="Ttulo3">
    <w:name w:val="heading 3"/>
    <w:basedOn w:val="Normal"/>
    <w:next w:val="Normal"/>
    <w:link w:val="Ttulo3Car"/>
    <w:uiPriority w:val="9"/>
    <w:unhideWhenUsed/>
    <w:qFormat/>
    <w:rsid w:val="00C550EC"/>
    <w:pPr>
      <w:keepNext/>
      <w:keepLines/>
      <w:spacing w:before="160" w:after="120"/>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1F6"/>
    <w:pPr>
      <w:spacing w:after="0" w:line="240" w:lineRule="auto"/>
    </w:pPr>
  </w:style>
  <w:style w:type="table" w:styleId="Tablaconcuadrcula">
    <w:name w:val="Table Grid"/>
    <w:basedOn w:val="Tablanormal"/>
    <w:uiPriority w:val="39"/>
    <w:rsid w:val="00DE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31479E"/>
    <w:pPr>
      <w:spacing w:before="120" w:after="200" w:line="240" w:lineRule="auto"/>
    </w:pPr>
    <w:rPr>
      <w:b/>
      <w:iCs/>
      <w:color w:val="000000" w:themeColor="text1"/>
      <w:szCs w:val="18"/>
    </w:rPr>
  </w:style>
  <w:style w:type="paragraph" w:styleId="Textodeglobo">
    <w:name w:val="Balloon Text"/>
    <w:basedOn w:val="Normal"/>
    <w:link w:val="TextodegloboCar"/>
    <w:uiPriority w:val="99"/>
    <w:semiHidden/>
    <w:unhideWhenUsed/>
    <w:rsid w:val="00924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644"/>
    <w:rPr>
      <w:rFonts w:ascii="Segoe UI" w:hAnsi="Segoe UI" w:cs="Segoe UI"/>
      <w:sz w:val="18"/>
      <w:szCs w:val="18"/>
    </w:rPr>
  </w:style>
  <w:style w:type="character" w:customStyle="1" w:styleId="Ttulo3Car">
    <w:name w:val="Título 3 Car"/>
    <w:basedOn w:val="Fuentedeprrafopredeter"/>
    <w:link w:val="Ttulo3"/>
    <w:uiPriority w:val="9"/>
    <w:rsid w:val="00C550EC"/>
    <w:rPr>
      <w:rFonts w:asciiTheme="majorHAnsi" w:eastAsiaTheme="majorEastAsia" w:hAnsiTheme="majorHAnsi" w:cstheme="majorBidi"/>
      <w:b/>
      <w:color w:val="1F4D78" w:themeColor="accent1" w:themeShade="7F"/>
      <w:sz w:val="24"/>
      <w:szCs w:val="24"/>
    </w:rPr>
  </w:style>
  <w:style w:type="character" w:styleId="Refdecomentario">
    <w:name w:val="annotation reference"/>
    <w:basedOn w:val="Fuentedeprrafopredeter"/>
    <w:uiPriority w:val="99"/>
    <w:semiHidden/>
    <w:unhideWhenUsed/>
    <w:rsid w:val="00C550EC"/>
    <w:rPr>
      <w:sz w:val="16"/>
      <w:szCs w:val="16"/>
    </w:rPr>
  </w:style>
  <w:style w:type="paragraph" w:styleId="Textocomentario">
    <w:name w:val="annotation text"/>
    <w:basedOn w:val="Normal"/>
    <w:link w:val="TextocomentarioCar"/>
    <w:uiPriority w:val="99"/>
    <w:semiHidden/>
    <w:unhideWhenUsed/>
    <w:rsid w:val="00C550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50EC"/>
    <w:rPr>
      <w:sz w:val="20"/>
      <w:szCs w:val="20"/>
    </w:rPr>
  </w:style>
  <w:style w:type="paragraph" w:styleId="Asuntodelcomentario">
    <w:name w:val="annotation subject"/>
    <w:basedOn w:val="Textocomentario"/>
    <w:next w:val="Textocomentario"/>
    <w:link w:val="AsuntodelcomentarioCar"/>
    <w:uiPriority w:val="99"/>
    <w:semiHidden/>
    <w:unhideWhenUsed/>
    <w:rsid w:val="008E2012"/>
    <w:rPr>
      <w:b/>
      <w:bCs/>
    </w:rPr>
  </w:style>
  <w:style w:type="character" w:customStyle="1" w:styleId="AsuntodelcomentarioCar">
    <w:name w:val="Asunto del comentario Car"/>
    <w:basedOn w:val="TextocomentarioCar"/>
    <w:link w:val="Asuntodelcomentario"/>
    <w:uiPriority w:val="99"/>
    <w:semiHidden/>
    <w:rsid w:val="008E2012"/>
    <w:rPr>
      <w:b/>
      <w:bCs/>
      <w:sz w:val="20"/>
      <w:szCs w:val="20"/>
    </w:rPr>
  </w:style>
  <w:style w:type="paragraph" w:styleId="Revisin">
    <w:name w:val="Revision"/>
    <w:hidden/>
    <w:uiPriority w:val="99"/>
    <w:semiHidden/>
    <w:rsid w:val="00894551"/>
    <w:pPr>
      <w:spacing w:after="0" w:line="240" w:lineRule="auto"/>
    </w:pPr>
  </w:style>
  <w:style w:type="character" w:styleId="Hipervnculo">
    <w:name w:val="Hyperlink"/>
    <w:basedOn w:val="Fuentedeprrafopredeter"/>
    <w:uiPriority w:val="99"/>
    <w:unhideWhenUsed/>
    <w:rsid w:val="006C2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onomics.ozier.com/owen/papers/ozier_early_deworming_20160727.pdf" TargetMode="External"/><Relationship Id="rId12" Type="http://schemas.openxmlformats.org/officeDocument/2006/relationships/hyperlink" Target="http://scholar.harvard.edu/files/kcroke/files/ug_lr_deworming_071714.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holar.harvard.edu/files/kremer/files/worms-at-work_2015-07-23.pdf" TargetMode="External"/><Relationship Id="rId8" Type="http://schemas.openxmlformats.org/officeDocument/2006/relationships/hyperlink" Target="http://scholar.harvard.edu/files/kremer/files/worms-at-work_2016-01-28-clean.pdf" TargetMode="External"/><Relationship Id="rId9" Type="http://schemas.openxmlformats.org/officeDocument/2006/relationships/hyperlink" Target="http://documents.worldbank.org/curated/en/236591468341338819/pdf/WPS7052.pdf" TargetMode="External"/><Relationship Id="rId10" Type="http://schemas.openxmlformats.org/officeDocument/2006/relationships/hyperlink" Target="http://economics.ozier.com/owen/papers/ozier_early_deworming_2015041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AEEE-CFF5-E04D-B096-7358393E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996</Words>
  <Characters>5482</Characters>
  <Application>Microsoft Macintosh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Sinclair</dc:creator>
  <cp:keywords/>
  <dc:description/>
  <cp:lastModifiedBy>Sophie Jullien</cp:lastModifiedBy>
  <cp:revision>55</cp:revision>
  <dcterms:created xsi:type="dcterms:W3CDTF">2016-01-30T14:15:00Z</dcterms:created>
  <dcterms:modified xsi:type="dcterms:W3CDTF">2016-09-04T14:05:00Z</dcterms:modified>
</cp:coreProperties>
</file>