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541A8" w14:textId="77777777" w:rsidR="002B2EEF" w:rsidRPr="00E016F3" w:rsidRDefault="00EC54DE" w:rsidP="00D8005E">
      <w:pPr>
        <w:spacing w:line="480" w:lineRule="auto"/>
        <w:rPr>
          <w:rFonts w:asciiTheme="majorHAnsi" w:hAnsiTheme="majorHAnsi"/>
          <w:b/>
          <w:sz w:val="22"/>
          <w:szCs w:val="22"/>
          <w:u w:val="single"/>
        </w:rPr>
      </w:pPr>
      <w:r>
        <w:rPr>
          <w:rFonts w:asciiTheme="majorHAnsi" w:hAnsiTheme="majorHAnsi"/>
          <w:b/>
          <w:sz w:val="22"/>
          <w:szCs w:val="22"/>
          <w:u w:val="single"/>
        </w:rPr>
        <w:t>Oxygen exchange and C</w:t>
      </w:r>
      <w:r w:rsidR="00E016F3" w:rsidRPr="00E016F3">
        <w:rPr>
          <w:rFonts w:asciiTheme="majorHAnsi" w:hAnsiTheme="majorHAnsi"/>
          <w:b/>
          <w:sz w:val="22"/>
          <w:szCs w:val="22"/>
          <w:u w:val="single"/>
        </w:rPr>
        <w:t xml:space="preserve">-reactive protein predict </w:t>
      </w:r>
      <w:r w:rsidR="0078573D">
        <w:rPr>
          <w:rFonts w:asciiTheme="majorHAnsi" w:hAnsiTheme="majorHAnsi"/>
          <w:b/>
          <w:sz w:val="22"/>
          <w:szCs w:val="22"/>
          <w:u w:val="single"/>
        </w:rPr>
        <w:t xml:space="preserve">safe </w:t>
      </w:r>
      <w:r w:rsidR="00E016F3" w:rsidRPr="00E016F3">
        <w:rPr>
          <w:rFonts w:asciiTheme="majorHAnsi" w:hAnsiTheme="majorHAnsi"/>
          <w:b/>
          <w:sz w:val="22"/>
          <w:szCs w:val="22"/>
          <w:u w:val="single"/>
        </w:rPr>
        <w:t>discharge in patients with H1N1 influenza</w:t>
      </w:r>
    </w:p>
    <w:p w14:paraId="1F248381" w14:textId="77777777" w:rsidR="00E016F3" w:rsidRDefault="00E016F3" w:rsidP="00D8005E">
      <w:pPr>
        <w:spacing w:line="480" w:lineRule="auto"/>
        <w:rPr>
          <w:rFonts w:asciiTheme="majorHAnsi" w:hAnsiTheme="majorHAnsi"/>
          <w:b/>
          <w:sz w:val="22"/>
          <w:szCs w:val="22"/>
          <w:u w:val="single"/>
        </w:rPr>
      </w:pPr>
    </w:p>
    <w:p w14:paraId="56D5AB8D" w14:textId="77777777" w:rsidR="00DD61B3" w:rsidRDefault="00DD61B3" w:rsidP="00D8005E">
      <w:pPr>
        <w:spacing w:line="480" w:lineRule="auto"/>
        <w:rPr>
          <w:rFonts w:asciiTheme="majorHAnsi" w:hAnsiTheme="majorHAnsi"/>
          <w:sz w:val="22"/>
          <w:szCs w:val="22"/>
          <w:vertAlign w:val="superscript"/>
        </w:rPr>
      </w:pPr>
      <w:r w:rsidRPr="00DD61B3">
        <w:rPr>
          <w:rFonts w:asciiTheme="majorHAnsi" w:hAnsiTheme="majorHAnsi"/>
          <w:sz w:val="22"/>
          <w:szCs w:val="22"/>
        </w:rPr>
        <w:t>Morton B*</w:t>
      </w:r>
      <w:r w:rsidRPr="00DD61B3">
        <w:rPr>
          <w:rFonts w:asciiTheme="majorHAnsi" w:hAnsiTheme="majorHAnsi"/>
          <w:sz w:val="22"/>
          <w:szCs w:val="22"/>
          <w:vertAlign w:val="superscript"/>
        </w:rPr>
        <w:t>1,2</w:t>
      </w:r>
      <w:r w:rsidRPr="00DD61B3">
        <w:rPr>
          <w:rFonts w:asciiTheme="majorHAnsi" w:hAnsiTheme="majorHAnsi"/>
          <w:sz w:val="22"/>
          <w:szCs w:val="22"/>
        </w:rPr>
        <w:t>, Nweze K*</w:t>
      </w:r>
      <w:r w:rsidRPr="00DD61B3">
        <w:rPr>
          <w:rFonts w:asciiTheme="majorHAnsi" w:hAnsiTheme="majorHAnsi"/>
          <w:sz w:val="22"/>
          <w:szCs w:val="22"/>
          <w:vertAlign w:val="superscript"/>
        </w:rPr>
        <w:t>3</w:t>
      </w:r>
      <w:r w:rsidRPr="00DD61B3">
        <w:rPr>
          <w:rFonts w:asciiTheme="majorHAnsi" w:hAnsiTheme="majorHAnsi"/>
          <w:sz w:val="22"/>
          <w:szCs w:val="22"/>
        </w:rPr>
        <w:t xml:space="preserve">, </w:t>
      </w:r>
      <w:r w:rsidR="00151578">
        <w:rPr>
          <w:rFonts w:asciiTheme="majorHAnsi" w:hAnsiTheme="majorHAnsi"/>
          <w:sz w:val="22"/>
          <w:szCs w:val="22"/>
        </w:rPr>
        <w:t>O’Connor J</w:t>
      </w:r>
      <w:r w:rsidR="00151578" w:rsidRPr="007670A1">
        <w:rPr>
          <w:rFonts w:asciiTheme="majorHAnsi" w:hAnsiTheme="majorHAnsi"/>
          <w:sz w:val="22"/>
          <w:szCs w:val="22"/>
          <w:vertAlign w:val="superscript"/>
        </w:rPr>
        <w:t>3</w:t>
      </w:r>
      <w:r w:rsidRPr="00DD61B3">
        <w:rPr>
          <w:rFonts w:asciiTheme="majorHAnsi" w:hAnsiTheme="majorHAnsi"/>
          <w:sz w:val="22"/>
          <w:szCs w:val="22"/>
        </w:rPr>
        <w:t xml:space="preserve">, </w:t>
      </w:r>
      <w:proofErr w:type="spellStart"/>
      <w:r w:rsidR="00151578">
        <w:rPr>
          <w:rFonts w:asciiTheme="majorHAnsi" w:hAnsiTheme="majorHAnsi"/>
          <w:sz w:val="22"/>
          <w:szCs w:val="22"/>
        </w:rPr>
        <w:t>Turton</w:t>
      </w:r>
      <w:proofErr w:type="spellEnd"/>
      <w:r w:rsidR="00151578">
        <w:rPr>
          <w:rFonts w:asciiTheme="majorHAnsi" w:hAnsiTheme="majorHAnsi"/>
          <w:sz w:val="22"/>
          <w:szCs w:val="22"/>
        </w:rPr>
        <w:t xml:space="preserve"> P</w:t>
      </w:r>
      <w:r w:rsidR="00151578" w:rsidRPr="007670A1">
        <w:rPr>
          <w:rFonts w:asciiTheme="majorHAnsi" w:hAnsiTheme="majorHAnsi"/>
          <w:sz w:val="22"/>
          <w:szCs w:val="22"/>
          <w:vertAlign w:val="superscript"/>
        </w:rPr>
        <w:t>3</w:t>
      </w:r>
      <w:r w:rsidRPr="00DD61B3">
        <w:rPr>
          <w:rFonts w:asciiTheme="majorHAnsi" w:hAnsiTheme="majorHAnsi"/>
          <w:sz w:val="22"/>
          <w:szCs w:val="22"/>
        </w:rPr>
        <w:t xml:space="preserve">, </w:t>
      </w:r>
      <w:proofErr w:type="spellStart"/>
      <w:r w:rsidR="00151578">
        <w:rPr>
          <w:rFonts w:asciiTheme="majorHAnsi" w:hAnsiTheme="majorHAnsi"/>
          <w:sz w:val="22"/>
          <w:szCs w:val="22"/>
        </w:rPr>
        <w:t>Joekes</w:t>
      </w:r>
      <w:proofErr w:type="spellEnd"/>
      <w:r w:rsidR="00151578">
        <w:rPr>
          <w:rFonts w:asciiTheme="majorHAnsi" w:hAnsiTheme="majorHAnsi"/>
          <w:sz w:val="22"/>
          <w:szCs w:val="22"/>
        </w:rPr>
        <w:t xml:space="preserve"> E</w:t>
      </w:r>
      <w:r w:rsidR="00151578" w:rsidRPr="007670A1">
        <w:rPr>
          <w:rFonts w:asciiTheme="majorHAnsi" w:hAnsiTheme="majorHAnsi"/>
          <w:sz w:val="22"/>
          <w:szCs w:val="22"/>
          <w:vertAlign w:val="superscript"/>
        </w:rPr>
        <w:t>5</w:t>
      </w:r>
      <w:r w:rsidRPr="00DD61B3">
        <w:rPr>
          <w:rFonts w:asciiTheme="majorHAnsi" w:hAnsiTheme="majorHAnsi"/>
          <w:sz w:val="22"/>
          <w:szCs w:val="22"/>
        </w:rPr>
        <w:t>,</w:t>
      </w:r>
      <w:r>
        <w:rPr>
          <w:rFonts w:asciiTheme="majorHAnsi" w:hAnsiTheme="majorHAnsi"/>
          <w:sz w:val="22"/>
          <w:szCs w:val="22"/>
        </w:rPr>
        <w:t xml:space="preserve"> </w:t>
      </w:r>
      <w:proofErr w:type="spellStart"/>
      <w:r w:rsidRPr="00DD61B3">
        <w:rPr>
          <w:rFonts w:asciiTheme="majorHAnsi" w:hAnsiTheme="majorHAnsi"/>
          <w:sz w:val="22"/>
          <w:szCs w:val="22"/>
        </w:rPr>
        <w:t>Blakey</w:t>
      </w:r>
      <w:proofErr w:type="spellEnd"/>
      <w:r w:rsidRPr="00DD61B3">
        <w:rPr>
          <w:rFonts w:asciiTheme="majorHAnsi" w:hAnsiTheme="majorHAnsi"/>
          <w:sz w:val="22"/>
          <w:szCs w:val="22"/>
        </w:rPr>
        <w:t xml:space="preserve"> JD</w:t>
      </w:r>
      <w:r w:rsidRPr="00DD61B3">
        <w:rPr>
          <w:rFonts w:asciiTheme="majorHAnsi" w:hAnsiTheme="majorHAnsi"/>
          <w:sz w:val="22"/>
          <w:szCs w:val="22"/>
          <w:vertAlign w:val="superscript"/>
        </w:rPr>
        <w:t>1</w:t>
      </w:r>
      <w:proofErr w:type="gramStart"/>
      <w:r w:rsidRPr="00DD61B3">
        <w:rPr>
          <w:rFonts w:asciiTheme="majorHAnsi" w:hAnsiTheme="majorHAnsi"/>
          <w:sz w:val="22"/>
          <w:szCs w:val="22"/>
          <w:vertAlign w:val="superscript"/>
        </w:rPr>
        <w:t>,2</w:t>
      </w:r>
      <w:proofErr w:type="gramEnd"/>
      <w:r w:rsidRPr="00DD61B3">
        <w:rPr>
          <w:rFonts w:asciiTheme="majorHAnsi" w:hAnsiTheme="majorHAnsi"/>
          <w:sz w:val="22"/>
          <w:szCs w:val="22"/>
        </w:rPr>
        <w:t>, Welters ID</w:t>
      </w:r>
      <w:r w:rsidRPr="00DD61B3">
        <w:rPr>
          <w:rFonts w:asciiTheme="majorHAnsi" w:hAnsiTheme="majorHAnsi"/>
          <w:sz w:val="22"/>
          <w:szCs w:val="22"/>
          <w:vertAlign w:val="superscript"/>
        </w:rPr>
        <w:t>3,4</w:t>
      </w:r>
    </w:p>
    <w:p w14:paraId="5E232932" w14:textId="77777777" w:rsidR="00DD61B3" w:rsidRPr="00DD61B3" w:rsidRDefault="00DD61B3" w:rsidP="00D8005E">
      <w:pPr>
        <w:spacing w:line="480" w:lineRule="auto"/>
        <w:rPr>
          <w:rFonts w:asciiTheme="majorHAnsi" w:hAnsiTheme="majorHAnsi"/>
          <w:sz w:val="22"/>
          <w:szCs w:val="22"/>
        </w:rPr>
      </w:pPr>
    </w:p>
    <w:p w14:paraId="05F04F5D" w14:textId="77777777" w:rsidR="00DD61B3" w:rsidRPr="00DD61B3" w:rsidRDefault="00DD61B3" w:rsidP="00DD61B3">
      <w:pPr>
        <w:pStyle w:val="ListParagraph"/>
        <w:numPr>
          <w:ilvl w:val="0"/>
          <w:numId w:val="1"/>
        </w:numPr>
        <w:spacing w:line="480" w:lineRule="auto"/>
        <w:rPr>
          <w:rFonts w:asciiTheme="majorHAnsi" w:hAnsiTheme="majorHAnsi"/>
          <w:sz w:val="22"/>
          <w:szCs w:val="22"/>
        </w:rPr>
      </w:pPr>
      <w:r w:rsidRPr="00DD61B3">
        <w:rPr>
          <w:rFonts w:asciiTheme="majorHAnsi" w:hAnsiTheme="majorHAnsi"/>
          <w:sz w:val="22"/>
          <w:szCs w:val="22"/>
        </w:rPr>
        <w:t>Clinical Sciences, Liverpool School of Tropical Medicine</w:t>
      </w:r>
      <w:r>
        <w:rPr>
          <w:rFonts w:asciiTheme="majorHAnsi" w:hAnsiTheme="majorHAnsi"/>
          <w:sz w:val="22"/>
          <w:szCs w:val="22"/>
        </w:rPr>
        <w:t>, UK</w:t>
      </w:r>
    </w:p>
    <w:p w14:paraId="6F216159" w14:textId="77777777" w:rsidR="00DD61B3" w:rsidRPr="00DD61B3" w:rsidRDefault="00DD61B3" w:rsidP="00DD61B3">
      <w:pPr>
        <w:pStyle w:val="ListParagraph"/>
        <w:numPr>
          <w:ilvl w:val="0"/>
          <w:numId w:val="1"/>
        </w:numPr>
        <w:spacing w:line="480" w:lineRule="auto"/>
        <w:rPr>
          <w:rFonts w:asciiTheme="majorHAnsi" w:hAnsiTheme="majorHAnsi"/>
          <w:sz w:val="22"/>
          <w:szCs w:val="22"/>
        </w:rPr>
      </w:pPr>
      <w:r w:rsidRPr="00DD61B3">
        <w:rPr>
          <w:rFonts w:asciiTheme="majorHAnsi" w:hAnsiTheme="majorHAnsi"/>
          <w:sz w:val="22"/>
          <w:szCs w:val="22"/>
        </w:rPr>
        <w:t>Critical Care Department, Aintree University Hospital NHS Foundation Trust</w:t>
      </w:r>
      <w:r>
        <w:rPr>
          <w:rFonts w:asciiTheme="majorHAnsi" w:hAnsiTheme="majorHAnsi"/>
          <w:sz w:val="22"/>
          <w:szCs w:val="22"/>
        </w:rPr>
        <w:t>, UK</w:t>
      </w:r>
    </w:p>
    <w:p w14:paraId="6EA086DE" w14:textId="77777777" w:rsidR="00DD61B3" w:rsidRPr="00DD61B3" w:rsidRDefault="00DD61B3" w:rsidP="00DD61B3">
      <w:pPr>
        <w:pStyle w:val="ListParagraph"/>
        <w:numPr>
          <w:ilvl w:val="0"/>
          <w:numId w:val="1"/>
        </w:numPr>
        <w:spacing w:line="480" w:lineRule="auto"/>
        <w:rPr>
          <w:rFonts w:asciiTheme="majorHAnsi" w:hAnsiTheme="majorHAnsi"/>
          <w:sz w:val="22"/>
          <w:szCs w:val="22"/>
        </w:rPr>
      </w:pPr>
      <w:r w:rsidRPr="00DD61B3">
        <w:rPr>
          <w:rFonts w:asciiTheme="majorHAnsi" w:hAnsiTheme="majorHAnsi"/>
          <w:sz w:val="22"/>
          <w:szCs w:val="22"/>
        </w:rPr>
        <w:t>Department</w:t>
      </w:r>
      <w:r w:rsidR="00151578">
        <w:rPr>
          <w:rFonts w:asciiTheme="majorHAnsi" w:hAnsiTheme="majorHAnsi"/>
          <w:sz w:val="22"/>
          <w:szCs w:val="22"/>
        </w:rPr>
        <w:t xml:space="preserve"> of Critical Care Medicine</w:t>
      </w:r>
      <w:r w:rsidRPr="00DD61B3">
        <w:rPr>
          <w:rFonts w:asciiTheme="majorHAnsi" w:hAnsiTheme="majorHAnsi"/>
          <w:sz w:val="22"/>
          <w:szCs w:val="22"/>
        </w:rPr>
        <w:t>, Royal Liverpool University Hospital</w:t>
      </w:r>
      <w:r>
        <w:rPr>
          <w:rFonts w:asciiTheme="majorHAnsi" w:hAnsiTheme="majorHAnsi"/>
          <w:sz w:val="22"/>
          <w:szCs w:val="22"/>
        </w:rPr>
        <w:t>, UK</w:t>
      </w:r>
    </w:p>
    <w:p w14:paraId="1F62F673" w14:textId="77777777" w:rsidR="00DD61B3" w:rsidRPr="007670A1" w:rsidRDefault="00DD61B3" w:rsidP="00DD61B3">
      <w:pPr>
        <w:pStyle w:val="ListParagraph"/>
        <w:numPr>
          <w:ilvl w:val="0"/>
          <w:numId w:val="1"/>
        </w:numPr>
        <w:spacing w:line="480" w:lineRule="auto"/>
        <w:rPr>
          <w:rFonts w:asciiTheme="majorHAnsi" w:hAnsiTheme="majorHAnsi"/>
          <w:sz w:val="22"/>
          <w:szCs w:val="22"/>
        </w:rPr>
      </w:pPr>
      <w:r w:rsidRPr="00DD61B3">
        <w:rPr>
          <w:rFonts w:asciiTheme="majorHAnsi" w:hAnsiTheme="majorHAnsi" w:cs="Times New Roman"/>
          <w:sz w:val="22"/>
          <w:szCs w:val="22"/>
          <w:lang w:val="en-US"/>
        </w:rPr>
        <w:t>Institute of Ageing and Chronic Disease, Uni</w:t>
      </w:r>
      <w:r>
        <w:rPr>
          <w:rFonts w:asciiTheme="majorHAnsi" w:hAnsiTheme="majorHAnsi" w:cs="Times New Roman"/>
          <w:sz w:val="22"/>
          <w:szCs w:val="22"/>
          <w:lang w:val="en-US"/>
        </w:rPr>
        <w:t>versity of Liverpool,</w:t>
      </w:r>
      <w:r w:rsidRPr="00DD61B3">
        <w:rPr>
          <w:rFonts w:asciiTheme="majorHAnsi" w:hAnsiTheme="majorHAnsi" w:cs="Times New Roman"/>
          <w:sz w:val="22"/>
          <w:szCs w:val="22"/>
          <w:lang w:val="en-US"/>
        </w:rPr>
        <w:t xml:space="preserve"> UK</w:t>
      </w:r>
    </w:p>
    <w:p w14:paraId="329560BC" w14:textId="77777777" w:rsidR="00151578" w:rsidRPr="00DD61B3" w:rsidRDefault="00151578" w:rsidP="00DD61B3">
      <w:pPr>
        <w:pStyle w:val="ListParagraph"/>
        <w:numPr>
          <w:ilvl w:val="0"/>
          <w:numId w:val="1"/>
        </w:numPr>
        <w:spacing w:line="480" w:lineRule="auto"/>
        <w:rPr>
          <w:rFonts w:asciiTheme="majorHAnsi" w:hAnsiTheme="majorHAnsi"/>
          <w:sz w:val="22"/>
          <w:szCs w:val="22"/>
        </w:rPr>
      </w:pPr>
      <w:r>
        <w:rPr>
          <w:rFonts w:asciiTheme="majorHAnsi" w:hAnsiTheme="majorHAnsi" w:cs="Times New Roman"/>
          <w:sz w:val="22"/>
          <w:szCs w:val="22"/>
          <w:lang w:val="en-US"/>
        </w:rPr>
        <w:t>Department of Radiology, Royal Liverpool University Hospital, UK</w:t>
      </w:r>
    </w:p>
    <w:p w14:paraId="27ACE6AA" w14:textId="77777777" w:rsidR="00DD61B3" w:rsidRDefault="00DD61B3" w:rsidP="00D8005E">
      <w:pPr>
        <w:spacing w:line="480" w:lineRule="auto"/>
        <w:rPr>
          <w:rFonts w:asciiTheme="majorHAnsi" w:hAnsiTheme="majorHAnsi"/>
          <w:b/>
          <w:sz w:val="22"/>
          <w:szCs w:val="22"/>
          <w:u w:val="single"/>
        </w:rPr>
      </w:pPr>
    </w:p>
    <w:p w14:paraId="2F19BD7C" w14:textId="77777777" w:rsidR="00151578" w:rsidRDefault="00151578" w:rsidP="00D8005E">
      <w:pPr>
        <w:spacing w:line="480" w:lineRule="auto"/>
        <w:rPr>
          <w:rFonts w:asciiTheme="majorHAnsi" w:hAnsiTheme="majorHAnsi"/>
          <w:b/>
          <w:sz w:val="22"/>
          <w:szCs w:val="22"/>
          <w:u w:val="single"/>
        </w:rPr>
      </w:pPr>
    </w:p>
    <w:p w14:paraId="0986FA98" w14:textId="77777777" w:rsidR="00151578" w:rsidRDefault="00151578" w:rsidP="00D8005E">
      <w:pPr>
        <w:spacing w:line="480" w:lineRule="auto"/>
        <w:rPr>
          <w:rFonts w:asciiTheme="majorHAnsi" w:hAnsiTheme="majorHAnsi"/>
          <w:b/>
          <w:sz w:val="22"/>
          <w:szCs w:val="22"/>
          <w:u w:val="single"/>
        </w:rPr>
      </w:pPr>
    </w:p>
    <w:p w14:paraId="1A4843B5" w14:textId="77777777" w:rsidR="00151578" w:rsidRPr="00E016F3" w:rsidRDefault="00151578" w:rsidP="00D8005E">
      <w:pPr>
        <w:spacing w:line="480" w:lineRule="auto"/>
        <w:rPr>
          <w:rFonts w:asciiTheme="majorHAnsi" w:hAnsiTheme="majorHAnsi"/>
          <w:b/>
          <w:sz w:val="22"/>
          <w:szCs w:val="22"/>
          <w:u w:val="single"/>
        </w:rPr>
      </w:pPr>
      <w:r w:rsidRPr="00DD61B3">
        <w:rPr>
          <w:rFonts w:asciiTheme="majorHAnsi" w:hAnsiTheme="majorHAnsi"/>
          <w:sz w:val="22"/>
          <w:szCs w:val="22"/>
        </w:rPr>
        <w:t>*</w:t>
      </w:r>
      <w:r>
        <w:rPr>
          <w:rFonts w:asciiTheme="majorHAnsi" w:hAnsiTheme="majorHAnsi"/>
          <w:sz w:val="22"/>
          <w:szCs w:val="22"/>
        </w:rPr>
        <w:t>Both authors contributed equally to the publication</w:t>
      </w:r>
    </w:p>
    <w:p w14:paraId="615A29DA" w14:textId="77777777" w:rsidR="00DD61B3" w:rsidRDefault="00DD61B3">
      <w:pPr>
        <w:rPr>
          <w:rFonts w:asciiTheme="majorHAnsi" w:hAnsiTheme="majorHAnsi"/>
          <w:b/>
          <w:sz w:val="22"/>
          <w:szCs w:val="22"/>
          <w:u w:val="single"/>
        </w:rPr>
      </w:pPr>
      <w:r>
        <w:rPr>
          <w:rFonts w:asciiTheme="majorHAnsi" w:hAnsiTheme="majorHAnsi"/>
          <w:b/>
          <w:sz w:val="22"/>
          <w:szCs w:val="22"/>
          <w:u w:val="single"/>
        </w:rPr>
        <w:br w:type="page"/>
      </w:r>
    </w:p>
    <w:p w14:paraId="5B048BC0" w14:textId="77777777" w:rsidR="00E016F3" w:rsidRDefault="00E016F3" w:rsidP="00D8005E">
      <w:pPr>
        <w:spacing w:line="480" w:lineRule="auto"/>
        <w:rPr>
          <w:rFonts w:asciiTheme="majorHAnsi" w:hAnsiTheme="majorHAnsi"/>
          <w:b/>
          <w:sz w:val="22"/>
          <w:szCs w:val="22"/>
          <w:u w:val="single"/>
        </w:rPr>
      </w:pPr>
      <w:r w:rsidRPr="00E016F3">
        <w:rPr>
          <w:rFonts w:asciiTheme="majorHAnsi" w:hAnsiTheme="majorHAnsi"/>
          <w:b/>
          <w:sz w:val="22"/>
          <w:szCs w:val="22"/>
          <w:u w:val="single"/>
        </w:rPr>
        <w:lastRenderedPageBreak/>
        <w:t>Abstract</w:t>
      </w:r>
    </w:p>
    <w:p w14:paraId="587232BE" w14:textId="77777777" w:rsidR="00C70EF7" w:rsidRDefault="00C70EF7" w:rsidP="00D8005E">
      <w:pPr>
        <w:spacing w:line="480" w:lineRule="auto"/>
        <w:rPr>
          <w:rFonts w:asciiTheme="majorHAnsi" w:hAnsiTheme="majorHAnsi"/>
          <w:sz w:val="22"/>
          <w:szCs w:val="22"/>
        </w:rPr>
      </w:pPr>
      <w:r>
        <w:rPr>
          <w:rFonts w:asciiTheme="majorHAnsi" w:hAnsiTheme="majorHAnsi"/>
          <w:b/>
          <w:sz w:val="22"/>
          <w:szCs w:val="22"/>
        </w:rPr>
        <w:t>Background</w:t>
      </w:r>
      <w:r w:rsidR="00533E9B" w:rsidRPr="005A0A9E">
        <w:rPr>
          <w:rFonts w:asciiTheme="majorHAnsi" w:hAnsiTheme="majorHAnsi"/>
          <w:b/>
          <w:sz w:val="22"/>
          <w:szCs w:val="22"/>
        </w:rPr>
        <w:t>:</w:t>
      </w:r>
      <w:r w:rsidR="00533E9B">
        <w:rPr>
          <w:rFonts w:asciiTheme="majorHAnsi" w:hAnsiTheme="majorHAnsi"/>
          <w:sz w:val="22"/>
          <w:szCs w:val="22"/>
        </w:rPr>
        <w:t xml:space="preserve"> </w:t>
      </w:r>
      <w:r>
        <w:rPr>
          <w:rFonts w:asciiTheme="majorHAnsi" w:hAnsiTheme="majorHAnsi"/>
          <w:sz w:val="22"/>
          <w:szCs w:val="22"/>
        </w:rPr>
        <w:t xml:space="preserve">Pandemic influenza has </w:t>
      </w:r>
      <w:r w:rsidR="00CB6B3C" w:rsidRPr="0045772E">
        <w:rPr>
          <w:rFonts w:asciiTheme="majorHAnsi" w:hAnsiTheme="majorHAnsi"/>
          <w:sz w:val="22"/>
          <w:szCs w:val="22"/>
        </w:rPr>
        <w:t xml:space="preserve">potential to overwhelm healthcare resources. </w:t>
      </w:r>
      <w:r>
        <w:rPr>
          <w:rFonts w:asciiTheme="majorHAnsi" w:hAnsiTheme="majorHAnsi"/>
          <w:sz w:val="22"/>
          <w:szCs w:val="22"/>
        </w:rPr>
        <w:t xml:space="preserve">There is uncertainty over </w:t>
      </w:r>
      <w:r w:rsidR="00557F3B">
        <w:rPr>
          <w:rFonts w:asciiTheme="majorHAnsi" w:hAnsiTheme="majorHAnsi"/>
          <w:sz w:val="22"/>
          <w:szCs w:val="22"/>
        </w:rPr>
        <w:t xml:space="preserve">performance of existing triage tools </w:t>
      </w:r>
      <w:r>
        <w:rPr>
          <w:rFonts w:asciiTheme="majorHAnsi" w:hAnsiTheme="majorHAnsi"/>
          <w:sz w:val="22"/>
          <w:szCs w:val="22"/>
        </w:rPr>
        <w:t xml:space="preserve">for </w:t>
      </w:r>
      <w:r w:rsidR="00CB6B3C" w:rsidRPr="0045772E">
        <w:rPr>
          <w:rFonts w:asciiTheme="majorHAnsi" w:hAnsiTheme="majorHAnsi"/>
          <w:sz w:val="22"/>
          <w:szCs w:val="22"/>
        </w:rPr>
        <w:t>hospital admission and discharge decisions</w:t>
      </w:r>
      <w:r w:rsidR="00557F3B">
        <w:rPr>
          <w:rFonts w:asciiTheme="majorHAnsi" w:hAnsiTheme="majorHAnsi"/>
          <w:sz w:val="22"/>
          <w:szCs w:val="22"/>
        </w:rPr>
        <w:t>.</w:t>
      </w:r>
      <w:r w:rsidR="00CB6B3C" w:rsidRPr="0045772E">
        <w:rPr>
          <w:rFonts w:asciiTheme="majorHAnsi" w:hAnsiTheme="majorHAnsi"/>
          <w:sz w:val="22"/>
          <w:szCs w:val="22"/>
        </w:rPr>
        <w:t xml:space="preserve"> </w:t>
      </w:r>
    </w:p>
    <w:p w14:paraId="301195BD" w14:textId="77777777" w:rsidR="00C70EF7" w:rsidRDefault="00C70EF7" w:rsidP="00D8005E">
      <w:pPr>
        <w:spacing w:line="480" w:lineRule="auto"/>
        <w:rPr>
          <w:rFonts w:asciiTheme="majorHAnsi" w:hAnsiTheme="majorHAnsi"/>
          <w:sz w:val="22"/>
          <w:szCs w:val="22"/>
        </w:rPr>
      </w:pPr>
    </w:p>
    <w:p w14:paraId="2DAA5106" w14:textId="77777777" w:rsidR="005D026A" w:rsidRDefault="00C70EF7" w:rsidP="00D8005E">
      <w:pPr>
        <w:spacing w:line="480" w:lineRule="auto"/>
        <w:rPr>
          <w:rFonts w:asciiTheme="majorHAnsi" w:hAnsiTheme="majorHAnsi"/>
          <w:sz w:val="22"/>
          <w:szCs w:val="22"/>
        </w:rPr>
      </w:pPr>
      <w:r>
        <w:rPr>
          <w:rFonts w:asciiTheme="majorHAnsi" w:hAnsiTheme="majorHAnsi"/>
          <w:b/>
          <w:sz w:val="22"/>
          <w:szCs w:val="22"/>
        </w:rPr>
        <w:t xml:space="preserve">Aim: </w:t>
      </w:r>
      <w:r w:rsidR="00CB6B3C" w:rsidRPr="0045772E">
        <w:rPr>
          <w:rFonts w:asciiTheme="majorHAnsi" w:hAnsiTheme="majorHAnsi"/>
          <w:sz w:val="22"/>
          <w:szCs w:val="22"/>
        </w:rPr>
        <w:t>Our aim was to identify clinical criteria that predict safe discharge from hospital and develop a pragmatic triage tool to guide physician decision</w:t>
      </w:r>
      <w:r w:rsidR="004D478A">
        <w:rPr>
          <w:rFonts w:asciiTheme="majorHAnsi" w:hAnsiTheme="majorHAnsi"/>
          <w:sz w:val="22"/>
          <w:szCs w:val="22"/>
        </w:rPr>
        <w:t>-making</w:t>
      </w:r>
      <w:r w:rsidR="00CB6B3C" w:rsidRPr="0045772E">
        <w:rPr>
          <w:rFonts w:asciiTheme="majorHAnsi" w:hAnsiTheme="majorHAnsi"/>
          <w:sz w:val="22"/>
          <w:szCs w:val="22"/>
        </w:rPr>
        <w:t>.</w:t>
      </w:r>
    </w:p>
    <w:p w14:paraId="79F31317" w14:textId="77777777" w:rsidR="0045772E" w:rsidRDefault="0045772E" w:rsidP="00D8005E">
      <w:pPr>
        <w:spacing w:line="480" w:lineRule="auto"/>
        <w:rPr>
          <w:rFonts w:asciiTheme="majorHAnsi" w:hAnsiTheme="majorHAnsi"/>
          <w:sz w:val="22"/>
          <w:szCs w:val="22"/>
        </w:rPr>
      </w:pPr>
    </w:p>
    <w:p w14:paraId="7D30573B" w14:textId="77777777" w:rsidR="00C70EF7" w:rsidRDefault="00C70EF7" w:rsidP="00D8005E">
      <w:pPr>
        <w:spacing w:line="480" w:lineRule="auto"/>
        <w:rPr>
          <w:rFonts w:asciiTheme="majorHAnsi" w:hAnsiTheme="majorHAnsi"/>
          <w:sz w:val="22"/>
          <w:szCs w:val="22"/>
        </w:rPr>
      </w:pPr>
      <w:r>
        <w:rPr>
          <w:rFonts w:asciiTheme="majorHAnsi" w:hAnsiTheme="majorHAnsi"/>
          <w:b/>
          <w:sz w:val="22"/>
          <w:szCs w:val="22"/>
        </w:rPr>
        <w:t>Design</w:t>
      </w:r>
      <w:r w:rsidR="00533E9B" w:rsidRPr="005A0A9E">
        <w:rPr>
          <w:rFonts w:asciiTheme="majorHAnsi" w:hAnsiTheme="majorHAnsi"/>
          <w:b/>
          <w:sz w:val="22"/>
          <w:szCs w:val="22"/>
        </w:rPr>
        <w:t>:</w:t>
      </w:r>
      <w:r w:rsidR="00533E9B">
        <w:rPr>
          <w:rFonts w:asciiTheme="majorHAnsi" w:hAnsiTheme="majorHAnsi"/>
          <w:sz w:val="22"/>
          <w:szCs w:val="22"/>
        </w:rPr>
        <w:t xml:space="preserve"> </w:t>
      </w:r>
      <w:r w:rsidR="00743FB4">
        <w:rPr>
          <w:rFonts w:asciiTheme="majorHAnsi" w:hAnsiTheme="majorHAnsi"/>
          <w:sz w:val="22"/>
          <w:szCs w:val="22"/>
        </w:rPr>
        <w:t xml:space="preserve">We retrospectively examined an existing database </w:t>
      </w:r>
      <w:r w:rsidR="004B4D35">
        <w:rPr>
          <w:rFonts w:asciiTheme="majorHAnsi" w:hAnsiTheme="majorHAnsi"/>
          <w:sz w:val="22"/>
          <w:szCs w:val="22"/>
        </w:rPr>
        <w:t>of patients</w:t>
      </w:r>
      <w:r w:rsidR="00743FB4">
        <w:rPr>
          <w:rFonts w:asciiTheme="majorHAnsi" w:hAnsiTheme="majorHAnsi"/>
          <w:sz w:val="22"/>
          <w:szCs w:val="22"/>
        </w:rPr>
        <w:t xml:space="preserve"> who presented to the Royal Liverpool University Hospital </w:t>
      </w:r>
      <w:proofErr w:type="gramStart"/>
      <w:r w:rsidR="00743FB4">
        <w:rPr>
          <w:rFonts w:asciiTheme="majorHAnsi" w:hAnsiTheme="majorHAnsi"/>
          <w:sz w:val="22"/>
          <w:szCs w:val="22"/>
        </w:rPr>
        <w:t xml:space="preserve">during the </w:t>
      </w:r>
      <w:r w:rsidR="004D478A">
        <w:rPr>
          <w:rFonts w:asciiTheme="majorHAnsi" w:hAnsiTheme="majorHAnsi"/>
          <w:sz w:val="22"/>
          <w:szCs w:val="22"/>
        </w:rPr>
        <w:t>2010-</w:t>
      </w:r>
      <w:r w:rsidR="00372AE5">
        <w:rPr>
          <w:rFonts w:asciiTheme="majorHAnsi" w:hAnsiTheme="majorHAnsi"/>
          <w:sz w:val="22"/>
          <w:szCs w:val="22"/>
        </w:rPr>
        <w:t>20</w:t>
      </w:r>
      <w:r w:rsidR="004D478A">
        <w:rPr>
          <w:rFonts w:asciiTheme="majorHAnsi" w:hAnsiTheme="majorHAnsi"/>
          <w:sz w:val="22"/>
          <w:szCs w:val="22"/>
        </w:rPr>
        <w:t>11</w:t>
      </w:r>
      <w:r w:rsidR="00372AE5">
        <w:rPr>
          <w:rFonts w:asciiTheme="majorHAnsi" w:hAnsiTheme="majorHAnsi"/>
          <w:sz w:val="22"/>
          <w:szCs w:val="22"/>
        </w:rPr>
        <w:t xml:space="preserve"> </w:t>
      </w:r>
      <w:r w:rsidR="00743FB4">
        <w:rPr>
          <w:rFonts w:asciiTheme="majorHAnsi" w:hAnsiTheme="majorHAnsi"/>
          <w:sz w:val="22"/>
          <w:szCs w:val="22"/>
        </w:rPr>
        <w:t>infl</w:t>
      </w:r>
      <w:r w:rsidR="004B4D35">
        <w:rPr>
          <w:rFonts w:asciiTheme="majorHAnsi" w:hAnsiTheme="majorHAnsi"/>
          <w:sz w:val="22"/>
          <w:szCs w:val="22"/>
        </w:rPr>
        <w:t>uenza pandemic</w:t>
      </w:r>
      <w:proofErr w:type="gramEnd"/>
      <w:r w:rsidR="004B4D35">
        <w:rPr>
          <w:rFonts w:asciiTheme="majorHAnsi" w:hAnsiTheme="majorHAnsi"/>
          <w:sz w:val="22"/>
          <w:szCs w:val="22"/>
        </w:rPr>
        <w:t xml:space="preserve">. </w:t>
      </w:r>
    </w:p>
    <w:p w14:paraId="428F78A1" w14:textId="77777777" w:rsidR="00C70EF7" w:rsidRDefault="00C70EF7" w:rsidP="00D8005E">
      <w:pPr>
        <w:spacing w:line="480" w:lineRule="auto"/>
        <w:rPr>
          <w:rFonts w:asciiTheme="majorHAnsi" w:hAnsiTheme="majorHAnsi"/>
          <w:sz w:val="22"/>
          <w:szCs w:val="22"/>
        </w:rPr>
      </w:pPr>
    </w:p>
    <w:p w14:paraId="15139E9E" w14:textId="77777777" w:rsidR="00743FB4" w:rsidRDefault="00C70EF7" w:rsidP="00D8005E">
      <w:pPr>
        <w:spacing w:line="480" w:lineRule="auto"/>
        <w:rPr>
          <w:rFonts w:asciiTheme="majorHAnsi" w:hAnsiTheme="majorHAnsi" w:cs="Arial"/>
          <w:sz w:val="22"/>
          <w:szCs w:val="22"/>
        </w:rPr>
      </w:pPr>
      <w:r>
        <w:rPr>
          <w:rFonts w:asciiTheme="majorHAnsi" w:hAnsiTheme="majorHAnsi"/>
          <w:b/>
          <w:sz w:val="22"/>
          <w:szCs w:val="22"/>
        </w:rPr>
        <w:t xml:space="preserve">Methods: </w:t>
      </w:r>
      <w:r w:rsidR="004B4D35">
        <w:rPr>
          <w:rFonts w:asciiTheme="majorHAnsi" w:hAnsiTheme="majorHAnsi" w:cs="Arial"/>
          <w:sz w:val="22"/>
          <w:szCs w:val="22"/>
        </w:rPr>
        <w:t>Inclusion criteria</w:t>
      </w:r>
      <w:r w:rsidR="004B4D35" w:rsidRPr="00E016F3">
        <w:rPr>
          <w:rFonts w:asciiTheme="majorHAnsi" w:hAnsiTheme="majorHAnsi" w:cs="Arial"/>
          <w:sz w:val="22"/>
          <w:szCs w:val="22"/>
        </w:rPr>
        <w:t xml:space="preserve">: </w:t>
      </w:r>
      <w:proofErr w:type="gramStart"/>
      <w:r w:rsidR="004B4D35" w:rsidRPr="00E016F3">
        <w:rPr>
          <w:rFonts w:asciiTheme="majorHAnsi" w:hAnsiTheme="majorHAnsi" w:cs="Arial"/>
          <w:sz w:val="22"/>
          <w:szCs w:val="22"/>
        </w:rPr>
        <w:t>patients</w:t>
      </w:r>
      <w:proofErr w:type="gramEnd"/>
      <w:r w:rsidR="004B4D35" w:rsidRPr="00E016F3">
        <w:rPr>
          <w:rFonts w:asciiTheme="majorHAnsi" w:hAnsiTheme="majorHAnsi" w:cs="Arial"/>
          <w:sz w:val="22"/>
          <w:szCs w:val="22"/>
        </w:rPr>
        <w:t xml:space="preserve"> ≥18 years, with</w:t>
      </w:r>
      <w:r w:rsidR="00533E9B">
        <w:rPr>
          <w:rFonts w:asciiTheme="majorHAnsi" w:hAnsiTheme="majorHAnsi" w:cs="Arial"/>
          <w:sz w:val="22"/>
          <w:szCs w:val="22"/>
        </w:rPr>
        <w:t xml:space="preserve"> PCR confirmed</w:t>
      </w:r>
      <w:r w:rsidR="004B4D35" w:rsidRPr="00E016F3">
        <w:rPr>
          <w:rFonts w:asciiTheme="majorHAnsi" w:hAnsiTheme="majorHAnsi" w:cs="Arial"/>
          <w:sz w:val="22"/>
          <w:szCs w:val="22"/>
        </w:rPr>
        <w:t xml:space="preserve"> H1N1 influenza</w:t>
      </w:r>
      <w:r w:rsidR="004B4D35">
        <w:rPr>
          <w:rFonts w:asciiTheme="majorHAnsi" w:hAnsiTheme="majorHAnsi" w:cs="Arial"/>
          <w:sz w:val="22"/>
          <w:szCs w:val="22"/>
        </w:rPr>
        <w:t>. Exclusion criteria:</w:t>
      </w:r>
      <w:r w:rsidR="00533E9B">
        <w:rPr>
          <w:rFonts w:asciiTheme="majorHAnsi" w:hAnsiTheme="majorHAnsi" w:cs="Arial"/>
          <w:sz w:val="22"/>
          <w:szCs w:val="22"/>
        </w:rPr>
        <w:t xml:space="preserve"> </w:t>
      </w:r>
      <w:r w:rsidR="004B4D35" w:rsidRPr="00E016F3">
        <w:rPr>
          <w:rFonts w:asciiTheme="majorHAnsi" w:hAnsiTheme="majorHAnsi" w:cs="Arial"/>
          <w:sz w:val="22"/>
          <w:szCs w:val="22"/>
        </w:rPr>
        <w:t>died</w:t>
      </w:r>
      <w:r w:rsidR="00533E9B">
        <w:rPr>
          <w:rFonts w:asciiTheme="majorHAnsi" w:hAnsiTheme="majorHAnsi" w:cs="Arial"/>
          <w:sz w:val="22"/>
          <w:szCs w:val="22"/>
        </w:rPr>
        <w:t xml:space="preserve"> in the emergency department or</w:t>
      </w:r>
      <w:r w:rsidR="004B4D35">
        <w:rPr>
          <w:rFonts w:asciiTheme="majorHAnsi" w:hAnsiTheme="majorHAnsi" w:cs="Arial"/>
          <w:sz w:val="22"/>
          <w:szCs w:val="22"/>
        </w:rPr>
        <w:t xml:space="preserve"> </w:t>
      </w:r>
      <w:r w:rsidR="00533E9B">
        <w:rPr>
          <w:rFonts w:asciiTheme="majorHAnsi" w:hAnsiTheme="majorHAnsi" w:cs="Arial"/>
          <w:sz w:val="22"/>
          <w:szCs w:val="22"/>
        </w:rPr>
        <w:t xml:space="preserve">case notes </w:t>
      </w:r>
      <w:r w:rsidR="004B4D35" w:rsidRPr="00E016F3">
        <w:rPr>
          <w:rFonts w:asciiTheme="majorHAnsi" w:hAnsiTheme="majorHAnsi" w:cs="Arial"/>
          <w:sz w:val="22"/>
          <w:szCs w:val="22"/>
        </w:rPr>
        <w:t>unavailable</w:t>
      </w:r>
      <w:r w:rsidR="004B4D35">
        <w:rPr>
          <w:rFonts w:asciiTheme="majorHAnsi" w:hAnsiTheme="majorHAnsi" w:cs="Arial"/>
          <w:sz w:val="22"/>
          <w:szCs w:val="22"/>
        </w:rPr>
        <w:t xml:space="preserve">. </w:t>
      </w:r>
      <w:r w:rsidR="004B4D35" w:rsidRPr="00E016F3">
        <w:rPr>
          <w:rFonts w:asciiTheme="majorHAnsi" w:hAnsiTheme="majorHAnsi" w:cs="Arial"/>
          <w:sz w:val="22"/>
          <w:szCs w:val="22"/>
        </w:rPr>
        <w:t xml:space="preserve">Successful </w:t>
      </w:r>
      <w:r w:rsidR="004B4D35">
        <w:rPr>
          <w:rFonts w:asciiTheme="majorHAnsi" w:hAnsiTheme="majorHAnsi" w:cs="Arial"/>
          <w:sz w:val="22"/>
          <w:szCs w:val="22"/>
        </w:rPr>
        <w:t>discharge was defined as</w:t>
      </w:r>
      <w:r w:rsidR="004B4D35" w:rsidRPr="00E016F3">
        <w:rPr>
          <w:rFonts w:asciiTheme="majorHAnsi" w:hAnsiTheme="majorHAnsi" w:cs="Arial"/>
          <w:sz w:val="22"/>
          <w:szCs w:val="22"/>
        </w:rPr>
        <w:t xml:space="preserve"> </w:t>
      </w:r>
      <w:r w:rsidR="004B4D35">
        <w:rPr>
          <w:rFonts w:asciiTheme="majorHAnsi" w:hAnsiTheme="majorHAnsi" w:cs="Arial"/>
          <w:sz w:val="22"/>
          <w:szCs w:val="22"/>
        </w:rPr>
        <w:t>discharge within 24 hours of</w:t>
      </w:r>
      <w:r w:rsidR="00533E9B">
        <w:rPr>
          <w:rFonts w:asciiTheme="majorHAnsi" w:hAnsiTheme="majorHAnsi" w:cs="Arial"/>
          <w:sz w:val="22"/>
          <w:szCs w:val="22"/>
        </w:rPr>
        <w:t xml:space="preserve"> presentation and no </w:t>
      </w:r>
      <w:r w:rsidR="004B4D35" w:rsidRPr="00E016F3">
        <w:rPr>
          <w:rFonts w:asciiTheme="majorHAnsi" w:hAnsiTheme="majorHAnsi" w:cs="Arial"/>
          <w:sz w:val="22"/>
          <w:szCs w:val="22"/>
        </w:rPr>
        <w:t>readmission within</w:t>
      </w:r>
      <w:r w:rsidR="004B4D35">
        <w:rPr>
          <w:rFonts w:asciiTheme="majorHAnsi" w:hAnsiTheme="majorHAnsi" w:cs="Arial"/>
          <w:sz w:val="22"/>
          <w:szCs w:val="22"/>
        </w:rPr>
        <w:t xml:space="preserve"> seven days.</w:t>
      </w:r>
    </w:p>
    <w:p w14:paraId="2CB8DCFB" w14:textId="77777777" w:rsidR="004B4D35" w:rsidRDefault="004B4D35" w:rsidP="00D8005E">
      <w:pPr>
        <w:spacing w:line="480" w:lineRule="auto"/>
        <w:rPr>
          <w:rFonts w:asciiTheme="majorHAnsi" w:hAnsiTheme="majorHAnsi" w:cs="Arial"/>
          <w:sz w:val="22"/>
          <w:szCs w:val="22"/>
        </w:rPr>
      </w:pPr>
    </w:p>
    <w:p w14:paraId="4B024AE5" w14:textId="77777777" w:rsidR="004B4D35" w:rsidRPr="00533E9B" w:rsidRDefault="005A0A9E" w:rsidP="00D8005E">
      <w:pPr>
        <w:spacing w:line="480" w:lineRule="auto"/>
        <w:rPr>
          <w:rFonts w:asciiTheme="majorHAnsi" w:hAnsiTheme="majorHAnsi"/>
          <w:sz w:val="22"/>
          <w:szCs w:val="22"/>
        </w:rPr>
      </w:pPr>
      <w:r w:rsidRPr="005A0A9E">
        <w:rPr>
          <w:rFonts w:asciiTheme="majorHAnsi" w:hAnsiTheme="majorHAnsi" w:cs="Arial"/>
          <w:b/>
          <w:sz w:val="22"/>
          <w:szCs w:val="22"/>
        </w:rPr>
        <w:t>Results:</w:t>
      </w:r>
      <w:r>
        <w:rPr>
          <w:rFonts w:asciiTheme="majorHAnsi" w:hAnsiTheme="majorHAnsi" w:cs="Arial"/>
          <w:sz w:val="22"/>
          <w:szCs w:val="22"/>
        </w:rPr>
        <w:t xml:space="preserve"> </w:t>
      </w:r>
      <w:r w:rsidR="004B4D35">
        <w:rPr>
          <w:rFonts w:asciiTheme="majorHAnsi" w:hAnsiTheme="majorHAnsi" w:cs="Arial"/>
          <w:sz w:val="22"/>
          <w:szCs w:val="22"/>
        </w:rPr>
        <w:t>Eighty-six</w:t>
      </w:r>
      <w:r w:rsidR="00533E9B">
        <w:rPr>
          <w:rFonts w:asciiTheme="majorHAnsi" w:hAnsiTheme="majorHAnsi" w:cs="Arial"/>
          <w:sz w:val="22"/>
          <w:szCs w:val="22"/>
        </w:rPr>
        <w:t xml:space="preserve"> patients were included and</w:t>
      </w:r>
      <w:r w:rsidR="004B4D35">
        <w:rPr>
          <w:rFonts w:asciiTheme="majorHAnsi" w:hAnsiTheme="majorHAnsi" w:cs="Arial"/>
          <w:sz w:val="22"/>
          <w:szCs w:val="22"/>
        </w:rPr>
        <w:t xml:space="preserve"> 16 were successfully discharged. Estimated P/F ratio and C-reactive protein predicted safe discharge in a multivaria</w:t>
      </w:r>
      <w:r w:rsidR="00A23AC0">
        <w:rPr>
          <w:rFonts w:asciiTheme="majorHAnsi" w:hAnsiTheme="majorHAnsi" w:cs="Arial"/>
          <w:sz w:val="22"/>
          <w:szCs w:val="22"/>
        </w:rPr>
        <w:t xml:space="preserve">ble </w:t>
      </w:r>
      <w:r w:rsidR="004B4D35">
        <w:rPr>
          <w:rFonts w:asciiTheme="majorHAnsi" w:hAnsiTheme="majorHAnsi" w:cs="Arial"/>
          <w:sz w:val="22"/>
          <w:szCs w:val="22"/>
        </w:rPr>
        <w:t>logistic regression model (</w:t>
      </w:r>
      <w:r w:rsidR="00E44947">
        <w:rPr>
          <w:rFonts w:asciiTheme="majorHAnsi" w:hAnsiTheme="majorHAnsi" w:cs="Arial"/>
          <w:sz w:val="22"/>
          <w:szCs w:val="18"/>
        </w:rPr>
        <w:t xml:space="preserve">AUC 0.883). </w:t>
      </w:r>
      <w:r w:rsidR="009030FB">
        <w:rPr>
          <w:rFonts w:asciiTheme="majorHAnsi" w:hAnsiTheme="majorHAnsi" w:cs="Arial"/>
          <w:sz w:val="22"/>
          <w:szCs w:val="18"/>
        </w:rPr>
        <w:t>A composite univariate predictor (estimated P/F minus C-reactive protein</w:t>
      </w:r>
      <w:r w:rsidR="00624539">
        <w:rPr>
          <w:rFonts w:asciiTheme="majorHAnsi" w:hAnsiTheme="majorHAnsi" w:cs="Arial"/>
          <w:sz w:val="22"/>
          <w:szCs w:val="18"/>
        </w:rPr>
        <w:t>, AUC 0.877</w:t>
      </w:r>
      <w:r w:rsidR="009030FB">
        <w:rPr>
          <w:rFonts w:asciiTheme="majorHAnsi" w:hAnsiTheme="majorHAnsi" w:cs="Arial"/>
          <w:sz w:val="22"/>
          <w:szCs w:val="18"/>
        </w:rPr>
        <w:t>) was created to calculate specific cut off points for sensitivity and specificity.</w:t>
      </w:r>
      <w:r w:rsidR="008F2BE9">
        <w:rPr>
          <w:rFonts w:asciiTheme="majorHAnsi" w:hAnsiTheme="majorHAnsi" w:cs="Arial"/>
          <w:sz w:val="22"/>
          <w:szCs w:val="18"/>
        </w:rPr>
        <w:t xml:space="preserve"> A</w:t>
      </w:r>
      <w:r w:rsidR="009030FB">
        <w:rPr>
          <w:rFonts w:asciiTheme="majorHAnsi" w:hAnsiTheme="majorHAnsi" w:cs="Arial"/>
          <w:sz w:val="22"/>
          <w:szCs w:val="18"/>
        </w:rPr>
        <w:t xml:space="preserve"> pragmatic decision tool was created to incorporate these </w:t>
      </w:r>
      <w:r w:rsidR="008F2BE9">
        <w:rPr>
          <w:rFonts w:asciiTheme="majorHAnsi" w:hAnsiTheme="majorHAnsi" w:cs="Arial"/>
          <w:sz w:val="22"/>
          <w:szCs w:val="18"/>
        </w:rPr>
        <w:t>thresholds</w:t>
      </w:r>
      <w:r w:rsidR="009030FB">
        <w:rPr>
          <w:rFonts w:asciiTheme="majorHAnsi" w:hAnsiTheme="majorHAnsi" w:cs="Arial"/>
          <w:sz w:val="22"/>
          <w:szCs w:val="18"/>
        </w:rPr>
        <w:t xml:space="preserve"> and </w:t>
      </w:r>
      <w:r w:rsidR="00533E9B">
        <w:rPr>
          <w:rFonts w:asciiTheme="majorHAnsi" w:hAnsiTheme="majorHAnsi" w:cs="Arial"/>
          <w:sz w:val="22"/>
          <w:szCs w:val="18"/>
        </w:rPr>
        <w:t>relevant guidelines</w:t>
      </w:r>
      <w:r w:rsidR="009030FB">
        <w:rPr>
          <w:rFonts w:asciiTheme="majorHAnsi" w:hAnsiTheme="majorHAnsi" w:cs="Arial"/>
          <w:sz w:val="22"/>
          <w:szCs w:val="18"/>
        </w:rPr>
        <w:t>.</w:t>
      </w:r>
      <w:r w:rsidR="005D5756">
        <w:rPr>
          <w:rFonts w:asciiTheme="majorHAnsi" w:hAnsiTheme="majorHAnsi" w:cs="Arial"/>
          <w:sz w:val="22"/>
          <w:szCs w:val="18"/>
        </w:rPr>
        <w:t xml:space="preserve"> Discharge: Sp</w:t>
      </w:r>
      <w:r w:rsidR="00533E9B">
        <w:rPr>
          <w:rFonts w:asciiTheme="majorHAnsi" w:hAnsiTheme="majorHAnsi" w:cs="Arial"/>
          <w:sz w:val="22"/>
          <w:szCs w:val="18"/>
        </w:rPr>
        <w:t>O</w:t>
      </w:r>
      <w:r w:rsidR="00533E9B">
        <w:rPr>
          <w:rFonts w:asciiTheme="majorHAnsi" w:hAnsiTheme="majorHAnsi" w:cs="Arial"/>
          <w:sz w:val="22"/>
          <w:szCs w:val="18"/>
          <w:vertAlign w:val="subscript"/>
        </w:rPr>
        <w:t xml:space="preserve">2 </w:t>
      </w:r>
      <w:r w:rsidR="00557F3B" w:rsidRPr="003B7B92">
        <w:rPr>
          <w:rFonts w:asciiTheme="majorHAnsi" w:hAnsiTheme="majorHAnsi" w:cs="Arial"/>
          <w:sz w:val="22"/>
          <w:szCs w:val="18"/>
        </w:rPr>
        <w:t>(in air)</w:t>
      </w:r>
      <w:r w:rsidR="00557F3B">
        <w:rPr>
          <w:rFonts w:asciiTheme="majorHAnsi" w:hAnsiTheme="majorHAnsi" w:cs="Arial"/>
          <w:sz w:val="22"/>
          <w:szCs w:val="18"/>
          <w:vertAlign w:val="subscript"/>
        </w:rPr>
        <w:t xml:space="preserve"> </w:t>
      </w:r>
      <w:r w:rsidR="00533E9B">
        <w:rPr>
          <w:rFonts w:ascii="Calibri" w:hAnsi="Calibri" w:cs="Arial"/>
          <w:sz w:val="22"/>
          <w:szCs w:val="18"/>
        </w:rPr>
        <w:t>≥</w:t>
      </w:r>
      <w:r w:rsidR="005D5756">
        <w:rPr>
          <w:rFonts w:asciiTheme="majorHAnsi" w:hAnsiTheme="majorHAnsi" w:cs="Arial"/>
          <w:sz w:val="22"/>
          <w:szCs w:val="18"/>
        </w:rPr>
        <w:t xml:space="preserve"> 94% and CRP &lt;50. Observe: Sp</w:t>
      </w:r>
      <w:r w:rsidR="00533E9B">
        <w:rPr>
          <w:rFonts w:asciiTheme="majorHAnsi" w:hAnsiTheme="majorHAnsi" w:cs="Arial"/>
          <w:sz w:val="22"/>
          <w:szCs w:val="18"/>
        </w:rPr>
        <w:t>O</w:t>
      </w:r>
      <w:r w:rsidR="00533E9B">
        <w:rPr>
          <w:rFonts w:asciiTheme="majorHAnsi" w:hAnsiTheme="majorHAnsi" w:cs="Arial"/>
          <w:sz w:val="22"/>
          <w:szCs w:val="18"/>
          <w:vertAlign w:val="subscript"/>
        </w:rPr>
        <w:t xml:space="preserve">2 </w:t>
      </w:r>
      <w:r w:rsidR="00533E9B">
        <w:rPr>
          <w:rFonts w:ascii="Calibri" w:hAnsi="Calibri" w:cs="Arial"/>
          <w:sz w:val="22"/>
          <w:szCs w:val="18"/>
        </w:rPr>
        <w:t>≥</w:t>
      </w:r>
      <w:r w:rsidR="005D5756">
        <w:rPr>
          <w:rFonts w:asciiTheme="majorHAnsi" w:hAnsiTheme="majorHAnsi" w:cs="Arial"/>
          <w:sz w:val="22"/>
          <w:szCs w:val="18"/>
        </w:rPr>
        <w:t xml:space="preserve"> 94% and CRP &gt;50 or Sp</w:t>
      </w:r>
      <w:r w:rsidR="00533E9B">
        <w:rPr>
          <w:rFonts w:asciiTheme="majorHAnsi" w:hAnsiTheme="majorHAnsi" w:cs="Arial"/>
          <w:sz w:val="22"/>
          <w:szCs w:val="18"/>
        </w:rPr>
        <w:t>O</w:t>
      </w:r>
      <w:r w:rsidR="00533E9B">
        <w:rPr>
          <w:rFonts w:asciiTheme="majorHAnsi" w:hAnsiTheme="majorHAnsi" w:cs="Arial"/>
          <w:sz w:val="22"/>
          <w:szCs w:val="18"/>
          <w:vertAlign w:val="subscript"/>
        </w:rPr>
        <w:t xml:space="preserve">2 </w:t>
      </w:r>
      <w:r w:rsidR="00533E9B">
        <w:rPr>
          <w:rFonts w:ascii="Calibri" w:hAnsi="Calibri" w:cs="Arial"/>
          <w:sz w:val="22"/>
          <w:szCs w:val="18"/>
        </w:rPr>
        <w:t>≤</w:t>
      </w:r>
      <w:r w:rsidR="005D5756">
        <w:rPr>
          <w:rFonts w:asciiTheme="majorHAnsi" w:hAnsiTheme="majorHAnsi" w:cs="Arial"/>
          <w:sz w:val="22"/>
          <w:szCs w:val="18"/>
        </w:rPr>
        <w:t xml:space="preserve"> 93% and CRP &lt;50. Admit:  Sp</w:t>
      </w:r>
      <w:r w:rsidR="00533E9B">
        <w:rPr>
          <w:rFonts w:asciiTheme="majorHAnsi" w:hAnsiTheme="majorHAnsi" w:cs="Arial"/>
          <w:sz w:val="22"/>
          <w:szCs w:val="18"/>
        </w:rPr>
        <w:t>O</w:t>
      </w:r>
      <w:r w:rsidR="00533E9B">
        <w:rPr>
          <w:rFonts w:asciiTheme="majorHAnsi" w:hAnsiTheme="majorHAnsi" w:cs="Arial"/>
          <w:sz w:val="22"/>
          <w:szCs w:val="18"/>
          <w:vertAlign w:val="subscript"/>
        </w:rPr>
        <w:t xml:space="preserve">2 </w:t>
      </w:r>
      <w:r w:rsidR="00533E9B">
        <w:rPr>
          <w:rFonts w:ascii="Calibri" w:hAnsi="Calibri" w:cs="Arial"/>
          <w:sz w:val="22"/>
          <w:szCs w:val="18"/>
        </w:rPr>
        <w:t>≤</w:t>
      </w:r>
      <w:r w:rsidR="00533E9B">
        <w:rPr>
          <w:rFonts w:asciiTheme="majorHAnsi" w:hAnsiTheme="majorHAnsi" w:cs="Arial"/>
          <w:sz w:val="22"/>
          <w:szCs w:val="18"/>
        </w:rPr>
        <w:t xml:space="preserve"> 93% and CRP &gt;50.</w:t>
      </w:r>
    </w:p>
    <w:p w14:paraId="3200187F" w14:textId="77777777" w:rsidR="00CB6B3C" w:rsidRDefault="00CB6B3C" w:rsidP="00D8005E">
      <w:pPr>
        <w:spacing w:line="480" w:lineRule="auto"/>
        <w:rPr>
          <w:rFonts w:asciiTheme="majorHAnsi" w:hAnsiTheme="majorHAnsi"/>
          <w:sz w:val="22"/>
          <w:szCs w:val="22"/>
          <w:u w:val="single"/>
        </w:rPr>
      </w:pPr>
    </w:p>
    <w:p w14:paraId="48B889CB" w14:textId="77777777" w:rsidR="00CB6B3C" w:rsidRPr="00624539" w:rsidRDefault="00624539" w:rsidP="00D8005E">
      <w:pPr>
        <w:spacing w:line="480" w:lineRule="auto"/>
        <w:rPr>
          <w:rFonts w:asciiTheme="majorHAnsi" w:hAnsiTheme="majorHAnsi"/>
          <w:sz w:val="22"/>
          <w:szCs w:val="22"/>
        </w:rPr>
      </w:pPr>
      <w:r>
        <w:rPr>
          <w:rFonts w:asciiTheme="majorHAnsi" w:hAnsiTheme="majorHAnsi"/>
          <w:b/>
          <w:sz w:val="22"/>
          <w:szCs w:val="22"/>
        </w:rPr>
        <w:t>Conclusion</w:t>
      </w:r>
      <w:r w:rsidR="00C70EF7">
        <w:rPr>
          <w:rFonts w:asciiTheme="majorHAnsi" w:hAnsiTheme="majorHAnsi"/>
          <w:b/>
          <w:sz w:val="22"/>
          <w:szCs w:val="22"/>
        </w:rPr>
        <w:t>s</w:t>
      </w:r>
      <w:r>
        <w:rPr>
          <w:rFonts w:asciiTheme="majorHAnsi" w:hAnsiTheme="majorHAnsi"/>
          <w:b/>
          <w:sz w:val="22"/>
          <w:szCs w:val="22"/>
        </w:rPr>
        <w:t xml:space="preserve">: </w:t>
      </w:r>
      <w:r w:rsidR="00C70EF7">
        <w:rPr>
          <w:rFonts w:asciiTheme="majorHAnsi" w:hAnsiTheme="majorHAnsi"/>
          <w:sz w:val="22"/>
          <w:szCs w:val="22"/>
        </w:rPr>
        <w:t>We</w:t>
      </w:r>
      <w:r>
        <w:rPr>
          <w:rFonts w:asciiTheme="majorHAnsi" w:hAnsiTheme="majorHAnsi"/>
          <w:sz w:val="22"/>
          <w:szCs w:val="22"/>
        </w:rPr>
        <w:t xml:space="preserve"> identified that oxygen exchange and CRP, a marker of acute inflammation, were the most important predictors of safe discharge. Our proposed </w:t>
      </w:r>
      <w:r w:rsidR="00557F3B">
        <w:rPr>
          <w:rFonts w:asciiTheme="majorHAnsi" w:hAnsiTheme="majorHAnsi"/>
          <w:sz w:val="22"/>
          <w:szCs w:val="22"/>
        </w:rPr>
        <w:t xml:space="preserve">simple </w:t>
      </w:r>
      <w:r>
        <w:rPr>
          <w:rFonts w:asciiTheme="majorHAnsi" w:hAnsiTheme="majorHAnsi"/>
          <w:sz w:val="22"/>
          <w:szCs w:val="22"/>
        </w:rPr>
        <w:t xml:space="preserve">triage model </w:t>
      </w:r>
      <w:r>
        <w:rPr>
          <w:rFonts w:asciiTheme="majorHAnsi" w:hAnsiTheme="majorHAnsi"/>
          <w:sz w:val="22"/>
          <w:szCs w:val="22"/>
        </w:rPr>
        <w:lastRenderedPageBreak/>
        <w:t>requires validation but has the potential to aid clinical decisions in the event of a future pandemic</w:t>
      </w:r>
      <w:r w:rsidR="008F2BE9">
        <w:rPr>
          <w:rFonts w:asciiTheme="majorHAnsi" w:hAnsiTheme="majorHAnsi"/>
          <w:sz w:val="22"/>
          <w:szCs w:val="22"/>
        </w:rPr>
        <w:t>, and potentially for seasonal influenza</w:t>
      </w:r>
      <w:r>
        <w:rPr>
          <w:rFonts w:asciiTheme="majorHAnsi" w:hAnsiTheme="majorHAnsi"/>
          <w:sz w:val="22"/>
          <w:szCs w:val="22"/>
        </w:rPr>
        <w:t>.</w:t>
      </w:r>
    </w:p>
    <w:p w14:paraId="6A8AF96D" w14:textId="77777777" w:rsidR="00DD61B3" w:rsidRDefault="00DD61B3">
      <w:pPr>
        <w:rPr>
          <w:rFonts w:asciiTheme="majorHAnsi" w:hAnsiTheme="majorHAnsi"/>
          <w:b/>
          <w:sz w:val="22"/>
          <w:szCs w:val="22"/>
          <w:u w:val="single"/>
        </w:rPr>
      </w:pPr>
      <w:r>
        <w:rPr>
          <w:rFonts w:asciiTheme="majorHAnsi" w:hAnsiTheme="majorHAnsi"/>
          <w:b/>
          <w:sz w:val="22"/>
          <w:szCs w:val="22"/>
          <w:u w:val="single"/>
        </w:rPr>
        <w:br w:type="page"/>
      </w:r>
    </w:p>
    <w:p w14:paraId="708FABC7" w14:textId="77777777" w:rsidR="00E016F3" w:rsidRPr="00E016F3" w:rsidRDefault="00D8542A" w:rsidP="00DD61B3">
      <w:pPr>
        <w:rPr>
          <w:rFonts w:asciiTheme="majorHAnsi" w:hAnsiTheme="majorHAnsi"/>
          <w:b/>
          <w:sz w:val="22"/>
          <w:szCs w:val="22"/>
          <w:u w:val="single"/>
        </w:rPr>
      </w:pPr>
      <w:r>
        <w:rPr>
          <w:rFonts w:asciiTheme="majorHAnsi" w:hAnsiTheme="majorHAnsi"/>
          <w:b/>
          <w:sz w:val="22"/>
          <w:szCs w:val="22"/>
          <w:u w:val="single"/>
        </w:rPr>
        <w:lastRenderedPageBreak/>
        <w:t>Purpose of study</w:t>
      </w:r>
    </w:p>
    <w:p w14:paraId="52BDE1AF" w14:textId="77777777" w:rsidR="00692161" w:rsidRDefault="00692161" w:rsidP="00D8005E">
      <w:pPr>
        <w:spacing w:line="480" w:lineRule="auto"/>
        <w:rPr>
          <w:rFonts w:asciiTheme="majorHAnsi" w:hAnsiTheme="majorHAnsi"/>
          <w:b/>
          <w:sz w:val="22"/>
          <w:szCs w:val="22"/>
          <w:u w:val="single"/>
        </w:rPr>
      </w:pPr>
    </w:p>
    <w:p w14:paraId="5987E218" w14:textId="77777777" w:rsidR="003F274A" w:rsidRDefault="00692161" w:rsidP="00417AA2">
      <w:pPr>
        <w:spacing w:line="480" w:lineRule="auto"/>
        <w:rPr>
          <w:rFonts w:asciiTheme="majorHAnsi" w:hAnsiTheme="majorHAnsi"/>
          <w:bCs/>
          <w:sz w:val="22"/>
          <w:szCs w:val="22"/>
          <w:lang w:val="en-US"/>
        </w:rPr>
      </w:pPr>
      <w:r w:rsidRPr="00417AA2">
        <w:rPr>
          <w:rFonts w:asciiTheme="majorHAnsi" w:hAnsiTheme="majorHAnsi"/>
          <w:sz w:val="22"/>
          <w:szCs w:val="22"/>
        </w:rPr>
        <w:t xml:space="preserve">Pandemic influenza is regarded as a threat to </w:t>
      </w:r>
      <w:r w:rsidR="00194328">
        <w:rPr>
          <w:rFonts w:asciiTheme="majorHAnsi" w:hAnsiTheme="majorHAnsi"/>
          <w:sz w:val="22"/>
          <w:szCs w:val="22"/>
        </w:rPr>
        <w:t xml:space="preserve">UK </w:t>
      </w:r>
      <w:r w:rsidRPr="00417AA2">
        <w:rPr>
          <w:rFonts w:asciiTheme="majorHAnsi" w:hAnsiTheme="majorHAnsi"/>
          <w:sz w:val="22"/>
          <w:szCs w:val="22"/>
        </w:rPr>
        <w:t xml:space="preserve">national security </w:t>
      </w:r>
      <w:r w:rsidR="00FA5767" w:rsidRPr="00417AA2">
        <w:rPr>
          <w:rFonts w:asciiTheme="majorHAnsi" w:hAnsiTheme="majorHAnsi"/>
          <w:sz w:val="22"/>
          <w:szCs w:val="22"/>
        </w:rPr>
        <w:fldChar w:fldCharType="begin" w:fldLock="1"/>
      </w:r>
      <w:r w:rsidR="00417AA2">
        <w:rPr>
          <w:rFonts w:asciiTheme="majorHAnsi" w:hAnsiTheme="majorHAnsi"/>
          <w:sz w:val="22"/>
          <w:szCs w:val="22"/>
        </w:rPr>
        <w:instrText>ADDIN CSL_CITATION { "citationItems" : [ { "id" : "ITEM-1", "itemData" : { "ISSN" : "1476-4687", "PMID" : "23495392", "container-title" : "Nature", "id" : "ITEM-1", "issue" : "7440", "issued" : { "date-parts" : [ [ "2013", "3", "14" ] ] }, "page" : "141", "title" : "The antibiotic alarm.", "type" : "article-journal", "volume" : "495" }, "uris" : [ "http://www.mendeley.com/documents/?uuid=cfe7d888-584b-4c16-a8e3-35ee19df4319" ] } ], "mendeley" : { "formattedCitation" : "(1)", "plainTextFormattedCitation" : "(1)", "previouslyFormattedCitation" : "(1)" }, "properties" : { "noteIndex" : 0 }, "schema" : "https://github.com/citation-style-language/schema/raw/master/csl-citation.json" }</w:instrText>
      </w:r>
      <w:r w:rsidR="00FA5767" w:rsidRPr="00417AA2">
        <w:rPr>
          <w:rFonts w:asciiTheme="majorHAnsi" w:hAnsiTheme="majorHAnsi"/>
          <w:sz w:val="22"/>
          <w:szCs w:val="22"/>
        </w:rPr>
        <w:fldChar w:fldCharType="separate"/>
      </w:r>
      <w:r w:rsidRPr="00417AA2">
        <w:rPr>
          <w:rFonts w:asciiTheme="majorHAnsi" w:hAnsiTheme="majorHAnsi"/>
          <w:noProof/>
          <w:sz w:val="22"/>
          <w:szCs w:val="22"/>
        </w:rPr>
        <w:t>(1)</w:t>
      </w:r>
      <w:r w:rsidR="00FA5767" w:rsidRPr="00417AA2">
        <w:rPr>
          <w:rFonts w:asciiTheme="majorHAnsi" w:hAnsiTheme="majorHAnsi"/>
          <w:sz w:val="22"/>
          <w:szCs w:val="22"/>
        </w:rPr>
        <w:fldChar w:fldCharType="end"/>
      </w:r>
      <w:r w:rsidR="00417AA2" w:rsidRPr="00417AA2">
        <w:rPr>
          <w:rFonts w:asciiTheme="majorHAnsi" w:hAnsiTheme="majorHAnsi"/>
          <w:sz w:val="22"/>
          <w:szCs w:val="22"/>
        </w:rPr>
        <w:t>.</w:t>
      </w:r>
      <w:r w:rsidRPr="00417AA2">
        <w:rPr>
          <w:rFonts w:asciiTheme="majorHAnsi" w:hAnsiTheme="majorHAnsi"/>
          <w:sz w:val="22"/>
          <w:szCs w:val="22"/>
        </w:rPr>
        <w:t xml:space="preserve"> </w:t>
      </w:r>
      <w:r w:rsidR="00417AA2" w:rsidRPr="00417AA2">
        <w:rPr>
          <w:rFonts w:asciiTheme="majorHAnsi" w:hAnsiTheme="majorHAnsi"/>
          <w:sz w:val="22"/>
          <w:szCs w:val="22"/>
        </w:rPr>
        <w:t>In response, the UK Department of Health has drawn up detailed plans such as the</w:t>
      </w:r>
      <w:r w:rsidR="00417AA2" w:rsidRPr="00417AA2">
        <w:rPr>
          <w:rFonts w:asciiTheme="majorHAnsi" w:hAnsiTheme="majorHAnsi"/>
          <w:sz w:val="22"/>
          <w:szCs w:val="22"/>
          <w:lang w:val="en-US"/>
        </w:rPr>
        <w:t xml:space="preserve"> ‘</w:t>
      </w:r>
      <w:r w:rsidR="00417AA2" w:rsidRPr="00417AA2">
        <w:rPr>
          <w:rFonts w:asciiTheme="majorHAnsi" w:hAnsiTheme="majorHAnsi"/>
          <w:bCs/>
          <w:sz w:val="22"/>
          <w:szCs w:val="22"/>
          <w:lang w:val="en-US"/>
        </w:rPr>
        <w:t>Health and Social Care Influenza Pandemic Preparedness and Response</w:t>
      </w:r>
      <w:r w:rsidR="00785A58">
        <w:rPr>
          <w:rFonts w:asciiTheme="majorHAnsi" w:hAnsiTheme="majorHAnsi"/>
          <w:bCs/>
          <w:sz w:val="22"/>
          <w:szCs w:val="22"/>
          <w:lang w:val="en-US"/>
        </w:rPr>
        <w:t>’</w:t>
      </w:r>
      <w:r w:rsidR="00417AA2">
        <w:rPr>
          <w:rFonts w:asciiTheme="majorHAnsi" w:hAnsiTheme="majorHAnsi"/>
          <w:bCs/>
          <w:sz w:val="22"/>
          <w:szCs w:val="22"/>
          <w:lang w:val="en-US"/>
        </w:rPr>
        <w:t xml:space="preserve"> </w:t>
      </w:r>
      <w:r w:rsidR="00194328">
        <w:rPr>
          <w:rFonts w:asciiTheme="majorHAnsi" w:hAnsiTheme="majorHAnsi"/>
          <w:bCs/>
          <w:sz w:val="22"/>
          <w:szCs w:val="22"/>
          <w:lang w:val="en-US"/>
        </w:rPr>
        <w:t xml:space="preserve">to guide clinicians in the event of a future outbreak </w:t>
      </w:r>
      <w:r w:rsidR="00FA5767">
        <w:rPr>
          <w:rFonts w:asciiTheme="majorHAnsi" w:hAnsiTheme="majorHAnsi"/>
          <w:bCs/>
          <w:sz w:val="22"/>
          <w:szCs w:val="22"/>
          <w:lang w:val="en-US"/>
        </w:rPr>
        <w:fldChar w:fldCharType="begin" w:fldLock="1"/>
      </w:r>
      <w:r w:rsidR="005D10B4">
        <w:rPr>
          <w:rFonts w:asciiTheme="majorHAnsi" w:hAnsiTheme="majorHAnsi"/>
          <w:bCs/>
          <w:sz w:val="22"/>
          <w:szCs w:val="22"/>
          <w:lang w:val="en-US"/>
        </w:rPr>
        <w:instrText>ADDIN CSL_CITATION { "citationItems" : [ { "id" : "ITEM-1", "itemData" : { "URL" : "https://www.gov.uk/government/publications/health-and-social-care-response-to-flu-pandemics", "accessed" : { "date-parts" : [ [ "2016", "7", "21" ] ] }, "id" : "ITEM-1", "issued" : { "date-parts" : [ [ "0" ] ] }, "title" : "Health and Social Care Influenza Pandemic Preparedness and Response", "type" : "webpage" }, "uris" : [ "http://www.mendeley.com/documents/?uuid=c144549c-6389-47cc-ba0e-302b3270f07d" ] } ], "mendeley" : { "formattedCitation" : "(2)", "plainTextFormattedCitation" : "(2)", "previouslyFormattedCitation" : "(2)" }, "properties" : { "noteIndex" : 0 }, "schema" : "https://github.com/citation-style-language/schema/raw/master/csl-citation.json" }</w:instrText>
      </w:r>
      <w:r w:rsidR="00FA5767">
        <w:rPr>
          <w:rFonts w:asciiTheme="majorHAnsi" w:hAnsiTheme="majorHAnsi"/>
          <w:bCs/>
          <w:sz w:val="22"/>
          <w:szCs w:val="22"/>
          <w:lang w:val="en-US"/>
        </w:rPr>
        <w:fldChar w:fldCharType="separate"/>
      </w:r>
      <w:r w:rsidR="00417AA2" w:rsidRPr="00417AA2">
        <w:rPr>
          <w:rFonts w:asciiTheme="majorHAnsi" w:hAnsiTheme="majorHAnsi"/>
          <w:bCs/>
          <w:noProof/>
          <w:sz w:val="22"/>
          <w:szCs w:val="22"/>
          <w:lang w:val="en-US"/>
        </w:rPr>
        <w:t>(2)</w:t>
      </w:r>
      <w:r w:rsidR="00FA5767">
        <w:rPr>
          <w:rFonts w:asciiTheme="majorHAnsi" w:hAnsiTheme="majorHAnsi"/>
          <w:bCs/>
          <w:sz w:val="22"/>
          <w:szCs w:val="22"/>
          <w:lang w:val="en-US"/>
        </w:rPr>
        <w:fldChar w:fldCharType="end"/>
      </w:r>
      <w:r w:rsidR="00417AA2" w:rsidRPr="00417AA2">
        <w:rPr>
          <w:rFonts w:asciiTheme="majorHAnsi" w:hAnsiTheme="majorHAnsi"/>
          <w:bCs/>
          <w:sz w:val="22"/>
          <w:szCs w:val="22"/>
          <w:lang w:val="en-US"/>
        </w:rPr>
        <w:t>’</w:t>
      </w:r>
      <w:r w:rsidR="00417AA2">
        <w:rPr>
          <w:rFonts w:asciiTheme="majorHAnsi" w:hAnsiTheme="majorHAnsi"/>
          <w:bCs/>
          <w:sz w:val="22"/>
          <w:szCs w:val="22"/>
          <w:lang w:val="en-US"/>
        </w:rPr>
        <w:t xml:space="preserve">. </w:t>
      </w:r>
      <w:r w:rsidR="00F4400E">
        <w:rPr>
          <w:rFonts w:asciiTheme="majorHAnsi" w:hAnsiTheme="majorHAnsi"/>
          <w:bCs/>
          <w:sz w:val="22"/>
          <w:szCs w:val="22"/>
          <w:lang w:val="en-US"/>
        </w:rPr>
        <w:t>It is anticipated that any future pandemic would impose significant impact i</w:t>
      </w:r>
      <w:r w:rsidR="00417AA2">
        <w:rPr>
          <w:rFonts w:asciiTheme="majorHAnsi" w:hAnsiTheme="majorHAnsi"/>
          <w:bCs/>
          <w:sz w:val="22"/>
          <w:szCs w:val="22"/>
          <w:lang w:val="en-US"/>
        </w:rPr>
        <w:t xml:space="preserve">n both primary and secondary care </w:t>
      </w:r>
      <w:r w:rsidR="00F4400E">
        <w:rPr>
          <w:rFonts w:asciiTheme="majorHAnsi" w:hAnsiTheme="majorHAnsi"/>
          <w:bCs/>
          <w:sz w:val="22"/>
          <w:szCs w:val="22"/>
          <w:lang w:val="en-US"/>
        </w:rPr>
        <w:t>and potentially overwhelm</w:t>
      </w:r>
      <w:r w:rsidR="00417AA2">
        <w:rPr>
          <w:rFonts w:asciiTheme="majorHAnsi" w:hAnsiTheme="majorHAnsi"/>
          <w:bCs/>
          <w:sz w:val="22"/>
          <w:szCs w:val="22"/>
          <w:lang w:val="en-US"/>
        </w:rPr>
        <w:t xml:space="preserve"> dema</w:t>
      </w:r>
      <w:r w:rsidR="005D10B4">
        <w:rPr>
          <w:rFonts w:asciiTheme="majorHAnsi" w:hAnsiTheme="majorHAnsi"/>
          <w:bCs/>
          <w:sz w:val="22"/>
          <w:szCs w:val="22"/>
          <w:lang w:val="en-US"/>
        </w:rPr>
        <w:t xml:space="preserve">nd for critical care resources. </w:t>
      </w:r>
      <w:r w:rsidR="003F274A">
        <w:rPr>
          <w:rFonts w:asciiTheme="majorHAnsi" w:hAnsiTheme="majorHAnsi"/>
          <w:bCs/>
          <w:sz w:val="22"/>
          <w:szCs w:val="22"/>
          <w:lang w:val="en-US"/>
        </w:rPr>
        <w:t xml:space="preserve">Successful implementation of emergency triage measures to manage surges in demand depends upon public and clinician confidence in accuracy and fairness of the tool </w:t>
      </w:r>
      <w:r w:rsidR="00FA5767">
        <w:rPr>
          <w:rFonts w:asciiTheme="majorHAnsi" w:hAnsiTheme="majorHAnsi"/>
          <w:bCs/>
          <w:sz w:val="22"/>
          <w:szCs w:val="22"/>
          <w:lang w:val="en-US"/>
        </w:rPr>
        <w:fldChar w:fldCharType="begin" w:fldLock="1"/>
      </w:r>
      <w:r w:rsidR="0078573D">
        <w:rPr>
          <w:rFonts w:asciiTheme="majorHAnsi" w:hAnsiTheme="majorHAnsi"/>
          <w:bCs/>
          <w:sz w:val="22"/>
          <w:szCs w:val="22"/>
          <w:lang w:val="en-US"/>
        </w:rPr>
        <w:instrText>ADDIN CSL_CITATION { "citationItems" : [ { "id" : "ITEM-1", "itemData" : { "ISSN" : "0020-1324", "PMID" : "18218150", "abstract" : "Mass-care events, such as pandemic influenza, could reach such devastating proportions that there will be the need to make difficult triage decisions that will ultimately result in the deaths or severe disability of patients in large numbers. The method by which we determine how triage of scarce health care resources will be performed must be clearly defined prior to a disaster event. This paper will discuss several of the ethical principles that must be weighed in developing a mass-care triage plan, as well as steps to facilitate its implementation. Development of triage policies in such an event should be developed in an open and transparent manner, be reasonable in design, include the views of the critical stakeholders, and be responsive to and provide a mechanism for accountability, with a clearly defined goal of the just triage of limited health care resources. Planning failure will result in increased deaths from poor triage processes and substantial mistrust of the health care system and its practitioners.", "author" : [ { "dropping-particle" : "", "family" : "O'Laughlin", "given" : "Daniel T", "non-dropping-particle" : "", "parse-names" : false, "suffix" : "" }, { "dropping-particle" : "", "family" : "Hick", "given" : "John L", "non-dropping-particle" : "", "parse-names" : false, "suffix" : "" } ], "container-title" : "Respiratory care", "id" : "ITEM-1", "issue" : "2", "issued" : { "date-parts" : [ [ "2008", "2" ] ] }, "page" : "190-7; discussion 197-200", "title" : "Ethical issues in resource triage.", "type" : "article-journal", "volume" : "53" }, "uris" : [ "http://www.mendeley.com/documents/?uuid=c390bfe4-58e3-4793-bf37-da70d2ae34e6" ] } ], "mendeley" : { "formattedCitation" : "(3)", "plainTextFormattedCitation" : "(3)", "previouslyFormattedCitation" : "(3)" }, "properties" : { "noteIndex" : 0 }, "schema" : "https://github.com/citation-style-language/schema/raw/master/csl-citation.json" }</w:instrText>
      </w:r>
      <w:r w:rsidR="00FA5767">
        <w:rPr>
          <w:rFonts w:asciiTheme="majorHAnsi" w:hAnsiTheme="majorHAnsi"/>
          <w:bCs/>
          <w:sz w:val="22"/>
          <w:szCs w:val="22"/>
          <w:lang w:val="en-US"/>
        </w:rPr>
        <w:fldChar w:fldCharType="separate"/>
      </w:r>
      <w:r w:rsidR="003F274A" w:rsidRPr="003F274A">
        <w:rPr>
          <w:rFonts w:asciiTheme="majorHAnsi" w:hAnsiTheme="majorHAnsi"/>
          <w:bCs/>
          <w:noProof/>
          <w:sz w:val="22"/>
          <w:szCs w:val="22"/>
          <w:lang w:val="en-US"/>
        </w:rPr>
        <w:t>(3)</w:t>
      </w:r>
      <w:r w:rsidR="00FA5767">
        <w:rPr>
          <w:rFonts w:asciiTheme="majorHAnsi" w:hAnsiTheme="majorHAnsi"/>
          <w:bCs/>
          <w:sz w:val="22"/>
          <w:szCs w:val="22"/>
          <w:lang w:val="en-US"/>
        </w:rPr>
        <w:fldChar w:fldCharType="end"/>
      </w:r>
      <w:r w:rsidR="003F274A">
        <w:rPr>
          <w:rFonts w:asciiTheme="majorHAnsi" w:hAnsiTheme="majorHAnsi"/>
          <w:bCs/>
          <w:sz w:val="22"/>
          <w:szCs w:val="22"/>
          <w:lang w:val="en-US"/>
        </w:rPr>
        <w:t>.</w:t>
      </w:r>
    </w:p>
    <w:p w14:paraId="4CF9A5A9" w14:textId="77777777" w:rsidR="00194328" w:rsidRDefault="00194328" w:rsidP="00417AA2">
      <w:pPr>
        <w:spacing w:line="480" w:lineRule="auto"/>
        <w:rPr>
          <w:rFonts w:asciiTheme="majorHAnsi" w:hAnsiTheme="majorHAnsi"/>
          <w:bCs/>
          <w:sz w:val="22"/>
          <w:szCs w:val="22"/>
          <w:lang w:val="en-US"/>
        </w:rPr>
      </w:pPr>
    </w:p>
    <w:p w14:paraId="2055104D" w14:textId="77777777" w:rsidR="00CC6AA4" w:rsidRDefault="005D10B4" w:rsidP="00417AA2">
      <w:pPr>
        <w:spacing w:line="480" w:lineRule="auto"/>
        <w:rPr>
          <w:rFonts w:asciiTheme="majorHAnsi" w:hAnsiTheme="majorHAnsi"/>
          <w:bCs/>
          <w:sz w:val="22"/>
          <w:szCs w:val="22"/>
          <w:lang w:val="en-US"/>
        </w:rPr>
      </w:pPr>
      <w:r>
        <w:rPr>
          <w:rFonts w:asciiTheme="majorHAnsi" w:hAnsiTheme="majorHAnsi"/>
          <w:bCs/>
          <w:sz w:val="22"/>
          <w:szCs w:val="22"/>
          <w:lang w:val="en-US"/>
        </w:rPr>
        <w:t xml:space="preserve">In the UK, a clinical assessment package was proposed for pandemic H1N1 </w:t>
      </w:r>
      <w:r w:rsidR="00F4400E">
        <w:rPr>
          <w:rFonts w:asciiTheme="majorHAnsi" w:hAnsiTheme="majorHAnsi"/>
          <w:bCs/>
          <w:sz w:val="22"/>
          <w:szCs w:val="22"/>
          <w:lang w:val="en-US"/>
        </w:rPr>
        <w:t xml:space="preserve">to guide hospital admission </w:t>
      </w:r>
      <w:r w:rsidR="00CF7650">
        <w:rPr>
          <w:rFonts w:asciiTheme="majorHAnsi" w:hAnsiTheme="majorHAnsi"/>
          <w:bCs/>
          <w:sz w:val="22"/>
          <w:szCs w:val="22"/>
          <w:lang w:val="en-US"/>
        </w:rPr>
        <w:t xml:space="preserve">versus early discharge </w:t>
      </w:r>
      <w:r w:rsidR="00F4400E">
        <w:rPr>
          <w:rFonts w:asciiTheme="majorHAnsi" w:hAnsiTheme="majorHAnsi"/>
          <w:bCs/>
          <w:sz w:val="22"/>
          <w:szCs w:val="22"/>
          <w:lang w:val="en-US"/>
        </w:rPr>
        <w:t>decisions</w:t>
      </w:r>
      <w:r w:rsidR="00CC6AA4">
        <w:rPr>
          <w:rFonts w:asciiTheme="majorHAnsi" w:hAnsiTheme="majorHAnsi"/>
          <w:bCs/>
          <w:sz w:val="22"/>
          <w:szCs w:val="22"/>
          <w:lang w:val="en-US"/>
        </w:rPr>
        <w:t xml:space="preserve"> when hospital capacity is limited</w:t>
      </w:r>
      <w:r w:rsidR="00005D24">
        <w:rPr>
          <w:rFonts w:asciiTheme="majorHAnsi" w:hAnsiTheme="majorHAnsi"/>
          <w:bCs/>
          <w:sz w:val="22"/>
          <w:szCs w:val="22"/>
          <w:lang w:val="en-US"/>
        </w:rPr>
        <w:t xml:space="preserve"> </w:t>
      </w:r>
      <w:r w:rsidR="00FA5767">
        <w:rPr>
          <w:rFonts w:asciiTheme="majorHAnsi" w:hAnsiTheme="majorHAnsi"/>
          <w:bCs/>
          <w:sz w:val="22"/>
          <w:szCs w:val="22"/>
          <w:lang w:val="en-US"/>
        </w:rPr>
        <w:fldChar w:fldCharType="begin" w:fldLock="1"/>
      </w:r>
      <w:r w:rsidR="0078573D">
        <w:rPr>
          <w:rFonts w:asciiTheme="majorHAnsi" w:hAnsiTheme="majorHAnsi"/>
          <w:bCs/>
          <w:sz w:val="22"/>
          <w:szCs w:val="22"/>
          <w:lang w:val="en-US"/>
        </w:rPr>
        <w:instrText>ADDIN CSL_CITATION { "citationItems" : [ { "id" : "ITEM-1", "itemData" : { "URL" : "http://webarchive.nationalarchives.gov.uk/20130107105354/http://www.dh.gov.uk/en/Publicationsandstatistics/Publications/PublicationsPolicyAndGuidance/DH_106495", "accessed" : { "date-parts" : [ [ "2016", "7", "21" ] ] }, "id" : "ITEM-1", "issued" : { "date-parts" : [ [ "0" ] ] }, "title" : "UK Department of Health Swine Flu Clinical Practice", "type" : "webpage" }, "uris" : [ "http://www.mendeley.com/documents/?uuid=63438546-47ac-4bc0-b031-7f79b6d1910d" ] } ], "mendeley" : { "formattedCitation" : "(4)", "plainTextFormattedCitation" : "(4)", "previouslyFormattedCitation" : "(4)" }, "properties" : { "noteIndex" : 0 }, "schema" : "https://github.com/citation-style-language/schema/raw/master/csl-citation.json" }</w:instrText>
      </w:r>
      <w:r w:rsidR="00FA5767">
        <w:rPr>
          <w:rFonts w:asciiTheme="majorHAnsi" w:hAnsiTheme="majorHAnsi"/>
          <w:bCs/>
          <w:sz w:val="22"/>
          <w:szCs w:val="22"/>
          <w:lang w:val="en-US"/>
        </w:rPr>
        <w:fldChar w:fldCharType="separate"/>
      </w:r>
      <w:r w:rsidR="003F274A" w:rsidRPr="003F274A">
        <w:rPr>
          <w:rFonts w:asciiTheme="majorHAnsi" w:hAnsiTheme="majorHAnsi"/>
          <w:bCs/>
          <w:noProof/>
          <w:sz w:val="22"/>
          <w:szCs w:val="22"/>
          <w:lang w:val="en-US"/>
        </w:rPr>
        <w:t>(4)</w:t>
      </w:r>
      <w:r w:rsidR="00FA5767">
        <w:rPr>
          <w:rFonts w:asciiTheme="majorHAnsi" w:hAnsiTheme="majorHAnsi"/>
          <w:bCs/>
          <w:sz w:val="22"/>
          <w:szCs w:val="22"/>
          <w:lang w:val="en-US"/>
        </w:rPr>
        <w:fldChar w:fldCharType="end"/>
      </w:r>
      <w:r w:rsidR="00F4400E">
        <w:rPr>
          <w:rFonts w:asciiTheme="majorHAnsi" w:hAnsiTheme="majorHAnsi"/>
          <w:bCs/>
          <w:sz w:val="22"/>
          <w:szCs w:val="22"/>
          <w:lang w:val="en-US"/>
        </w:rPr>
        <w:t xml:space="preserve">. </w:t>
      </w:r>
      <w:r w:rsidR="00CC6AA4">
        <w:rPr>
          <w:rFonts w:asciiTheme="majorHAnsi" w:hAnsiTheme="majorHAnsi"/>
          <w:bCs/>
          <w:sz w:val="22"/>
          <w:szCs w:val="22"/>
          <w:lang w:val="en-US"/>
        </w:rPr>
        <w:t xml:space="preserve">Multiple investigations have examined clinical factors that predict the need for critical care </w:t>
      </w:r>
      <w:r w:rsidR="00FA5767">
        <w:rPr>
          <w:rFonts w:asciiTheme="majorHAnsi" w:hAnsiTheme="majorHAnsi" w:cs="Arial"/>
          <w:sz w:val="22"/>
          <w:szCs w:val="22"/>
          <w:lang w:val="en-US"/>
        </w:rPr>
        <w:fldChar w:fldCharType="begin" w:fldLock="1"/>
      </w:r>
      <w:r w:rsidR="0078573D">
        <w:rPr>
          <w:rFonts w:asciiTheme="majorHAnsi" w:hAnsiTheme="majorHAnsi" w:cs="Arial"/>
          <w:sz w:val="22"/>
          <w:szCs w:val="22"/>
          <w:lang w:val="en-US"/>
        </w:rPr>
        <w:instrText>ADDIN CSL_CITATION { "citationItems" : [ { "id" : "ITEM-1", "itemData" : { "DOI" : "10.1093/bja/aev042", "ISSN" : "1471-6771", "PMID" : "25829394", "abstract" : "BACKGROUND: Pandemic influenza presents a major threat to global health and socioeconomic well-being. Future demand for critical care may outstrip supply and force clinicians to triage patients for admission. We evaluated the Simple Triage Scoring System (STSS), Ontario Health Plan for an Influenza Epidemic (OHPIP) and PaO2 /FiO2 \u00a0(P/F) ratio to determine utility in predicting need for mechanical ventilation.\n\nMETHODS: We conducted a retrospective case note review of patients admitted to two centres, Royal Liverpool University Hospital and Countess of Chester Hospital, during the UK influenza pandemic of 2010-11. Demand for critical care during this period forced hospitals in Cheshire and Merseyside to implement escalation policies and increase capacity. Inclusion criteria were polymerase chain reaction-confirmed H1N1 influenza and age &gt;18 years. Exclusion criteria were no evidence of treatment for influenza, patient not admitted to hospital or the inability to locate case notes.\n\nRESULTS: One hundred and one patients were included, 29 were admitted to critical care and 23 required mechanical ventilation. The P/F ratio predicted the need for mechanical ventilation with a receiver operating characteristic area under the curve (ROC AUC) of 0.885 (CI 0.817-0.952). Predictive ability was not reduced when the P/F ratio had to be estimated using the Pandharipande tool. The STSS score predicted the need for mechanical ventilation [ROC AUC 0.798 (CI 0.704-0.891)]. The reverse triage component of the OHPIP tool was a poor predictor of patient outcome.\n\nCONCLUSIONS: The P/F ratio was a better predictor of need for mechanical ventilation than STSS. The P/F ratio is a simple and accepted determinant of hypoxaemia and should be used if secondary triaging becomes necessary during future influenza pandemics.", "author" : [ { "dropping-particle" : "", "family" : "Morton", "given" : "B", "non-dropping-particle" : "", "parse-names" : false, "suffix" : "" }, { "dropping-particle" : "", "family" : "Tang", "given" : "L", "non-dropping-particle" : "", "parse-names" : false, "suffix" : "" }, { "dropping-particle" : "", "family" : "Gale", "given" : "R", "non-dropping-particle" : "", "parse-names" : false, "suffix" : "" }, { "dropping-particle" : "", "family" : "Kelly", "given" : "M", "non-dropping-particle" : "", "parse-names" : false, "suffix" : "" }, { "dropping-particle" : "", "family" : "Robertson", "given" : "H", "non-dropping-particle" : "", "parse-names" : false, "suffix" : "" }, { "dropping-particle" : "", "family" : "Mogk", "given" : "M", "non-dropping-particle" : "", "parse-names" : false, "suffix" : "" }, { "dropping-particle" : "", "family" : "Robin", "given" : "N", "non-dropping-particle" : "", "parse-names" : false, "suffix" : "" }, { "dropping-particle" : "", "family" : "Welters", "given" : "I", "non-dropping-particle" : "", "parse-names" : false, "suffix" : "" } ], "container-title" : "British journal of anaesthesia", "id" : "ITEM-1", "issued" : { "date-parts" : [ [ "2015", "3", "31" ] ] }, "title" : "Performance of influenza-specific triage tools in an H1N1-positive cohort: P/F ratio better predicts the need for mechanical ventilation and critical care admission.", "type" : "article-journal" }, "uris" : [ "http://www.mendeley.com/documents/?uuid=2111d13a-f3aa-419d-bd30-db9ebea66cc5" ] }, { "id" : "ITEM-2", "itemData" : { "DOI" : "10.1111/j.1365-2044.2009.06135.x", "ISSN" : "1365-2044", "PMID" : "19860754", "abstract" : "Sequential Organ Failure Assessment (SOFA) score based triage of influenza A H1N1 critically ill patients has been proposed for surge capacity management as a guide for clinical decision making. We conducted a retrospective records review and SOFA scoring of critically ill patients with influenza A H1N1 in a mixed medical-surgical intensive care unit in an urban hospital. Eight critically ill patients with influenza A H1N1 were admitted to the intensive care unit. Their mean (range) age was 39 (26-52) years with a length of stay of 11 (3-17) days. All patients met SOFA score based triage admission criteria with a modal SOFA score of five. Five patients required invasive ventilation for a mean (range) of 5 (4-11) days. Five patients would have been considered for withdrawal of treatment using SOFA scoring guidelines at 48 h. All patients survived. We conclude that SOFA score based triage could lead to withdrawal of life support in critically ill patients who could survive with an acceptably low length of stay in the intensive care unit.", "author" : [ { "dropping-particle" : "", "family" : "Khan", "given" : "Z", "non-dropping-particle" : "", "parse-names" : false, "suffix" : "" }, { "dropping-particle" : "", "family" : "Hulme", "given" : "J", "non-dropping-particle" : "", "parse-names" : false, "suffix" : "" }, { "dropping-particle" : "", "family" : "Sherwood", "given" : "N", "non-dropping-particle" : "", "parse-names" : false, "suffix" : "" } ], "container-title" : "Anaesthesia", "id" : "ITEM-2", "issue" : "12", "issued" : { "date-parts" : [ [ "2009", "12" ] ] }, "page" : "1283-8", "title" : "An assessment of the validity of SOFA score based triage in H1N1 critically ill patients during an influenza pandemic.", "type" : "article-journal", "volume" : "64" }, "uris" : [ "http://www.mendeley.com/documents/?uuid=63aea16f-fc21-4f53-956f-4b3b9ccf1b89" ] }, { "id" : "ITEM-3", "itemData" : { "DOI" : "10.1186/cc10001", "ISSN" : "1466-609X", "PMID" : "21269458", "abstract" : "Triage protocols are only initiated when it is apparent that resource deficits will occur across a broad geographical area despite efforts to expand or acquire additional capacity. Prior to the pandemic the UK Department of Health (DOH) recommended the use of a staged triage plan incorporating Sepsis-related Organ Failure Assessment (SOFA) developed by the Ontario Ministry of Health to assist in the triage of critical care admissions and discharges during an influenza outbreak in the UK. There are data to suggest that had it been used in the recent H1N1 pandemic it may have led to inappropriate limitation of therapy if surge capacity had been overwhelmed.", "author" : [ { "dropping-particle" : "", "family" : "Adeniji", "given" : "Kayode a", "non-dropping-particle" : "", "parse-names" : false, "suffix" : "" }, { "dropping-particle" : "", "family" : "Cusack", "given" : "Rebecca", "non-dropping-particle" : "", "parse-names" : false, "suffix" : "" } ], "container-title" : "Critical care (London, England)", "id" : "ITEM-3", "issue" : "1", "issued" : { "date-parts" : [ [ "2011", "1" ] ] }, "page" : "R39", "publisher" : "BioMed Central Ltd", "title" : "The Simple Triage Scoring System (STSS) successfully predicts mortality and critical care resource utilization in H1N1 pandemic flu: a retrospective analysis.", "type" : "article-journal", "volume" : "15" }, "uris" : [ "http://www.mendeley.com/documents/?uuid=603b1e49-0de7-4aee-a6f9-17c44dc95dcb" ] }, { "id" : "ITEM-4", "itemData" : { "DOI" : "10.3310/hta14550-05", "ISSN" : "2046-4924", "PMID" : "21208551", "abstract" : "OBJECTIVES: To use, existing critical care and early pandemic, data to inform care during the pandemic influenza A 2009 (H1N1) pandemic (with a possible use for triage - if the demand for critical care seriously exceeded supply). To monitor the impact of the H1N1 pandemic on critical care services, in real time, with regular feedback to critical care clinicians and other relevant jurisdictions to inform ongoing policy and practice.\n\nDESIGN: Modelling of data and cohort study.\n\nSETTING: Modelling - 148 adult, general critical care units in England, Wales and Northern Ireland in the Intensive Care National Audit &amp; Research Centre Case Mix Programme. Cohort study - 192 acute hospitals in England, Wales, Northern Ireland, Scotland and the Republic of Ireland.\n\nPARTICIPANTS: Modelling - 105,397 admissions to adult, general critical care units. Cohort study - 1728 H1N1 pandemic-related admissions referred and assessed as requiring critical care.\n\nMAIN OUTCOME MEASURES: Modelling - requirement for organ support and acute hospital mortality. Cohort study - survival to the end of critical care.\n\nRESULTS: Modelling - cancelled or postponed, elective or scheduled surgery resulted in savings in calendar days of critical, Level 3 and advanced respiratory care of 17, 11 and 10%, respectively. These savings varied across units. Using routine, physiological variables, the best triage models, for all and for acute respiratory admissions, achieved only satisfactory concordance of 0.79 and 0.75, respectively. Application of the best model on all admissions indicated that approximately 12.5% of calendar days of critical care could be saved. Cohort study - research governance approvals were achieved for 192 acute hospitals, for 91 within 1 day of central research and development approval across the five countries. A total of 1725 cases (562 confirmed) were reported. Confirmed cases were young (mean age of 40 years), had low severity of acute illness on presentation [61% CURB-65 (confusion, urea, respiratory rate, blood pressure, age over 65 years) 0-1], but had long stays in critical care (median 8.5 days) and were likely to be ventilated (77% for median 9 days). Risk factors for acute hospital death were similar to those for general critical care admissions.\n\nCONCLUSIONS: SwiFT was rapidly established. Models based on routine physiology suggested limited value for triage. More data and further modelling are warranted. The magnitude of the pandemic did not approach the wors\u2026", "author" : [ { "dropping-particle" : "", "family" : "Rowan", "given" : "K M", "non-dropping-particle" : "", "parse-names" : false, "suffix" : "" }, { "dropping-particle" : "", "family" : "Harrison", "given" : "D A", "non-dropping-particle" : "", "parse-names" : false, "suffix" : "" }, { "dropping-particle" : "", "family" : "Walsh", "given" : "T S", "non-dropping-particle" : "", "parse-names" : false, "suffix" : "" }, { "dropping-particle" : "", "family" : "McAuley", "given" : "D F", "non-dropping-particle" : "", "parse-names" : false, "suffix" : "" }, { "dropping-particle" : "", "family" : "Perkins", "given" : "G D", "non-dropping-particle" : "", "parse-names" : false, "suffix" : "" }, { "dropping-particle" : "", "family" : "Taylor", "given" : "B L", "non-dropping-particle" : "", "parse-names" : false, "suffix" : "" }, { "dropping-particle" : "", "family" : "Menon", "given" : "D K", "non-dropping-particle" : "", "parse-names" : false, "suffix" : "" } ], "container-title" : "Health technology assessment (Winchester, England)", "id" : "ITEM-4", "issue" : "55", "issued" : { "date-parts" : [ [ "2010", "12" ] ] }, "page" : "335-492", "title" : "The Swine Flu Triage (SwiFT) study: development and ongoing refinement of a triage tool to provide regular information to guide immediate policy and practice for the use of critical care services during the H1N1 swine influenza pandemic.", "type" : "article-journal", "volume" : "14" }, "uris" : [ "http://www.mendeley.com/documents/?uuid=609393e8-dd82-4754-a0fe-44b8a8d72dd9" ] } ], "mendeley" : { "formattedCitation" : "(5\u20138)", "plainTextFormattedCitation" : "(5\u20138)", "previouslyFormattedCitation" : "(5\u20138)" }, "properties" : { "noteIndex" : 0 }, "schema" : "https://github.com/citation-style-language/schema/raw/master/csl-citation.json" }</w:instrText>
      </w:r>
      <w:r w:rsidR="00FA5767">
        <w:rPr>
          <w:rFonts w:asciiTheme="majorHAnsi" w:hAnsiTheme="majorHAnsi" w:cs="Arial"/>
          <w:sz w:val="22"/>
          <w:szCs w:val="22"/>
          <w:lang w:val="en-US"/>
        </w:rPr>
        <w:fldChar w:fldCharType="separate"/>
      </w:r>
      <w:r w:rsidR="003F274A" w:rsidRPr="003F274A">
        <w:rPr>
          <w:rFonts w:asciiTheme="majorHAnsi" w:hAnsiTheme="majorHAnsi" w:cs="Arial"/>
          <w:noProof/>
          <w:sz w:val="22"/>
          <w:szCs w:val="22"/>
          <w:lang w:val="en-US"/>
        </w:rPr>
        <w:t>(5–8)</w:t>
      </w:r>
      <w:r w:rsidR="00FA5767">
        <w:rPr>
          <w:rFonts w:asciiTheme="majorHAnsi" w:hAnsiTheme="majorHAnsi" w:cs="Arial"/>
          <w:sz w:val="22"/>
          <w:szCs w:val="22"/>
          <w:lang w:val="en-US"/>
        </w:rPr>
        <w:fldChar w:fldCharType="end"/>
      </w:r>
      <w:r w:rsidR="00CC6AA4">
        <w:rPr>
          <w:rFonts w:asciiTheme="majorHAnsi" w:hAnsiTheme="majorHAnsi" w:cs="Arial"/>
          <w:sz w:val="22"/>
          <w:szCs w:val="22"/>
          <w:lang w:val="en-US"/>
        </w:rPr>
        <w:t xml:space="preserve"> and factors that differentiate influenza from non-influenza</w:t>
      </w:r>
      <w:r w:rsidR="00A23AC0">
        <w:rPr>
          <w:rFonts w:asciiTheme="majorHAnsi" w:hAnsiTheme="majorHAnsi" w:cs="Arial"/>
          <w:sz w:val="22"/>
          <w:szCs w:val="22"/>
          <w:lang w:val="en-US"/>
        </w:rPr>
        <w:t xml:space="preserve"> induced </w:t>
      </w:r>
      <w:r w:rsidR="00005D24">
        <w:rPr>
          <w:rFonts w:asciiTheme="majorHAnsi" w:hAnsiTheme="majorHAnsi" w:cs="Arial"/>
          <w:sz w:val="22"/>
          <w:szCs w:val="22"/>
          <w:lang w:val="en-US"/>
        </w:rPr>
        <w:t xml:space="preserve">illness </w:t>
      </w:r>
      <w:r w:rsidR="00FA5767">
        <w:rPr>
          <w:rFonts w:asciiTheme="majorHAnsi" w:hAnsiTheme="majorHAnsi" w:cs="Arial"/>
          <w:sz w:val="22"/>
          <w:szCs w:val="22"/>
        </w:rPr>
        <w:fldChar w:fldCharType="begin" w:fldLock="1"/>
      </w:r>
      <w:r w:rsidR="0078573D">
        <w:rPr>
          <w:rFonts w:asciiTheme="majorHAnsi" w:hAnsiTheme="majorHAnsi" w:cs="Arial"/>
          <w:sz w:val="22"/>
          <w:szCs w:val="22"/>
        </w:rPr>
        <w:instrText>ADDIN CSL_CITATION { "citationItems" : [ { "id" : "ITEM-1", "itemData" : { "ISSN" : "1916-7245; 1198-2241", "PMID" : "23762891", "abstract" : "BACKGROUND: Following the severe acute respiratory syndrome outbreak in 2003, hospitals have been mandated to use infection screening questionnaires to determine which patients have infectious respiratory illness and, therefore, require isolation precautions. Despite widespread use of symptom-based screening tools in Ontario, there are no data supporting the accuracy of these screening tools in hospitalized patients. OBJECTIVE: To measure the performance characteristics of infection screening tools used during the H1N1 influenza season. METHODS: The present retrospective cohort study was conducted at The Ottawa Hospital (Ottawa, Ontario) between October and December, 2009. Consecutive inpatients admitted from the emergency department were included if they were &gt;/=18 years of age, underwent a screening tool assessment at presentation and had a most responsible diagnosis that was cardiac, respiratory or infectious. The gold-standard outcome was laboratory diagnosis of influenza. RESULTS: The prevalence of laboratory-confirmed influenza was 23.5%. The sensitivity and specificity of the febrile respiratory illness screening tool were 74.5% (95% CI 60.5% to 84.8%) and 32.7% (95% CI 25.8% to 40.5%), respectively. The sensitivity and specificity of the influenza-like illness screening tool were 75.6% (95% CI 61.3% to 85.8%) and 46.3% (95% CI 38.2% to 54.7%), respectively. CONCLUSIONS: The febrile respiratory illness screening tool missed 26% of active influenza cases, while 67% of noninfluenza patients were unnecessarily placed under respiratory isolation. Results of the present study suggest that infection-control practitioners should re-evaluate their strategy of screening patients at admission for contagious respiratory illness using symptom- and sign-based tests. Future efforts should focus on the derivation and validation of clinical decision rules that combine clinical features with laboratory tests.", "author" : [ { "dropping-particle" : "", "family" : "Mulpuru", "given" : "S", "non-dropping-particle" : "", "parse-names" : false, "suffix" : "" }, { "dropping-particle" : "", "family" : "Roth", "given" : "V R", "non-dropping-particle" : "", "parse-names" : false, "suffix" : "" }, { "dropping-particle" : "", "family" : "Lawrence", "given" : "N", "non-dropping-particle" : "", "parse-names" : false, "suffix" : "" }, { "dropping-particle" : "", "family" : "Forster", "given" : "a J", "non-dropping-particle" : "", "parse-names" : false, "suffix" : "" } ], "container-title" : "Canadian respiratory journal : journal of the Canadian Thoracic Society", "id" : "ITEM-1", "issue" : "3", "issued" : { "date-parts" : [ [ "2013" ] ] }, "page" : "e55-9", "title" : "Influenza infection screening tools fail to accurately predict influenza status for patients during pandemic H1N1 influenza season", "type" : "article-journal", "volume" : "20" }, "uris" : [ "http://www.mendeley.com/documents/?uuid=35ebf049-3345-4b51-8bcb-2a0059530008" ] }, { "id" : "ITEM-2", "itemData" : { "DOI" : "10.1136/emj.2010.096016", "ISBN" : "1472-0213 (Electronic)\\n1472-0205 (Linking)", "ISSN" : "1472-0213", "PMID" : "21441268", "abstract" : "To create a clinical decision tool for suspected influenza A (including 2009 H1N1) to facilitate treatment and isolation decisions for patients admitted to hospital with an acute respiratory illness from the emergency department (ED) during a 2009 H1N1 pandemic.", "author" : [ { "dropping-particle" : "", "family" : "Keijzers", "given" : "Gerben B", "non-dropping-particle" : "", "parse-names" : false, "suffix" : "" }, { "dropping-particle" : "", "family" : "Vossen", "given" : "Caleb Nathaniel Kai-Lik", "non-dropping-particle" : "", "parse-names" : false, "suffix" : "" }, { "dropping-particle" : "", "family" : "Zhang", "given" : "Ping", "non-dropping-particle" : "", "parse-names" : false, "suffix" : "" }, { "dropping-particle" : "", "family" : "Macbeth", "given" : "Debourough", "non-dropping-particle" : "", "parse-names" : false, "suffix" : "" }, { "dropping-particle" : "", "family" : "Derrington", "given" : "Petra", "non-dropping-particle" : "", "parse-names" : false, "suffix" : "" }, { "dropping-particle" : "", "family" : "Gerrard", "given" : "John Gregory", "non-dropping-particle" : "", "parse-names" : false, "suffix" : "" }, { "dropping-particle" : "", "family" : "Doust", "given" : "Jenny", "non-dropping-particle" : "", "parse-names" : false, "suffix" : "" } ], "container-title" : "Emergency medicine journal : EMJ", "id" : "ITEM-2", "issue" : "6", "issued" : { "date-parts" : [ [ "2011" ] ] }, "page" : "500-6", "title" : "Predicting influenza A and 2009 H1N1 influenza in patients admitted to hospital with acute respiratory illness.", "type" : "article-journal", "volume" : "28" }, "uris" : [ "http://www.mendeley.com/documents/?uuid=f4b9db1e-8d04-491a-a607-d064da0f19aa" ] }, { "id" : "ITEM-3", "itemData" : { "ISBN" : "1565-1088 (Print)", "ISSN" : "15651088", "PMID" : "23193782", "abstract" : "BACKGROUND: During an influenza pandemic, clinicians need easily available clinical and laboratory criteria to distinguish influenza from similar respiratory illnesses. We compared A/H1N1/2009-polymerase chain reaction (PCR)-positive and matched PCR-negative hospitalized patients with suspected H1N1 influenza to identify factors that could assist physicians at patient admission. OBJECTIVES: To identify factors significantly associated with A/ H1N1/2009 infection. METHODS: A group of 145 patients with PCR-confirmed A/H1N1 2009 influenza admitted between 27 May 2009 and 3 December 2009 was matched with 145 PCR-negative patients by age, epidemiological week and pregnancy status. Epidemiological and clinical parameters and radiological findings on initial chest X-ray were compared between the two groups. RESULTS: Asthma (PCR+ 26%, PCR- 12%, P = 0.006) and military service (PCR+ 13%, PCR- 4%, P = 0.15) were associated with PCR-positive status in non-pregnant patients. At presentation, fever, cough, myalgia and fulfilling the pandemic influenza case definition were significantly more frequent in nonpregnant PCR+ patients (62/90/43/59% in PCR+ versus 38/69/30/35% in PCR-). In pregnant patients, fever and fulfilling the case definition were significantly associated with PCR-positive status. Mean leukocyte and absolute lymphocyte counts were significantly lower in both pregnant and nonpregnant PCR-positive patients. Significantly more PCR-negative non-pregnant patients (43% vs. 22% PCR+, P = 0.004) had abnormal chest X-ray (CXR) findings on presentation. In PCR-positive patients, patchy consolidation and interstitial infiltrates were the most common abnormalities. CONCLUSIONS: Under the conditions generated by the A/ H1 1/2009 pandemic, radiological findings did not distinguish reliably between influenza and other febrile respiratory illnesses. Asthma, military service, the pandemic case definition (particularly fever, cough and myalgia)", "author" : [ { "dropping-particle" : "", "family" : "Karplus", "given" : "Rebekah", "non-dropping-particle" : "", "parse-names" : false, "suffix" : "" }, { "dropping-particle" : "", "family" : "Weinberger", "given" : "Miriam", "non-dropping-particle" : "", "parse-names" : false, "suffix" : "" }, { "dropping-particle" : "", "family" : "Zaidenstein", "given" : "Ronit", "non-dropping-particle" : "", "parse-names" : false, "suffix" : "" }, { "dropping-particle" : "", "family" : "Goldshtein", "given" : "Lili", "non-dropping-particle" : "", "parse-names" : false, "suffix" : "" }, { "dropping-particle" : "", "family" : "Natif", "given" : "Noam", "non-dropping-particle" : "", "parse-names" : false, "suffix" : "" }, { "dropping-particle" : "", "family" : "Gayer", "given" : "Gabriela", "non-dropping-particle" : "", "parse-names" : false, "suffix" : "" } ], "container-title" : "Israel Medical Association Journal", "id" : "ITEM-3", "issue" : "10", "issued" : { "date-parts" : [ [ "2012" ] ] }, "page" : "613-619", "title" : "The role of readily available clinical, laboratory and radiologic findings in distinguishing A/H1N1/2009 influenza from other causes of acute febrile respiratory illness under pandemic conditions", "type" : "article-journal", "volume" : "14" }, "uris" : [ "http://www.mendeley.com/documents/?uuid=22a917e3-735e-4708-ab82-4af81ae507b4" ] }, { "id" : "ITEM-4", "itemData" : { "abstract" : "INTRODUCTION: In June 2009, the World Health Organization declared an influenza pandemic associated with the pandemic (H1N1) 2009 strain. It was summer in the northern hemisphere, and therefore travelling and vacation time, which also provided an increased opportunity for the dissemination of respiratory diseases. METHODOLOGY: We reviewed the paper case report forms from all the patients with influenza-like illnesses with nasopharyngeal samples submitted for laboratory diagnosis of pandemic (H1N1) 2009 infection during the first wave of pandemic influenza that occurred between June and August 2009, in the central region of Portugal. RESULTS: From all the patients with influenza-like illnesses, one third was found positive for pandemic (H1N1) 2009. Individuals under the age of 29 (75%) were the most affected. Most of the patients (91%) presented with fever. A group of symptoms were positively correlated with the probability of pandemic (H1N1) 2009 infection: cough, epistaxis, lack of dyspnea or vomiting, fever, headache and myalgia. CONCLUSIONS: During the first wave of the pandemic influenza, young individuals were the most affected, and in the ambulatory setting, presentation was of a mild febrile illness without complications.", "author" : [ { "dropping-particle" : "", "family" : "Duque", "given" : "V", "non-dropping-particle" : "", "parse-names" : false, "suffix" : "" }, { "dropping-particle" : "", "family" : "Vaz", "given" : "J", "non-dropping-particle" : "", "parse-names" : false, "suffix" : "" }, { "dropping-particle" : "", "family" : "Mota", "given" : "V", "non-dropping-particle" : "", "parse-names" : false, "suffix" : "" }, { "dropping-particle" : "", "family" : "Morais", "given" : "C", "non-dropping-particle" : "", "parse-names" : false, "suffix" : "" }, { "dropping-particle" : "", "family" : "Cunha", "given" : "S", "non-dropping-particle" : "Da", "parse-names" : false, "suffix" : "" }, { "dropping-particle" : "", "family" : "Melico-Silvestre", "given" : "A", "non-dropping-particle" : "", "parse-names" : false, "suffix" : "" } ], "container-title" : "Journal of Infection in Developing Countries", "id" : "ITEM-4", "issued" : { "date-parts" : [ [ "2011" ] ] }, "page" : "658-663", "title" : "Clinical manifestations of pandemic (H1N1) 2009 in the ambulatory setting", "type" : "article-journal", "volume" : "5" }, "uris" : [ "http://www.mendeley.com/documents/?uuid=f17f752b-16fd-489f-b061-509c33ccbe59" ] }, { "id" : "ITEM-5", "itemData" : { "DOI" : "10.1136/thx.2010.151522", "ISBN" : "1468-3296", "ISSN" : "1468-3296", "PMID" : "21252388", "abstract" : "Early identification of patients with H1N1 influenza-related pneumonia is desirable for the early instigation of antiviral agents. A study was undertaken to investigate whether adults admitted to hospital with H1N1 influenza-related pneumonia could be distinguished clinically from patients with non-H1N1 community-acquired pneumonia (CAP).", "author" : [ { "dropping-particle" : "", "family" : "Bewick", "given" : "Thomas", "non-dropping-particle" : "", "parse-names" : false, "suffix" : "" }, { "dropping-particle" : "", "family" : "Myles", "given" : "Puja", "non-dropping-particle" : "", "parse-names" : false, "suffix" : "" }, { "dropping-particle" : "", "family" : "Greenwood", "given" : "Sonia", "non-dropping-particle" : "", "parse-names" : false, "suffix" : "" }, { "dropping-particle" : "", "family" : "Nguyen-Van-Tam", "given" : "Jonathan S", "non-dropping-particle" : "", "parse-names" : false, "suffix" : "" }, { "dropping-particle" : "", "family" : "Brett", "given" : "Stephen J", "non-dropping-particle" : "", "parse-names" : false, "suffix" : "" }, { "dropping-particle" : "", "family" : "Semple", "given" : "Malcolm G", "non-dropping-particle" : "", "parse-names" : false, "suffix" : "" }, { "dropping-particle" : "", "family" : "Openshaw", "given" : "Peter J", "non-dropping-particle" : "", "parse-names" : false, "suffix" : "" }, { "dropping-particle" : "", "family" : "Bannister", "given" : "Barbara", "non-dropping-particle" : "", "parse-names" : false, "suffix" : "" }, { "dropping-particle" : "", "family" : "Read", "given" : "Robert C", "non-dropping-particle" : "", "parse-names" : false, "suffix" : "" }, { "dropping-particle" : "", "family" : "Taylor", "given" : "Bruce L", "non-dropping-particle" : "", "parse-names" : false, "suffix" : "" }, { "dropping-particle" : "", "family" : "McMenamin", "given" : "Jim", "non-dropping-particle" : "", "parse-names" : false, "suffix" : "" }, { "dropping-particle" : "", "family" : "Enstone", "given" : "Joanne E", "non-dropping-particle" : "", "parse-names" : false, "suffix" : "" }, { "dropping-particle" : "", "family" : "Nicholson", "given" : "Karl G", "non-dropping-particle" : "", "parse-names" : false, "suffix" : "" }, { "dropping-particle" : "", "family" : "Lim", "given" : "Wei Shen", "non-dropping-particle" : "", "parse-names" : false, "suffix" : "" } ], "container-title" : "Thorax", "id" : "ITEM-5", "issue" : "3", "issued" : { "date-parts" : [ [ "2011" ] ] }, "page" : "247-252", "title" : "Clinical and laboratory features distinguishing pandemic H1N1 influenza-related pneumonia from interpandemic community-acquired pneumonia in adults.", "type" : "article-journal", "volume" : "66" }, "uris" : [ "http://www.mendeley.com/documents/?uuid=52cd3a68-7cee-4542-82ca-13ca93359380" ] } ], "mendeley" : { "formattedCitation" : "(9\u201313)", "plainTextFormattedCitation" : "(9\u201313)", "previouslyFormattedCitation" : "(9\u201313)" }, "properties" : { "noteIndex" : 0 }, "schema" : "https://github.com/citation-style-language/schema/raw/master/csl-citation.json" }</w:instrText>
      </w:r>
      <w:r w:rsidR="00FA5767">
        <w:rPr>
          <w:rFonts w:asciiTheme="majorHAnsi" w:hAnsiTheme="majorHAnsi" w:cs="Arial"/>
          <w:sz w:val="22"/>
          <w:szCs w:val="22"/>
        </w:rPr>
        <w:fldChar w:fldCharType="separate"/>
      </w:r>
      <w:r w:rsidR="003F274A" w:rsidRPr="003F274A">
        <w:rPr>
          <w:rFonts w:asciiTheme="majorHAnsi" w:hAnsiTheme="majorHAnsi" w:cs="Arial"/>
          <w:noProof/>
          <w:sz w:val="22"/>
          <w:szCs w:val="22"/>
        </w:rPr>
        <w:t>(9–13)</w:t>
      </w:r>
      <w:r w:rsidR="00FA5767">
        <w:rPr>
          <w:rFonts w:asciiTheme="majorHAnsi" w:hAnsiTheme="majorHAnsi" w:cs="Arial"/>
          <w:sz w:val="22"/>
          <w:szCs w:val="22"/>
        </w:rPr>
        <w:fldChar w:fldCharType="end"/>
      </w:r>
      <w:r w:rsidR="00CC6AA4">
        <w:rPr>
          <w:rFonts w:asciiTheme="majorHAnsi" w:hAnsiTheme="majorHAnsi" w:cs="Arial"/>
          <w:sz w:val="22"/>
          <w:szCs w:val="22"/>
          <w:lang w:val="en-US"/>
        </w:rPr>
        <w:t xml:space="preserve"> in patients admitted to hospital during the 2010-201</w:t>
      </w:r>
      <w:r w:rsidR="004869E3">
        <w:rPr>
          <w:rFonts w:asciiTheme="majorHAnsi" w:hAnsiTheme="majorHAnsi" w:cs="Arial"/>
          <w:sz w:val="22"/>
          <w:szCs w:val="22"/>
          <w:lang w:val="en-US"/>
        </w:rPr>
        <w:t xml:space="preserve">1 H1N1 influenza pandemic. </w:t>
      </w:r>
      <w:r w:rsidR="004869E3">
        <w:rPr>
          <w:rFonts w:asciiTheme="majorHAnsi" w:hAnsiTheme="majorHAnsi"/>
          <w:bCs/>
          <w:sz w:val="22"/>
          <w:szCs w:val="22"/>
          <w:lang w:val="en-US"/>
        </w:rPr>
        <w:t>However, the parameters for hospital discharge described by the clinical assessment tool have not subsequently been validated in patients with confirmed H1N1 influenza.</w:t>
      </w:r>
      <w:r w:rsidR="005434AC">
        <w:rPr>
          <w:rFonts w:asciiTheme="majorHAnsi" w:hAnsiTheme="majorHAnsi"/>
          <w:bCs/>
          <w:sz w:val="22"/>
          <w:szCs w:val="22"/>
          <w:lang w:val="en-US"/>
        </w:rPr>
        <w:t xml:space="preserve"> Given the increasing pressures on </w:t>
      </w:r>
      <w:r w:rsidR="00CF7650">
        <w:rPr>
          <w:rFonts w:asciiTheme="majorHAnsi" w:hAnsiTheme="majorHAnsi"/>
          <w:bCs/>
          <w:sz w:val="22"/>
          <w:szCs w:val="22"/>
          <w:lang w:val="en-US"/>
        </w:rPr>
        <w:t>bed capacity</w:t>
      </w:r>
      <w:r w:rsidR="005434AC">
        <w:rPr>
          <w:rFonts w:asciiTheme="majorHAnsi" w:hAnsiTheme="majorHAnsi"/>
          <w:bCs/>
          <w:sz w:val="22"/>
          <w:szCs w:val="22"/>
          <w:lang w:val="en-US"/>
        </w:rPr>
        <w:t>, there is a pressing need for decision-making support around admission for influenza</w:t>
      </w:r>
      <w:r w:rsidR="003B7B92">
        <w:rPr>
          <w:rFonts w:asciiTheme="majorHAnsi" w:hAnsiTheme="majorHAnsi"/>
          <w:bCs/>
          <w:sz w:val="22"/>
          <w:szCs w:val="22"/>
          <w:lang w:val="en-US"/>
        </w:rPr>
        <w:t xml:space="preserve"> </w:t>
      </w:r>
      <w:r w:rsidR="00FA5767">
        <w:rPr>
          <w:rFonts w:asciiTheme="majorHAnsi" w:hAnsiTheme="majorHAnsi"/>
          <w:bCs/>
          <w:sz w:val="22"/>
          <w:szCs w:val="22"/>
          <w:lang w:val="en-US"/>
        </w:rPr>
        <w:fldChar w:fldCharType="begin" w:fldLock="1"/>
      </w:r>
      <w:r w:rsidR="000D4EEE">
        <w:rPr>
          <w:rFonts w:asciiTheme="majorHAnsi" w:hAnsiTheme="majorHAnsi"/>
          <w:bCs/>
          <w:sz w:val="22"/>
          <w:szCs w:val="22"/>
          <w:lang w:val="en-US"/>
        </w:rPr>
        <w:instrText>ADDIN CSL_CITATION { "citationItems" : [ { "id" : "ITEM-1", "itemData" : { "id" : "ITEM-1", "issue" : "September", "issued" : { "date-parts" : [ [ "2012" ] ] }, "title" : "Hospitals on the edge ? The time for action A report by the Royal College of Physicians", "type" : "report" }, "uris" : [ "http://www.mendeley.com/documents/?uuid=cc57a9be-06cf-4786-9709-343864dc73c6" ] } ], "mendeley" : { "formattedCitation" : "(14)", "plainTextFormattedCitation" : "(14)", "previouslyFormattedCitation" : "(14)" }, "properties" : { "noteIndex" : 0 }, "schema" : "https://github.com/citation-style-language/schema/raw/master/csl-citation.json" }</w:instrText>
      </w:r>
      <w:r w:rsidR="00FA5767">
        <w:rPr>
          <w:rFonts w:asciiTheme="majorHAnsi" w:hAnsiTheme="majorHAnsi"/>
          <w:bCs/>
          <w:sz w:val="22"/>
          <w:szCs w:val="22"/>
          <w:lang w:val="en-US"/>
        </w:rPr>
        <w:fldChar w:fldCharType="separate"/>
      </w:r>
      <w:r w:rsidR="003B7B92" w:rsidRPr="003B7B92">
        <w:rPr>
          <w:rFonts w:asciiTheme="majorHAnsi" w:hAnsiTheme="majorHAnsi"/>
          <w:bCs/>
          <w:noProof/>
          <w:sz w:val="22"/>
          <w:szCs w:val="22"/>
          <w:lang w:val="en-US"/>
        </w:rPr>
        <w:t>(14)</w:t>
      </w:r>
      <w:r w:rsidR="00FA5767">
        <w:rPr>
          <w:rFonts w:asciiTheme="majorHAnsi" w:hAnsiTheme="majorHAnsi"/>
          <w:bCs/>
          <w:sz w:val="22"/>
          <w:szCs w:val="22"/>
          <w:lang w:val="en-US"/>
        </w:rPr>
        <w:fldChar w:fldCharType="end"/>
      </w:r>
      <w:r w:rsidR="003B7B92">
        <w:rPr>
          <w:rFonts w:asciiTheme="majorHAnsi" w:hAnsiTheme="majorHAnsi"/>
          <w:bCs/>
          <w:sz w:val="22"/>
          <w:szCs w:val="22"/>
          <w:lang w:val="en-US"/>
        </w:rPr>
        <w:t>.</w:t>
      </w:r>
    </w:p>
    <w:p w14:paraId="7A5F0D85" w14:textId="77777777" w:rsidR="00CC6AA4" w:rsidRDefault="00CC6AA4" w:rsidP="00417AA2">
      <w:pPr>
        <w:spacing w:line="480" w:lineRule="auto"/>
        <w:rPr>
          <w:rFonts w:asciiTheme="majorHAnsi" w:hAnsiTheme="majorHAnsi"/>
          <w:bCs/>
          <w:sz w:val="22"/>
          <w:szCs w:val="22"/>
          <w:lang w:val="en-US"/>
        </w:rPr>
      </w:pPr>
    </w:p>
    <w:p w14:paraId="2B96A652" w14:textId="77777777" w:rsidR="00E016F3" w:rsidRPr="00785A58" w:rsidRDefault="0078573D" w:rsidP="00417AA2">
      <w:pPr>
        <w:spacing w:line="480" w:lineRule="auto"/>
        <w:rPr>
          <w:rFonts w:asciiTheme="majorHAnsi" w:hAnsiTheme="majorHAnsi"/>
          <w:bCs/>
          <w:sz w:val="22"/>
          <w:szCs w:val="22"/>
          <w:lang w:val="en-US"/>
        </w:rPr>
      </w:pPr>
      <w:r>
        <w:rPr>
          <w:rFonts w:asciiTheme="majorHAnsi" w:hAnsiTheme="majorHAnsi"/>
          <w:bCs/>
          <w:sz w:val="22"/>
          <w:szCs w:val="22"/>
          <w:lang w:val="en-US"/>
        </w:rPr>
        <w:t xml:space="preserve">Previously, we examined a retrospective cohort of patients with confirmed H1N1 influenza for factors that predict the need for mechanical ventilation </w:t>
      </w:r>
      <w:r w:rsidR="00FA5767">
        <w:rPr>
          <w:rFonts w:asciiTheme="majorHAnsi" w:hAnsiTheme="majorHAnsi"/>
          <w:bCs/>
          <w:sz w:val="22"/>
          <w:szCs w:val="22"/>
          <w:lang w:val="en-US"/>
        </w:rPr>
        <w:fldChar w:fldCharType="begin" w:fldLock="1"/>
      </w:r>
      <w:r w:rsidR="003B7B92">
        <w:rPr>
          <w:rFonts w:asciiTheme="majorHAnsi" w:hAnsiTheme="majorHAnsi"/>
          <w:bCs/>
          <w:sz w:val="22"/>
          <w:szCs w:val="22"/>
          <w:lang w:val="en-US"/>
        </w:rPr>
        <w:instrText>ADDIN CSL_CITATION { "citationItems" : [ { "id" : "ITEM-1", "itemData" : { "DOI" : "10.1093/bja/aev042", "ISSN" : "1471-6771", "PMID" : "25829394", "abstract" : "BACKGROUND: Pandemic influenza presents a major threat to global health and socioeconomic well-being. Future demand for critical care may outstrip supply and force clinicians to triage patients for admission. We evaluated the Simple Triage Scoring System (STSS), Ontario Health Plan for an Influenza Epidemic (OHPIP) and PaO2 /FiO2 \u00a0(P/F) ratio to determine utility in predicting need for mechanical ventilation.\n\nMETHODS: We conducted a retrospective case note review of patients admitted to two centres, Royal Liverpool University Hospital and Countess of Chester Hospital, during the UK influenza pandemic of 2010-11. Demand for critical care during this period forced hospitals in Cheshire and Merseyside to implement escalation policies and increase capacity. Inclusion criteria were polymerase chain reaction-confirmed H1N1 influenza and age &gt;18 years. Exclusion criteria were no evidence of treatment for influenza, patient not admitted to hospital or the inability to locate case notes.\n\nRESULTS: One hundred and one patients were included, 29 were admitted to critical care and 23 required mechanical ventilation. The P/F ratio predicted the need for mechanical ventilation with a receiver operating characteristic area under the curve (ROC AUC) of 0.885 (CI 0.817-0.952). Predictive ability was not reduced when the P/F ratio had to be estimated using the Pandharipande tool. The STSS score predicted the need for mechanical ventilation [ROC AUC 0.798 (CI 0.704-0.891)]. The reverse triage component of the OHPIP tool was a poor predictor of patient outcome.\n\nCONCLUSIONS: The P/F ratio was a better predictor of need for mechanical ventilation than STSS. The P/F ratio is a simple and accepted determinant of hypoxaemia and should be used if secondary triaging becomes necessary during future influenza pandemics.", "author" : [ { "dropping-particle" : "", "family" : "Morton", "given" : "B", "non-dropping-particle" : "", "parse-names" : false, "suffix" : "" }, { "dropping-particle" : "", "family" : "Tang", "given" : "L", "non-dropping-particle" : "", "parse-names" : false, "suffix" : "" }, { "dropping-particle" : "", "family" : "Gale", "given" : "R", "non-dropping-particle" : "", "parse-names" : false, "suffix" : "" }, { "dropping-particle" : "", "family" : "Kelly", "given" : "M", "non-dropping-particle" : "", "parse-names" : false, "suffix" : "" }, { "dropping-particle" : "", "family" : "Robertson", "given" : "H", "non-dropping-particle" : "", "parse-names" : false, "suffix" : "" }, { "dropping-particle" : "", "family" : "Mogk", "given" : "M", "non-dropping-particle" : "", "parse-names" : false, "suffix" : "" }, { "dropping-particle" : "", "family" : "Robin", "given" : "N", "non-dropping-particle" : "", "parse-names" : false, "suffix" : "" }, { "dropping-particle" : "", "family" : "Welters", "given" : "I", "non-dropping-particle" : "", "parse-names" : false, "suffix" : "" } ], "container-title" : "British journal of anaesthesia", "id" : "ITEM-1", "issued" : { "date-parts" : [ [ "2015", "3", "31" ] ] }, "title" : "Performance of influenza-specific triage tools in an H1N1-positive cohort: P/F ratio better predicts the need for mechanical ventilation and critical care admission.", "type" : "article-journal" }, "uris" : [ "http://www.mendeley.com/documents/?uuid=2111d13a-f3aa-419d-bd30-db9ebea66cc5" ] } ], "mendeley" : { "formattedCitation" : "(5)", "plainTextFormattedCitation" : "(5)", "previouslyFormattedCitation" : "(5)" }, "properties" : { "noteIndex" : 0 }, "schema" : "https://github.com/citation-style-language/schema/raw/master/csl-citation.json" }</w:instrText>
      </w:r>
      <w:r w:rsidR="00FA5767">
        <w:rPr>
          <w:rFonts w:asciiTheme="majorHAnsi" w:hAnsiTheme="majorHAnsi"/>
          <w:bCs/>
          <w:sz w:val="22"/>
          <w:szCs w:val="22"/>
          <w:lang w:val="en-US"/>
        </w:rPr>
        <w:fldChar w:fldCharType="separate"/>
      </w:r>
      <w:r w:rsidRPr="0078573D">
        <w:rPr>
          <w:rFonts w:asciiTheme="majorHAnsi" w:hAnsiTheme="majorHAnsi"/>
          <w:bCs/>
          <w:noProof/>
          <w:sz w:val="22"/>
          <w:szCs w:val="22"/>
          <w:lang w:val="en-US"/>
        </w:rPr>
        <w:t>(5)</w:t>
      </w:r>
      <w:r w:rsidR="00FA5767">
        <w:rPr>
          <w:rFonts w:asciiTheme="majorHAnsi" w:hAnsiTheme="majorHAnsi"/>
          <w:bCs/>
          <w:sz w:val="22"/>
          <w:szCs w:val="22"/>
          <w:lang w:val="en-US"/>
        </w:rPr>
        <w:fldChar w:fldCharType="end"/>
      </w:r>
      <w:r>
        <w:rPr>
          <w:rFonts w:asciiTheme="majorHAnsi" w:hAnsiTheme="majorHAnsi"/>
          <w:bCs/>
          <w:sz w:val="22"/>
          <w:szCs w:val="22"/>
          <w:lang w:val="en-US"/>
        </w:rPr>
        <w:t xml:space="preserve">. This work demonstrated that P/F ratio, a simple measure of oxygen exchange was a superior predictor of mechanical ventilation compared to </w:t>
      </w:r>
      <w:r w:rsidR="00421905">
        <w:rPr>
          <w:rFonts w:asciiTheme="majorHAnsi" w:hAnsiTheme="majorHAnsi"/>
          <w:bCs/>
          <w:sz w:val="22"/>
          <w:szCs w:val="22"/>
          <w:lang w:val="en-US"/>
        </w:rPr>
        <w:t xml:space="preserve">other </w:t>
      </w:r>
      <w:r>
        <w:rPr>
          <w:rFonts w:asciiTheme="majorHAnsi" w:hAnsiTheme="majorHAnsi"/>
          <w:bCs/>
          <w:sz w:val="22"/>
          <w:szCs w:val="22"/>
          <w:lang w:val="en-US"/>
        </w:rPr>
        <w:t>proposed (</w:t>
      </w:r>
      <w:r w:rsidR="00421905">
        <w:rPr>
          <w:rFonts w:asciiTheme="majorHAnsi" w:hAnsiTheme="majorHAnsi"/>
          <w:bCs/>
          <w:sz w:val="22"/>
          <w:szCs w:val="22"/>
          <w:lang w:val="en-US"/>
        </w:rPr>
        <w:t xml:space="preserve">more </w:t>
      </w:r>
      <w:r>
        <w:rPr>
          <w:rFonts w:asciiTheme="majorHAnsi" w:hAnsiTheme="majorHAnsi"/>
          <w:bCs/>
          <w:sz w:val="22"/>
          <w:szCs w:val="22"/>
          <w:lang w:val="en-US"/>
        </w:rPr>
        <w:t xml:space="preserve">complex) triage tools. However, factors that predict safe discharge after acute presentation have not been examined. Safe discharge </w:t>
      </w:r>
      <w:r>
        <w:rPr>
          <w:rFonts w:asciiTheme="majorHAnsi" w:hAnsiTheme="majorHAnsi"/>
          <w:bCs/>
          <w:sz w:val="22"/>
          <w:szCs w:val="22"/>
          <w:lang w:val="en-US"/>
        </w:rPr>
        <w:lastRenderedPageBreak/>
        <w:t>decisions are important in an epidemic setting; patients should not be sent home to subsequently deteriorate but</w:t>
      </w:r>
      <w:r w:rsidR="00421905">
        <w:rPr>
          <w:rFonts w:asciiTheme="majorHAnsi" w:hAnsiTheme="majorHAnsi"/>
          <w:bCs/>
          <w:sz w:val="22"/>
          <w:szCs w:val="22"/>
          <w:lang w:val="en-US"/>
        </w:rPr>
        <w:t xml:space="preserve"> conversely, admissions</w:t>
      </w:r>
      <w:r>
        <w:rPr>
          <w:rFonts w:asciiTheme="majorHAnsi" w:hAnsiTheme="majorHAnsi"/>
          <w:bCs/>
          <w:sz w:val="22"/>
          <w:szCs w:val="22"/>
          <w:lang w:val="en-US"/>
        </w:rPr>
        <w:t xml:space="preserve"> are constrained by finite resource</w:t>
      </w:r>
      <w:r w:rsidR="00421905">
        <w:rPr>
          <w:rFonts w:asciiTheme="majorHAnsi" w:hAnsiTheme="majorHAnsi"/>
          <w:bCs/>
          <w:sz w:val="22"/>
          <w:szCs w:val="22"/>
          <w:lang w:val="en-US"/>
        </w:rPr>
        <w:t>.</w:t>
      </w:r>
      <w:r>
        <w:rPr>
          <w:rFonts w:asciiTheme="majorHAnsi" w:hAnsiTheme="majorHAnsi"/>
          <w:bCs/>
          <w:sz w:val="22"/>
          <w:szCs w:val="22"/>
          <w:lang w:val="en-US"/>
        </w:rPr>
        <w:t xml:space="preserve"> </w:t>
      </w:r>
      <w:r w:rsidR="00F4400E">
        <w:rPr>
          <w:rFonts w:asciiTheme="majorHAnsi" w:hAnsiTheme="majorHAnsi"/>
          <w:bCs/>
          <w:sz w:val="22"/>
          <w:szCs w:val="22"/>
          <w:lang w:val="en-US"/>
        </w:rPr>
        <w:t>Our aim was to examine clinical facto</w:t>
      </w:r>
      <w:r w:rsidR="00005D24">
        <w:rPr>
          <w:rFonts w:asciiTheme="majorHAnsi" w:hAnsiTheme="majorHAnsi"/>
          <w:bCs/>
          <w:sz w:val="22"/>
          <w:szCs w:val="22"/>
          <w:lang w:val="en-US"/>
        </w:rPr>
        <w:t xml:space="preserve">rs used to assess patients who </w:t>
      </w:r>
      <w:r w:rsidR="00F4400E">
        <w:rPr>
          <w:rFonts w:asciiTheme="majorHAnsi" w:hAnsiTheme="majorHAnsi"/>
          <w:bCs/>
          <w:sz w:val="22"/>
          <w:szCs w:val="22"/>
          <w:lang w:val="en-US"/>
        </w:rPr>
        <w:t xml:space="preserve">acutely presented to hospital with influenza </w:t>
      </w:r>
      <w:r w:rsidR="00785A58">
        <w:rPr>
          <w:rFonts w:asciiTheme="majorHAnsi" w:hAnsiTheme="majorHAnsi"/>
          <w:bCs/>
          <w:sz w:val="22"/>
          <w:szCs w:val="22"/>
          <w:lang w:val="en-US"/>
        </w:rPr>
        <w:t>and retrospectively determine association with</w:t>
      </w:r>
      <w:r w:rsidR="00FC0FF4">
        <w:rPr>
          <w:rFonts w:asciiTheme="majorHAnsi" w:hAnsiTheme="majorHAnsi"/>
          <w:bCs/>
          <w:sz w:val="22"/>
          <w:szCs w:val="22"/>
          <w:lang w:val="en-US"/>
        </w:rPr>
        <w:t xml:space="preserve"> the decision to discharge</w:t>
      </w:r>
      <w:r w:rsidR="00A93AF0">
        <w:rPr>
          <w:rFonts w:asciiTheme="majorHAnsi" w:hAnsiTheme="majorHAnsi"/>
          <w:bCs/>
          <w:sz w:val="22"/>
          <w:szCs w:val="22"/>
          <w:lang w:val="en-US"/>
        </w:rPr>
        <w:t>.</w:t>
      </w:r>
      <w:r w:rsidR="00FC0FF4">
        <w:rPr>
          <w:rFonts w:asciiTheme="majorHAnsi" w:hAnsiTheme="majorHAnsi"/>
          <w:bCs/>
          <w:sz w:val="22"/>
          <w:szCs w:val="22"/>
          <w:lang w:val="en-US"/>
        </w:rPr>
        <w:t xml:space="preserve"> </w:t>
      </w:r>
      <w:r w:rsidR="00785A58">
        <w:rPr>
          <w:rFonts w:asciiTheme="majorHAnsi" w:hAnsiTheme="majorHAnsi"/>
          <w:bCs/>
          <w:sz w:val="22"/>
          <w:szCs w:val="22"/>
          <w:lang w:val="en-US"/>
        </w:rPr>
        <w:t>Subsequently</w:t>
      </w:r>
      <w:r w:rsidR="00A93AF0">
        <w:rPr>
          <w:rFonts w:asciiTheme="majorHAnsi" w:hAnsiTheme="majorHAnsi"/>
          <w:bCs/>
          <w:sz w:val="22"/>
          <w:szCs w:val="22"/>
          <w:lang w:val="en-US"/>
        </w:rPr>
        <w:t>,</w:t>
      </w:r>
      <w:r w:rsidR="00785A58">
        <w:rPr>
          <w:rFonts w:asciiTheme="majorHAnsi" w:hAnsiTheme="majorHAnsi"/>
          <w:bCs/>
          <w:sz w:val="22"/>
          <w:szCs w:val="22"/>
          <w:lang w:val="en-US"/>
        </w:rPr>
        <w:t xml:space="preserve"> </w:t>
      </w:r>
      <w:r w:rsidR="003936CB">
        <w:rPr>
          <w:rFonts w:asciiTheme="majorHAnsi" w:hAnsiTheme="majorHAnsi" w:cs="Arial"/>
          <w:sz w:val="22"/>
          <w:szCs w:val="22"/>
        </w:rPr>
        <w:t xml:space="preserve">our aim was to develop a pragmatic triage tool that can be used by treating clinicians </w:t>
      </w:r>
      <w:r w:rsidR="00785A58">
        <w:rPr>
          <w:rFonts w:asciiTheme="majorHAnsi" w:hAnsiTheme="majorHAnsi"/>
          <w:bCs/>
          <w:sz w:val="22"/>
          <w:szCs w:val="22"/>
          <w:lang w:val="en-US"/>
        </w:rPr>
        <w:t>in the event of a future influenza pandemic</w:t>
      </w:r>
      <w:r w:rsidR="00F4400E">
        <w:rPr>
          <w:rFonts w:asciiTheme="majorHAnsi" w:hAnsiTheme="majorHAnsi"/>
          <w:bCs/>
          <w:sz w:val="22"/>
          <w:szCs w:val="22"/>
          <w:lang w:val="en-US"/>
        </w:rPr>
        <w:t>.</w:t>
      </w:r>
    </w:p>
    <w:p w14:paraId="4D776D22" w14:textId="77777777" w:rsidR="00417AA2" w:rsidRDefault="00417AA2">
      <w:pPr>
        <w:rPr>
          <w:rFonts w:asciiTheme="majorHAnsi" w:hAnsiTheme="majorHAnsi"/>
          <w:b/>
          <w:sz w:val="22"/>
          <w:szCs w:val="22"/>
          <w:u w:val="single"/>
        </w:rPr>
      </w:pPr>
      <w:r>
        <w:rPr>
          <w:rFonts w:asciiTheme="majorHAnsi" w:hAnsiTheme="majorHAnsi"/>
          <w:b/>
          <w:sz w:val="22"/>
          <w:szCs w:val="22"/>
          <w:u w:val="single"/>
        </w:rPr>
        <w:br w:type="page"/>
      </w:r>
    </w:p>
    <w:p w14:paraId="79A286EB" w14:textId="77777777" w:rsidR="00E016F3" w:rsidRPr="00E016F3" w:rsidRDefault="00D8542A" w:rsidP="00D8005E">
      <w:pPr>
        <w:spacing w:line="480" w:lineRule="auto"/>
        <w:rPr>
          <w:rFonts w:asciiTheme="majorHAnsi" w:hAnsiTheme="majorHAnsi"/>
          <w:sz w:val="22"/>
          <w:szCs w:val="22"/>
          <w:u w:val="single"/>
        </w:rPr>
      </w:pPr>
      <w:r>
        <w:rPr>
          <w:rFonts w:asciiTheme="majorHAnsi" w:hAnsiTheme="majorHAnsi"/>
          <w:b/>
          <w:sz w:val="22"/>
          <w:szCs w:val="22"/>
          <w:u w:val="single"/>
        </w:rPr>
        <w:lastRenderedPageBreak/>
        <w:t>Study design</w:t>
      </w:r>
    </w:p>
    <w:p w14:paraId="6B1ECFD8" w14:textId="77777777" w:rsidR="00E016F3" w:rsidRPr="00E016F3" w:rsidRDefault="00E016F3" w:rsidP="00D8005E">
      <w:pPr>
        <w:spacing w:line="480" w:lineRule="auto"/>
        <w:rPr>
          <w:rFonts w:asciiTheme="majorHAnsi" w:hAnsiTheme="majorHAnsi" w:cs="Arial"/>
          <w:b/>
          <w:sz w:val="22"/>
          <w:szCs w:val="22"/>
        </w:rPr>
      </w:pPr>
      <w:r w:rsidRPr="00E016F3">
        <w:rPr>
          <w:rFonts w:asciiTheme="majorHAnsi" w:hAnsiTheme="majorHAnsi" w:cs="Arial"/>
          <w:b/>
          <w:sz w:val="22"/>
          <w:szCs w:val="22"/>
        </w:rPr>
        <w:t>Patients</w:t>
      </w:r>
    </w:p>
    <w:p w14:paraId="18186FA8" w14:textId="77777777" w:rsidR="00E016F3" w:rsidRPr="00E016F3" w:rsidRDefault="00E016F3" w:rsidP="00D8005E">
      <w:pPr>
        <w:spacing w:line="480" w:lineRule="auto"/>
        <w:rPr>
          <w:rFonts w:asciiTheme="majorHAnsi" w:hAnsiTheme="majorHAnsi" w:cs="Arial"/>
          <w:sz w:val="22"/>
          <w:szCs w:val="22"/>
          <w:lang w:val="en-US"/>
        </w:rPr>
      </w:pPr>
      <w:r w:rsidRPr="00E016F3">
        <w:rPr>
          <w:rFonts w:asciiTheme="majorHAnsi" w:hAnsiTheme="majorHAnsi" w:cs="Arial"/>
          <w:sz w:val="22"/>
          <w:szCs w:val="22"/>
        </w:rPr>
        <w:t>We retrospectively examined an existing database of patients with confirmed H1N1 influenza who presented to the Royal Liverpool Uni</w:t>
      </w:r>
      <w:r>
        <w:rPr>
          <w:rFonts w:asciiTheme="majorHAnsi" w:hAnsiTheme="majorHAnsi" w:cs="Arial"/>
          <w:sz w:val="22"/>
          <w:szCs w:val="22"/>
        </w:rPr>
        <w:t xml:space="preserve">versity Hospital, UK, </w:t>
      </w:r>
      <w:r w:rsidRPr="00E016F3">
        <w:rPr>
          <w:rFonts w:asciiTheme="majorHAnsi" w:hAnsiTheme="majorHAnsi" w:cs="Arial"/>
          <w:sz w:val="22"/>
          <w:szCs w:val="22"/>
          <w:lang w:val="en-US"/>
        </w:rPr>
        <w:t>an inner-city tertiary care centre</w:t>
      </w:r>
      <w:r>
        <w:rPr>
          <w:rFonts w:asciiTheme="majorHAnsi" w:hAnsiTheme="majorHAnsi" w:cs="Arial"/>
          <w:sz w:val="22"/>
          <w:szCs w:val="22"/>
          <w:lang w:val="en-US"/>
        </w:rPr>
        <w:t xml:space="preserve"> </w:t>
      </w:r>
      <w:r w:rsidRPr="00E016F3">
        <w:rPr>
          <w:rFonts w:asciiTheme="majorHAnsi" w:hAnsiTheme="majorHAnsi" w:cs="Arial"/>
          <w:sz w:val="22"/>
          <w:szCs w:val="22"/>
          <w:lang w:val="en-US"/>
        </w:rPr>
        <w:t>with &gt;28 000 accident and emergency (A&amp;E) department admissions</w:t>
      </w:r>
    </w:p>
    <w:p w14:paraId="7C803FF1" w14:textId="77777777" w:rsidR="00D21CD4" w:rsidRPr="00D21CD4" w:rsidRDefault="00E016F3" w:rsidP="00D8005E">
      <w:pPr>
        <w:spacing w:line="480" w:lineRule="auto"/>
        <w:rPr>
          <w:rFonts w:asciiTheme="majorHAnsi" w:hAnsiTheme="majorHAnsi" w:cs="Arial"/>
          <w:sz w:val="22"/>
          <w:szCs w:val="22"/>
        </w:rPr>
      </w:pPr>
      <w:proofErr w:type="gramStart"/>
      <w:r w:rsidRPr="00E016F3">
        <w:rPr>
          <w:rFonts w:asciiTheme="majorHAnsi" w:hAnsiTheme="majorHAnsi" w:cs="Arial"/>
          <w:sz w:val="22"/>
          <w:szCs w:val="22"/>
          <w:lang w:val="en-US"/>
        </w:rPr>
        <w:t>per</w:t>
      </w:r>
      <w:proofErr w:type="gramEnd"/>
      <w:r w:rsidRPr="00E016F3">
        <w:rPr>
          <w:rFonts w:asciiTheme="majorHAnsi" w:hAnsiTheme="majorHAnsi" w:cs="Arial"/>
          <w:sz w:val="22"/>
          <w:szCs w:val="22"/>
          <w:lang w:val="en-US"/>
        </w:rPr>
        <w:t xml:space="preserve"> year</w:t>
      </w:r>
      <w:r>
        <w:rPr>
          <w:rFonts w:asciiTheme="majorHAnsi" w:hAnsiTheme="majorHAnsi" w:cs="Arial"/>
          <w:sz w:val="22"/>
          <w:szCs w:val="22"/>
        </w:rPr>
        <w:t xml:space="preserve"> (</w:t>
      </w:r>
      <w:r w:rsidRPr="00E016F3">
        <w:rPr>
          <w:rFonts w:asciiTheme="majorHAnsi" w:hAnsiTheme="majorHAnsi" w:cs="Arial"/>
          <w:sz w:val="22"/>
          <w:szCs w:val="22"/>
        </w:rPr>
        <w:t>November 2010 - January 2011</w:t>
      </w:r>
      <w:r>
        <w:rPr>
          <w:rFonts w:asciiTheme="majorHAnsi" w:hAnsiTheme="majorHAnsi" w:cs="Arial"/>
          <w:sz w:val="22"/>
          <w:szCs w:val="22"/>
        </w:rPr>
        <w:t xml:space="preserve">) </w:t>
      </w:r>
      <w:r w:rsidR="00FA5767">
        <w:rPr>
          <w:rFonts w:asciiTheme="majorHAnsi" w:hAnsiTheme="majorHAnsi" w:cs="Arial"/>
          <w:sz w:val="22"/>
          <w:szCs w:val="22"/>
        </w:rPr>
        <w:fldChar w:fldCharType="begin" w:fldLock="1"/>
      </w:r>
      <w:r w:rsidR="0078573D">
        <w:rPr>
          <w:rFonts w:asciiTheme="majorHAnsi" w:hAnsiTheme="majorHAnsi" w:cs="Arial"/>
          <w:sz w:val="22"/>
          <w:szCs w:val="22"/>
        </w:rPr>
        <w:instrText>ADDIN CSL_CITATION { "citationItems" : [ { "id" : "ITEM-1", "itemData" : { "DOI" : "10.1093/bja/aev042", "ISSN" : "1471-6771", "PMID" : "25829394", "abstract" : "BACKGROUND: Pandemic influenza presents a major threat to global health and socioeconomic well-being. Future demand for critical care may outstrip supply and force clinicians to triage patients for admission. We evaluated the Simple Triage Scoring System (STSS), Ontario Health Plan for an Influenza Epidemic (OHPIP) and PaO2 /FiO2 \u00a0(P/F) ratio to determine utility in predicting need for mechanical ventilation.\n\nMETHODS: We conducted a retrospective case note review of patients admitted to two centres, Royal Liverpool University Hospital and Countess of Chester Hospital, during the UK influenza pandemic of 2010-11. Demand for critical care during this period forced hospitals in Cheshire and Merseyside to implement escalation policies and increase capacity. Inclusion criteria were polymerase chain reaction-confirmed H1N1 influenza and age &gt;18 years. Exclusion criteria were no evidence of treatment for influenza, patient not admitted to hospital or the inability to locate case notes.\n\nRESULTS: One hundred and one patients were included, 29 were admitted to critical care and 23 required mechanical ventilation. The P/F ratio predicted the need for mechanical ventilation with a receiver operating characteristic area under the curve (ROC AUC) of 0.885 (CI 0.817-0.952). Predictive ability was not reduced when the P/F ratio had to be estimated using the Pandharipande tool. The STSS score predicted the need for mechanical ventilation [ROC AUC 0.798 (CI 0.704-0.891)]. The reverse triage component of the OHPIP tool was a poor predictor of patient outcome.\n\nCONCLUSIONS: The P/F ratio was a better predictor of need for mechanical ventilation than STSS. The P/F ratio is a simple and accepted determinant of hypoxaemia and should be used if secondary triaging becomes necessary during future influenza pandemics.", "author" : [ { "dropping-particle" : "", "family" : "Morton", "given" : "B", "non-dropping-particle" : "", "parse-names" : false, "suffix" : "" }, { "dropping-particle" : "", "family" : "Tang", "given" : "L", "non-dropping-particle" : "", "parse-names" : false, "suffix" : "" }, { "dropping-particle" : "", "family" : "Gale", "given" : "R", "non-dropping-particle" : "", "parse-names" : false, "suffix" : "" }, { "dropping-particle" : "", "family" : "Kelly", "given" : "M", "non-dropping-particle" : "", "parse-names" : false, "suffix" : "" }, { "dropping-particle" : "", "family" : "Robertson", "given" : "H", "non-dropping-particle" : "", "parse-names" : false, "suffix" : "" }, { "dropping-particle" : "", "family" : "Mogk", "given" : "M", "non-dropping-particle" : "", "parse-names" : false, "suffix" : "" }, { "dropping-particle" : "", "family" : "Robin", "given" : "N", "non-dropping-particle" : "", "parse-names" : false, "suffix" : "" }, { "dropping-particle" : "", "family" : "Welters", "given" : "I", "non-dropping-particle" : "", "parse-names" : false, "suffix" : "" } ], "container-title" : "British journal of anaesthesia", "id" : "ITEM-1", "issued" : { "date-parts" : [ [ "2015", "3", "31" ] ] }, "title" : "Performance of influenza-specific triage tools in an H1N1-positive cohort: P/F ratio better predicts the need for mechanical ventilation and critical care admission.", "type" : "article-journal" }, "uris" : [ "http://www.mendeley.com/documents/?uuid=2111d13a-f3aa-419d-bd30-db9ebea66cc5" ] } ], "mendeley" : { "formattedCitation" : "(5)", "plainTextFormattedCitation" : "(5)", "previouslyFormattedCitation" : "(5)" }, "properties" : { "noteIndex" : 0 }, "schema" : "https://github.com/citation-style-language/schema/raw/master/csl-citation.json" }</w:instrText>
      </w:r>
      <w:r w:rsidR="00FA5767">
        <w:rPr>
          <w:rFonts w:asciiTheme="majorHAnsi" w:hAnsiTheme="majorHAnsi" w:cs="Arial"/>
          <w:sz w:val="22"/>
          <w:szCs w:val="22"/>
        </w:rPr>
        <w:fldChar w:fldCharType="separate"/>
      </w:r>
      <w:r w:rsidR="003F274A" w:rsidRPr="003F274A">
        <w:rPr>
          <w:rFonts w:asciiTheme="majorHAnsi" w:hAnsiTheme="majorHAnsi" w:cs="Arial"/>
          <w:noProof/>
          <w:sz w:val="22"/>
          <w:szCs w:val="22"/>
        </w:rPr>
        <w:t>(5)</w:t>
      </w:r>
      <w:r w:rsidR="00FA5767">
        <w:rPr>
          <w:rFonts w:asciiTheme="majorHAnsi" w:hAnsiTheme="majorHAnsi" w:cs="Arial"/>
          <w:sz w:val="22"/>
          <w:szCs w:val="22"/>
        </w:rPr>
        <w:fldChar w:fldCharType="end"/>
      </w:r>
      <w:r>
        <w:rPr>
          <w:rFonts w:asciiTheme="majorHAnsi" w:hAnsiTheme="majorHAnsi" w:cs="Arial"/>
          <w:sz w:val="22"/>
          <w:szCs w:val="22"/>
        </w:rPr>
        <w:t>.</w:t>
      </w:r>
      <w:r w:rsidRPr="00E016F3">
        <w:rPr>
          <w:rFonts w:asciiTheme="majorHAnsi" w:hAnsiTheme="majorHAnsi" w:cs="Arial"/>
          <w:sz w:val="22"/>
          <w:szCs w:val="22"/>
        </w:rPr>
        <w:t xml:space="preserve"> </w:t>
      </w:r>
      <w:r>
        <w:rPr>
          <w:rFonts w:asciiTheme="majorHAnsi" w:hAnsiTheme="majorHAnsi" w:cs="Arial"/>
          <w:sz w:val="22"/>
          <w:szCs w:val="22"/>
        </w:rPr>
        <w:t>This</w:t>
      </w:r>
      <w:r w:rsidRPr="00E016F3">
        <w:rPr>
          <w:rFonts w:asciiTheme="majorHAnsi" w:hAnsiTheme="majorHAnsi" w:cs="Arial"/>
          <w:sz w:val="22"/>
          <w:szCs w:val="22"/>
        </w:rPr>
        <w:t xml:space="preserve"> database was supplemented with radiographic findings, readmission rates and </w:t>
      </w:r>
      <w:r w:rsidR="003B7B92">
        <w:rPr>
          <w:rFonts w:asciiTheme="majorHAnsi" w:hAnsiTheme="majorHAnsi" w:cs="Arial"/>
          <w:sz w:val="22"/>
          <w:szCs w:val="22"/>
        </w:rPr>
        <w:t>‘quick’ sequential organ failure assessment (</w:t>
      </w:r>
      <w:proofErr w:type="spellStart"/>
      <w:r w:rsidRPr="00E016F3">
        <w:rPr>
          <w:rFonts w:asciiTheme="majorHAnsi" w:hAnsiTheme="majorHAnsi" w:cs="Arial"/>
          <w:sz w:val="22"/>
          <w:szCs w:val="22"/>
        </w:rPr>
        <w:t>qSOFA</w:t>
      </w:r>
      <w:proofErr w:type="spellEnd"/>
      <w:r w:rsidR="003B7B92">
        <w:rPr>
          <w:rFonts w:asciiTheme="majorHAnsi" w:hAnsiTheme="majorHAnsi" w:cs="Arial"/>
          <w:sz w:val="22"/>
          <w:szCs w:val="22"/>
        </w:rPr>
        <w:t xml:space="preserve">) </w:t>
      </w:r>
      <w:r w:rsidRPr="00E016F3">
        <w:rPr>
          <w:rFonts w:asciiTheme="majorHAnsi" w:hAnsiTheme="majorHAnsi" w:cs="Arial"/>
          <w:sz w:val="22"/>
          <w:szCs w:val="22"/>
        </w:rPr>
        <w:t>scores</w:t>
      </w:r>
      <w:r>
        <w:rPr>
          <w:rFonts w:asciiTheme="majorHAnsi" w:hAnsiTheme="majorHAnsi" w:cs="Arial"/>
          <w:sz w:val="22"/>
          <w:szCs w:val="22"/>
        </w:rPr>
        <w:t xml:space="preserve"> </w:t>
      </w:r>
      <w:r w:rsidR="00FA5767">
        <w:rPr>
          <w:rFonts w:asciiTheme="majorHAnsi" w:hAnsiTheme="majorHAnsi" w:cs="Arial"/>
          <w:sz w:val="22"/>
          <w:szCs w:val="22"/>
        </w:rPr>
        <w:fldChar w:fldCharType="begin" w:fldLock="1"/>
      </w:r>
      <w:r w:rsidR="000D4EEE">
        <w:rPr>
          <w:rFonts w:asciiTheme="majorHAnsi" w:hAnsiTheme="majorHAnsi" w:cs="Arial"/>
          <w:sz w:val="22"/>
          <w:szCs w:val="22"/>
        </w:rPr>
        <w:instrText>ADDIN CSL_CITATION { "citationItems" : [ { "id" : "ITEM-1", "itemData" : { "DOI" : "10.1001/jama.2016.0287", "ISSN" : "0098-7484", "PMID" : "26903338", "abstract" : "Importance: Definitions of sepsis and septic shock were last revised in 2001. Considerable advances have since been made into the pathobiology (changes in organ function, morphology, cell biology, biochemistry, immunology, and circulation), management, and epidemiology of sepsis, suggesting the need for reexamination.\n\nObjective: To evaluate and, as needed, update definitions for sepsis and septic shock.\n\nProcess: A task force (n\u2009=\u200919) with expertise in sepsis pathobiology, clinical trials, and epidemiology was convened by the Society of Critical Care Medicine and the European Society of Intensive Care Medicine. Definitions and clinical criteria were generated through meetings, Delphi processes, analysis of electronic health record databases, and voting, followed by circulation to international professional societies, requesting peer review and endorsement (by 31 societies listed in the Acknowledgment).\n\nKey Findings From Evidence Synthesis: Limitations of previous definitions included an excessive focus on inflammation, the misleading model that sepsis follows a continuum through severe sepsis to shock, and inadequate specificity and sensitivity of the systemic inflammatory response syndrome (SIRS) criteria. Multiple definitions and terminologies are currently in use for sepsis, septic shock, and organ dysfunction, leading to discrepancies in reported incidence and observed mortality. The task force concluded the term severe sepsis was redundant.\n\nRecommendations: Sepsis should be defined as life-threatening organ dysfunction caused by a dysregulated host response to infection. For clinical operationalization, organ dysfunction can be represented by an increase in the Sequential [Sepsis-related] Organ Failure Assessment (SOFA) score of 2 points or more, which is associated with an in-hospital mortality greater than 10%. Septic shock should be defined as a subset of sepsis in which particularly profound circulatory, cellular, and metabolic abnormalities are associated with a greater risk of mortality than with sepsis alone. Patients with septic shock can be clinically identified by a vasopressor requirement to maintain a mean arterial pressure of 65 mm Hg or greater and serum lactate level greater than 2 mmol/L (&gt;18 mg/dL) in the absence of hypovolemia. This combination is associated with hospital mortality rates greater than 40%. In out-of-hospital, emergency department, or general hospital ward settings, adult patients with suspected infection can be \u2026", "author" : [ { "dropping-particle" : "", "family" : "Singer", "given" : "Mervyn", "non-dropping-particle" : "", "parse-names" : false, "suffix" : "" }, { "dropping-particle" : "", "family" : "Deutschman", "given" : "Clifford S.", "non-dropping-particle" : "", "parse-names" : false, "suffix" : "" }, { "dropping-particle" : "", "family" : "Seymour", "given" : "Christopher Warren", "non-dropping-particle" : "", "parse-names" : false, "suffix" : "" }, { "dropping-particle" : "", "family" : "Shankar-Hari", "given" : "Manu", "non-dropping-particle" : "", "parse-names" : false, "suffix" : "" }, { "dropping-particle" : "", "family" : "Annane", "given" : "Djillali", "non-dropping-particle" : "", "parse-names" : false, "suffix" : "" }, { "dropping-particle" : "", "family" : "Bauer", "given" : "Michael", "non-dropping-particle" : "", "parse-names" : false, "suffix" : "" }, { "dropping-particle" : "", "family" : "Bellomo", "given" : "Rinaldo", "non-dropping-particle" : "", "parse-names" : false, "suffix" : "" }, { "dropping-particle" : "", "family" : "Bernard", "given" : "Gordon R.", "non-dropping-particle" : "", "parse-names" : false, "suffix" : "" }, { "dropping-particle" : "", "family" : "Chiche", "given" : "Jean-Daniel", "non-dropping-particle" : "", "parse-names" : false, "suffix" : "" }, { "dropping-particle" : "", "family" : "Coopersmith", "given" : "Craig M.", "non-dropping-particle" : "", "parse-names" : false, "suffix" : "" }, { "dropping-particle" : "", "family" : "Hotchkiss", "given" : "Richard S.", "non-dropping-particle" : "", "parse-names" : false, "suffix" : "" }, { "dropping-particle" : "", "family" : "Levy", "given" : "Mitchell M.", "non-dropping-particle" : "", "parse-names" : false, "suffix" : "" }, { "dropping-particle" : "", "family" : "Marshall", "given" : "John C.", "non-dropping-particle" : "", "parse-names" : false, "suffix" : "" }, { "dropping-particle" : "", "family" : "Martin", "given" : "Greg S.", "non-dropping-particle" : "", "parse-names" : false, "suffix" : "" }, { "dropping-particle" : "", "family" : "Opal", "given" : "Steven M.", "non-dropping-particle" : "", "parse-names" : false, "suffix" : "" }, { "dropping-particle" : "", "family" : "Rubenfeld", "given" : "Gordon D.", "non-dropping-particle" : "", "parse-names" : false, "suffix" : "" }, { "dropping-particle" : "", "family" : "Poll", "given" : "Tom", "non-dropping-particle" : "van der", "parse-names" : false, "suffix" : "" }, { "dropping-particle" : "", "family" : "Vincent", "given" : "Jean-Louis", "non-dropping-particle" : "", "parse-names" : false, "suffix" : "" }, { "dropping-particle" : "", "family" : "Angus", "given" : "Derek C.", "non-dropping-particle" : "", "parse-names" : false, "suffix" : "" } ], "container-title" : "JAMA", "id" : "ITEM-1", "issue" : "8", "issued" : { "date-parts" : [ [ "2016", "2", "23" ] ] }, "page" : "801", "title" : "The Third International Consensus Definitions for Sepsis and Septic Shock (Sepsis-3)", "type" : "article-journal", "volume" : "315" }, "uris" : [ "http://www.mendeley.com/documents/?uuid=b548cef4-7444-4f2a-aefa-a4d52a985ec2" ] } ], "mendeley" : { "formattedCitation" : "(15)", "plainTextFormattedCitation" : "(15)", "previouslyFormattedCitation" : "(15)" }, "properties" : { "noteIndex" : 0 }, "schema" : "https://github.com/citation-style-language/schema/raw/master/csl-citation.json" }</w:instrText>
      </w:r>
      <w:r w:rsidR="00FA5767">
        <w:rPr>
          <w:rFonts w:asciiTheme="majorHAnsi" w:hAnsiTheme="majorHAnsi" w:cs="Arial"/>
          <w:sz w:val="22"/>
          <w:szCs w:val="22"/>
        </w:rPr>
        <w:fldChar w:fldCharType="separate"/>
      </w:r>
      <w:r w:rsidR="003B7B92" w:rsidRPr="003B7B92">
        <w:rPr>
          <w:rFonts w:asciiTheme="majorHAnsi" w:hAnsiTheme="majorHAnsi" w:cs="Arial"/>
          <w:noProof/>
          <w:sz w:val="22"/>
          <w:szCs w:val="22"/>
        </w:rPr>
        <w:t>(15)</w:t>
      </w:r>
      <w:r w:rsidR="00FA5767">
        <w:rPr>
          <w:rFonts w:asciiTheme="majorHAnsi" w:hAnsiTheme="majorHAnsi" w:cs="Arial"/>
          <w:sz w:val="22"/>
          <w:szCs w:val="22"/>
        </w:rPr>
        <w:fldChar w:fldCharType="end"/>
      </w:r>
      <w:r w:rsidRPr="00E016F3">
        <w:rPr>
          <w:rFonts w:asciiTheme="majorHAnsi" w:hAnsiTheme="majorHAnsi" w:cs="Arial"/>
          <w:sz w:val="22"/>
          <w:szCs w:val="22"/>
        </w:rPr>
        <w:t xml:space="preserve">. Inclusion criteria were: patients ≥18 years, with H1N1 influenza infection confirmed by reverse transcriptase </w:t>
      </w:r>
      <w:r w:rsidR="00F10D94">
        <w:rPr>
          <w:rFonts w:asciiTheme="majorHAnsi" w:hAnsiTheme="majorHAnsi" w:cs="Arial"/>
          <w:sz w:val="22"/>
          <w:szCs w:val="22"/>
        </w:rPr>
        <w:t>polymerase chain reaction (PCR)</w:t>
      </w:r>
      <w:r w:rsidRPr="00E016F3">
        <w:rPr>
          <w:rFonts w:asciiTheme="majorHAnsi" w:hAnsiTheme="majorHAnsi" w:cs="Arial"/>
          <w:sz w:val="22"/>
          <w:szCs w:val="22"/>
        </w:rPr>
        <w:t xml:space="preserve"> who presented </w:t>
      </w:r>
      <w:r w:rsidR="00F10D94">
        <w:rPr>
          <w:rFonts w:asciiTheme="majorHAnsi" w:hAnsiTheme="majorHAnsi" w:cs="Arial"/>
          <w:sz w:val="22"/>
          <w:szCs w:val="22"/>
        </w:rPr>
        <w:t>with acute illness to the</w:t>
      </w:r>
      <w:r w:rsidRPr="00E016F3">
        <w:rPr>
          <w:rFonts w:asciiTheme="majorHAnsi" w:hAnsiTheme="majorHAnsi" w:cs="Arial"/>
          <w:sz w:val="22"/>
          <w:szCs w:val="22"/>
        </w:rPr>
        <w:t xml:space="preserve"> Royal Liverpool University Hospital. Patients eligible for the study were either admitted to hospital or discharged home within 24 hours of </w:t>
      </w:r>
      <w:r>
        <w:rPr>
          <w:rFonts w:asciiTheme="majorHAnsi" w:hAnsiTheme="majorHAnsi" w:cs="Arial"/>
          <w:sz w:val="22"/>
          <w:szCs w:val="22"/>
        </w:rPr>
        <w:t>presentation</w:t>
      </w:r>
      <w:r w:rsidRPr="00E016F3">
        <w:rPr>
          <w:rFonts w:asciiTheme="majorHAnsi" w:hAnsiTheme="majorHAnsi" w:cs="Arial"/>
          <w:sz w:val="22"/>
          <w:szCs w:val="22"/>
        </w:rPr>
        <w:t xml:space="preserve">. Patients were excluded if they tested negative for H1N1 influenza, died in the emergency department or </w:t>
      </w:r>
      <w:r>
        <w:rPr>
          <w:rFonts w:asciiTheme="majorHAnsi" w:hAnsiTheme="majorHAnsi" w:cs="Arial"/>
          <w:sz w:val="22"/>
          <w:szCs w:val="22"/>
        </w:rPr>
        <w:t xml:space="preserve">if </w:t>
      </w:r>
      <w:r w:rsidRPr="00E016F3">
        <w:rPr>
          <w:rFonts w:asciiTheme="majorHAnsi" w:hAnsiTheme="majorHAnsi" w:cs="Arial"/>
          <w:sz w:val="22"/>
          <w:szCs w:val="22"/>
        </w:rPr>
        <w:t>case notes were unavailable</w:t>
      </w:r>
      <w:r>
        <w:rPr>
          <w:rFonts w:asciiTheme="majorHAnsi" w:hAnsiTheme="majorHAnsi" w:cs="Arial"/>
          <w:sz w:val="22"/>
          <w:szCs w:val="22"/>
        </w:rPr>
        <w:t xml:space="preserve">. Early discharge was defined as discharge within 24 hours of presentation. </w:t>
      </w:r>
      <w:r w:rsidRPr="00E016F3">
        <w:rPr>
          <w:rFonts w:asciiTheme="majorHAnsi" w:hAnsiTheme="majorHAnsi" w:cs="Arial"/>
          <w:sz w:val="22"/>
          <w:szCs w:val="22"/>
        </w:rPr>
        <w:t xml:space="preserve">Successful </w:t>
      </w:r>
      <w:r>
        <w:rPr>
          <w:rFonts w:asciiTheme="majorHAnsi" w:hAnsiTheme="majorHAnsi" w:cs="Arial"/>
          <w:sz w:val="22"/>
          <w:szCs w:val="22"/>
        </w:rPr>
        <w:t>discharge was defined as</w:t>
      </w:r>
      <w:r w:rsidRPr="00E016F3">
        <w:rPr>
          <w:rFonts w:asciiTheme="majorHAnsi" w:hAnsiTheme="majorHAnsi" w:cs="Arial"/>
          <w:sz w:val="22"/>
          <w:szCs w:val="22"/>
        </w:rPr>
        <w:t xml:space="preserve"> no readmission within 7 days of initial presentation.</w:t>
      </w:r>
      <w:r w:rsidR="00D21CD4">
        <w:rPr>
          <w:rFonts w:asciiTheme="majorHAnsi" w:hAnsiTheme="majorHAnsi" w:cs="Arial"/>
          <w:sz w:val="22"/>
          <w:szCs w:val="22"/>
        </w:rPr>
        <w:t xml:space="preserve"> </w:t>
      </w:r>
      <w:r w:rsidR="00D21CD4" w:rsidRPr="00D9408A">
        <w:rPr>
          <w:rFonts w:ascii="Calibri" w:hAnsi="Calibri"/>
          <w:sz w:val="22"/>
          <w:szCs w:val="22"/>
        </w:rPr>
        <w:t xml:space="preserve">The </w:t>
      </w:r>
      <w:r w:rsidR="00D21CD4">
        <w:rPr>
          <w:rFonts w:ascii="Calibri" w:hAnsi="Calibri"/>
          <w:sz w:val="22"/>
          <w:szCs w:val="22"/>
        </w:rPr>
        <w:t xml:space="preserve">UK </w:t>
      </w:r>
      <w:r w:rsidR="00D21CD4" w:rsidRPr="00D9408A">
        <w:rPr>
          <w:rFonts w:ascii="Calibri" w:hAnsi="Calibri"/>
          <w:sz w:val="22"/>
          <w:szCs w:val="22"/>
        </w:rPr>
        <w:t xml:space="preserve">NHS Research Ethics </w:t>
      </w:r>
      <w:r w:rsidR="00D21CD4">
        <w:rPr>
          <w:rFonts w:ascii="Calibri" w:hAnsi="Calibri"/>
          <w:sz w:val="22"/>
          <w:szCs w:val="22"/>
        </w:rPr>
        <w:t>Service</w:t>
      </w:r>
      <w:r w:rsidR="00D21CD4" w:rsidRPr="00D9408A">
        <w:rPr>
          <w:rFonts w:ascii="Calibri" w:hAnsi="Calibri"/>
          <w:sz w:val="22"/>
          <w:szCs w:val="22"/>
        </w:rPr>
        <w:t xml:space="preserve"> granted approval for this project </w:t>
      </w:r>
      <w:r w:rsidR="00D21CD4" w:rsidRPr="00E016F3">
        <w:rPr>
          <w:rFonts w:asciiTheme="majorHAnsi" w:hAnsiTheme="majorHAnsi" w:cs="Arial"/>
          <w:sz w:val="22"/>
          <w:szCs w:val="22"/>
        </w:rPr>
        <w:t>(13/LO/0609)</w:t>
      </w:r>
      <w:r w:rsidR="00D21CD4">
        <w:rPr>
          <w:rFonts w:asciiTheme="majorHAnsi" w:hAnsiTheme="majorHAnsi" w:cs="Arial"/>
          <w:sz w:val="22"/>
          <w:szCs w:val="22"/>
        </w:rPr>
        <w:t xml:space="preserve"> and</w:t>
      </w:r>
      <w:r w:rsidR="00D21CD4" w:rsidRPr="00E016F3">
        <w:rPr>
          <w:rFonts w:asciiTheme="majorHAnsi" w:hAnsiTheme="majorHAnsi" w:cs="Arial"/>
          <w:sz w:val="22"/>
          <w:szCs w:val="22"/>
        </w:rPr>
        <w:t xml:space="preserve"> </w:t>
      </w:r>
      <w:r w:rsidR="00D21CD4">
        <w:rPr>
          <w:rFonts w:asciiTheme="majorHAnsi" w:hAnsiTheme="majorHAnsi" w:cs="Arial"/>
          <w:sz w:val="22"/>
          <w:szCs w:val="22"/>
        </w:rPr>
        <w:t xml:space="preserve">individual </w:t>
      </w:r>
      <w:r w:rsidR="00D21CD4" w:rsidRPr="00E016F3">
        <w:rPr>
          <w:rFonts w:asciiTheme="majorHAnsi" w:hAnsiTheme="majorHAnsi" w:cs="Arial"/>
          <w:sz w:val="22"/>
          <w:szCs w:val="22"/>
        </w:rPr>
        <w:t>patient consent was not required.</w:t>
      </w:r>
    </w:p>
    <w:p w14:paraId="5F21FE6E" w14:textId="77777777" w:rsidR="00E016F3" w:rsidRPr="00E016F3" w:rsidRDefault="00E016F3" w:rsidP="00D8005E">
      <w:pPr>
        <w:spacing w:line="480" w:lineRule="auto"/>
        <w:rPr>
          <w:rFonts w:asciiTheme="majorHAnsi" w:hAnsiTheme="majorHAnsi" w:cs="Arial"/>
          <w:sz w:val="22"/>
          <w:szCs w:val="22"/>
        </w:rPr>
      </w:pPr>
    </w:p>
    <w:p w14:paraId="362AA1CC" w14:textId="77777777" w:rsidR="00E016F3" w:rsidRPr="00E016F3" w:rsidRDefault="00E016F3" w:rsidP="00D8005E">
      <w:pPr>
        <w:tabs>
          <w:tab w:val="left" w:pos="6825"/>
        </w:tabs>
        <w:spacing w:line="480" w:lineRule="auto"/>
        <w:rPr>
          <w:rFonts w:asciiTheme="majorHAnsi" w:hAnsiTheme="majorHAnsi" w:cs="Arial"/>
          <w:b/>
          <w:sz w:val="22"/>
          <w:szCs w:val="22"/>
        </w:rPr>
      </w:pPr>
      <w:r w:rsidRPr="00E016F3">
        <w:rPr>
          <w:rFonts w:asciiTheme="majorHAnsi" w:hAnsiTheme="majorHAnsi" w:cs="Arial"/>
          <w:b/>
          <w:sz w:val="22"/>
          <w:szCs w:val="22"/>
        </w:rPr>
        <w:t>Clinical variables and triage scores</w:t>
      </w:r>
      <w:r w:rsidRPr="00E016F3">
        <w:rPr>
          <w:rFonts w:asciiTheme="majorHAnsi" w:hAnsiTheme="majorHAnsi" w:cs="Arial"/>
          <w:b/>
          <w:sz w:val="22"/>
          <w:szCs w:val="22"/>
        </w:rPr>
        <w:tab/>
      </w:r>
    </w:p>
    <w:p w14:paraId="1C8DCECD" w14:textId="77777777" w:rsidR="00E016F3" w:rsidRPr="00E016F3" w:rsidRDefault="00E016F3" w:rsidP="00D8005E">
      <w:pPr>
        <w:pStyle w:val="NoSpacing"/>
        <w:spacing w:line="480" w:lineRule="auto"/>
        <w:rPr>
          <w:rFonts w:asciiTheme="majorHAnsi" w:hAnsiTheme="majorHAnsi" w:cs="Arial"/>
        </w:rPr>
      </w:pPr>
      <w:r w:rsidRPr="00E016F3">
        <w:rPr>
          <w:rFonts w:asciiTheme="majorHAnsi" w:hAnsiTheme="majorHAnsi" w:cs="Arial"/>
        </w:rPr>
        <w:t>Data regarding patient demographics, comorbidities, physiological observations, clinical laboratory tests, arterial blood gases and oxygen saturations collected within the first 24 hours of admission were analysed. P/F ratio is calculated by dividing the partial pressure of arterial oxygen (PaO</w:t>
      </w:r>
      <w:r w:rsidRPr="00E016F3">
        <w:rPr>
          <w:rFonts w:asciiTheme="majorHAnsi" w:hAnsiTheme="majorHAnsi" w:cs="Arial"/>
          <w:vertAlign w:val="subscript"/>
        </w:rPr>
        <w:t>2</w:t>
      </w:r>
      <w:r w:rsidRPr="00E016F3">
        <w:rPr>
          <w:rFonts w:asciiTheme="majorHAnsi" w:hAnsiTheme="majorHAnsi" w:cs="Arial"/>
        </w:rPr>
        <w:t>) in mmHg, by the fraction of inspired oxygen (FiO</w:t>
      </w:r>
      <w:r w:rsidRPr="00E016F3">
        <w:rPr>
          <w:rFonts w:asciiTheme="majorHAnsi" w:hAnsiTheme="majorHAnsi" w:cs="Arial"/>
          <w:vertAlign w:val="subscript"/>
        </w:rPr>
        <w:t>2</w:t>
      </w:r>
      <w:r w:rsidRPr="00E016F3">
        <w:rPr>
          <w:rFonts w:asciiTheme="majorHAnsi" w:hAnsiTheme="majorHAnsi" w:cs="Arial"/>
        </w:rPr>
        <w:t>). Where an arterial blood gas was unavailable, we employed a validated P/F ratio</w:t>
      </w:r>
      <w:r w:rsidR="005D5756">
        <w:rPr>
          <w:rFonts w:asciiTheme="majorHAnsi" w:hAnsiTheme="majorHAnsi" w:cs="Arial"/>
        </w:rPr>
        <w:t xml:space="preserve"> estimation calculation using Sp</w:t>
      </w:r>
      <w:r w:rsidRPr="00E016F3">
        <w:rPr>
          <w:rFonts w:asciiTheme="majorHAnsi" w:hAnsiTheme="majorHAnsi" w:cs="Arial"/>
        </w:rPr>
        <w:t>O</w:t>
      </w:r>
      <w:r w:rsidRPr="00E016F3">
        <w:rPr>
          <w:rFonts w:asciiTheme="majorHAnsi" w:hAnsiTheme="majorHAnsi" w:cs="Arial"/>
          <w:vertAlign w:val="subscript"/>
        </w:rPr>
        <w:t>2</w:t>
      </w:r>
      <w:r w:rsidRPr="00E016F3">
        <w:rPr>
          <w:rFonts w:asciiTheme="majorHAnsi" w:hAnsiTheme="majorHAnsi" w:cs="Arial"/>
        </w:rPr>
        <w:t xml:space="preserve"> and FiO</w:t>
      </w:r>
      <w:r w:rsidRPr="00E016F3">
        <w:rPr>
          <w:rFonts w:asciiTheme="majorHAnsi" w:hAnsiTheme="majorHAnsi" w:cs="Arial"/>
          <w:vertAlign w:val="subscript"/>
        </w:rPr>
        <w:t>2</w:t>
      </w:r>
      <w:r w:rsidRPr="00E016F3">
        <w:rPr>
          <w:rFonts w:asciiTheme="majorHAnsi" w:hAnsiTheme="majorHAnsi" w:cs="Arial"/>
        </w:rPr>
        <w:t xml:space="preserve"> </w:t>
      </w:r>
      <w:r w:rsidR="00FA5767">
        <w:rPr>
          <w:rFonts w:asciiTheme="majorHAnsi" w:hAnsiTheme="majorHAnsi" w:cs="Arial"/>
        </w:rPr>
        <w:fldChar w:fldCharType="begin" w:fldLock="1"/>
      </w:r>
      <w:r w:rsidR="000D4EEE">
        <w:rPr>
          <w:rFonts w:asciiTheme="majorHAnsi" w:hAnsiTheme="majorHAnsi" w:cs="Arial"/>
        </w:rPr>
        <w:instrText>ADDIN CSL_CITATION { "citationItems" : [ { "id" : "ITEM-1", "itemData" : { "DOI" : "10.1097/CCM.0b013e31819cefa9", "ISSN" : "1530-0293", "PMID" : "19242333", "abstract" : "The Sequential Organ Failure Assessment (SOFA) score is validated to measure severity of organ dysfunction in critically ill patients. However, in some practice settings, daily arterial blood gas data required to calculate the respiratory component of the SOFA score are often unavailable. The objectives of this study were to derive Spo2/Fio2 (SF) ratio correlations with the Pao2/Fio2 (PF) ratio to calculate the respiratory parameter of the SOFA score, and to validate the respiratory SOFA obtained using SF ratios against clinical outcomes.", "author" : [ { "dropping-particle" : "", "family" : "Pandharipande", "given" : "Pratik P", "non-dropping-particle" : "", "parse-names" : false, "suffix" : "" }, { "dropping-particle" : "", "family" : "Shintani", "given" : "Ayumi K", "non-dropping-particle" : "", "parse-names" : false, "suffix" : "" }, { "dropping-particle" : "", "family" : "Hagerman", "given" : "Heather E", "non-dropping-particle" : "", "parse-names" : false, "suffix" : "" }, { "dropping-particle" : "", "family" : "St Jacques", "given" : "Paul J", "non-dropping-particle" : "", "parse-names" : false, "suffix" : "" }, { "dropping-particle" : "", "family" : "Rice", "given" : "Todd W", "non-dropping-particle" : "", "parse-names" : false, "suffix" : "" }, { "dropping-particle" : "", "family" : "Sanders", "given" : "Neal W", "non-dropping-particle" : "", "parse-names" : false, "suffix" : "" }, { "dropping-particle" : "", "family" : "Ware", "given" : "Lorraine B", "non-dropping-particle" : "", "parse-names" : false, "suffix" : "" }, { "dropping-particle" : "", "family" : "Bernard", "given" : "Gordon R", "non-dropping-particle" : "", "parse-names" : false, "suffix" : "" }, { "dropping-particle" : "", "family" : "Ely", "given" : "E Wesley", "non-dropping-particle" : "", "parse-names" : false, "suffix" : "" } ], "container-title" : "Critical care medicine", "id" : "ITEM-1", "issue" : "4", "issued" : { "date-parts" : [ [ "2009", "4" ] ] }, "page" : "1317-21", "title" : "Derivation and validation of Spo2/Fio2 ratio to impute for Pao2/Fio2 ratio in the respiratory component of the Sequential Organ Failure Assessment score.", "type" : "article-journal", "volume" : "37" }, "uris" : [ "http://www.mendeley.com/documents/?uuid=cda8a8c3-094b-482b-9dea-d9e748663c21" ] } ], "mendeley" : { "formattedCitation" : "(16)", "plainTextFormattedCitation" : "(16)", "previouslyFormattedCitation" : "(16)" }, "properties" : { "noteIndex" : 0 }, "schema" : "https://github.com/citation-style-language/schema/raw/master/csl-citation.json" }</w:instrText>
      </w:r>
      <w:r w:rsidR="00FA5767">
        <w:rPr>
          <w:rFonts w:asciiTheme="majorHAnsi" w:hAnsiTheme="majorHAnsi" w:cs="Arial"/>
        </w:rPr>
        <w:fldChar w:fldCharType="separate"/>
      </w:r>
      <w:r w:rsidR="003B7B92" w:rsidRPr="003B7B92">
        <w:rPr>
          <w:rFonts w:asciiTheme="majorHAnsi" w:hAnsiTheme="majorHAnsi" w:cs="Arial"/>
          <w:noProof/>
        </w:rPr>
        <w:t>(16)</w:t>
      </w:r>
      <w:r w:rsidR="00FA5767">
        <w:rPr>
          <w:rFonts w:asciiTheme="majorHAnsi" w:hAnsiTheme="majorHAnsi" w:cs="Arial"/>
        </w:rPr>
        <w:fldChar w:fldCharType="end"/>
      </w:r>
      <w:r>
        <w:rPr>
          <w:rFonts w:asciiTheme="majorHAnsi" w:hAnsiTheme="majorHAnsi" w:cs="Arial"/>
        </w:rPr>
        <w:t>.</w:t>
      </w:r>
      <w:r w:rsidRPr="00E016F3">
        <w:rPr>
          <w:rFonts w:asciiTheme="majorHAnsi" w:hAnsiTheme="majorHAnsi" w:cs="Arial"/>
        </w:rPr>
        <w:t xml:space="preserve"> SOFA, </w:t>
      </w:r>
      <w:r w:rsidR="003B7B92">
        <w:rPr>
          <w:rFonts w:asciiTheme="majorHAnsi" w:hAnsiTheme="majorHAnsi" w:cs="Arial"/>
        </w:rPr>
        <w:t>Simplified Triage Severity Score (</w:t>
      </w:r>
      <w:r w:rsidRPr="00E016F3">
        <w:rPr>
          <w:rFonts w:asciiTheme="majorHAnsi" w:hAnsiTheme="majorHAnsi" w:cs="Arial"/>
        </w:rPr>
        <w:t>STSS</w:t>
      </w:r>
      <w:r w:rsidR="003B7B92">
        <w:rPr>
          <w:rFonts w:asciiTheme="majorHAnsi" w:hAnsiTheme="majorHAnsi" w:cs="Arial"/>
        </w:rPr>
        <w:t xml:space="preserve">) </w:t>
      </w:r>
      <w:r w:rsidRPr="00E016F3">
        <w:rPr>
          <w:rFonts w:asciiTheme="majorHAnsi" w:hAnsiTheme="majorHAnsi" w:cs="Arial"/>
        </w:rPr>
        <w:t xml:space="preserve">and Acute Physiology and </w:t>
      </w:r>
      <w:r w:rsidRPr="00E016F3">
        <w:rPr>
          <w:rFonts w:asciiTheme="majorHAnsi" w:hAnsiTheme="majorHAnsi" w:cs="Arial"/>
        </w:rPr>
        <w:lastRenderedPageBreak/>
        <w:t>Chronic Health Evaluation</w:t>
      </w:r>
      <w:r w:rsidR="00F10D94">
        <w:rPr>
          <w:rFonts w:asciiTheme="majorHAnsi" w:hAnsiTheme="majorHAnsi" w:cs="Arial"/>
        </w:rPr>
        <w:t xml:space="preserve"> II</w:t>
      </w:r>
      <w:r w:rsidRPr="00E016F3">
        <w:rPr>
          <w:rFonts w:asciiTheme="majorHAnsi" w:hAnsiTheme="majorHAnsi" w:cs="Arial"/>
        </w:rPr>
        <w:t xml:space="preserve"> (APACHE</w:t>
      </w:r>
      <w:r w:rsidR="00F10D94">
        <w:rPr>
          <w:rFonts w:asciiTheme="majorHAnsi" w:hAnsiTheme="majorHAnsi" w:cs="Arial"/>
        </w:rPr>
        <w:t xml:space="preserve"> II) </w:t>
      </w:r>
      <w:r w:rsidRPr="00E016F3">
        <w:rPr>
          <w:rFonts w:asciiTheme="majorHAnsi" w:hAnsiTheme="majorHAnsi" w:cs="Arial"/>
        </w:rPr>
        <w:t xml:space="preserve">scores were calculated during initial assessment and after 24, 48 and 120 hours. The </w:t>
      </w:r>
      <w:proofErr w:type="spellStart"/>
      <w:r w:rsidRPr="00E016F3">
        <w:rPr>
          <w:rFonts w:asciiTheme="majorHAnsi" w:hAnsiTheme="majorHAnsi" w:cs="Arial"/>
        </w:rPr>
        <w:t>qSOFA</w:t>
      </w:r>
      <w:proofErr w:type="spellEnd"/>
      <w:r w:rsidRPr="00E016F3">
        <w:rPr>
          <w:rFonts w:asciiTheme="majorHAnsi" w:hAnsiTheme="majorHAnsi" w:cs="Arial"/>
        </w:rPr>
        <w:t xml:space="preserve"> score for each patient was </w:t>
      </w:r>
      <w:r>
        <w:rPr>
          <w:rFonts w:asciiTheme="majorHAnsi" w:hAnsiTheme="majorHAnsi" w:cs="Arial"/>
        </w:rPr>
        <w:t xml:space="preserve">also </w:t>
      </w:r>
      <w:r w:rsidRPr="00E016F3">
        <w:rPr>
          <w:rFonts w:asciiTheme="majorHAnsi" w:hAnsiTheme="majorHAnsi" w:cs="Arial"/>
        </w:rPr>
        <w:t xml:space="preserve">calculated </w:t>
      </w:r>
      <w:r w:rsidR="00FA5767">
        <w:rPr>
          <w:rFonts w:asciiTheme="majorHAnsi" w:hAnsiTheme="majorHAnsi" w:cs="Arial"/>
        </w:rPr>
        <w:fldChar w:fldCharType="begin" w:fldLock="1"/>
      </w:r>
      <w:r w:rsidR="000D4EEE">
        <w:rPr>
          <w:rFonts w:asciiTheme="majorHAnsi" w:hAnsiTheme="majorHAnsi" w:cs="Arial"/>
        </w:rPr>
        <w:instrText>ADDIN CSL_CITATION { "citationItems" : [ { "id" : "ITEM-1", "itemData" : { "DOI" : "10.1001/jama.2016.0287", "ISSN" : "0098-7484", "PMID" : "26903338", "abstract" : "Importance: Definitions of sepsis and septic shock were last revised in 2001. Considerable advances have since been made into the pathobiology (changes in organ function, morphology, cell biology, biochemistry, immunology, and circulation), management, and epidemiology of sepsis, suggesting the need for reexamination.\n\nObjective: To evaluate and, as needed, update definitions for sepsis and septic shock.\n\nProcess: A task force (n\u2009=\u200919) with expertise in sepsis pathobiology, clinical trials, and epidemiology was convened by the Society of Critical Care Medicine and the European Society of Intensive Care Medicine. Definitions and clinical criteria were generated through meetings, Delphi processes, analysis of electronic health record databases, and voting, followed by circulation to international professional societies, requesting peer review and endorsement (by 31 societies listed in the Acknowledgment).\n\nKey Findings From Evidence Synthesis: Limitations of previous definitions included an excessive focus on inflammation, the misleading model that sepsis follows a continuum through severe sepsis to shock, and inadequate specificity and sensitivity of the systemic inflammatory response syndrome (SIRS) criteria. Multiple definitions and terminologies are currently in use for sepsis, septic shock, and organ dysfunction, leading to discrepancies in reported incidence and observed mortality. The task force concluded the term severe sepsis was redundant.\n\nRecommendations: Sepsis should be defined as life-threatening organ dysfunction caused by a dysregulated host response to infection. For clinical operationalization, organ dysfunction can be represented by an increase in the Sequential [Sepsis-related] Organ Failure Assessment (SOFA) score of 2 points or more, which is associated with an in-hospital mortality greater than 10%. Septic shock should be defined as a subset of sepsis in which particularly profound circulatory, cellular, and metabolic abnormalities are associated with a greater risk of mortality than with sepsis alone. Patients with septic shock can be clinically identified by a vasopressor requirement to maintain a mean arterial pressure of 65 mm Hg or greater and serum lactate level greater than 2 mmol/L (&gt;18 mg/dL) in the absence of hypovolemia. This combination is associated with hospital mortality rates greater than 40%. In out-of-hospital, emergency department, or general hospital ward settings, adult patients with suspected infection can be \u2026", "author" : [ { "dropping-particle" : "", "family" : "Singer", "given" : "Mervyn", "non-dropping-particle" : "", "parse-names" : false, "suffix" : "" }, { "dropping-particle" : "", "family" : "Deutschman", "given" : "Clifford S.", "non-dropping-particle" : "", "parse-names" : false, "suffix" : "" }, { "dropping-particle" : "", "family" : "Seymour", "given" : "Christopher Warren", "non-dropping-particle" : "", "parse-names" : false, "suffix" : "" }, { "dropping-particle" : "", "family" : "Shankar-Hari", "given" : "Manu", "non-dropping-particle" : "", "parse-names" : false, "suffix" : "" }, { "dropping-particle" : "", "family" : "Annane", "given" : "Djillali", "non-dropping-particle" : "", "parse-names" : false, "suffix" : "" }, { "dropping-particle" : "", "family" : "Bauer", "given" : "Michael", "non-dropping-particle" : "", "parse-names" : false, "suffix" : "" }, { "dropping-particle" : "", "family" : "Bellomo", "given" : "Rinaldo", "non-dropping-particle" : "", "parse-names" : false, "suffix" : "" }, { "dropping-particle" : "", "family" : "Bernard", "given" : "Gordon R.", "non-dropping-particle" : "", "parse-names" : false, "suffix" : "" }, { "dropping-particle" : "", "family" : "Chiche", "given" : "Jean-Daniel", "non-dropping-particle" : "", "parse-names" : false, "suffix" : "" }, { "dropping-particle" : "", "family" : "Coopersmith", "given" : "Craig M.", "non-dropping-particle" : "", "parse-names" : false, "suffix" : "" }, { "dropping-particle" : "", "family" : "Hotchkiss", "given" : "Richard S.", "non-dropping-particle" : "", "parse-names" : false, "suffix" : "" }, { "dropping-particle" : "", "family" : "Levy", "given" : "Mitchell M.", "non-dropping-particle" : "", "parse-names" : false, "suffix" : "" }, { "dropping-particle" : "", "family" : "Marshall", "given" : "John C.", "non-dropping-particle" : "", "parse-names" : false, "suffix" : "" }, { "dropping-particle" : "", "family" : "Martin", "given" : "Greg S.", "non-dropping-particle" : "", "parse-names" : false, "suffix" : "" }, { "dropping-particle" : "", "family" : "Opal", "given" : "Steven M.", "non-dropping-particle" : "", "parse-names" : false, "suffix" : "" }, { "dropping-particle" : "", "family" : "Rubenfeld", "given" : "Gordon D.", "non-dropping-particle" : "", "parse-names" : false, "suffix" : "" }, { "dropping-particle" : "", "family" : "Poll", "given" : "Tom", "non-dropping-particle" : "van der", "parse-names" : false, "suffix" : "" }, { "dropping-particle" : "", "family" : "Vincent", "given" : "Jean-Louis", "non-dropping-particle" : "", "parse-names" : false, "suffix" : "" }, { "dropping-particle" : "", "family" : "Angus", "given" : "Derek C.", "non-dropping-particle" : "", "parse-names" : false, "suffix" : "" } ], "container-title" : "JAMA", "id" : "ITEM-1", "issue" : "8", "issued" : { "date-parts" : [ [ "2016", "2", "23" ] ] }, "page" : "801", "title" : "The Third International Consensus Definitions for Sepsis and Septic Shock (Sepsis-3)", "type" : "article-journal", "volume" : "315" }, "uris" : [ "http://www.mendeley.com/documents/?uuid=b548cef4-7444-4f2a-aefa-a4d52a985ec2" ] } ], "mendeley" : { "formattedCitation" : "(15)", "plainTextFormattedCitation" : "(15)", "previouslyFormattedCitation" : "(15)" }, "properties" : { "noteIndex" : 0 }, "schema" : "https://github.com/citation-style-language/schema/raw/master/csl-citation.json" }</w:instrText>
      </w:r>
      <w:r w:rsidR="00FA5767">
        <w:rPr>
          <w:rFonts w:asciiTheme="majorHAnsi" w:hAnsiTheme="majorHAnsi" w:cs="Arial"/>
        </w:rPr>
        <w:fldChar w:fldCharType="separate"/>
      </w:r>
      <w:r w:rsidR="003B7B92" w:rsidRPr="003B7B92">
        <w:rPr>
          <w:rFonts w:asciiTheme="majorHAnsi" w:hAnsiTheme="majorHAnsi" w:cs="Arial"/>
          <w:noProof/>
        </w:rPr>
        <w:t>(15)</w:t>
      </w:r>
      <w:r w:rsidR="00FA5767">
        <w:rPr>
          <w:rFonts w:asciiTheme="majorHAnsi" w:hAnsiTheme="majorHAnsi" w:cs="Arial"/>
        </w:rPr>
        <w:fldChar w:fldCharType="end"/>
      </w:r>
      <w:r w:rsidRPr="00E016F3">
        <w:rPr>
          <w:rFonts w:asciiTheme="majorHAnsi" w:hAnsiTheme="majorHAnsi" w:cs="Arial"/>
        </w:rPr>
        <w:t>.</w:t>
      </w:r>
    </w:p>
    <w:p w14:paraId="07435116" w14:textId="77777777" w:rsidR="00E016F3" w:rsidRPr="00E016F3" w:rsidRDefault="00E016F3" w:rsidP="00D8005E">
      <w:pPr>
        <w:pStyle w:val="NoSpacing"/>
        <w:spacing w:line="480" w:lineRule="auto"/>
        <w:rPr>
          <w:rFonts w:asciiTheme="majorHAnsi" w:hAnsiTheme="majorHAnsi" w:cs="Arial"/>
        </w:rPr>
      </w:pPr>
    </w:p>
    <w:p w14:paraId="3C8A7ED3" w14:textId="77777777" w:rsidR="00E016F3" w:rsidRPr="00E016F3" w:rsidRDefault="00E016F3" w:rsidP="00D8005E">
      <w:pPr>
        <w:spacing w:line="480" w:lineRule="auto"/>
        <w:rPr>
          <w:rFonts w:asciiTheme="majorHAnsi" w:hAnsiTheme="majorHAnsi" w:cs="Arial"/>
          <w:b/>
          <w:sz w:val="22"/>
          <w:szCs w:val="22"/>
        </w:rPr>
      </w:pPr>
      <w:r w:rsidRPr="00E016F3">
        <w:rPr>
          <w:rFonts w:asciiTheme="majorHAnsi" w:hAnsiTheme="majorHAnsi" w:cs="Arial"/>
          <w:b/>
          <w:sz w:val="22"/>
          <w:szCs w:val="22"/>
        </w:rPr>
        <w:t>Chest radiograph scoring</w:t>
      </w:r>
    </w:p>
    <w:p w14:paraId="28304995" w14:textId="34EC782F" w:rsidR="00E016F3" w:rsidRPr="00E016F3" w:rsidRDefault="00E016F3" w:rsidP="00D8005E">
      <w:pPr>
        <w:spacing w:line="480" w:lineRule="auto"/>
        <w:rPr>
          <w:rFonts w:asciiTheme="majorHAnsi" w:hAnsiTheme="majorHAnsi" w:cs="Arial"/>
          <w:b/>
          <w:sz w:val="22"/>
          <w:szCs w:val="22"/>
        </w:rPr>
      </w:pPr>
      <w:r w:rsidRPr="00E016F3">
        <w:rPr>
          <w:rFonts w:asciiTheme="majorHAnsi" w:hAnsiTheme="majorHAnsi" w:cs="Arial"/>
          <w:sz w:val="22"/>
          <w:szCs w:val="22"/>
        </w:rPr>
        <w:t>Chest radiographs were stored in the Picture Archiving and Communications System (PACS), and viewed in the D</w:t>
      </w:r>
      <w:r w:rsidR="00116998">
        <w:rPr>
          <w:rFonts w:asciiTheme="majorHAnsi" w:hAnsiTheme="majorHAnsi" w:cs="Arial"/>
          <w:sz w:val="22"/>
          <w:szCs w:val="22"/>
        </w:rPr>
        <w:t>igital Imaging and Communications in Medicine (D</w:t>
      </w:r>
      <w:r w:rsidRPr="00E016F3">
        <w:rPr>
          <w:rFonts w:asciiTheme="majorHAnsi" w:hAnsiTheme="majorHAnsi" w:cs="Arial"/>
          <w:sz w:val="22"/>
          <w:szCs w:val="22"/>
        </w:rPr>
        <w:t>ICOM</w:t>
      </w:r>
      <w:r w:rsidR="00116998">
        <w:rPr>
          <w:rFonts w:asciiTheme="majorHAnsi" w:hAnsiTheme="majorHAnsi" w:cs="Arial"/>
          <w:sz w:val="22"/>
          <w:szCs w:val="22"/>
        </w:rPr>
        <w:t>)</w:t>
      </w:r>
      <w:r w:rsidRPr="00E016F3">
        <w:rPr>
          <w:rFonts w:asciiTheme="majorHAnsi" w:hAnsiTheme="majorHAnsi" w:cs="Arial"/>
          <w:sz w:val="22"/>
          <w:szCs w:val="22"/>
        </w:rPr>
        <w:t xml:space="preserve"> format. Only the first image after initial assessment was scored. An experienced consultant radiologist score</w:t>
      </w:r>
      <w:r>
        <w:rPr>
          <w:rFonts w:asciiTheme="majorHAnsi" w:hAnsiTheme="majorHAnsi" w:cs="Arial"/>
          <w:sz w:val="22"/>
          <w:szCs w:val="22"/>
        </w:rPr>
        <w:t>d the radiographs (gold standard) using a previously published</w:t>
      </w:r>
      <w:r w:rsidRPr="00E016F3">
        <w:rPr>
          <w:rFonts w:asciiTheme="majorHAnsi" w:hAnsiTheme="majorHAnsi" w:cs="Arial"/>
          <w:sz w:val="22"/>
          <w:szCs w:val="22"/>
        </w:rPr>
        <w:t xml:space="preserve"> </w:t>
      </w:r>
      <w:r w:rsidR="00A93AF0">
        <w:rPr>
          <w:rFonts w:asciiTheme="majorHAnsi" w:hAnsiTheme="majorHAnsi" w:cs="Arial"/>
          <w:sz w:val="22"/>
          <w:szCs w:val="22"/>
        </w:rPr>
        <w:t xml:space="preserve">objective </w:t>
      </w:r>
      <w:r w:rsidRPr="00E016F3">
        <w:rPr>
          <w:rFonts w:asciiTheme="majorHAnsi" w:hAnsiTheme="majorHAnsi" w:cs="Arial"/>
          <w:sz w:val="22"/>
          <w:szCs w:val="22"/>
        </w:rPr>
        <w:t xml:space="preserve">5-point scoring system </w:t>
      </w:r>
      <w:r w:rsidR="00022B96">
        <w:rPr>
          <w:rFonts w:asciiTheme="majorHAnsi" w:hAnsiTheme="majorHAnsi" w:cs="Arial"/>
          <w:sz w:val="22"/>
          <w:szCs w:val="22"/>
        </w:rPr>
        <w:t>(See supplementary materia</w:t>
      </w:r>
      <w:r w:rsidR="00882105">
        <w:rPr>
          <w:rFonts w:asciiTheme="majorHAnsi" w:hAnsiTheme="majorHAnsi" w:cs="Arial"/>
          <w:sz w:val="22"/>
          <w:szCs w:val="22"/>
        </w:rPr>
        <w:t>l, Figure 1</w:t>
      </w:r>
      <w:r w:rsidR="00022B96">
        <w:rPr>
          <w:rFonts w:asciiTheme="majorHAnsi" w:hAnsiTheme="majorHAnsi" w:cs="Arial"/>
          <w:sz w:val="22"/>
          <w:szCs w:val="22"/>
        </w:rPr>
        <w:t xml:space="preserve"> </w:t>
      </w:r>
      <w:r w:rsidR="00FA5767">
        <w:rPr>
          <w:rFonts w:asciiTheme="majorHAnsi" w:hAnsiTheme="majorHAnsi" w:cs="Arial"/>
          <w:sz w:val="22"/>
          <w:szCs w:val="22"/>
        </w:rPr>
        <w:fldChar w:fldCharType="begin" w:fldLock="1"/>
      </w:r>
      <w:r w:rsidR="000D4EEE">
        <w:rPr>
          <w:rFonts w:asciiTheme="majorHAnsi" w:hAnsiTheme="majorHAnsi" w:cs="Arial"/>
          <w:sz w:val="22"/>
          <w:szCs w:val="22"/>
        </w:rPr>
        <w:instrText>ADDIN CSL_CITATION { "citationItems" : [ { "id" : "ITEM-1", "itemData" : { "DOI" : "10.1186/s12880-015-0103-y", "ISSN" : "1471-2342", "PMID" : "26714630", "abstract" : "BACKGROUND The term severe acute respiratory infection (SARI) encompasses a heterogeneous group of respiratory illnesses. Grading the severity of SARI is currently reliant on indirect disease severity measures such as respiratory and heart rate, and the need for oxygen or intensive care. With the lungs being the primary organ system involved in SARI, chest radiographs (CXRs) are potentially useful for describing disease severity. Our objective was to develop and validate a SARI CXR severity scoring system. METHODS We completed validation within an active SARI surveillance project, with SARI defined using the World Health Organization case definition of an acute respiratory infection with a history of fever, or measured fever of \u2265 38 \u00b0C; and cough; and with onset within the last 10 days; and requiring hospital admission. We randomly selected 250 SARI cases. Admission CXR findings were categorized as: 1 = normal; 2 = patchy atelectasis and/or hyperinflation and/or bronchial wall thickening; 3 = focal consolidation; 4 = multifocal consolidation; and 5 = diffuse alveolar changes. Initially, four radiologists scored CXRs independently. Subsequently, a pediatrician, physician, two residents, two medical students, and a research nurse independently scored CXR reports. Inter-observer reliability was determined using a weighted Kappa (\u03ba) for comparisons between radiologists; radiologists and clinicians; and clinicians. Agreement was defined as moderate (\u03ba &gt; 0.4-0.6), good (\u03ba &gt; 0.6-0.8) and very good (\u03ba &gt; 0.8-1.0). RESULTS Agreement between the two pediatric radiologists was very good (\u03ba = 0.83, 95% CI 0.65-1.00) and between the two adult radiologists was good (\u03ba = 0.75, 95% CI 0.57-0. 93). Agreement of the clinicians with the radiologists was moderate-to-good (pediatrician:\u03ba = 0.65; pediatric resident:\u03ba = 0.69; physician:\u03ba = 0.68; resident:\u03ba = 0.67; research nurse:\u03ba = 0.49, medical students: \u03ba = 0.53 and \u03ba = 0.56). Agreement between clinicians was good-to-very good (pediatrician vs. physician:\u03ba = 0.85; vs. pediatric resident:\u03ba = 0.81; vs. medicine resident:\u03ba = 0.76; vs. research nurse:\u03ba = 0.75; vs. medical students:\u03ba = 0.63 and 0.66). Following review of discrepant CXR report scores by clinician pairs, \u03ba values for radiologist-clinician agreement ranged from 0.59 to 0.70 and for clinician-clinician agreement from 0.97 to 0.99. CONCLUSIONS This five-point CXR scoring tool, suitable for use in poorly- and well-resourced settings and by clinicians of varying experi\u2026", "author" : [ { "dropping-particle" : "", "family" : "Taylor", "given" : "Emma", "non-dropping-particle" : "", "parse-names" : false, "suffix" : "" }, { "dropping-particle" : "", "family" : "Haven", "given" : "Kathryn", "non-dropping-particle" : "", "parse-names" : false, "suffix" : "" }, { "dropping-particle" : "", "family" : "Reed", "given" : "Peter", "non-dropping-particle" : "", "parse-names" : false, "suffix" : "" }, { "dropping-particle" : "", "family" : "Bissielo", "given" : "Ange", "non-dropping-particle" : "", "parse-names" : false, "suffix" : "" }, { "dropping-particle" : "", "family" : "Harvey", "given" : "Dave", "non-dropping-particle" : "", "parse-names" : false, "suffix" : "" }, { "dropping-particle" : "", "family" : "McArthur", "given" : "Colin", "non-dropping-particle" : "", "parse-names" : false, "suffix" : "" }, { "dropping-particle" : "", "family" : "Bringans", "given" : "Cameron", "non-dropping-particle" : "", "parse-names" : false, "suffix" : "" }, { "dropping-particle" : "", "family" : "Freundlich", "given" : "Simone", "non-dropping-particle" : "", "parse-names" : false, "suffix" : "" }, { "dropping-particle" : "", "family" : "Ingram", "given" : "R Joan H", "non-dropping-particle" : "", "parse-names" : false, "suffix" : "" }, { "dropping-particle" : "", "family" : "Perry", "given" : "David", "non-dropping-particle" : "", "parse-names" : false, "suffix" : "" }, { "dropping-particle" : "", "family" : "Wilson", "given" : "Francessa", "non-dropping-particle" : "", "parse-names" : false, "suffix" : "" }, { "dropping-particle" : "", "family" : "Milne", "given" : "David", "non-dropping-particle" : "", "parse-names" : false, "suffix" : "" }, { "dropping-particle" : "", "family" : "Modahl", "given" : "Lucy", "non-dropping-particle" : "", "parse-names" : false, "suffix" : "" }, { "dropping-particle" : "", "family" : "Huang", "given" : "Q Sue", "non-dropping-particle" : "", "parse-names" : false, "suffix" : "" }, { "dropping-particle" : "", "family" : "Gross", "given" : "Diane", "non-dropping-particle" : "", "parse-names" : false, "suffix" : "" }, { "dropping-particle" : "", "family" : "Widdowson", "given" : "Marc-Alain", "non-dropping-particle" : "", "parse-names" : false, "suffix" : "" }, { "dropping-particle" : "", "family" : "Grant", "given" : "Cameron C", "non-dropping-particle" : "", "parse-names" : false, "suffix" : "" }, { "dropping-particle" : "", "family" : "SHIVERS Investigation Team", "given" : "", "non-dropping-particle" : "", "parse-names" : false, "suffix" : "" } ], "container-title" : "BMC medical imaging", "id" : "ITEM-1", "issued" : { "date-parts" : [ [ "2015" ] ] }, "page" : "61", "title" : "A chest radiograph scoring system in patients with severe acute respiratory infection: a validation study.", "type" : "article-journal", "volume" : "15" }, "uris" : [ "http://www.mendeley.com/documents/?uuid=2d08b341-a2be-3b67-a2ae-a9d9cf9ecbd3" ] } ], "mendeley" : { "formattedCitation" : "(17)", "plainTextFormattedCitation" : "(17)", "previouslyFormattedCitation" : "(17)" }, "properties" : { "noteIndex" : 0 }, "schema" : "https://github.com/citation-style-language/schema/raw/master/csl-citation.json" }</w:instrText>
      </w:r>
      <w:r w:rsidR="00FA5767">
        <w:rPr>
          <w:rFonts w:asciiTheme="majorHAnsi" w:hAnsiTheme="majorHAnsi" w:cs="Arial"/>
          <w:sz w:val="22"/>
          <w:szCs w:val="22"/>
        </w:rPr>
        <w:fldChar w:fldCharType="separate"/>
      </w:r>
      <w:r w:rsidR="003B7B92" w:rsidRPr="003B7B92">
        <w:rPr>
          <w:rFonts w:asciiTheme="majorHAnsi" w:hAnsiTheme="majorHAnsi" w:cs="Arial"/>
          <w:noProof/>
          <w:sz w:val="22"/>
          <w:szCs w:val="22"/>
        </w:rPr>
        <w:t>(17)</w:t>
      </w:r>
      <w:r w:rsidR="00FA5767">
        <w:rPr>
          <w:rFonts w:asciiTheme="majorHAnsi" w:hAnsiTheme="majorHAnsi" w:cs="Arial"/>
          <w:sz w:val="22"/>
          <w:szCs w:val="22"/>
        </w:rPr>
        <w:fldChar w:fldCharType="end"/>
      </w:r>
      <w:r w:rsidR="00022B96">
        <w:rPr>
          <w:rFonts w:asciiTheme="majorHAnsi" w:hAnsiTheme="majorHAnsi" w:cs="Arial"/>
          <w:sz w:val="22"/>
          <w:szCs w:val="22"/>
        </w:rPr>
        <w:t>)</w:t>
      </w:r>
      <w:r w:rsidRPr="00E016F3">
        <w:rPr>
          <w:rFonts w:asciiTheme="majorHAnsi" w:hAnsiTheme="majorHAnsi" w:cs="Arial"/>
          <w:sz w:val="22"/>
          <w:szCs w:val="22"/>
        </w:rPr>
        <w:t>. A</w:t>
      </w:r>
      <w:r w:rsidR="0074542E">
        <w:rPr>
          <w:rFonts w:asciiTheme="majorHAnsi" w:hAnsiTheme="majorHAnsi" w:cs="Arial"/>
          <w:sz w:val="22"/>
          <w:szCs w:val="22"/>
        </w:rPr>
        <w:t xml:space="preserve"> </w:t>
      </w:r>
      <w:r>
        <w:rPr>
          <w:rFonts w:asciiTheme="majorHAnsi" w:hAnsiTheme="majorHAnsi" w:cs="Arial"/>
          <w:sz w:val="22"/>
          <w:szCs w:val="22"/>
        </w:rPr>
        <w:t>trainee</w:t>
      </w:r>
      <w:r w:rsidR="0074542E">
        <w:rPr>
          <w:rFonts w:asciiTheme="majorHAnsi" w:hAnsiTheme="majorHAnsi" w:cs="Arial"/>
          <w:sz w:val="22"/>
          <w:szCs w:val="22"/>
        </w:rPr>
        <w:t xml:space="preserve"> in acute care</w:t>
      </w:r>
      <w:r>
        <w:rPr>
          <w:rFonts w:asciiTheme="majorHAnsi" w:hAnsiTheme="majorHAnsi" w:cs="Arial"/>
          <w:sz w:val="22"/>
          <w:szCs w:val="22"/>
        </w:rPr>
        <w:t xml:space="preserve">, </w:t>
      </w:r>
      <w:r w:rsidR="0074542E">
        <w:rPr>
          <w:rFonts w:asciiTheme="majorHAnsi" w:hAnsiTheme="majorHAnsi" w:cs="Arial"/>
          <w:sz w:val="22"/>
          <w:szCs w:val="22"/>
        </w:rPr>
        <w:t>an I</w:t>
      </w:r>
      <w:r>
        <w:rPr>
          <w:rFonts w:asciiTheme="majorHAnsi" w:hAnsiTheme="majorHAnsi" w:cs="Arial"/>
          <w:sz w:val="22"/>
          <w:szCs w:val="22"/>
        </w:rPr>
        <w:t xml:space="preserve">ntensive </w:t>
      </w:r>
      <w:r w:rsidR="0074542E">
        <w:rPr>
          <w:rFonts w:asciiTheme="majorHAnsi" w:hAnsiTheme="majorHAnsi" w:cs="Arial"/>
          <w:sz w:val="22"/>
          <w:szCs w:val="22"/>
        </w:rPr>
        <w:t>C</w:t>
      </w:r>
      <w:r>
        <w:rPr>
          <w:rFonts w:asciiTheme="majorHAnsi" w:hAnsiTheme="majorHAnsi" w:cs="Arial"/>
          <w:sz w:val="22"/>
          <w:szCs w:val="22"/>
        </w:rPr>
        <w:t>are trainee</w:t>
      </w:r>
      <w:r w:rsidR="009E0136">
        <w:rPr>
          <w:rFonts w:asciiTheme="majorHAnsi" w:hAnsiTheme="majorHAnsi" w:cs="Arial"/>
          <w:sz w:val="22"/>
          <w:szCs w:val="22"/>
        </w:rPr>
        <w:t xml:space="preserve"> and a medical student</w:t>
      </w:r>
      <w:r>
        <w:rPr>
          <w:rFonts w:asciiTheme="majorHAnsi" w:hAnsiTheme="majorHAnsi" w:cs="Arial"/>
          <w:sz w:val="22"/>
          <w:szCs w:val="22"/>
        </w:rPr>
        <w:t xml:space="preserve"> </w:t>
      </w:r>
      <w:r w:rsidRPr="00E016F3">
        <w:rPr>
          <w:rFonts w:asciiTheme="majorHAnsi" w:hAnsiTheme="majorHAnsi" w:cs="Arial"/>
          <w:sz w:val="22"/>
          <w:szCs w:val="22"/>
        </w:rPr>
        <w:t xml:space="preserve">also independently reviewed and scored each chest radiograph. </w:t>
      </w:r>
      <w:r>
        <w:rPr>
          <w:rFonts w:asciiTheme="majorHAnsi" w:hAnsiTheme="majorHAnsi" w:cs="Arial"/>
          <w:sz w:val="22"/>
          <w:szCs w:val="22"/>
        </w:rPr>
        <w:t>We examined j</w:t>
      </w:r>
      <w:r w:rsidRPr="00E016F3">
        <w:rPr>
          <w:rFonts w:asciiTheme="majorHAnsi" w:hAnsiTheme="majorHAnsi" w:cs="Arial"/>
          <w:sz w:val="22"/>
          <w:szCs w:val="22"/>
        </w:rPr>
        <w:t>unior doc</w:t>
      </w:r>
      <w:r>
        <w:rPr>
          <w:rFonts w:asciiTheme="majorHAnsi" w:hAnsiTheme="majorHAnsi" w:cs="Arial"/>
          <w:sz w:val="22"/>
          <w:szCs w:val="22"/>
        </w:rPr>
        <w:t>tor interpret</w:t>
      </w:r>
      <w:r w:rsidR="00D21CD4">
        <w:rPr>
          <w:rFonts w:asciiTheme="majorHAnsi" w:hAnsiTheme="majorHAnsi" w:cs="Arial"/>
          <w:sz w:val="22"/>
          <w:szCs w:val="22"/>
        </w:rPr>
        <w:t xml:space="preserve">ation to determine agreement with gold standard </w:t>
      </w:r>
      <w:r w:rsidR="00C8054F">
        <w:rPr>
          <w:rFonts w:asciiTheme="majorHAnsi" w:hAnsiTheme="majorHAnsi" w:cs="Arial"/>
          <w:sz w:val="22"/>
          <w:szCs w:val="22"/>
        </w:rPr>
        <w:t xml:space="preserve">consultant radiologist </w:t>
      </w:r>
      <w:r w:rsidR="00D21CD4">
        <w:rPr>
          <w:rFonts w:asciiTheme="majorHAnsi" w:hAnsiTheme="majorHAnsi" w:cs="Arial"/>
          <w:sz w:val="22"/>
          <w:szCs w:val="22"/>
        </w:rPr>
        <w:t>reporting</w:t>
      </w:r>
      <w:r w:rsidRPr="00E016F3">
        <w:rPr>
          <w:rFonts w:asciiTheme="majorHAnsi" w:hAnsiTheme="majorHAnsi" w:cs="Arial"/>
          <w:sz w:val="22"/>
          <w:szCs w:val="22"/>
        </w:rPr>
        <w:t xml:space="preserve">. Each reviewer was blinded to the clinical history, patient outcome and radiologist report, but was permitted to comment on additional findings. Each member was given the opportunity to review scores </w:t>
      </w:r>
      <w:r w:rsidR="00D21CD4">
        <w:rPr>
          <w:rFonts w:asciiTheme="majorHAnsi" w:hAnsiTheme="majorHAnsi" w:cs="Arial"/>
          <w:sz w:val="22"/>
          <w:szCs w:val="22"/>
        </w:rPr>
        <w:t>that</w:t>
      </w:r>
      <w:r w:rsidRPr="00E016F3">
        <w:rPr>
          <w:rFonts w:asciiTheme="majorHAnsi" w:hAnsiTheme="majorHAnsi" w:cs="Arial"/>
          <w:sz w:val="22"/>
          <w:szCs w:val="22"/>
        </w:rPr>
        <w:t xml:space="preserve"> were ± 2 points different from any of the other scores. </w:t>
      </w:r>
    </w:p>
    <w:p w14:paraId="5F83A64E" w14:textId="77777777" w:rsidR="00D21CD4" w:rsidRDefault="00D21CD4" w:rsidP="00D8005E">
      <w:pPr>
        <w:spacing w:line="480" w:lineRule="auto"/>
        <w:rPr>
          <w:rFonts w:asciiTheme="majorHAnsi" w:hAnsiTheme="majorHAnsi" w:cs="Arial"/>
          <w:b/>
          <w:sz w:val="22"/>
          <w:szCs w:val="22"/>
        </w:rPr>
      </w:pPr>
    </w:p>
    <w:p w14:paraId="588FDB9F" w14:textId="77777777" w:rsidR="00E016F3" w:rsidRPr="00E016F3" w:rsidRDefault="00E016F3" w:rsidP="00D8005E">
      <w:pPr>
        <w:spacing w:line="480" w:lineRule="auto"/>
        <w:rPr>
          <w:rFonts w:asciiTheme="majorHAnsi" w:hAnsiTheme="majorHAnsi" w:cs="Arial"/>
          <w:b/>
          <w:sz w:val="22"/>
          <w:szCs w:val="22"/>
        </w:rPr>
      </w:pPr>
      <w:r w:rsidRPr="00E016F3">
        <w:rPr>
          <w:rFonts w:asciiTheme="majorHAnsi" w:hAnsiTheme="majorHAnsi" w:cs="Arial"/>
          <w:b/>
          <w:sz w:val="22"/>
          <w:szCs w:val="22"/>
        </w:rPr>
        <w:t>Statistical Analysis</w:t>
      </w:r>
    </w:p>
    <w:p w14:paraId="21E94213" w14:textId="77777777" w:rsidR="00E016F3" w:rsidRDefault="00E016F3" w:rsidP="00D8005E">
      <w:pPr>
        <w:spacing w:line="480" w:lineRule="auto"/>
        <w:rPr>
          <w:rFonts w:asciiTheme="majorHAnsi" w:hAnsiTheme="majorHAnsi" w:cs="Arial"/>
          <w:sz w:val="22"/>
          <w:szCs w:val="22"/>
        </w:rPr>
      </w:pPr>
      <w:r w:rsidRPr="00E016F3">
        <w:rPr>
          <w:rFonts w:asciiTheme="majorHAnsi" w:hAnsiTheme="majorHAnsi" w:cs="Arial"/>
          <w:sz w:val="22"/>
          <w:szCs w:val="22"/>
        </w:rPr>
        <w:t>The primary outcome of the study was the abi</w:t>
      </w:r>
      <w:r w:rsidR="00803061">
        <w:rPr>
          <w:rFonts w:asciiTheme="majorHAnsi" w:hAnsiTheme="majorHAnsi" w:cs="Arial"/>
          <w:sz w:val="22"/>
          <w:szCs w:val="22"/>
        </w:rPr>
        <w:t>lity of routine clinical investigations</w:t>
      </w:r>
      <w:r w:rsidRPr="00E016F3">
        <w:rPr>
          <w:rFonts w:asciiTheme="majorHAnsi" w:hAnsiTheme="majorHAnsi" w:cs="Arial"/>
          <w:sz w:val="22"/>
          <w:szCs w:val="22"/>
        </w:rPr>
        <w:t xml:space="preserve"> to predict </w:t>
      </w:r>
      <w:r w:rsidR="00803061">
        <w:rPr>
          <w:rFonts w:asciiTheme="majorHAnsi" w:hAnsiTheme="majorHAnsi" w:cs="Arial"/>
          <w:sz w:val="22"/>
          <w:szCs w:val="22"/>
        </w:rPr>
        <w:t>successful early discharge (definitions above)</w:t>
      </w:r>
      <w:r w:rsidRPr="00E016F3">
        <w:rPr>
          <w:rFonts w:asciiTheme="majorHAnsi" w:hAnsiTheme="majorHAnsi" w:cs="Arial"/>
          <w:sz w:val="22"/>
          <w:szCs w:val="22"/>
        </w:rPr>
        <w:t xml:space="preserve">. </w:t>
      </w:r>
      <w:r w:rsidR="00803061">
        <w:rPr>
          <w:rFonts w:asciiTheme="majorHAnsi" w:hAnsiTheme="majorHAnsi" w:cs="Arial"/>
          <w:sz w:val="22"/>
          <w:szCs w:val="22"/>
        </w:rPr>
        <w:t>Thi</w:t>
      </w:r>
      <w:r w:rsidR="0015370B">
        <w:rPr>
          <w:rFonts w:asciiTheme="majorHAnsi" w:hAnsiTheme="majorHAnsi" w:cs="Arial"/>
          <w:sz w:val="22"/>
          <w:szCs w:val="22"/>
        </w:rPr>
        <w:t>s included the previously described S</w:t>
      </w:r>
      <w:r w:rsidR="00BA1938">
        <w:rPr>
          <w:rFonts w:asciiTheme="majorHAnsi" w:hAnsiTheme="majorHAnsi" w:cs="Arial"/>
          <w:sz w:val="22"/>
          <w:szCs w:val="22"/>
        </w:rPr>
        <w:t>implified triage severity</w:t>
      </w:r>
      <w:r w:rsidR="0015370B">
        <w:rPr>
          <w:rFonts w:asciiTheme="majorHAnsi" w:hAnsiTheme="majorHAnsi" w:cs="Arial"/>
          <w:sz w:val="22"/>
          <w:szCs w:val="22"/>
        </w:rPr>
        <w:t xml:space="preserve"> score </w:t>
      </w:r>
      <w:r w:rsidR="00BA1938">
        <w:rPr>
          <w:rFonts w:asciiTheme="majorHAnsi" w:hAnsiTheme="majorHAnsi" w:cs="Arial"/>
          <w:sz w:val="22"/>
          <w:szCs w:val="22"/>
        </w:rPr>
        <w:t xml:space="preserve">(STSS) </w:t>
      </w:r>
      <w:r w:rsidR="00FA5767">
        <w:rPr>
          <w:rFonts w:asciiTheme="majorHAnsi" w:hAnsiTheme="majorHAnsi" w:cs="Arial"/>
          <w:sz w:val="22"/>
          <w:szCs w:val="22"/>
        </w:rPr>
        <w:fldChar w:fldCharType="begin" w:fldLock="1"/>
      </w:r>
      <w:r w:rsidR="000D4EEE">
        <w:rPr>
          <w:rFonts w:asciiTheme="majorHAnsi" w:hAnsiTheme="majorHAnsi" w:cs="Arial"/>
          <w:sz w:val="22"/>
          <w:szCs w:val="22"/>
        </w:rPr>
        <w:instrText>ADDIN CSL_CITATION { "citationItems" : [ { "id" : "ITEM-1", "itemData" : { "DOI" : "10.1097/01.CCM.0000262385.95721.CC", "ISSN" : "0090-3493", "PMID" : "17417099", "abstract" : "In the event of pandemic influenza, the number of critically ill victims will likely overwhelm critical care capacity. To date, no standardized method for allocating scarce resources when the number of patients in need far exceeds capacity exists. We sought to derive and validate such a triage scheme.", "author" : [ { "dropping-particle" : "", "family" : "Talmor", "given" : "Daniel", "non-dropping-particle" : "", "parse-names" : false, "suffix" : "" }, { "dropping-particle" : "", "family" : "Jones", "given" : "Alan E", "non-dropping-particle" : "", "parse-names" : false, "suffix" : "" }, { "dropping-particle" : "", "family" : "Rubinson", "given" : "Lewis", "non-dropping-particle" : "", "parse-names" : false, "suffix" : "" }, { "dropping-particle" : "", "family" : "Howell", "given" : "Michael D", "non-dropping-particle" : "", "parse-names" : false, "suffix" : "" }, { "dropping-particle" : "", "family" : "Shapiro", "given" : "Nathan I", "non-dropping-particle" : "", "parse-names" : false, "suffix" : "" } ], "container-title" : "Critical care medicine", "id" : "ITEM-1", "issue" : "5", "issued" : { "date-parts" : [ [ "2007", "5" ] ] }, "page" : "1251-6", "title" : "Simple triage scoring system predicting death and the need for critical care resources for use during epidemics.", "type" : "article-journal", "volume" : "35" }, "uris" : [ "http://www.mendeley.com/documents/?uuid=bcfa7205-64c2-4767-b629-47ff62c031ab" ] } ], "mendeley" : { "formattedCitation" : "(18)", "plainTextFormattedCitation" : "(18)", "previouslyFormattedCitation" : "(18)" }, "properties" : { "noteIndex" : 0 }, "schema" : "https://github.com/citation-style-language/schema/raw/master/csl-citation.json" }</w:instrText>
      </w:r>
      <w:r w:rsidR="00FA5767">
        <w:rPr>
          <w:rFonts w:asciiTheme="majorHAnsi" w:hAnsiTheme="majorHAnsi" w:cs="Arial"/>
          <w:sz w:val="22"/>
          <w:szCs w:val="22"/>
        </w:rPr>
        <w:fldChar w:fldCharType="separate"/>
      </w:r>
      <w:r w:rsidR="003B7B92" w:rsidRPr="003B7B92">
        <w:rPr>
          <w:rFonts w:asciiTheme="majorHAnsi" w:hAnsiTheme="majorHAnsi" w:cs="Arial"/>
          <w:noProof/>
          <w:sz w:val="22"/>
          <w:szCs w:val="22"/>
        </w:rPr>
        <w:t>(18)</w:t>
      </w:r>
      <w:r w:rsidR="00FA5767">
        <w:rPr>
          <w:rFonts w:asciiTheme="majorHAnsi" w:hAnsiTheme="majorHAnsi" w:cs="Arial"/>
          <w:sz w:val="22"/>
          <w:szCs w:val="22"/>
        </w:rPr>
        <w:fldChar w:fldCharType="end"/>
      </w:r>
      <w:r w:rsidR="00710958">
        <w:rPr>
          <w:rFonts w:asciiTheme="majorHAnsi" w:hAnsiTheme="majorHAnsi" w:cs="Arial"/>
          <w:sz w:val="22"/>
          <w:szCs w:val="22"/>
        </w:rPr>
        <w:t xml:space="preserve">, </w:t>
      </w:r>
      <w:r w:rsidR="00803061">
        <w:rPr>
          <w:rFonts w:asciiTheme="majorHAnsi" w:hAnsiTheme="majorHAnsi" w:cs="Arial"/>
          <w:sz w:val="22"/>
          <w:szCs w:val="22"/>
        </w:rPr>
        <w:t>in addition</w:t>
      </w:r>
      <w:r w:rsidR="0015370B">
        <w:rPr>
          <w:rFonts w:asciiTheme="majorHAnsi" w:hAnsiTheme="majorHAnsi" w:cs="Arial"/>
          <w:sz w:val="22"/>
          <w:szCs w:val="22"/>
        </w:rPr>
        <w:t xml:space="preserve"> to a</w:t>
      </w:r>
      <w:r w:rsidR="0008533C">
        <w:rPr>
          <w:rFonts w:asciiTheme="majorHAnsi" w:hAnsiTheme="majorHAnsi" w:cs="Arial"/>
          <w:sz w:val="22"/>
          <w:szCs w:val="22"/>
        </w:rPr>
        <w:t xml:space="preserve"> 5-point chest x-ray quantification</w:t>
      </w:r>
      <w:r w:rsidR="00803061">
        <w:rPr>
          <w:rFonts w:asciiTheme="majorHAnsi" w:hAnsiTheme="majorHAnsi" w:cs="Arial"/>
          <w:sz w:val="22"/>
          <w:szCs w:val="22"/>
        </w:rPr>
        <w:t xml:space="preserve"> score</w:t>
      </w:r>
      <w:r w:rsidR="0015370B">
        <w:rPr>
          <w:rFonts w:asciiTheme="majorHAnsi" w:hAnsiTheme="majorHAnsi" w:cs="Arial"/>
          <w:sz w:val="22"/>
          <w:szCs w:val="22"/>
        </w:rPr>
        <w:t xml:space="preserve"> </w:t>
      </w:r>
      <w:r w:rsidR="00FA5767">
        <w:rPr>
          <w:rFonts w:asciiTheme="majorHAnsi" w:hAnsiTheme="majorHAnsi" w:cs="Arial"/>
          <w:sz w:val="22"/>
          <w:szCs w:val="22"/>
        </w:rPr>
        <w:fldChar w:fldCharType="begin" w:fldLock="1"/>
      </w:r>
      <w:r w:rsidR="000D4EEE">
        <w:rPr>
          <w:rFonts w:asciiTheme="majorHAnsi" w:hAnsiTheme="majorHAnsi" w:cs="Arial"/>
          <w:sz w:val="22"/>
          <w:szCs w:val="22"/>
        </w:rPr>
        <w:instrText>ADDIN CSL_CITATION { "citationItems" : [ { "id" : "ITEM-1", "itemData" : { "DOI" : "10.1186/s12880-015-0103-y", "ISSN" : "1471-2342", "PMID" : "26714630", "abstract" : "BACKGROUND The term severe acute respiratory infection (SARI) encompasses a heterogeneous group of respiratory illnesses. Grading the severity of SARI is currently reliant on indirect disease severity measures such as respiratory and heart rate, and the need for oxygen or intensive care. With the lungs being the primary organ system involved in SARI, chest radiographs (CXRs) are potentially useful for describing disease severity. Our objective was to develop and validate a SARI CXR severity scoring system. METHODS We completed validation within an active SARI surveillance project, with SARI defined using the World Health Organization case definition of an acute respiratory infection with a history of fever, or measured fever of \u2265 38 \u00b0C; and cough; and with onset within the last 10 days; and requiring hospital admission. We randomly selected 250 SARI cases. Admission CXR findings were categorized as: 1 = normal; 2 = patchy atelectasis and/or hyperinflation and/or bronchial wall thickening; 3 = focal consolidation; 4 = multifocal consolidation; and 5 = diffuse alveolar changes. Initially, four radiologists scored CXRs independently. Subsequently, a pediatrician, physician, two residents, two medical students, and a research nurse independently scored CXR reports. Inter-observer reliability was determined using a weighted Kappa (\u03ba) for comparisons between radiologists; radiologists and clinicians; and clinicians. Agreement was defined as moderate (\u03ba &gt; 0.4-0.6), good (\u03ba &gt; 0.6-0.8) and very good (\u03ba &gt; 0.8-1.0). RESULTS Agreement between the two pediatric radiologists was very good (\u03ba = 0.83, 95% CI 0.65-1.00) and between the two adult radiologists was good (\u03ba = 0.75, 95% CI 0.57-0. 93). Agreement of the clinicians with the radiologists was moderate-to-good (pediatrician:\u03ba = 0.65; pediatric resident:\u03ba = 0.69; physician:\u03ba = 0.68; resident:\u03ba = 0.67; research nurse:\u03ba = 0.49, medical students: \u03ba = 0.53 and \u03ba = 0.56). Agreement between clinicians was good-to-very good (pediatrician vs. physician:\u03ba = 0.85; vs. pediatric resident:\u03ba = 0.81; vs. medicine resident:\u03ba = 0.76; vs. research nurse:\u03ba = 0.75; vs. medical students:\u03ba = 0.63 and 0.66). Following review of discrepant CXR report scores by clinician pairs, \u03ba values for radiologist-clinician agreement ranged from 0.59 to 0.70 and for clinician-clinician agreement from 0.97 to 0.99. CONCLUSIONS This five-point CXR scoring tool, suitable for use in poorly- and well-resourced settings and by clinicians of varying experi\u2026", "author" : [ { "dropping-particle" : "", "family" : "Taylor", "given" : "Emma", "non-dropping-particle" : "", "parse-names" : false, "suffix" : "" }, { "dropping-particle" : "", "family" : "Haven", "given" : "Kathryn", "non-dropping-particle" : "", "parse-names" : false, "suffix" : "" }, { "dropping-particle" : "", "family" : "Reed", "given" : "Peter", "non-dropping-particle" : "", "parse-names" : false, "suffix" : "" }, { "dropping-particle" : "", "family" : "Bissielo", "given" : "Ange", "non-dropping-particle" : "", "parse-names" : false, "suffix" : "" }, { "dropping-particle" : "", "family" : "Harvey", "given" : "Dave", "non-dropping-particle" : "", "parse-names" : false, "suffix" : "" }, { "dropping-particle" : "", "family" : "McArthur", "given" : "Colin", "non-dropping-particle" : "", "parse-names" : false, "suffix" : "" }, { "dropping-particle" : "", "family" : "Bringans", "given" : "Cameron", "non-dropping-particle" : "", "parse-names" : false, "suffix" : "" }, { "dropping-particle" : "", "family" : "Freundlich", "given" : "Simone", "non-dropping-particle" : "", "parse-names" : false, "suffix" : "" }, { "dropping-particle" : "", "family" : "Ingram", "given" : "R Joan H", "non-dropping-particle" : "", "parse-names" : false, "suffix" : "" }, { "dropping-particle" : "", "family" : "Perry", "given" : "David", "non-dropping-particle" : "", "parse-names" : false, "suffix" : "" }, { "dropping-particle" : "", "family" : "Wilson", "given" : "Francessa", "non-dropping-particle" : "", "parse-names" : false, "suffix" : "" }, { "dropping-particle" : "", "family" : "Milne", "given" : "David", "non-dropping-particle" : "", "parse-names" : false, "suffix" : "" }, { "dropping-particle" : "", "family" : "Modahl", "given" : "Lucy", "non-dropping-particle" : "", "parse-names" : false, "suffix" : "" }, { "dropping-particle" : "", "family" : "Huang", "given" : "Q Sue", "non-dropping-particle" : "", "parse-names" : false, "suffix" : "" }, { "dropping-particle" : "", "family" : "Gross", "given" : "Diane", "non-dropping-particle" : "", "parse-names" : false, "suffix" : "" }, { "dropping-particle" : "", "family" : "Widdowson", "given" : "Marc-Alain", "non-dropping-particle" : "", "parse-names" : false, "suffix" : "" }, { "dropping-particle" : "", "family" : "Grant", "given" : "Cameron C", "non-dropping-particle" : "", "parse-names" : false, "suffix" : "" }, { "dropping-particle" : "", "family" : "SHIVERS Investigation Team", "given" : "", "non-dropping-particle" : "", "parse-names" : false, "suffix" : "" } ], "container-title" : "BMC medical imaging", "id" : "ITEM-1", "issued" : { "date-parts" : [ [ "2015" ] ] }, "page" : "61", "title" : "A chest radiograph scoring system in patients with severe acute respiratory infection: a validation study.", "type" : "article-journal", "volume" : "15" }, "uris" : [ "http://www.mendeley.com/documents/?uuid=2d08b341-a2be-3b67-a2ae-a9d9cf9ecbd3" ] } ], "mendeley" : { "formattedCitation" : "(17)", "plainTextFormattedCitation" : "(17)", "previouslyFormattedCitation" : "(17)" }, "properties" : { "noteIndex" : 0 }, "schema" : "https://github.com/citation-style-language/schema/raw/master/csl-citation.json" }</w:instrText>
      </w:r>
      <w:r w:rsidR="00FA5767">
        <w:rPr>
          <w:rFonts w:asciiTheme="majorHAnsi" w:hAnsiTheme="majorHAnsi" w:cs="Arial"/>
          <w:sz w:val="22"/>
          <w:szCs w:val="22"/>
        </w:rPr>
        <w:fldChar w:fldCharType="separate"/>
      </w:r>
      <w:r w:rsidR="003B7B92" w:rsidRPr="003B7B92">
        <w:rPr>
          <w:rFonts w:asciiTheme="majorHAnsi" w:hAnsiTheme="majorHAnsi" w:cs="Arial"/>
          <w:noProof/>
          <w:sz w:val="22"/>
          <w:szCs w:val="22"/>
        </w:rPr>
        <w:t>(17)</w:t>
      </w:r>
      <w:r w:rsidR="00FA5767">
        <w:rPr>
          <w:rFonts w:asciiTheme="majorHAnsi" w:hAnsiTheme="majorHAnsi" w:cs="Arial"/>
          <w:sz w:val="22"/>
          <w:szCs w:val="22"/>
        </w:rPr>
        <w:fldChar w:fldCharType="end"/>
      </w:r>
      <w:r w:rsidRPr="00E016F3">
        <w:rPr>
          <w:rFonts w:asciiTheme="majorHAnsi" w:hAnsiTheme="majorHAnsi" w:cs="Arial"/>
          <w:sz w:val="22"/>
          <w:szCs w:val="22"/>
        </w:rPr>
        <w:t xml:space="preserve"> and </w:t>
      </w:r>
      <w:r w:rsidR="0008533C">
        <w:rPr>
          <w:rFonts w:asciiTheme="majorHAnsi" w:hAnsiTheme="majorHAnsi" w:cs="Arial"/>
          <w:sz w:val="22"/>
          <w:szCs w:val="22"/>
        </w:rPr>
        <w:t>the ‘</w:t>
      </w:r>
      <w:r w:rsidR="00BA1938">
        <w:rPr>
          <w:rFonts w:asciiTheme="majorHAnsi" w:hAnsiTheme="majorHAnsi" w:cs="Arial"/>
          <w:sz w:val="22"/>
          <w:szCs w:val="22"/>
        </w:rPr>
        <w:t>quick</w:t>
      </w:r>
      <w:r w:rsidR="0008533C">
        <w:rPr>
          <w:rFonts w:asciiTheme="majorHAnsi" w:hAnsiTheme="majorHAnsi" w:cs="Arial"/>
          <w:sz w:val="22"/>
          <w:szCs w:val="22"/>
        </w:rPr>
        <w:t>’</w:t>
      </w:r>
      <w:r w:rsidR="00BA1938">
        <w:rPr>
          <w:rFonts w:asciiTheme="majorHAnsi" w:hAnsiTheme="majorHAnsi" w:cs="Arial"/>
          <w:sz w:val="22"/>
          <w:szCs w:val="22"/>
        </w:rPr>
        <w:t xml:space="preserve"> sequential organ failure assessment (</w:t>
      </w:r>
      <w:proofErr w:type="spellStart"/>
      <w:r w:rsidRPr="00E016F3">
        <w:rPr>
          <w:rFonts w:asciiTheme="majorHAnsi" w:hAnsiTheme="majorHAnsi" w:cs="Arial"/>
          <w:sz w:val="22"/>
          <w:szCs w:val="22"/>
        </w:rPr>
        <w:t>qSOFA</w:t>
      </w:r>
      <w:proofErr w:type="spellEnd"/>
      <w:r w:rsidR="00BA1938">
        <w:rPr>
          <w:rFonts w:asciiTheme="majorHAnsi" w:hAnsiTheme="majorHAnsi" w:cs="Arial"/>
          <w:sz w:val="22"/>
          <w:szCs w:val="22"/>
        </w:rPr>
        <w:t>)</w:t>
      </w:r>
      <w:r w:rsidR="0008533C">
        <w:rPr>
          <w:rFonts w:asciiTheme="majorHAnsi" w:hAnsiTheme="majorHAnsi" w:cs="Arial"/>
          <w:sz w:val="22"/>
          <w:szCs w:val="22"/>
        </w:rPr>
        <w:t xml:space="preserve"> score</w:t>
      </w:r>
      <w:r w:rsidR="0015370B">
        <w:rPr>
          <w:rFonts w:asciiTheme="majorHAnsi" w:hAnsiTheme="majorHAnsi" w:cs="Arial"/>
          <w:sz w:val="22"/>
          <w:szCs w:val="22"/>
        </w:rPr>
        <w:t xml:space="preserve"> </w:t>
      </w:r>
      <w:r w:rsidR="00FA5767">
        <w:rPr>
          <w:rFonts w:asciiTheme="majorHAnsi" w:hAnsiTheme="majorHAnsi" w:cs="Arial"/>
          <w:sz w:val="22"/>
          <w:szCs w:val="22"/>
        </w:rPr>
        <w:fldChar w:fldCharType="begin" w:fldLock="1"/>
      </w:r>
      <w:r w:rsidR="000D4EEE">
        <w:rPr>
          <w:rFonts w:asciiTheme="majorHAnsi" w:hAnsiTheme="majorHAnsi" w:cs="Arial"/>
          <w:sz w:val="22"/>
          <w:szCs w:val="22"/>
        </w:rPr>
        <w:instrText>ADDIN CSL_CITATION { "citationItems" : [ { "id" : "ITEM-1", "itemData" : { "DOI" : "10.1001/jama.2016.0287", "ISSN" : "0098-7484", "PMID" : "26903338", "abstract" : "Importance: Definitions of sepsis and septic shock were last revised in 2001. Considerable advances have since been made into the pathobiology (changes in organ function, morphology, cell biology, biochemistry, immunology, and circulation), management, and epidemiology of sepsis, suggesting the need for reexamination.\n\nObjective: To evaluate and, as needed, update definitions for sepsis and septic shock.\n\nProcess: A task force (n\u2009=\u200919) with expertise in sepsis pathobiology, clinical trials, and epidemiology was convened by the Society of Critical Care Medicine and the European Society of Intensive Care Medicine. Definitions and clinical criteria were generated through meetings, Delphi processes, analysis of electronic health record databases, and voting, followed by circulation to international professional societies, requesting peer review and endorsement (by 31 societies listed in the Acknowledgment).\n\nKey Findings From Evidence Synthesis: Limitations of previous definitions included an excessive focus on inflammation, the misleading model that sepsis follows a continuum through severe sepsis to shock, and inadequate specificity and sensitivity of the systemic inflammatory response syndrome (SIRS) criteria. Multiple definitions and terminologies are currently in use for sepsis, septic shock, and organ dysfunction, leading to discrepancies in reported incidence and observed mortality. The task force concluded the term severe sepsis was redundant.\n\nRecommendations: Sepsis should be defined as life-threatening organ dysfunction caused by a dysregulated host response to infection. For clinical operationalization, organ dysfunction can be represented by an increase in the Sequential [Sepsis-related] Organ Failure Assessment (SOFA) score of 2 points or more, which is associated with an in-hospital mortality greater than 10%. Septic shock should be defined as a subset of sepsis in which particularly profound circulatory, cellular, and metabolic abnormalities are associated with a greater risk of mortality than with sepsis alone. Patients with septic shock can be clinically identified by a vasopressor requirement to maintain a mean arterial pressure of 65 mm Hg or greater and serum lactate level greater than 2 mmol/L (&gt;18 mg/dL) in the absence of hypovolemia. This combination is associated with hospital mortality rates greater than 40%. In out-of-hospital, emergency department, or general hospital ward settings, adult patients with suspected infection can be \u2026", "author" : [ { "dropping-particle" : "", "family" : "Singer", "given" : "Mervyn", "non-dropping-particle" : "", "parse-names" : false, "suffix" : "" }, { "dropping-particle" : "", "family" : "Deutschman", "given" : "Clifford S.", "non-dropping-particle" : "", "parse-names" : false, "suffix" : "" }, { "dropping-particle" : "", "family" : "Seymour", "given" : "Christopher Warren", "non-dropping-particle" : "", "parse-names" : false, "suffix" : "" }, { "dropping-particle" : "", "family" : "Shankar-Hari", "given" : "Manu", "non-dropping-particle" : "", "parse-names" : false, "suffix" : "" }, { "dropping-particle" : "", "family" : "Annane", "given" : "Djillali", "non-dropping-particle" : "", "parse-names" : false, "suffix" : "" }, { "dropping-particle" : "", "family" : "Bauer", "given" : "Michael", "non-dropping-particle" : "", "parse-names" : false, "suffix" : "" }, { "dropping-particle" : "", "family" : "Bellomo", "given" : "Rinaldo", "non-dropping-particle" : "", "parse-names" : false, "suffix" : "" }, { "dropping-particle" : "", "family" : "Bernard", "given" : "Gordon R.", "non-dropping-particle" : "", "parse-names" : false, "suffix" : "" }, { "dropping-particle" : "", "family" : "Chiche", "given" : "Jean-Daniel", "non-dropping-particle" : "", "parse-names" : false, "suffix" : "" }, { "dropping-particle" : "", "family" : "Coopersmith", "given" : "Craig M.", "non-dropping-particle" : "", "parse-names" : false, "suffix" : "" }, { "dropping-particle" : "", "family" : "Hotchkiss", "given" : "Richard S.", "non-dropping-particle" : "", "parse-names" : false, "suffix" : "" }, { "dropping-particle" : "", "family" : "Levy", "given" : "Mitchell M.", "non-dropping-particle" : "", "parse-names" : false, "suffix" : "" }, { "dropping-particle" : "", "family" : "Marshall", "given" : "John C.", "non-dropping-particle" : "", "parse-names" : false, "suffix" : "" }, { "dropping-particle" : "", "family" : "Martin", "given" : "Greg S.", "non-dropping-particle" : "", "parse-names" : false, "suffix" : "" }, { "dropping-particle" : "", "family" : "Opal", "given" : "Steven M.", "non-dropping-particle" : "", "parse-names" : false, "suffix" : "" }, { "dropping-particle" : "", "family" : "Rubenfeld", "given" : "Gordon D.", "non-dropping-particle" : "", "parse-names" : false, "suffix" : "" }, { "dropping-particle" : "", "family" : "Poll", "given" : "Tom", "non-dropping-particle" : "van der", "parse-names" : false, "suffix" : "" }, { "dropping-particle" : "", "family" : "Vincent", "given" : "Jean-Louis", "non-dropping-particle" : "", "parse-names" : false, "suffix" : "" }, { "dropping-particle" : "", "family" : "Angus", "given" : "Derek C.", "non-dropping-particle" : "", "parse-names" : false, "suffix" : "" } ], "container-title" : "JAMA", "id" : "ITEM-1", "issue" : "8", "issued" : { "date-parts" : [ [ "2016", "2", "23" ] ] }, "page" : "801", "title" : "The Third International Consensus Definitions for Sepsis and Septic Shock (Sepsis-3)", "type" : "article-journal", "volume" : "315" }, "uris" : [ "http://www.mendeley.com/documents/?uuid=b548cef4-7444-4f2a-aefa-a4d52a985ec2" ] } ], "mendeley" : { "formattedCitation" : "(15)", "plainTextFormattedCitation" : "(15)", "previouslyFormattedCitation" : "(15)" }, "properties" : { "noteIndex" : 0 }, "schema" : "https://github.com/citation-style-language/schema/raw/master/csl-citation.json" }</w:instrText>
      </w:r>
      <w:r w:rsidR="00FA5767">
        <w:rPr>
          <w:rFonts w:asciiTheme="majorHAnsi" w:hAnsiTheme="majorHAnsi" w:cs="Arial"/>
          <w:sz w:val="22"/>
          <w:szCs w:val="22"/>
        </w:rPr>
        <w:fldChar w:fldCharType="separate"/>
      </w:r>
      <w:r w:rsidR="003B7B92" w:rsidRPr="003B7B92">
        <w:rPr>
          <w:rFonts w:asciiTheme="majorHAnsi" w:hAnsiTheme="majorHAnsi" w:cs="Arial"/>
          <w:noProof/>
          <w:sz w:val="22"/>
          <w:szCs w:val="22"/>
        </w:rPr>
        <w:t>(15)</w:t>
      </w:r>
      <w:r w:rsidR="00FA5767">
        <w:rPr>
          <w:rFonts w:asciiTheme="majorHAnsi" w:hAnsiTheme="majorHAnsi" w:cs="Arial"/>
          <w:sz w:val="22"/>
          <w:szCs w:val="22"/>
        </w:rPr>
        <w:fldChar w:fldCharType="end"/>
      </w:r>
      <w:r w:rsidRPr="00E016F3">
        <w:rPr>
          <w:rFonts w:asciiTheme="majorHAnsi" w:hAnsiTheme="majorHAnsi" w:cs="Arial"/>
          <w:sz w:val="22"/>
          <w:szCs w:val="22"/>
        </w:rPr>
        <w:t>.</w:t>
      </w:r>
      <w:r w:rsidR="00CE2726">
        <w:rPr>
          <w:rFonts w:ascii="Calibri" w:hAnsi="Calibri"/>
          <w:sz w:val="22"/>
          <w:szCs w:val="22"/>
          <w:lang w:val="en-US"/>
        </w:rPr>
        <w:t xml:space="preserve"> </w:t>
      </w:r>
      <w:r w:rsidR="00CE2726" w:rsidRPr="00D053D0">
        <w:rPr>
          <w:rFonts w:ascii="Calibri" w:hAnsi="Calibri"/>
          <w:sz w:val="22"/>
          <w:szCs w:val="22"/>
          <w:lang w:val="en-US"/>
        </w:rPr>
        <w:t xml:space="preserve">All data was analysed using </w:t>
      </w:r>
      <w:r w:rsidR="00CE2726">
        <w:rPr>
          <w:rFonts w:ascii="Calibri" w:hAnsi="Calibri"/>
          <w:sz w:val="22"/>
          <w:szCs w:val="22"/>
          <w:lang w:val="en-US"/>
        </w:rPr>
        <w:t>STATA 13.1 (</w:t>
      </w:r>
      <w:proofErr w:type="spellStart"/>
      <w:r w:rsidR="00CE2726" w:rsidRPr="00D053D0">
        <w:rPr>
          <w:rFonts w:ascii="Calibri" w:hAnsi="Calibri"/>
          <w:sz w:val="22"/>
          <w:szCs w:val="22"/>
          <w:lang w:val="en-US"/>
        </w:rPr>
        <w:t>Statacorp</w:t>
      </w:r>
      <w:proofErr w:type="spellEnd"/>
      <w:r w:rsidR="00CE2726">
        <w:rPr>
          <w:rFonts w:asciiTheme="majorHAnsi" w:hAnsiTheme="majorHAnsi" w:cs="Arial"/>
          <w:sz w:val="22"/>
          <w:szCs w:val="22"/>
        </w:rPr>
        <w:t>. 2013</w:t>
      </w:r>
      <w:r w:rsidR="00A23AC0">
        <w:rPr>
          <w:rFonts w:asciiTheme="majorHAnsi" w:hAnsiTheme="majorHAnsi" w:cs="Arial"/>
          <w:sz w:val="22"/>
          <w:szCs w:val="22"/>
        </w:rPr>
        <w:t>, US</w:t>
      </w:r>
      <w:r w:rsidR="00CE2726">
        <w:rPr>
          <w:rFonts w:asciiTheme="majorHAnsi" w:hAnsiTheme="majorHAnsi" w:cs="Arial"/>
          <w:sz w:val="22"/>
          <w:szCs w:val="22"/>
        </w:rPr>
        <w:t>).</w:t>
      </w:r>
      <w:r w:rsidRPr="00E016F3">
        <w:rPr>
          <w:rFonts w:asciiTheme="majorHAnsi" w:hAnsiTheme="majorHAnsi" w:cs="Arial"/>
          <w:sz w:val="22"/>
          <w:szCs w:val="22"/>
        </w:rPr>
        <w:t xml:space="preserve"> The outcome variable was binary – early </w:t>
      </w:r>
      <w:r w:rsidR="00803061">
        <w:rPr>
          <w:rFonts w:asciiTheme="majorHAnsi" w:hAnsiTheme="majorHAnsi" w:cs="Arial"/>
          <w:sz w:val="22"/>
          <w:szCs w:val="22"/>
        </w:rPr>
        <w:t xml:space="preserve">successful </w:t>
      </w:r>
      <w:r w:rsidRPr="00E016F3">
        <w:rPr>
          <w:rFonts w:asciiTheme="majorHAnsi" w:hAnsiTheme="majorHAnsi" w:cs="Arial"/>
          <w:sz w:val="22"/>
          <w:szCs w:val="22"/>
        </w:rPr>
        <w:t>discharge or admission</w:t>
      </w:r>
      <w:r w:rsidR="00803061">
        <w:rPr>
          <w:rFonts w:asciiTheme="majorHAnsi" w:hAnsiTheme="majorHAnsi" w:cs="Arial"/>
          <w:sz w:val="22"/>
          <w:szCs w:val="22"/>
        </w:rPr>
        <w:t xml:space="preserve"> to hospital</w:t>
      </w:r>
      <w:r w:rsidRPr="00E016F3">
        <w:rPr>
          <w:rFonts w:asciiTheme="majorHAnsi" w:hAnsiTheme="majorHAnsi" w:cs="Arial"/>
          <w:sz w:val="22"/>
          <w:szCs w:val="22"/>
        </w:rPr>
        <w:t>. Clinical variables were checked for normal distribution</w:t>
      </w:r>
      <w:r w:rsidR="00803061">
        <w:rPr>
          <w:rFonts w:asciiTheme="majorHAnsi" w:hAnsiTheme="majorHAnsi" w:cs="Arial"/>
          <w:sz w:val="22"/>
          <w:szCs w:val="22"/>
        </w:rPr>
        <w:t xml:space="preserve"> with Q-Q plots and the Shapiro-</w:t>
      </w:r>
      <w:proofErr w:type="spellStart"/>
      <w:r w:rsidRPr="00E016F3">
        <w:rPr>
          <w:rFonts w:asciiTheme="majorHAnsi" w:hAnsiTheme="majorHAnsi" w:cs="Arial"/>
          <w:sz w:val="22"/>
          <w:szCs w:val="22"/>
        </w:rPr>
        <w:t>Wilk</w:t>
      </w:r>
      <w:proofErr w:type="spellEnd"/>
      <w:r w:rsidRPr="00E016F3">
        <w:rPr>
          <w:rFonts w:asciiTheme="majorHAnsi" w:hAnsiTheme="majorHAnsi" w:cs="Arial"/>
          <w:sz w:val="22"/>
          <w:szCs w:val="22"/>
        </w:rPr>
        <w:t xml:space="preserve"> test. For normally distributed data, differences between the two patient groups were</w:t>
      </w:r>
      <w:r w:rsidR="00803061">
        <w:rPr>
          <w:rFonts w:asciiTheme="majorHAnsi" w:hAnsiTheme="majorHAnsi" w:cs="Arial"/>
          <w:sz w:val="22"/>
          <w:szCs w:val="22"/>
        </w:rPr>
        <w:t xml:space="preserve"> assessed with the independent t</w:t>
      </w:r>
      <w:r w:rsidRPr="00E016F3">
        <w:rPr>
          <w:rFonts w:asciiTheme="majorHAnsi" w:hAnsiTheme="majorHAnsi" w:cs="Arial"/>
          <w:sz w:val="22"/>
          <w:szCs w:val="22"/>
        </w:rPr>
        <w:t xml:space="preserve">-test and data presented as means with standard deviation. For non-normally distributed data, </w:t>
      </w:r>
      <w:r w:rsidRPr="00E016F3">
        <w:rPr>
          <w:rFonts w:asciiTheme="majorHAnsi" w:hAnsiTheme="majorHAnsi" w:cs="Arial"/>
          <w:sz w:val="22"/>
          <w:szCs w:val="22"/>
        </w:rPr>
        <w:lastRenderedPageBreak/>
        <w:t>differences between groups were assessed with the Mann-Whitney U Test and data depicted as medians with interquartile ranges.</w:t>
      </w:r>
      <w:r w:rsidR="00F013FA">
        <w:rPr>
          <w:rFonts w:asciiTheme="majorHAnsi" w:hAnsiTheme="majorHAnsi" w:cs="Arial"/>
          <w:sz w:val="22"/>
          <w:szCs w:val="22"/>
        </w:rPr>
        <w:t xml:space="preserve"> </w:t>
      </w:r>
      <w:r w:rsidR="00F013FA" w:rsidRPr="00E016F3">
        <w:rPr>
          <w:rFonts w:asciiTheme="majorHAnsi" w:hAnsiTheme="majorHAnsi" w:cs="Arial"/>
          <w:sz w:val="22"/>
          <w:szCs w:val="22"/>
        </w:rPr>
        <w:t>To assess the predictive capacity of the chest radiograph scoring system, dummy variables were created for the gold standard chest radiograph scores, which were then placed into a logistic regression model. Differences in scores were calculated between reviewers and a weighted Cohen’s kappa statistic (</w:t>
      </w:r>
      <w:r w:rsidR="00F013FA" w:rsidRPr="00E016F3">
        <w:rPr>
          <w:rFonts w:asciiTheme="majorHAnsi" w:hAnsiTheme="majorHAnsi" w:cs="Arial"/>
          <w:sz w:val="22"/>
          <w:szCs w:val="22"/>
        </w:rPr>
        <w:t>) employed for int</w:t>
      </w:r>
      <w:r w:rsidR="00F013FA">
        <w:rPr>
          <w:rFonts w:asciiTheme="majorHAnsi" w:hAnsiTheme="majorHAnsi" w:cs="Arial"/>
          <w:sz w:val="22"/>
          <w:szCs w:val="22"/>
        </w:rPr>
        <w:t>er-</w:t>
      </w:r>
      <w:proofErr w:type="spellStart"/>
      <w:r w:rsidR="00F013FA">
        <w:rPr>
          <w:rFonts w:asciiTheme="majorHAnsi" w:hAnsiTheme="majorHAnsi" w:cs="Arial"/>
          <w:sz w:val="22"/>
          <w:szCs w:val="22"/>
        </w:rPr>
        <w:t>rater</w:t>
      </w:r>
      <w:proofErr w:type="spellEnd"/>
      <w:r w:rsidR="00F013FA">
        <w:rPr>
          <w:rFonts w:asciiTheme="majorHAnsi" w:hAnsiTheme="majorHAnsi" w:cs="Arial"/>
          <w:sz w:val="22"/>
          <w:szCs w:val="22"/>
        </w:rPr>
        <w:t xml:space="preserve"> reliability. Agreement</w:t>
      </w:r>
      <w:r w:rsidR="00F013FA" w:rsidRPr="00E016F3">
        <w:rPr>
          <w:rFonts w:asciiTheme="majorHAnsi" w:hAnsiTheme="majorHAnsi" w:cs="Arial"/>
          <w:sz w:val="22"/>
          <w:szCs w:val="22"/>
        </w:rPr>
        <w:t xml:space="preserve"> was defined by weighted kappa scores of 0.8-1.0 as ‘very good’, 0.6-0.8 as ‘good’, 0.4-0.6 as ‘moderate’, 0.2-0.4 as ‘fair’ and below 0.2 as poor </w:t>
      </w:r>
      <w:r w:rsidR="00FA5767">
        <w:rPr>
          <w:rFonts w:asciiTheme="majorHAnsi" w:hAnsiTheme="majorHAnsi" w:cs="Arial"/>
          <w:sz w:val="22"/>
          <w:szCs w:val="22"/>
        </w:rPr>
        <w:fldChar w:fldCharType="begin" w:fldLock="1"/>
      </w:r>
      <w:r w:rsidR="000D4EEE">
        <w:rPr>
          <w:rFonts w:asciiTheme="majorHAnsi" w:hAnsiTheme="majorHAnsi" w:cs="Arial"/>
          <w:sz w:val="22"/>
          <w:szCs w:val="22"/>
        </w:rPr>
        <w:instrText>ADDIN CSL_CITATION { "citationItems" : [ { "id" : "ITEM-1", "itemData" : { "DOI" : "10.1186/s12880-015-0103-y", "ISSN" : "1471-2342", "PMID" : "26714630", "abstract" : "BACKGROUND The term severe acute respiratory infection (SARI) encompasses a heterogeneous group of respiratory illnesses. Grading the severity of SARI is currently reliant on indirect disease severity measures such as respiratory and heart rate, and the need for oxygen or intensive care. With the lungs being the primary organ system involved in SARI, chest radiographs (CXRs) are potentially useful for describing disease severity. Our objective was to develop and validate a SARI CXR severity scoring system. METHODS We completed validation within an active SARI surveillance project, with SARI defined using the World Health Organization case definition of an acute respiratory infection with a history of fever, or measured fever of \u2265 38 \u00b0C; and cough; and with onset within the last 10 days; and requiring hospital admission. We randomly selected 250 SARI cases. Admission CXR findings were categorized as: 1 = normal; 2 = patchy atelectasis and/or hyperinflation and/or bronchial wall thickening; 3 = focal consolidation; 4 = multifocal consolidation; and 5 = diffuse alveolar changes. Initially, four radiologists scored CXRs independently. Subsequently, a pediatrician, physician, two residents, two medical students, and a research nurse independently scored CXR reports. Inter-observer reliability was determined using a weighted Kappa (\u03ba) for comparisons between radiologists; radiologists and clinicians; and clinicians. Agreement was defined as moderate (\u03ba &gt; 0.4-0.6), good (\u03ba &gt; 0.6-0.8) and very good (\u03ba &gt; 0.8-1.0). RESULTS Agreement between the two pediatric radiologists was very good (\u03ba = 0.83, 95% CI 0.65-1.00) and between the two adult radiologists was good (\u03ba = 0.75, 95% CI 0.57-0. 93). Agreement of the clinicians with the radiologists was moderate-to-good (pediatrician:\u03ba = 0.65; pediatric resident:\u03ba = 0.69; physician:\u03ba = 0.68; resident:\u03ba = 0.67; research nurse:\u03ba = 0.49, medical students: \u03ba = 0.53 and \u03ba = 0.56). Agreement between clinicians was good-to-very good (pediatrician vs. physician:\u03ba = 0.85; vs. pediatric resident:\u03ba = 0.81; vs. medicine resident:\u03ba = 0.76; vs. research nurse:\u03ba = 0.75; vs. medical students:\u03ba = 0.63 and 0.66). Following review of discrepant CXR report scores by clinician pairs, \u03ba values for radiologist-clinician agreement ranged from 0.59 to 0.70 and for clinician-clinician agreement from 0.97 to 0.99. CONCLUSIONS This five-point CXR scoring tool, suitable for use in poorly- and well-resourced settings and by clinicians of varying experi\u2026", "author" : [ { "dropping-particle" : "", "family" : "Taylor", "given" : "Emma", "non-dropping-particle" : "", "parse-names" : false, "suffix" : "" }, { "dropping-particle" : "", "family" : "Haven", "given" : "Kathryn", "non-dropping-particle" : "", "parse-names" : false, "suffix" : "" }, { "dropping-particle" : "", "family" : "Reed", "given" : "Peter", "non-dropping-particle" : "", "parse-names" : false, "suffix" : "" }, { "dropping-particle" : "", "family" : "Bissielo", "given" : "Ange", "non-dropping-particle" : "", "parse-names" : false, "suffix" : "" }, { "dropping-particle" : "", "family" : "Harvey", "given" : "Dave", "non-dropping-particle" : "", "parse-names" : false, "suffix" : "" }, { "dropping-particle" : "", "family" : "McArthur", "given" : "Colin", "non-dropping-particle" : "", "parse-names" : false, "suffix" : "" }, { "dropping-particle" : "", "family" : "Bringans", "given" : "Cameron", "non-dropping-particle" : "", "parse-names" : false, "suffix" : "" }, { "dropping-particle" : "", "family" : "Freundlich", "given" : "Simone", "non-dropping-particle" : "", "parse-names" : false, "suffix" : "" }, { "dropping-particle" : "", "family" : "Ingram", "given" : "R Joan H", "non-dropping-particle" : "", "parse-names" : false, "suffix" : "" }, { "dropping-particle" : "", "family" : "Perry", "given" : "David", "non-dropping-particle" : "", "parse-names" : false, "suffix" : "" }, { "dropping-particle" : "", "family" : "Wilson", "given" : "Francessa", "non-dropping-particle" : "", "parse-names" : false, "suffix" : "" }, { "dropping-particle" : "", "family" : "Milne", "given" : "David", "non-dropping-particle" : "", "parse-names" : false, "suffix" : "" }, { "dropping-particle" : "", "family" : "Modahl", "given" : "Lucy", "non-dropping-particle" : "", "parse-names" : false, "suffix" : "" }, { "dropping-particle" : "", "family" : "Huang", "given" : "Q Sue", "non-dropping-particle" : "", "parse-names" : false, "suffix" : "" }, { "dropping-particle" : "", "family" : "Gross", "given" : "Diane", "non-dropping-particle" : "", "parse-names" : false, "suffix" : "" }, { "dropping-particle" : "", "family" : "Widdowson", "given" : "Marc-Alain", "non-dropping-particle" : "", "parse-names" : false, "suffix" : "" }, { "dropping-particle" : "", "family" : "Grant", "given" : "Cameron C", "non-dropping-particle" : "", "parse-names" : false, "suffix" : "" }, { "dropping-particle" : "", "family" : "SHIVERS Investigation Team", "given" : "", "non-dropping-particle" : "", "parse-names" : false, "suffix" : "" } ], "container-title" : "BMC medical imaging", "id" : "ITEM-1", "issued" : { "date-parts" : [ [ "2015" ] ] }, "page" : "61", "title" : "A chest radiograph scoring system in patients with severe acute respiratory infection: a validation study.", "type" : "article-journal", "volume" : "15" }, "uris" : [ "http://www.mendeley.com/documents/?uuid=2d08b341-a2be-3b67-a2ae-a9d9cf9ecbd3" ] } ], "mendeley" : { "formattedCitation" : "(17)", "plainTextFormattedCitation" : "(17)", "previouslyFormattedCitation" : "(17)" }, "properties" : { "noteIndex" : 0 }, "schema" : "https://github.com/citation-style-language/schema/raw/master/csl-citation.json" }</w:instrText>
      </w:r>
      <w:r w:rsidR="00FA5767">
        <w:rPr>
          <w:rFonts w:asciiTheme="majorHAnsi" w:hAnsiTheme="majorHAnsi" w:cs="Arial"/>
          <w:sz w:val="22"/>
          <w:szCs w:val="22"/>
        </w:rPr>
        <w:fldChar w:fldCharType="separate"/>
      </w:r>
      <w:r w:rsidR="003B7B92" w:rsidRPr="003B7B92">
        <w:rPr>
          <w:rFonts w:asciiTheme="majorHAnsi" w:hAnsiTheme="majorHAnsi" w:cs="Arial"/>
          <w:noProof/>
          <w:sz w:val="22"/>
          <w:szCs w:val="22"/>
        </w:rPr>
        <w:t>(17)</w:t>
      </w:r>
      <w:r w:rsidR="00FA5767">
        <w:rPr>
          <w:rFonts w:asciiTheme="majorHAnsi" w:hAnsiTheme="majorHAnsi" w:cs="Arial"/>
          <w:sz w:val="22"/>
          <w:szCs w:val="22"/>
        </w:rPr>
        <w:fldChar w:fldCharType="end"/>
      </w:r>
      <w:r w:rsidR="00F013FA">
        <w:rPr>
          <w:rFonts w:asciiTheme="majorHAnsi" w:hAnsiTheme="majorHAnsi" w:cs="Arial"/>
          <w:sz w:val="22"/>
          <w:szCs w:val="22"/>
        </w:rPr>
        <w:t>. Univariate and subsequently, m</w:t>
      </w:r>
      <w:r w:rsidR="00F013FA" w:rsidRPr="00E016F3">
        <w:rPr>
          <w:rFonts w:asciiTheme="majorHAnsi" w:hAnsiTheme="majorHAnsi" w:cs="Arial"/>
          <w:sz w:val="22"/>
          <w:szCs w:val="22"/>
        </w:rPr>
        <w:t>ulti</w:t>
      </w:r>
      <w:r w:rsidR="00F013FA">
        <w:rPr>
          <w:rFonts w:asciiTheme="majorHAnsi" w:hAnsiTheme="majorHAnsi" w:cs="Arial"/>
          <w:sz w:val="22"/>
          <w:szCs w:val="22"/>
        </w:rPr>
        <w:t>varia</w:t>
      </w:r>
      <w:r w:rsidR="00A23AC0">
        <w:rPr>
          <w:rFonts w:asciiTheme="majorHAnsi" w:hAnsiTheme="majorHAnsi" w:cs="Arial"/>
          <w:sz w:val="22"/>
          <w:szCs w:val="22"/>
        </w:rPr>
        <w:t xml:space="preserve">ble </w:t>
      </w:r>
      <w:r w:rsidR="00F013FA">
        <w:rPr>
          <w:rFonts w:asciiTheme="majorHAnsi" w:hAnsiTheme="majorHAnsi" w:cs="Arial"/>
          <w:sz w:val="22"/>
          <w:szCs w:val="22"/>
        </w:rPr>
        <w:t>logistic regression were</w:t>
      </w:r>
      <w:r w:rsidR="00F013FA" w:rsidRPr="00E016F3">
        <w:rPr>
          <w:rFonts w:asciiTheme="majorHAnsi" w:hAnsiTheme="majorHAnsi" w:cs="Arial"/>
          <w:sz w:val="22"/>
          <w:szCs w:val="22"/>
        </w:rPr>
        <w:t xml:space="preserve"> utilised to fit a predictive algorithm.</w:t>
      </w:r>
      <w:r w:rsidR="00F013FA">
        <w:rPr>
          <w:rFonts w:asciiTheme="majorHAnsi" w:hAnsiTheme="majorHAnsi" w:cs="Arial"/>
          <w:sz w:val="22"/>
          <w:szCs w:val="22"/>
        </w:rPr>
        <w:t xml:space="preserve"> The multivariate model was constructed by backward elimination of non-significant variables (p&gt;0.1).</w:t>
      </w:r>
      <w:r w:rsidR="003936CB">
        <w:rPr>
          <w:rFonts w:asciiTheme="majorHAnsi" w:hAnsiTheme="majorHAnsi" w:cs="Arial"/>
          <w:sz w:val="22"/>
          <w:szCs w:val="22"/>
        </w:rPr>
        <w:t xml:space="preserve"> Subsequently, a univariate variable (estimated P/F ratio minus CRP</w:t>
      </w:r>
      <w:r w:rsidR="00A93480">
        <w:rPr>
          <w:rFonts w:asciiTheme="majorHAnsi" w:hAnsiTheme="majorHAnsi" w:cs="Arial"/>
          <w:sz w:val="22"/>
          <w:szCs w:val="22"/>
        </w:rPr>
        <w:t>, no weighting</w:t>
      </w:r>
      <w:r w:rsidR="003936CB">
        <w:rPr>
          <w:rFonts w:asciiTheme="majorHAnsi" w:hAnsiTheme="majorHAnsi" w:cs="Arial"/>
          <w:sz w:val="22"/>
          <w:szCs w:val="22"/>
        </w:rPr>
        <w:t>) was created</w:t>
      </w:r>
      <w:r w:rsidR="00A93480">
        <w:rPr>
          <w:rFonts w:asciiTheme="majorHAnsi" w:hAnsiTheme="majorHAnsi" w:cs="Arial"/>
          <w:sz w:val="22"/>
          <w:szCs w:val="22"/>
        </w:rPr>
        <w:t xml:space="preserve">, </w:t>
      </w:r>
      <w:r w:rsidR="003936CB">
        <w:rPr>
          <w:rFonts w:asciiTheme="majorHAnsi" w:hAnsiTheme="majorHAnsi" w:cs="Arial"/>
          <w:sz w:val="22"/>
          <w:szCs w:val="22"/>
        </w:rPr>
        <w:t>a r</w:t>
      </w:r>
      <w:r w:rsidRPr="00E016F3">
        <w:rPr>
          <w:rFonts w:asciiTheme="majorHAnsi" w:hAnsiTheme="majorHAnsi" w:cs="Arial"/>
          <w:sz w:val="22"/>
          <w:szCs w:val="22"/>
        </w:rPr>
        <w:t>eceiver operating characteristic (ROC) curve</w:t>
      </w:r>
      <w:r w:rsidR="003936CB">
        <w:rPr>
          <w:rFonts w:asciiTheme="majorHAnsi" w:hAnsiTheme="majorHAnsi" w:cs="Arial"/>
          <w:sz w:val="22"/>
          <w:szCs w:val="22"/>
        </w:rPr>
        <w:t xml:space="preserve"> </w:t>
      </w:r>
      <w:r w:rsidRPr="00E016F3">
        <w:rPr>
          <w:rFonts w:asciiTheme="majorHAnsi" w:hAnsiTheme="majorHAnsi" w:cs="Arial"/>
          <w:sz w:val="22"/>
          <w:szCs w:val="22"/>
        </w:rPr>
        <w:t xml:space="preserve">calculated </w:t>
      </w:r>
      <w:r w:rsidR="00F013FA">
        <w:rPr>
          <w:rFonts w:asciiTheme="majorHAnsi" w:hAnsiTheme="majorHAnsi" w:cs="Arial"/>
          <w:sz w:val="22"/>
          <w:szCs w:val="22"/>
        </w:rPr>
        <w:t>and</w:t>
      </w:r>
      <w:r w:rsidR="00803061">
        <w:rPr>
          <w:rFonts w:asciiTheme="majorHAnsi" w:hAnsiTheme="majorHAnsi" w:cs="Arial"/>
          <w:sz w:val="22"/>
          <w:szCs w:val="22"/>
        </w:rPr>
        <w:t xml:space="preserve"> </w:t>
      </w:r>
      <w:r w:rsidRPr="00E016F3">
        <w:rPr>
          <w:rFonts w:asciiTheme="majorHAnsi" w:hAnsiTheme="majorHAnsi" w:cs="Arial"/>
          <w:sz w:val="22"/>
          <w:szCs w:val="22"/>
        </w:rPr>
        <w:t xml:space="preserve">cut-off values </w:t>
      </w:r>
      <w:r w:rsidR="00A93480">
        <w:rPr>
          <w:rFonts w:asciiTheme="majorHAnsi" w:hAnsiTheme="majorHAnsi" w:cs="Arial"/>
          <w:sz w:val="22"/>
          <w:szCs w:val="22"/>
        </w:rPr>
        <w:t xml:space="preserve">determined </w:t>
      </w:r>
      <w:r w:rsidR="003936CB">
        <w:rPr>
          <w:rFonts w:asciiTheme="majorHAnsi" w:hAnsiTheme="majorHAnsi" w:cs="Arial"/>
          <w:sz w:val="22"/>
          <w:szCs w:val="22"/>
        </w:rPr>
        <w:t>for</w:t>
      </w:r>
      <w:r w:rsidRPr="00E016F3">
        <w:rPr>
          <w:rFonts w:asciiTheme="majorHAnsi" w:hAnsiTheme="majorHAnsi" w:cs="Arial"/>
          <w:sz w:val="22"/>
          <w:szCs w:val="22"/>
        </w:rPr>
        <w:t xml:space="preserve"> sensitivity and specificity. Area under the curve (AUC) values of 0.7, 0.8 and 0.9 were defined as ‘fair’ ‘good’ and ‘excellent’ predictors respectively</w:t>
      </w:r>
      <w:r w:rsidR="00803061">
        <w:rPr>
          <w:rFonts w:asciiTheme="majorHAnsi" w:hAnsiTheme="majorHAnsi" w:cs="Arial"/>
          <w:sz w:val="22"/>
          <w:szCs w:val="22"/>
        </w:rPr>
        <w:t xml:space="preserve"> </w:t>
      </w:r>
      <w:r w:rsidR="00FA5767">
        <w:rPr>
          <w:rFonts w:asciiTheme="majorHAnsi" w:hAnsiTheme="majorHAnsi" w:cs="Arial"/>
          <w:sz w:val="22"/>
          <w:szCs w:val="22"/>
        </w:rPr>
        <w:fldChar w:fldCharType="begin" w:fldLock="1"/>
      </w:r>
      <w:r w:rsidR="000D4EEE">
        <w:rPr>
          <w:rFonts w:asciiTheme="majorHAnsi" w:hAnsiTheme="majorHAnsi" w:cs="Arial"/>
          <w:sz w:val="22"/>
          <w:szCs w:val="22"/>
        </w:rPr>
        <w:instrText>ADDIN CSL_CITATION { "citationItems" : [ { "id" : "ITEM-1", "itemData" : { "ISSN" : "0167-5877", "PMID" : "10802332", "abstract" : "We review the principles and practical application of receiver-operating characteristic (ROC) analysis for diagnostic tests. ROC analysis can be used for diagnostic tests with outcomes measured on ordinal, interval or ratio scales. The dependence of the diagnostic sensitivity and specificity on the selected cut-off value must be considered for a full test evaluation and for test comparison. All possible combinations of sensitivity and specificity that can be achieved by changing the test's cut-off value can be summarised using a single parameter; the area under the ROC curve. The ROC technique can also be used to optimise cut-off values with regard to a given prevalence in the target population and cost ratio of false-positive and false-negative results. However, plots of optimisation parameters against the selected cut-off value provide a more-direct method for cut-off selection. Candidates for such optimisation parameters are linear combinations of sensitivity and specificity (with weights selected to reflect the decision-making situation), odds ratio, chance-corrected measures of association (e. g. kappa) and likelihood ratios. We discuss some recent developments in ROC analysis, including meta-analysis of diagnostic tests, correlated ROC curves (paired-sample design) and chance- and prevalence-corrected ROC curves.", "author" : [ { "dropping-particle" : "", "family" : "Greiner", "given" : "M", "non-dropping-particle" : "", "parse-names" : false, "suffix" : "" }, { "dropping-particle" : "", "family" : "Pfeiffer", "given" : "D", "non-dropping-particle" : "", "parse-names" : false, "suffix" : "" }, { "dropping-particle" : "", "family" : "Smith", "given" : "R D", "non-dropping-particle" : "", "parse-names" : false, "suffix" : "" } ], "container-title" : "Preventive veterinary medicine", "id" : "ITEM-1", "issue" : "1-2", "issued" : { "date-parts" : [ [ "2000", "5", "30" ] ] }, "page" : "23-41", "title" : "Principles and practical application of the receiver-operating characteristic analysis for diagnostic tests.", "type" : "article-journal", "volume" : "45" }, "uris" : [ "http://www.mendeley.com/documents/?uuid=fbd1f050-2955-4a4e-8858-04ef807217b8" ] } ], "mendeley" : { "formattedCitation" : "(19)", "plainTextFormattedCitation" : "(19)", "previouslyFormattedCitation" : "(19)" }, "properties" : { "noteIndex" : 0 }, "schema" : "https://github.com/citation-style-language/schema/raw/master/csl-citation.json" }</w:instrText>
      </w:r>
      <w:r w:rsidR="00FA5767">
        <w:rPr>
          <w:rFonts w:asciiTheme="majorHAnsi" w:hAnsiTheme="majorHAnsi" w:cs="Arial"/>
          <w:sz w:val="22"/>
          <w:szCs w:val="22"/>
        </w:rPr>
        <w:fldChar w:fldCharType="separate"/>
      </w:r>
      <w:r w:rsidR="003B7B92" w:rsidRPr="003B7B92">
        <w:rPr>
          <w:rFonts w:asciiTheme="majorHAnsi" w:hAnsiTheme="majorHAnsi" w:cs="Arial"/>
          <w:noProof/>
          <w:sz w:val="22"/>
          <w:szCs w:val="22"/>
        </w:rPr>
        <w:t>(19)</w:t>
      </w:r>
      <w:r w:rsidR="00FA5767">
        <w:rPr>
          <w:rFonts w:asciiTheme="majorHAnsi" w:hAnsiTheme="majorHAnsi" w:cs="Arial"/>
          <w:sz w:val="22"/>
          <w:szCs w:val="22"/>
        </w:rPr>
        <w:fldChar w:fldCharType="end"/>
      </w:r>
      <w:r w:rsidRPr="00E016F3">
        <w:rPr>
          <w:rFonts w:asciiTheme="majorHAnsi" w:hAnsiTheme="majorHAnsi" w:cs="Arial"/>
          <w:sz w:val="22"/>
          <w:szCs w:val="22"/>
        </w:rPr>
        <w:t>.</w:t>
      </w:r>
    </w:p>
    <w:p w14:paraId="0C98882E" w14:textId="77777777" w:rsidR="00261B13" w:rsidRDefault="00261B13" w:rsidP="00D8005E">
      <w:pPr>
        <w:spacing w:line="480" w:lineRule="auto"/>
        <w:rPr>
          <w:rFonts w:asciiTheme="majorHAnsi" w:hAnsiTheme="majorHAnsi" w:cs="Arial"/>
          <w:sz w:val="22"/>
          <w:szCs w:val="22"/>
        </w:rPr>
      </w:pPr>
    </w:p>
    <w:p w14:paraId="52AD05CE" w14:textId="77777777" w:rsidR="00261B13" w:rsidRDefault="00261B13" w:rsidP="00D8005E">
      <w:pPr>
        <w:spacing w:line="480" w:lineRule="auto"/>
        <w:rPr>
          <w:rFonts w:asciiTheme="majorHAnsi" w:hAnsiTheme="majorHAnsi" w:cs="Arial"/>
          <w:sz w:val="22"/>
          <w:szCs w:val="22"/>
        </w:rPr>
      </w:pPr>
      <w:r>
        <w:rPr>
          <w:rFonts w:asciiTheme="majorHAnsi" w:hAnsiTheme="majorHAnsi" w:cs="Arial"/>
          <w:sz w:val="22"/>
          <w:szCs w:val="22"/>
        </w:rPr>
        <w:br w:type="page"/>
      </w:r>
    </w:p>
    <w:p w14:paraId="52C49969" w14:textId="77777777" w:rsidR="00261B13" w:rsidRDefault="00261B13" w:rsidP="00D8005E">
      <w:pPr>
        <w:spacing w:line="480" w:lineRule="auto"/>
        <w:rPr>
          <w:rFonts w:asciiTheme="majorHAnsi" w:hAnsiTheme="majorHAnsi" w:cs="Arial"/>
          <w:b/>
          <w:sz w:val="22"/>
          <w:szCs w:val="22"/>
          <w:u w:val="single"/>
        </w:rPr>
      </w:pPr>
      <w:r>
        <w:rPr>
          <w:rFonts w:asciiTheme="majorHAnsi" w:hAnsiTheme="majorHAnsi" w:cs="Arial"/>
          <w:b/>
          <w:sz w:val="22"/>
          <w:szCs w:val="22"/>
          <w:u w:val="single"/>
        </w:rPr>
        <w:lastRenderedPageBreak/>
        <w:t>Results</w:t>
      </w:r>
    </w:p>
    <w:p w14:paraId="5B3E285C" w14:textId="77777777" w:rsidR="00704576" w:rsidRDefault="00704576" w:rsidP="00D8005E">
      <w:pPr>
        <w:spacing w:line="480" w:lineRule="auto"/>
        <w:rPr>
          <w:rFonts w:asciiTheme="majorHAnsi" w:hAnsiTheme="majorHAnsi" w:cs="Arial"/>
          <w:sz w:val="22"/>
          <w:szCs w:val="22"/>
        </w:rPr>
      </w:pPr>
    </w:p>
    <w:p w14:paraId="7A9F3BBE" w14:textId="77777777" w:rsidR="005974AB" w:rsidRDefault="00264903" w:rsidP="002E390D">
      <w:pPr>
        <w:spacing w:line="480" w:lineRule="auto"/>
        <w:rPr>
          <w:rFonts w:asciiTheme="majorHAnsi" w:hAnsiTheme="majorHAnsi" w:cs="Arial"/>
          <w:sz w:val="22"/>
          <w:szCs w:val="22"/>
        </w:rPr>
      </w:pPr>
      <w:r>
        <w:rPr>
          <w:rFonts w:asciiTheme="majorHAnsi" w:hAnsiTheme="majorHAnsi" w:cs="Arial"/>
          <w:sz w:val="22"/>
          <w:szCs w:val="22"/>
        </w:rPr>
        <w:t>Eighty-six patients were included in the study.</w:t>
      </w:r>
      <w:r w:rsidR="008C4693">
        <w:rPr>
          <w:rFonts w:asciiTheme="majorHAnsi" w:hAnsiTheme="majorHAnsi" w:cs="Arial"/>
          <w:sz w:val="22"/>
          <w:szCs w:val="22"/>
        </w:rPr>
        <w:t xml:space="preserve"> Sixteen</w:t>
      </w:r>
      <w:r w:rsidR="00D8005E">
        <w:rPr>
          <w:rFonts w:asciiTheme="majorHAnsi" w:hAnsiTheme="majorHAnsi" w:cs="Arial"/>
          <w:sz w:val="22"/>
          <w:szCs w:val="22"/>
        </w:rPr>
        <w:t xml:space="preserve"> patients were discharged within 24 hours of presentation and none required readmission within 7 days. Sixty-one patients presented to the accident and em</w:t>
      </w:r>
      <w:r w:rsidR="005F3838">
        <w:rPr>
          <w:rFonts w:asciiTheme="majorHAnsi" w:hAnsiTheme="majorHAnsi" w:cs="Arial"/>
          <w:sz w:val="22"/>
          <w:szCs w:val="22"/>
        </w:rPr>
        <w:t>ergenc</w:t>
      </w:r>
      <w:r w:rsidR="00A23AC0">
        <w:rPr>
          <w:rFonts w:asciiTheme="majorHAnsi" w:hAnsiTheme="majorHAnsi" w:cs="Arial"/>
          <w:sz w:val="22"/>
          <w:szCs w:val="22"/>
        </w:rPr>
        <w:t>y</w:t>
      </w:r>
      <w:r w:rsidR="005F3838">
        <w:rPr>
          <w:rFonts w:asciiTheme="majorHAnsi" w:hAnsiTheme="majorHAnsi" w:cs="Arial"/>
          <w:sz w:val="22"/>
          <w:szCs w:val="22"/>
        </w:rPr>
        <w:t xml:space="preserve"> department, 24 were</w:t>
      </w:r>
      <w:r w:rsidR="00D8005E">
        <w:rPr>
          <w:rFonts w:asciiTheme="majorHAnsi" w:hAnsiTheme="majorHAnsi" w:cs="Arial"/>
          <w:sz w:val="22"/>
          <w:szCs w:val="22"/>
        </w:rPr>
        <w:t xml:space="preserve"> directly</w:t>
      </w:r>
      <w:r w:rsidR="005F3838">
        <w:rPr>
          <w:rFonts w:asciiTheme="majorHAnsi" w:hAnsiTheme="majorHAnsi" w:cs="Arial"/>
          <w:sz w:val="22"/>
          <w:szCs w:val="22"/>
        </w:rPr>
        <w:t xml:space="preserve"> admitted</w:t>
      </w:r>
      <w:r w:rsidR="00D8005E">
        <w:rPr>
          <w:rFonts w:asciiTheme="majorHAnsi" w:hAnsiTheme="majorHAnsi" w:cs="Arial"/>
          <w:sz w:val="22"/>
          <w:szCs w:val="22"/>
        </w:rPr>
        <w:t xml:space="preserve"> to acute medical </w:t>
      </w:r>
      <w:r w:rsidR="005F3838">
        <w:rPr>
          <w:rFonts w:asciiTheme="majorHAnsi" w:hAnsiTheme="majorHAnsi" w:cs="Arial"/>
          <w:sz w:val="22"/>
          <w:szCs w:val="22"/>
        </w:rPr>
        <w:t>assessment areas</w:t>
      </w:r>
      <w:r w:rsidR="00D8005E">
        <w:rPr>
          <w:rFonts w:asciiTheme="majorHAnsi" w:hAnsiTheme="majorHAnsi" w:cs="Arial"/>
          <w:sz w:val="22"/>
          <w:szCs w:val="22"/>
        </w:rPr>
        <w:t xml:space="preserve"> and one patient was an inter-hospital critical care transfer for tertiary </w:t>
      </w:r>
      <w:proofErr w:type="spellStart"/>
      <w:r w:rsidR="00D8005E">
        <w:rPr>
          <w:rFonts w:asciiTheme="majorHAnsi" w:hAnsiTheme="majorHAnsi" w:cs="Arial"/>
          <w:sz w:val="22"/>
          <w:szCs w:val="22"/>
        </w:rPr>
        <w:t>ventilatory</w:t>
      </w:r>
      <w:proofErr w:type="spellEnd"/>
      <w:r w:rsidR="00D8005E">
        <w:rPr>
          <w:rFonts w:asciiTheme="majorHAnsi" w:hAnsiTheme="majorHAnsi" w:cs="Arial"/>
          <w:sz w:val="22"/>
          <w:szCs w:val="22"/>
        </w:rPr>
        <w:t xml:space="preserve"> management.</w:t>
      </w:r>
      <w:r w:rsidR="009A0B56">
        <w:rPr>
          <w:rFonts w:asciiTheme="majorHAnsi" w:hAnsiTheme="majorHAnsi" w:cs="Arial"/>
          <w:sz w:val="22"/>
          <w:szCs w:val="22"/>
        </w:rPr>
        <w:t xml:space="preserve"> Median length of stay for discharged patients was 14 hours</w:t>
      </w:r>
      <w:r w:rsidR="00D86A12">
        <w:rPr>
          <w:rFonts w:asciiTheme="majorHAnsi" w:hAnsiTheme="majorHAnsi" w:cs="Arial"/>
          <w:sz w:val="22"/>
          <w:szCs w:val="22"/>
        </w:rPr>
        <w:t xml:space="preserve"> (IQR 2.5 – 21.5)</w:t>
      </w:r>
      <w:r w:rsidR="009A0B56">
        <w:rPr>
          <w:rFonts w:asciiTheme="majorHAnsi" w:hAnsiTheme="majorHAnsi" w:cs="Arial"/>
          <w:sz w:val="22"/>
          <w:szCs w:val="22"/>
        </w:rPr>
        <w:t xml:space="preserve"> and 13</w:t>
      </w:r>
      <w:r w:rsidR="00022B96">
        <w:rPr>
          <w:rFonts w:asciiTheme="majorHAnsi" w:hAnsiTheme="majorHAnsi" w:cs="Arial"/>
          <w:sz w:val="22"/>
          <w:szCs w:val="22"/>
        </w:rPr>
        <w:t>3</w:t>
      </w:r>
      <w:r w:rsidR="009A0B56">
        <w:rPr>
          <w:rFonts w:asciiTheme="majorHAnsi" w:hAnsiTheme="majorHAnsi" w:cs="Arial"/>
          <w:sz w:val="22"/>
          <w:szCs w:val="22"/>
        </w:rPr>
        <w:t xml:space="preserve"> hours (</w:t>
      </w:r>
      <w:r w:rsidR="00D86A12">
        <w:rPr>
          <w:rFonts w:asciiTheme="majorHAnsi" w:hAnsiTheme="majorHAnsi" w:cs="Arial"/>
          <w:sz w:val="22"/>
          <w:szCs w:val="22"/>
        </w:rPr>
        <w:t>IQR</w:t>
      </w:r>
      <w:r w:rsidR="00022B96">
        <w:rPr>
          <w:rFonts w:asciiTheme="majorHAnsi" w:hAnsiTheme="majorHAnsi" w:cs="Arial"/>
          <w:sz w:val="22"/>
          <w:szCs w:val="22"/>
        </w:rPr>
        <w:t xml:space="preserve"> 71 </w:t>
      </w:r>
      <w:proofErr w:type="gramStart"/>
      <w:r w:rsidR="00022B96">
        <w:rPr>
          <w:rFonts w:asciiTheme="majorHAnsi" w:hAnsiTheme="majorHAnsi" w:cs="Arial"/>
          <w:sz w:val="22"/>
          <w:szCs w:val="22"/>
        </w:rPr>
        <w:t xml:space="preserve">- </w:t>
      </w:r>
      <w:r w:rsidR="00D86A12">
        <w:rPr>
          <w:rFonts w:asciiTheme="majorHAnsi" w:hAnsiTheme="majorHAnsi" w:cs="Arial"/>
          <w:sz w:val="22"/>
          <w:szCs w:val="22"/>
        </w:rPr>
        <w:t xml:space="preserve"> </w:t>
      </w:r>
      <w:r w:rsidR="00022B96">
        <w:rPr>
          <w:rFonts w:asciiTheme="majorHAnsi" w:hAnsiTheme="majorHAnsi" w:cs="Arial"/>
          <w:sz w:val="22"/>
          <w:szCs w:val="22"/>
        </w:rPr>
        <w:t>292</w:t>
      </w:r>
      <w:proofErr w:type="gramEnd"/>
      <w:r w:rsidR="00022B96">
        <w:rPr>
          <w:rFonts w:asciiTheme="majorHAnsi" w:hAnsiTheme="majorHAnsi" w:cs="Arial"/>
          <w:sz w:val="22"/>
          <w:szCs w:val="22"/>
        </w:rPr>
        <w:t>)</w:t>
      </w:r>
      <w:r w:rsidR="009A0B56">
        <w:rPr>
          <w:rFonts w:asciiTheme="majorHAnsi" w:hAnsiTheme="majorHAnsi" w:cs="Arial"/>
          <w:sz w:val="22"/>
          <w:szCs w:val="22"/>
        </w:rPr>
        <w:t xml:space="preserve"> for those admitted. Ten patients died in this cohort (a</w:t>
      </w:r>
      <w:r w:rsidR="008A67C6">
        <w:rPr>
          <w:rFonts w:asciiTheme="majorHAnsi" w:hAnsiTheme="majorHAnsi" w:cs="Arial"/>
          <w:sz w:val="22"/>
          <w:szCs w:val="22"/>
        </w:rPr>
        <w:t>ll admitted to hospital).</w:t>
      </w:r>
      <w:r w:rsidR="0011626A">
        <w:rPr>
          <w:rFonts w:asciiTheme="majorHAnsi" w:hAnsiTheme="majorHAnsi" w:cs="Arial"/>
          <w:sz w:val="22"/>
          <w:szCs w:val="22"/>
        </w:rPr>
        <w:t xml:space="preserve"> </w:t>
      </w:r>
      <w:r w:rsidR="006837AA">
        <w:rPr>
          <w:rFonts w:asciiTheme="majorHAnsi" w:hAnsiTheme="majorHAnsi" w:cs="Arial"/>
          <w:sz w:val="22"/>
          <w:szCs w:val="22"/>
        </w:rPr>
        <w:t>Arterial blood gas samp</w:t>
      </w:r>
      <w:r w:rsidR="00257491">
        <w:rPr>
          <w:rFonts w:asciiTheme="majorHAnsi" w:hAnsiTheme="majorHAnsi" w:cs="Arial"/>
          <w:sz w:val="22"/>
          <w:szCs w:val="22"/>
        </w:rPr>
        <w:t>les were taken in 59 patients and</w:t>
      </w:r>
      <w:r w:rsidR="006837AA">
        <w:rPr>
          <w:rFonts w:asciiTheme="majorHAnsi" w:hAnsiTheme="majorHAnsi" w:cs="Arial"/>
          <w:sz w:val="22"/>
          <w:szCs w:val="22"/>
        </w:rPr>
        <w:t xml:space="preserve"> permit</w:t>
      </w:r>
      <w:r w:rsidR="00257491">
        <w:rPr>
          <w:rFonts w:asciiTheme="majorHAnsi" w:hAnsiTheme="majorHAnsi" w:cs="Arial"/>
          <w:sz w:val="22"/>
          <w:szCs w:val="22"/>
        </w:rPr>
        <w:t>ted</w:t>
      </w:r>
      <w:r w:rsidR="006837AA">
        <w:rPr>
          <w:rFonts w:asciiTheme="majorHAnsi" w:hAnsiTheme="majorHAnsi" w:cs="Arial"/>
          <w:sz w:val="22"/>
          <w:szCs w:val="22"/>
        </w:rPr>
        <w:t xml:space="preserve"> direct calculation of P/F ratio; estimated P/F ratios were calculated in all patients</w:t>
      </w:r>
      <w:r w:rsidR="00F778D1">
        <w:rPr>
          <w:rFonts w:asciiTheme="majorHAnsi" w:hAnsiTheme="majorHAnsi" w:cs="Arial"/>
          <w:sz w:val="22"/>
          <w:szCs w:val="22"/>
        </w:rPr>
        <w:t xml:space="preserve"> as a </w:t>
      </w:r>
      <w:r w:rsidR="005D5756">
        <w:rPr>
          <w:rFonts w:asciiTheme="majorHAnsi" w:hAnsiTheme="majorHAnsi" w:cs="Arial"/>
          <w:sz w:val="22"/>
          <w:szCs w:val="22"/>
        </w:rPr>
        <w:t>logarithmic transformation of Sp</w:t>
      </w:r>
      <w:r w:rsidR="00F778D1">
        <w:rPr>
          <w:rFonts w:asciiTheme="majorHAnsi" w:hAnsiTheme="majorHAnsi" w:cs="Arial"/>
          <w:sz w:val="22"/>
          <w:szCs w:val="22"/>
        </w:rPr>
        <w:t>O</w:t>
      </w:r>
      <w:r w:rsidR="00F778D1">
        <w:rPr>
          <w:rFonts w:asciiTheme="majorHAnsi" w:hAnsiTheme="majorHAnsi" w:cs="Arial"/>
          <w:sz w:val="22"/>
          <w:szCs w:val="22"/>
          <w:vertAlign w:val="subscript"/>
        </w:rPr>
        <w:t xml:space="preserve">2 </w:t>
      </w:r>
      <w:r w:rsidR="00F778D1">
        <w:rPr>
          <w:rFonts w:asciiTheme="majorHAnsi" w:hAnsiTheme="majorHAnsi" w:cs="Arial"/>
          <w:sz w:val="22"/>
          <w:szCs w:val="22"/>
        </w:rPr>
        <w:t>and FiO</w:t>
      </w:r>
      <w:r w:rsidR="00F778D1">
        <w:rPr>
          <w:rFonts w:asciiTheme="majorHAnsi" w:hAnsiTheme="majorHAnsi" w:cs="Arial"/>
          <w:sz w:val="22"/>
          <w:szCs w:val="22"/>
          <w:vertAlign w:val="subscript"/>
        </w:rPr>
        <w:t>2</w:t>
      </w:r>
      <w:r w:rsidR="006837AA">
        <w:rPr>
          <w:rFonts w:asciiTheme="majorHAnsi" w:hAnsiTheme="majorHAnsi" w:cs="Arial"/>
          <w:sz w:val="22"/>
          <w:szCs w:val="22"/>
        </w:rPr>
        <w:t xml:space="preserve"> </w:t>
      </w:r>
      <w:r w:rsidR="00FA5767">
        <w:rPr>
          <w:rFonts w:asciiTheme="majorHAnsi" w:hAnsiTheme="majorHAnsi" w:cs="Arial"/>
          <w:sz w:val="22"/>
          <w:szCs w:val="22"/>
        </w:rPr>
        <w:fldChar w:fldCharType="begin" w:fldLock="1"/>
      </w:r>
      <w:r w:rsidR="000D4EEE">
        <w:rPr>
          <w:rFonts w:asciiTheme="majorHAnsi" w:hAnsiTheme="majorHAnsi" w:cs="Arial"/>
          <w:sz w:val="22"/>
          <w:szCs w:val="22"/>
        </w:rPr>
        <w:instrText>ADDIN CSL_CITATION { "citationItems" : [ { "id" : "ITEM-1", "itemData" : { "DOI" : "10.1097/CCM.0b013e31819cefa9", "ISSN" : "1530-0293", "PMID" : "19242333", "abstract" : "The Sequential Organ Failure Assessment (SOFA) score is validated to measure severity of organ dysfunction in critically ill patients. However, in some practice settings, daily arterial blood gas data required to calculate the respiratory component of the SOFA score are often unavailable. The objectives of this study were to derive Spo2/Fio2 (SF) ratio correlations with the Pao2/Fio2 (PF) ratio to calculate the respiratory parameter of the SOFA score, and to validate the respiratory SOFA obtained using SF ratios against clinical outcomes.", "author" : [ { "dropping-particle" : "", "family" : "Pandharipande", "given" : "Pratik P", "non-dropping-particle" : "", "parse-names" : false, "suffix" : "" }, { "dropping-particle" : "", "family" : "Shintani", "given" : "Ayumi K", "non-dropping-particle" : "", "parse-names" : false, "suffix" : "" }, { "dropping-particle" : "", "family" : "Hagerman", "given" : "Heather E", "non-dropping-particle" : "", "parse-names" : false, "suffix" : "" }, { "dropping-particle" : "", "family" : "St Jacques", "given" : "Paul J", "non-dropping-particle" : "", "parse-names" : false, "suffix" : "" }, { "dropping-particle" : "", "family" : "Rice", "given" : "Todd W", "non-dropping-particle" : "", "parse-names" : false, "suffix" : "" }, { "dropping-particle" : "", "family" : "Sanders", "given" : "Neal W", "non-dropping-particle" : "", "parse-names" : false, "suffix" : "" }, { "dropping-particle" : "", "family" : "Ware", "given" : "Lorraine B", "non-dropping-particle" : "", "parse-names" : false, "suffix" : "" }, { "dropping-particle" : "", "family" : "Bernard", "given" : "Gordon R", "non-dropping-particle" : "", "parse-names" : false, "suffix" : "" }, { "dropping-particle" : "", "family" : "Ely", "given" : "E Wesley", "non-dropping-particle" : "", "parse-names" : false, "suffix" : "" } ], "container-title" : "Critical care medicine", "id" : "ITEM-1", "issue" : "4", "issued" : { "date-parts" : [ [ "2009", "4" ] ] }, "page" : "1317-21", "title" : "Derivation and validation of Spo2/Fio2 ratio to impute for Pao2/Fio2 ratio in the respiratory component of the Sequential Organ Failure Assessment score.", "type" : "article-journal", "volume" : "37" }, "uris" : [ "http://www.mendeley.com/documents/?uuid=cda8a8c3-094b-482b-9dea-d9e748663c21" ] } ], "mendeley" : { "formattedCitation" : "(16)", "plainTextFormattedCitation" : "(16)", "previouslyFormattedCitation" : "(16)" }, "properties" : { "noteIndex" : 0 }, "schema" : "https://github.com/citation-style-language/schema/raw/master/csl-citation.json" }</w:instrText>
      </w:r>
      <w:r w:rsidR="00FA5767">
        <w:rPr>
          <w:rFonts w:asciiTheme="majorHAnsi" w:hAnsiTheme="majorHAnsi" w:cs="Arial"/>
          <w:sz w:val="22"/>
          <w:szCs w:val="22"/>
        </w:rPr>
        <w:fldChar w:fldCharType="separate"/>
      </w:r>
      <w:r w:rsidR="003B7B92" w:rsidRPr="003B7B92">
        <w:rPr>
          <w:rFonts w:asciiTheme="majorHAnsi" w:hAnsiTheme="majorHAnsi" w:cs="Arial"/>
          <w:noProof/>
          <w:sz w:val="22"/>
          <w:szCs w:val="22"/>
        </w:rPr>
        <w:t>(16)</w:t>
      </w:r>
      <w:r w:rsidR="00FA5767">
        <w:rPr>
          <w:rFonts w:asciiTheme="majorHAnsi" w:hAnsiTheme="majorHAnsi" w:cs="Arial"/>
          <w:sz w:val="22"/>
          <w:szCs w:val="22"/>
        </w:rPr>
        <w:fldChar w:fldCharType="end"/>
      </w:r>
      <w:r w:rsidR="006837AA">
        <w:rPr>
          <w:rFonts w:asciiTheme="majorHAnsi" w:hAnsiTheme="majorHAnsi" w:cs="Arial"/>
          <w:sz w:val="22"/>
          <w:szCs w:val="22"/>
        </w:rPr>
        <w:t xml:space="preserve">. </w:t>
      </w:r>
      <w:r w:rsidR="00AA52E0" w:rsidRPr="00AA52E0">
        <w:rPr>
          <w:rFonts w:asciiTheme="majorHAnsi" w:hAnsiTheme="majorHAnsi" w:cs="Arial"/>
          <w:sz w:val="22"/>
          <w:szCs w:val="22"/>
        </w:rPr>
        <w:t xml:space="preserve">Patients who were discharged early </w:t>
      </w:r>
      <w:r w:rsidR="00A575A2">
        <w:rPr>
          <w:rFonts w:asciiTheme="majorHAnsi" w:hAnsiTheme="majorHAnsi" w:cs="Arial"/>
          <w:sz w:val="22"/>
          <w:szCs w:val="22"/>
        </w:rPr>
        <w:t>were younger (</w:t>
      </w:r>
      <w:r w:rsidR="00116998">
        <w:rPr>
          <w:rFonts w:asciiTheme="majorHAnsi" w:hAnsiTheme="majorHAnsi" w:cs="Arial"/>
          <w:sz w:val="22"/>
          <w:szCs w:val="22"/>
        </w:rPr>
        <w:t xml:space="preserve">median </w:t>
      </w:r>
      <w:r w:rsidR="00A575A2">
        <w:rPr>
          <w:rFonts w:asciiTheme="majorHAnsi" w:hAnsiTheme="majorHAnsi" w:cs="Arial"/>
          <w:sz w:val="22"/>
          <w:szCs w:val="22"/>
        </w:rPr>
        <w:t xml:space="preserve">31 vs. 45 p=0.028), </w:t>
      </w:r>
      <w:r w:rsidR="00AA52E0" w:rsidRPr="00AA52E0">
        <w:rPr>
          <w:rFonts w:asciiTheme="majorHAnsi" w:hAnsiTheme="majorHAnsi" w:cs="Arial"/>
          <w:sz w:val="22"/>
          <w:szCs w:val="22"/>
        </w:rPr>
        <w:t>had a lower</w:t>
      </w:r>
      <w:r w:rsidR="00116998">
        <w:rPr>
          <w:rFonts w:asciiTheme="majorHAnsi" w:hAnsiTheme="majorHAnsi" w:cs="Arial"/>
          <w:sz w:val="22"/>
          <w:szCs w:val="22"/>
        </w:rPr>
        <w:t xml:space="preserve"> </w:t>
      </w:r>
      <w:r w:rsidR="00AA52E0" w:rsidRPr="00AA52E0">
        <w:rPr>
          <w:rFonts w:asciiTheme="majorHAnsi" w:hAnsiTheme="majorHAnsi" w:cs="Arial"/>
          <w:sz w:val="22"/>
          <w:szCs w:val="22"/>
        </w:rPr>
        <w:t xml:space="preserve">CRP </w:t>
      </w:r>
      <w:r w:rsidR="00A575A2">
        <w:rPr>
          <w:rFonts w:asciiTheme="majorHAnsi" w:hAnsiTheme="majorHAnsi" w:cs="Arial"/>
          <w:sz w:val="22"/>
          <w:szCs w:val="22"/>
        </w:rPr>
        <w:t>(</w:t>
      </w:r>
      <w:r w:rsidR="003B7B92">
        <w:rPr>
          <w:rFonts w:asciiTheme="majorHAnsi" w:hAnsiTheme="majorHAnsi" w:cs="Arial"/>
          <w:sz w:val="22"/>
          <w:szCs w:val="22"/>
        </w:rPr>
        <w:t xml:space="preserve">median </w:t>
      </w:r>
      <w:r w:rsidR="00A575A2">
        <w:rPr>
          <w:rFonts w:asciiTheme="majorHAnsi" w:hAnsiTheme="majorHAnsi" w:cs="Arial"/>
          <w:sz w:val="22"/>
          <w:szCs w:val="22"/>
        </w:rPr>
        <w:t>27 vs. 112 p=0.001</w:t>
      </w:r>
      <w:r w:rsidR="00AA52E0">
        <w:rPr>
          <w:rFonts w:asciiTheme="majorHAnsi" w:hAnsiTheme="majorHAnsi" w:cs="Arial"/>
          <w:sz w:val="22"/>
          <w:szCs w:val="22"/>
        </w:rPr>
        <w:t>)</w:t>
      </w:r>
      <w:r w:rsidR="00AA52E0" w:rsidRPr="00AA52E0">
        <w:rPr>
          <w:rFonts w:asciiTheme="majorHAnsi" w:hAnsiTheme="majorHAnsi" w:cs="Arial"/>
          <w:sz w:val="22"/>
          <w:szCs w:val="22"/>
        </w:rPr>
        <w:t xml:space="preserve"> </w:t>
      </w:r>
      <w:r w:rsidR="00A575A2">
        <w:rPr>
          <w:rFonts w:asciiTheme="majorHAnsi" w:hAnsiTheme="majorHAnsi" w:cs="Arial"/>
          <w:sz w:val="22"/>
          <w:szCs w:val="22"/>
        </w:rPr>
        <w:t>and higher albumin (</w:t>
      </w:r>
      <w:r w:rsidR="003B7B92">
        <w:rPr>
          <w:rFonts w:asciiTheme="majorHAnsi" w:hAnsiTheme="majorHAnsi" w:cs="Arial"/>
          <w:sz w:val="22"/>
          <w:szCs w:val="22"/>
        </w:rPr>
        <w:t xml:space="preserve">mean </w:t>
      </w:r>
      <w:r w:rsidR="00A575A2">
        <w:rPr>
          <w:rFonts w:asciiTheme="majorHAnsi" w:hAnsiTheme="majorHAnsi" w:cs="Arial"/>
          <w:sz w:val="22"/>
          <w:szCs w:val="22"/>
        </w:rPr>
        <w:t xml:space="preserve">41.5 vs. 36.1, p=0.008) </w:t>
      </w:r>
      <w:r w:rsidR="00AA52E0" w:rsidRPr="00AA52E0">
        <w:rPr>
          <w:rFonts w:asciiTheme="majorHAnsi" w:hAnsiTheme="majorHAnsi" w:cs="Arial"/>
          <w:sz w:val="22"/>
          <w:szCs w:val="22"/>
        </w:rPr>
        <w:t xml:space="preserve">compared to those who </w:t>
      </w:r>
      <w:r w:rsidR="00AA52E0">
        <w:rPr>
          <w:rFonts w:asciiTheme="majorHAnsi" w:hAnsiTheme="majorHAnsi" w:cs="Arial"/>
          <w:sz w:val="22"/>
          <w:szCs w:val="22"/>
        </w:rPr>
        <w:t xml:space="preserve">were admitted. </w:t>
      </w:r>
      <w:r w:rsidR="00F778D1">
        <w:rPr>
          <w:rFonts w:asciiTheme="majorHAnsi" w:hAnsiTheme="majorHAnsi" w:cs="Arial"/>
          <w:sz w:val="22"/>
          <w:szCs w:val="22"/>
        </w:rPr>
        <w:t>E</w:t>
      </w:r>
      <w:r w:rsidR="00255BE1">
        <w:rPr>
          <w:rFonts w:asciiTheme="majorHAnsi" w:hAnsiTheme="majorHAnsi" w:cs="Arial"/>
          <w:sz w:val="22"/>
          <w:szCs w:val="22"/>
        </w:rPr>
        <w:t xml:space="preserve">stimated </w:t>
      </w:r>
      <w:r w:rsidR="00116998">
        <w:rPr>
          <w:rFonts w:asciiTheme="majorHAnsi" w:hAnsiTheme="majorHAnsi" w:cs="Arial"/>
          <w:sz w:val="22"/>
          <w:szCs w:val="22"/>
        </w:rPr>
        <w:t xml:space="preserve">and measured </w:t>
      </w:r>
      <w:r w:rsidR="00255BE1">
        <w:rPr>
          <w:rFonts w:asciiTheme="majorHAnsi" w:hAnsiTheme="majorHAnsi" w:cs="Arial"/>
          <w:sz w:val="22"/>
          <w:szCs w:val="22"/>
        </w:rPr>
        <w:t>P/F</w:t>
      </w:r>
      <w:r w:rsidR="00F778D1">
        <w:rPr>
          <w:rFonts w:asciiTheme="majorHAnsi" w:hAnsiTheme="majorHAnsi" w:cs="Arial"/>
          <w:sz w:val="22"/>
          <w:szCs w:val="22"/>
        </w:rPr>
        <w:t xml:space="preserve"> </w:t>
      </w:r>
      <w:r w:rsidR="00116998">
        <w:rPr>
          <w:rFonts w:asciiTheme="majorHAnsi" w:hAnsiTheme="majorHAnsi" w:cs="Arial"/>
          <w:sz w:val="22"/>
          <w:szCs w:val="22"/>
        </w:rPr>
        <w:t xml:space="preserve">ratios were higher </w:t>
      </w:r>
      <w:r w:rsidR="00F778D1">
        <w:rPr>
          <w:rFonts w:asciiTheme="majorHAnsi" w:hAnsiTheme="majorHAnsi" w:cs="Arial"/>
          <w:sz w:val="22"/>
          <w:szCs w:val="22"/>
        </w:rPr>
        <w:t>in those discharged early (357</w:t>
      </w:r>
      <w:r w:rsidR="00AA52E0" w:rsidRPr="00AA52E0">
        <w:rPr>
          <w:rFonts w:asciiTheme="majorHAnsi" w:hAnsiTheme="majorHAnsi" w:cs="Arial"/>
          <w:sz w:val="22"/>
          <w:szCs w:val="22"/>
        </w:rPr>
        <w:t>.</w:t>
      </w:r>
      <w:r w:rsidR="00F778D1">
        <w:rPr>
          <w:rFonts w:asciiTheme="majorHAnsi" w:hAnsiTheme="majorHAnsi" w:cs="Arial"/>
          <w:sz w:val="22"/>
          <w:szCs w:val="22"/>
        </w:rPr>
        <w:t>3</w:t>
      </w:r>
      <w:r w:rsidR="00A575A2">
        <w:rPr>
          <w:rFonts w:asciiTheme="majorHAnsi" w:hAnsiTheme="majorHAnsi" w:cs="Arial"/>
          <w:sz w:val="22"/>
          <w:szCs w:val="22"/>
        </w:rPr>
        <w:t xml:space="preserve"> vs</w:t>
      </w:r>
      <w:r w:rsidR="00DC6B84">
        <w:rPr>
          <w:rFonts w:asciiTheme="majorHAnsi" w:hAnsiTheme="majorHAnsi" w:cs="Arial"/>
          <w:sz w:val="22"/>
          <w:szCs w:val="22"/>
        </w:rPr>
        <w:t>.</w:t>
      </w:r>
      <w:r w:rsidR="00F778D1">
        <w:rPr>
          <w:rFonts w:asciiTheme="majorHAnsi" w:hAnsiTheme="majorHAnsi" w:cs="Arial"/>
          <w:sz w:val="22"/>
          <w:szCs w:val="22"/>
        </w:rPr>
        <w:t xml:space="preserve"> 336.7, p=0.059</w:t>
      </w:r>
      <w:r w:rsidR="00A575A2">
        <w:rPr>
          <w:rFonts w:asciiTheme="majorHAnsi" w:hAnsiTheme="majorHAnsi" w:cs="Arial"/>
          <w:sz w:val="22"/>
          <w:szCs w:val="22"/>
        </w:rPr>
        <w:t xml:space="preserve"> and 435.5 vs</w:t>
      </w:r>
      <w:r w:rsidR="00DC6B84">
        <w:rPr>
          <w:rFonts w:asciiTheme="majorHAnsi" w:hAnsiTheme="majorHAnsi" w:cs="Arial"/>
          <w:sz w:val="22"/>
          <w:szCs w:val="22"/>
        </w:rPr>
        <w:t>.</w:t>
      </w:r>
      <w:r w:rsidR="00A575A2">
        <w:rPr>
          <w:rFonts w:asciiTheme="majorHAnsi" w:hAnsiTheme="majorHAnsi" w:cs="Arial"/>
          <w:sz w:val="22"/>
          <w:szCs w:val="22"/>
        </w:rPr>
        <w:t xml:space="preserve"> 233.0, p&lt;</w:t>
      </w:r>
      <w:r w:rsidR="00AA52E0" w:rsidRPr="00AA52E0">
        <w:rPr>
          <w:rFonts w:asciiTheme="majorHAnsi" w:hAnsiTheme="majorHAnsi" w:cs="Arial"/>
          <w:sz w:val="22"/>
          <w:szCs w:val="22"/>
        </w:rPr>
        <w:t>0.001 respectively).</w:t>
      </w:r>
      <w:r w:rsidR="00FE0ADB">
        <w:rPr>
          <w:rFonts w:asciiTheme="majorHAnsi" w:hAnsiTheme="majorHAnsi" w:cs="Arial"/>
          <w:sz w:val="22"/>
          <w:szCs w:val="22"/>
        </w:rPr>
        <w:t xml:space="preserve"> </w:t>
      </w:r>
      <w:r w:rsidR="0091490D" w:rsidRPr="00AA52E0">
        <w:rPr>
          <w:rFonts w:asciiTheme="majorHAnsi" w:hAnsiTheme="majorHAnsi" w:cs="Arial"/>
          <w:sz w:val="22"/>
          <w:szCs w:val="22"/>
        </w:rPr>
        <w:t xml:space="preserve">Differences between other measured variables </w:t>
      </w:r>
      <w:r w:rsidR="0091490D">
        <w:rPr>
          <w:rFonts w:asciiTheme="majorHAnsi" w:hAnsiTheme="majorHAnsi" w:cs="Arial"/>
          <w:sz w:val="22"/>
          <w:szCs w:val="22"/>
        </w:rPr>
        <w:t>were non-significant and are displayed in supplementary material Table S1</w:t>
      </w:r>
      <w:r w:rsidR="0091490D" w:rsidRPr="00AA52E0">
        <w:rPr>
          <w:rFonts w:asciiTheme="majorHAnsi" w:hAnsiTheme="majorHAnsi" w:cs="Arial"/>
          <w:sz w:val="22"/>
          <w:szCs w:val="22"/>
        </w:rPr>
        <w:t xml:space="preserve">. </w:t>
      </w:r>
    </w:p>
    <w:p w14:paraId="49C3DE8F" w14:textId="77777777" w:rsidR="005974AB" w:rsidRDefault="005974AB" w:rsidP="002E390D">
      <w:pPr>
        <w:spacing w:line="480" w:lineRule="auto"/>
        <w:rPr>
          <w:rFonts w:asciiTheme="majorHAnsi" w:hAnsiTheme="majorHAnsi" w:cs="Arial"/>
          <w:sz w:val="22"/>
          <w:szCs w:val="22"/>
        </w:rPr>
      </w:pPr>
    </w:p>
    <w:p w14:paraId="7A3DFB92" w14:textId="1D6F3FAD" w:rsidR="005974AB" w:rsidRDefault="00FE0ADB" w:rsidP="002E390D">
      <w:pPr>
        <w:spacing w:line="480" w:lineRule="auto"/>
        <w:rPr>
          <w:rFonts w:asciiTheme="majorHAnsi" w:hAnsiTheme="majorHAnsi" w:cs="Arial"/>
          <w:sz w:val="22"/>
          <w:szCs w:val="22"/>
        </w:rPr>
      </w:pPr>
      <w:r>
        <w:rPr>
          <w:rFonts w:asciiTheme="majorHAnsi" w:hAnsiTheme="majorHAnsi" w:cs="Arial"/>
          <w:sz w:val="22"/>
          <w:szCs w:val="22"/>
        </w:rPr>
        <w:t xml:space="preserve">There were significant differences in SOFA, </w:t>
      </w:r>
      <w:proofErr w:type="spellStart"/>
      <w:r>
        <w:rPr>
          <w:rFonts w:asciiTheme="majorHAnsi" w:hAnsiTheme="majorHAnsi" w:cs="Arial"/>
          <w:sz w:val="22"/>
          <w:szCs w:val="22"/>
        </w:rPr>
        <w:t>qSOFA</w:t>
      </w:r>
      <w:proofErr w:type="spellEnd"/>
      <w:r>
        <w:rPr>
          <w:rFonts w:asciiTheme="majorHAnsi" w:hAnsiTheme="majorHAnsi" w:cs="Arial"/>
          <w:sz w:val="22"/>
          <w:szCs w:val="22"/>
        </w:rPr>
        <w:t xml:space="preserve"> and STSS</w:t>
      </w:r>
      <w:r w:rsidR="00061C76">
        <w:rPr>
          <w:rFonts w:asciiTheme="majorHAnsi" w:hAnsiTheme="majorHAnsi" w:cs="Arial"/>
          <w:sz w:val="22"/>
          <w:szCs w:val="22"/>
        </w:rPr>
        <w:t xml:space="preserve"> and CXR</w:t>
      </w:r>
      <w:r>
        <w:rPr>
          <w:rFonts w:asciiTheme="majorHAnsi" w:hAnsiTheme="majorHAnsi" w:cs="Arial"/>
          <w:sz w:val="22"/>
          <w:szCs w:val="22"/>
        </w:rPr>
        <w:t xml:space="preserve"> scores between patients discharged and admitted – Table 1.</w:t>
      </w:r>
      <w:r w:rsidR="00AA52E0" w:rsidRPr="00AA52E0">
        <w:rPr>
          <w:rFonts w:asciiTheme="majorHAnsi" w:hAnsiTheme="majorHAnsi" w:cs="Arial"/>
          <w:sz w:val="22"/>
          <w:szCs w:val="22"/>
        </w:rPr>
        <w:t xml:space="preserve"> </w:t>
      </w:r>
      <w:r w:rsidR="00061C76">
        <w:rPr>
          <w:rFonts w:asciiTheme="majorHAnsi" w:hAnsiTheme="majorHAnsi" w:cs="Arial"/>
          <w:sz w:val="22"/>
          <w:szCs w:val="22"/>
        </w:rPr>
        <w:t xml:space="preserve">For the chest x-ray score, </w:t>
      </w:r>
      <w:r w:rsidR="00061C76">
        <w:rPr>
          <w:rFonts w:asciiTheme="majorHAnsi" w:hAnsiTheme="majorHAnsi" w:cs="Arial"/>
          <w:sz w:val="22"/>
          <w:szCs w:val="18"/>
        </w:rPr>
        <w:t>we found good agreement between the consultant radiologist and those of the a</w:t>
      </w:r>
      <w:r w:rsidR="00022B96">
        <w:rPr>
          <w:rFonts w:asciiTheme="majorHAnsi" w:hAnsiTheme="majorHAnsi" w:cs="Arial"/>
          <w:sz w:val="22"/>
          <w:szCs w:val="18"/>
        </w:rPr>
        <w:t xml:space="preserve">cute care </w:t>
      </w:r>
      <w:r w:rsidR="00061C76">
        <w:rPr>
          <w:rFonts w:asciiTheme="majorHAnsi" w:hAnsiTheme="majorHAnsi" w:cs="Arial"/>
          <w:sz w:val="22"/>
          <w:szCs w:val="18"/>
        </w:rPr>
        <w:t>trainee (</w:t>
      </w:r>
      <w:r w:rsidR="00061C76">
        <w:rPr>
          <w:rFonts w:asciiTheme="majorHAnsi" w:hAnsiTheme="majorHAnsi" w:cs="Arial"/>
          <w:i/>
          <w:sz w:val="22"/>
          <w:szCs w:val="18"/>
        </w:rPr>
        <w:t xml:space="preserve">kappa </w:t>
      </w:r>
      <w:r w:rsidR="00061C76">
        <w:rPr>
          <w:rFonts w:asciiTheme="majorHAnsi" w:hAnsiTheme="majorHAnsi" w:cs="Arial"/>
          <w:sz w:val="22"/>
          <w:szCs w:val="18"/>
        </w:rPr>
        <w:t>= 0.661) and the medical student (</w:t>
      </w:r>
      <w:r w:rsidR="00061C76">
        <w:rPr>
          <w:rFonts w:asciiTheme="majorHAnsi" w:hAnsiTheme="majorHAnsi" w:cs="Arial"/>
          <w:i/>
          <w:sz w:val="22"/>
          <w:szCs w:val="18"/>
        </w:rPr>
        <w:t xml:space="preserve">kappa </w:t>
      </w:r>
      <w:r w:rsidR="00061C76">
        <w:rPr>
          <w:rFonts w:asciiTheme="majorHAnsi" w:hAnsiTheme="majorHAnsi" w:cs="Arial"/>
          <w:sz w:val="22"/>
          <w:szCs w:val="18"/>
        </w:rPr>
        <w:t xml:space="preserve">= 0.661). There was moderate agreement between the consultant radiologist and </w:t>
      </w:r>
      <w:r w:rsidR="009E0136">
        <w:rPr>
          <w:rFonts w:asciiTheme="majorHAnsi" w:hAnsiTheme="majorHAnsi" w:cs="Arial"/>
          <w:sz w:val="22"/>
          <w:szCs w:val="18"/>
        </w:rPr>
        <w:t>intensive c</w:t>
      </w:r>
      <w:r w:rsidR="0074542E">
        <w:rPr>
          <w:rFonts w:asciiTheme="majorHAnsi" w:hAnsiTheme="majorHAnsi" w:cs="Arial"/>
          <w:sz w:val="22"/>
          <w:szCs w:val="18"/>
        </w:rPr>
        <w:t xml:space="preserve">are </w:t>
      </w:r>
      <w:r w:rsidR="00061C76">
        <w:rPr>
          <w:rFonts w:asciiTheme="majorHAnsi" w:hAnsiTheme="majorHAnsi" w:cs="Arial"/>
          <w:sz w:val="22"/>
          <w:szCs w:val="18"/>
        </w:rPr>
        <w:t>trainee (</w:t>
      </w:r>
      <w:r w:rsidR="00061C76">
        <w:rPr>
          <w:rFonts w:asciiTheme="majorHAnsi" w:hAnsiTheme="majorHAnsi" w:cs="Arial"/>
          <w:i/>
          <w:sz w:val="22"/>
          <w:szCs w:val="18"/>
        </w:rPr>
        <w:t xml:space="preserve">kappa </w:t>
      </w:r>
      <w:r w:rsidR="00061C76">
        <w:rPr>
          <w:rFonts w:asciiTheme="majorHAnsi" w:hAnsiTheme="majorHAnsi" w:cs="Arial"/>
          <w:sz w:val="22"/>
          <w:szCs w:val="18"/>
        </w:rPr>
        <w:t xml:space="preserve">= 0.588). </w:t>
      </w:r>
      <w:r w:rsidR="003B7B92">
        <w:rPr>
          <w:rFonts w:asciiTheme="majorHAnsi" w:hAnsiTheme="majorHAnsi" w:cs="Arial"/>
          <w:sz w:val="22"/>
          <w:szCs w:val="22"/>
        </w:rPr>
        <w:t>CURB-65 score was not associated with safe discharge in this cohort (p=0.096).</w:t>
      </w:r>
    </w:p>
    <w:p w14:paraId="36E91842" w14:textId="77777777" w:rsidR="005974AB" w:rsidRDefault="005974AB" w:rsidP="002E390D">
      <w:pPr>
        <w:spacing w:line="480" w:lineRule="auto"/>
        <w:rPr>
          <w:rFonts w:asciiTheme="majorHAnsi" w:hAnsiTheme="majorHAnsi" w:cs="Arial"/>
          <w:sz w:val="22"/>
          <w:szCs w:val="22"/>
        </w:rPr>
      </w:pPr>
    </w:p>
    <w:p w14:paraId="27547E82" w14:textId="77777777" w:rsidR="002E390D" w:rsidRDefault="002E390D" w:rsidP="002E390D">
      <w:pPr>
        <w:spacing w:line="480" w:lineRule="auto"/>
        <w:rPr>
          <w:rFonts w:asciiTheme="majorHAnsi" w:hAnsiTheme="majorHAnsi" w:cs="Arial"/>
          <w:sz w:val="22"/>
          <w:szCs w:val="18"/>
        </w:rPr>
      </w:pPr>
      <w:r>
        <w:rPr>
          <w:rFonts w:asciiTheme="majorHAnsi" w:hAnsiTheme="majorHAnsi" w:cs="Arial"/>
          <w:sz w:val="22"/>
          <w:szCs w:val="18"/>
        </w:rPr>
        <w:lastRenderedPageBreak/>
        <w:t xml:space="preserve">Univariate logistic regression analyses were performed to determine association between significant parameters and safe discharge (Table 2). Subsequently, a multivariate logistic regression </w:t>
      </w:r>
      <w:r w:rsidR="002D6DC8">
        <w:rPr>
          <w:rFonts w:asciiTheme="majorHAnsi" w:hAnsiTheme="majorHAnsi" w:cs="Arial"/>
          <w:sz w:val="22"/>
          <w:szCs w:val="18"/>
        </w:rPr>
        <w:t>model was constructed (Table 3) and a receiver op</w:t>
      </w:r>
      <w:r w:rsidR="004A0A92">
        <w:rPr>
          <w:rFonts w:asciiTheme="majorHAnsi" w:hAnsiTheme="majorHAnsi" w:cs="Arial"/>
          <w:sz w:val="22"/>
          <w:szCs w:val="18"/>
        </w:rPr>
        <w:t xml:space="preserve">erator curve generated (AUC </w:t>
      </w:r>
      <w:r w:rsidR="00A338FB">
        <w:rPr>
          <w:rFonts w:asciiTheme="majorHAnsi" w:hAnsiTheme="majorHAnsi" w:cs="Arial"/>
          <w:sz w:val="22"/>
          <w:szCs w:val="18"/>
        </w:rPr>
        <w:t>0.883</w:t>
      </w:r>
      <w:r w:rsidR="002D6DC8">
        <w:rPr>
          <w:rFonts w:asciiTheme="majorHAnsi" w:hAnsiTheme="majorHAnsi" w:cs="Arial"/>
          <w:sz w:val="22"/>
          <w:szCs w:val="18"/>
        </w:rPr>
        <w:t>).</w:t>
      </w:r>
      <w:r w:rsidR="00F013FA">
        <w:rPr>
          <w:rFonts w:asciiTheme="majorHAnsi" w:hAnsiTheme="majorHAnsi" w:cs="Arial"/>
          <w:sz w:val="22"/>
          <w:szCs w:val="18"/>
        </w:rPr>
        <w:t xml:space="preserve"> </w:t>
      </w:r>
      <w:r w:rsidR="00322D74">
        <w:rPr>
          <w:rFonts w:asciiTheme="majorHAnsi" w:hAnsiTheme="majorHAnsi" w:cs="Arial"/>
          <w:sz w:val="22"/>
          <w:szCs w:val="18"/>
        </w:rPr>
        <w:t>Using this information we constructed a new univariate variable: estimated P/F ratio minus CRP and used this to calculate sensitivity and specificity cut off points</w:t>
      </w:r>
      <w:r w:rsidR="0076439D">
        <w:rPr>
          <w:rFonts w:asciiTheme="majorHAnsi" w:hAnsiTheme="majorHAnsi" w:cs="Arial"/>
          <w:sz w:val="22"/>
          <w:szCs w:val="18"/>
        </w:rPr>
        <w:t xml:space="preserve"> that could</w:t>
      </w:r>
      <w:r w:rsidR="00A338FB">
        <w:rPr>
          <w:rFonts w:asciiTheme="majorHAnsi" w:hAnsiTheme="majorHAnsi" w:cs="Arial"/>
          <w:sz w:val="22"/>
          <w:szCs w:val="18"/>
        </w:rPr>
        <w:t xml:space="preserve"> pragmatically</w:t>
      </w:r>
      <w:r w:rsidR="0076439D">
        <w:rPr>
          <w:rFonts w:asciiTheme="majorHAnsi" w:hAnsiTheme="majorHAnsi" w:cs="Arial"/>
          <w:sz w:val="22"/>
          <w:szCs w:val="18"/>
        </w:rPr>
        <w:t xml:space="preserve"> be</w:t>
      </w:r>
      <w:r w:rsidR="00A338FB">
        <w:rPr>
          <w:rFonts w:asciiTheme="majorHAnsi" w:hAnsiTheme="majorHAnsi" w:cs="Arial"/>
          <w:sz w:val="22"/>
          <w:szCs w:val="18"/>
        </w:rPr>
        <w:t xml:space="preserve"> used by clinicians</w:t>
      </w:r>
      <w:r w:rsidR="00751022">
        <w:rPr>
          <w:rFonts w:asciiTheme="majorHAnsi" w:hAnsiTheme="majorHAnsi" w:cs="Arial"/>
          <w:sz w:val="22"/>
          <w:szCs w:val="18"/>
        </w:rPr>
        <w:t xml:space="preserve"> (Figures 1 &amp; 2</w:t>
      </w:r>
      <w:r w:rsidR="0076439D">
        <w:rPr>
          <w:rFonts w:asciiTheme="majorHAnsi" w:hAnsiTheme="majorHAnsi" w:cs="Arial"/>
          <w:sz w:val="22"/>
          <w:szCs w:val="18"/>
        </w:rPr>
        <w:t xml:space="preserve">). </w:t>
      </w:r>
      <w:r w:rsidR="00751022">
        <w:rPr>
          <w:rFonts w:asciiTheme="majorHAnsi" w:hAnsiTheme="majorHAnsi" w:cs="Arial"/>
          <w:sz w:val="22"/>
          <w:szCs w:val="18"/>
        </w:rPr>
        <w:t>Based on these criteria, for patients who concurrently had saturations measured on air and a CRP checked in this cohort (n=35), 10 patients would be discharged (five actually discharged), 21 patients would be observed (four actually discharge</w:t>
      </w:r>
      <w:r w:rsidR="000055C0">
        <w:rPr>
          <w:rFonts w:asciiTheme="majorHAnsi" w:hAnsiTheme="majorHAnsi" w:cs="Arial"/>
          <w:sz w:val="22"/>
          <w:szCs w:val="18"/>
        </w:rPr>
        <w:t>d</w:t>
      </w:r>
      <w:r w:rsidR="00751022">
        <w:rPr>
          <w:rFonts w:asciiTheme="majorHAnsi" w:hAnsiTheme="majorHAnsi" w:cs="Arial"/>
          <w:sz w:val="22"/>
          <w:szCs w:val="18"/>
        </w:rPr>
        <w:t>) and 4 directly admitted (two actually discharged) to hospital.</w:t>
      </w:r>
    </w:p>
    <w:p w14:paraId="6F861598" w14:textId="77777777" w:rsidR="00A23AC0" w:rsidRDefault="00A23AC0" w:rsidP="002E390D">
      <w:pPr>
        <w:spacing w:line="480" w:lineRule="auto"/>
        <w:rPr>
          <w:rFonts w:asciiTheme="majorHAnsi" w:hAnsiTheme="majorHAnsi" w:cs="Arial"/>
          <w:sz w:val="22"/>
          <w:szCs w:val="18"/>
        </w:rPr>
      </w:pPr>
    </w:p>
    <w:p w14:paraId="05F7564B" w14:textId="77777777" w:rsidR="00AD60BD" w:rsidRDefault="00A23AC0" w:rsidP="002E390D">
      <w:pPr>
        <w:spacing w:line="480" w:lineRule="auto"/>
        <w:rPr>
          <w:rFonts w:asciiTheme="majorHAnsi" w:hAnsiTheme="majorHAnsi" w:cs="Arial"/>
          <w:sz w:val="22"/>
          <w:szCs w:val="18"/>
        </w:rPr>
      </w:pPr>
      <w:r>
        <w:rPr>
          <w:rFonts w:asciiTheme="majorHAnsi" w:hAnsiTheme="majorHAnsi" w:cs="Arial"/>
          <w:sz w:val="22"/>
          <w:szCs w:val="18"/>
        </w:rPr>
        <w:t xml:space="preserve">In a supplementary analysis we re-examined factors that predicted mechanical ventilation as per our previous publication </w:t>
      </w:r>
      <w:r>
        <w:rPr>
          <w:rFonts w:asciiTheme="majorHAnsi" w:hAnsiTheme="majorHAnsi" w:cs="Arial"/>
          <w:sz w:val="22"/>
          <w:szCs w:val="18"/>
        </w:rPr>
        <w:fldChar w:fldCharType="begin" w:fldLock="1"/>
      </w:r>
      <w:r>
        <w:rPr>
          <w:rFonts w:asciiTheme="majorHAnsi" w:hAnsiTheme="majorHAnsi" w:cs="Arial"/>
          <w:sz w:val="22"/>
          <w:szCs w:val="18"/>
        </w:rPr>
        <w:instrText>ADDIN CSL_CITATION { "citationItems" : [ { "id" : "ITEM-1", "itemData" : { "DOI" : "10.1093/bja/aev042", "ISSN" : "1471-6771", "PMID" : "25829394", "abstract" : "BACKGROUND: Pandemic influenza presents a major threat to global health and socioeconomic well-being. Future demand for critical care may outstrip supply and force clinicians to triage patients for admission. We evaluated the Simple Triage Scoring System (STSS), Ontario Health Plan for an Influenza Epidemic (OHPIP) and PaO2 /FiO2 \u00a0(P/F) ratio to determine utility in predicting need for mechanical ventilation.\n\nMETHODS: We conducted a retrospective case note review of patients admitted to two centres, Royal Liverpool University Hospital and Countess of Chester Hospital, during the UK influenza pandemic of 2010-11. Demand for critical care during this period forced hospitals in Cheshire and Merseyside to implement escalation policies and increase capacity. Inclusion criteria were polymerase chain reaction-confirmed H1N1 influenza and age &gt;18 years. Exclusion criteria were no evidence of treatment for influenza, patient not admitted to hospital or the inability to locate case notes.\n\nRESULTS: One hundred and one patients were included, 29 were admitted to critical care and 23 required mechanical ventilation. The P/F ratio predicted the need for mechanical ventilation with a receiver operating characteristic area under the curve (ROC AUC) of 0.885 (CI 0.817-0.952). Predictive ability was not reduced when the P/F ratio had to be estimated using the Pandharipande tool. The STSS score predicted the need for mechanical ventilation [ROC AUC 0.798 (CI 0.704-0.891)]. The reverse triage component of the OHPIP tool was a poor predictor of patient outcome.\n\nCONCLUSIONS: The P/F ratio was a better predictor of need for mechanical ventilation than STSS. The P/F ratio is a simple and accepted determinant of hypoxaemia and should be used if secondary triaging becomes necessary during future influenza pandemics.", "author" : [ { "dropping-particle" : "", "family" : "Morton", "given" : "B", "non-dropping-particle" : "", "parse-names" : false, "suffix" : "" }, { "dropping-particle" : "", "family" : "Tang", "given" : "L", "non-dropping-particle" : "", "parse-names" : false, "suffix" : "" }, { "dropping-particle" : "", "family" : "Gale", "given" : "R", "non-dropping-particle" : "", "parse-names" : false, "suffix" : "" }, { "dropping-particle" : "", "family" : "Kelly", "given" : "M", "non-dropping-particle" : "", "parse-names" : false, "suffix" : "" }, { "dropping-particle" : "", "family" : "Robertson", "given" : "H", "non-dropping-particle" : "", "parse-names" : false, "suffix" : "" }, { "dropping-particle" : "", "family" : "Mogk", "given" : "M", "non-dropping-particle" : "", "parse-names" : false, "suffix" : "" }, { "dropping-particle" : "", "family" : "Robin", "given" : "N", "non-dropping-particle" : "", "parse-names" : false, "suffix" : "" }, { "dropping-particle" : "", "family" : "Welters", "given" : "I", "non-dropping-particle" : "", "parse-names" : false, "suffix" : "" } ], "container-title" : "British journal of anaesthesia", "id" : "ITEM-1", "issued" : { "date-parts" : [ [ "2015", "3", "31" ] ] }, "title" : "Performance of influenza-specific triage tools in an H1N1-positive cohort: P/F ratio better predicts the need for mechanical ventilation and critical care admission.", "type" : "article-journal" }, "uris" : [ "http://www.mendeley.com/documents/?uuid=2111d13a-f3aa-419d-bd30-db9ebea66cc5" ] } ], "mendeley" : { "formattedCitation" : "(5)", "plainTextFormattedCitation" : "(5)", "previouslyFormattedCitation" : "(5)" }, "properties" : { "noteIndex" : 0 }, "schema" : "https://github.com/citation-style-language/schema/raw/master/csl-citation.json" }</w:instrText>
      </w:r>
      <w:r>
        <w:rPr>
          <w:rFonts w:asciiTheme="majorHAnsi" w:hAnsiTheme="majorHAnsi" w:cs="Arial"/>
          <w:sz w:val="22"/>
          <w:szCs w:val="18"/>
        </w:rPr>
        <w:fldChar w:fldCharType="separate"/>
      </w:r>
      <w:r w:rsidRPr="003F274A">
        <w:rPr>
          <w:rFonts w:asciiTheme="majorHAnsi" w:hAnsiTheme="majorHAnsi" w:cs="Arial"/>
          <w:noProof/>
          <w:sz w:val="22"/>
          <w:szCs w:val="18"/>
        </w:rPr>
        <w:t>(5)</w:t>
      </w:r>
      <w:r>
        <w:rPr>
          <w:rFonts w:asciiTheme="majorHAnsi" w:hAnsiTheme="majorHAnsi" w:cs="Arial"/>
          <w:sz w:val="22"/>
          <w:szCs w:val="18"/>
        </w:rPr>
        <w:fldChar w:fldCharType="end"/>
      </w:r>
      <w:r>
        <w:rPr>
          <w:rFonts w:asciiTheme="majorHAnsi" w:hAnsiTheme="majorHAnsi" w:cs="Arial"/>
          <w:sz w:val="22"/>
          <w:szCs w:val="18"/>
        </w:rPr>
        <w:t xml:space="preserve">. The rationale for this was to include the new </w:t>
      </w:r>
      <w:r w:rsidR="00AD60BD">
        <w:rPr>
          <w:rFonts w:asciiTheme="majorHAnsi" w:hAnsiTheme="majorHAnsi" w:cs="Arial"/>
          <w:sz w:val="22"/>
          <w:szCs w:val="18"/>
        </w:rPr>
        <w:t xml:space="preserve">CXR and </w:t>
      </w:r>
      <w:proofErr w:type="spellStart"/>
      <w:r w:rsidR="00AD60BD">
        <w:rPr>
          <w:rFonts w:asciiTheme="majorHAnsi" w:hAnsiTheme="majorHAnsi" w:cs="Arial"/>
          <w:sz w:val="22"/>
          <w:szCs w:val="18"/>
        </w:rPr>
        <w:t>qSOFA</w:t>
      </w:r>
      <w:proofErr w:type="spellEnd"/>
      <w:r w:rsidR="00AD60BD">
        <w:rPr>
          <w:rFonts w:asciiTheme="majorHAnsi" w:hAnsiTheme="majorHAnsi" w:cs="Arial"/>
          <w:sz w:val="22"/>
          <w:szCs w:val="18"/>
        </w:rPr>
        <w:t xml:space="preserve"> scores</w:t>
      </w:r>
      <w:r>
        <w:rPr>
          <w:rFonts w:asciiTheme="majorHAnsi" w:hAnsiTheme="majorHAnsi" w:cs="Arial"/>
          <w:sz w:val="22"/>
          <w:szCs w:val="18"/>
        </w:rPr>
        <w:t>.</w:t>
      </w:r>
      <w:r w:rsidR="00AD60BD">
        <w:rPr>
          <w:rFonts w:asciiTheme="majorHAnsi" w:hAnsiTheme="majorHAnsi" w:cs="Arial"/>
          <w:sz w:val="22"/>
          <w:szCs w:val="18"/>
        </w:rPr>
        <w:t xml:space="preserve"> Both the CXR score (p=0.001) and </w:t>
      </w:r>
      <w:proofErr w:type="spellStart"/>
      <w:r w:rsidR="00AD60BD">
        <w:rPr>
          <w:rFonts w:asciiTheme="majorHAnsi" w:hAnsiTheme="majorHAnsi" w:cs="Arial"/>
          <w:sz w:val="22"/>
          <w:szCs w:val="18"/>
        </w:rPr>
        <w:t>qSOFA</w:t>
      </w:r>
      <w:proofErr w:type="spellEnd"/>
      <w:r w:rsidR="00AD60BD">
        <w:rPr>
          <w:rFonts w:asciiTheme="majorHAnsi" w:hAnsiTheme="majorHAnsi" w:cs="Arial"/>
          <w:sz w:val="22"/>
          <w:szCs w:val="18"/>
        </w:rPr>
        <w:t xml:space="preserve"> (p&lt;0.001) scores were significantly associated with need for ventilation on univariate analysis. CRP was not associated with need for mechanical ventilation (p=0.236). On multivariate analysis </w:t>
      </w:r>
      <w:r w:rsidR="00427ECC">
        <w:rPr>
          <w:rFonts w:asciiTheme="majorHAnsi" w:hAnsiTheme="majorHAnsi" w:cs="Arial"/>
          <w:sz w:val="22"/>
          <w:szCs w:val="18"/>
        </w:rPr>
        <w:t xml:space="preserve">association with </w:t>
      </w:r>
      <w:r w:rsidR="00AD60BD">
        <w:rPr>
          <w:rFonts w:asciiTheme="majorHAnsi" w:hAnsiTheme="majorHAnsi" w:cs="Arial"/>
          <w:sz w:val="22"/>
          <w:szCs w:val="18"/>
        </w:rPr>
        <w:t xml:space="preserve">CXR score was not significant, leaving only estimated P/F ratio and </w:t>
      </w:r>
      <w:proofErr w:type="spellStart"/>
      <w:r w:rsidR="00AD60BD">
        <w:rPr>
          <w:rFonts w:asciiTheme="majorHAnsi" w:hAnsiTheme="majorHAnsi" w:cs="Arial"/>
          <w:sz w:val="22"/>
          <w:szCs w:val="18"/>
        </w:rPr>
        <w:t>qSOFA</w:t>
      </w:r>
      <w:proofErr w:type="spellEnd"/>
      <w:r w:rsidR="00AD60BD">
        <w:rPr>
          <w:rFonts w:asciiTheme="majorHAnsi" w:hAnsiTheme="majorHAnsi" w:cs="Arial"/>
          <w:sz w:val="22"/>
          <w:szCs w:val="18"/>
        </w:rPr>
        <w:t xml:space="preserve"> and independently associated with mechanical ventilation (Table 4). A receiver operator curve was</w:t>
      </w:r>
      <w:r w:rsidR="00F74ED2">
        <w:rPr>
          <w:rFonts w:asciiTheme="majorHAnsi" w:hAnsiTheme="majorHAnsi" w:cs="Arial"/>
          <w:sz w:val="22"/>
          <w:szCs w:val="18"/>
        </w:rPr>
        <w:t xml:space="preserve"> constructed for this model an</w:t>
      </w:r>
      <w:r w:rsidR="00427ECC">
        <w:rPr>
          <w:rFonts w:asciiTheme="majorHAnsi" w:hAnsiTheme="majorHAnsi" w:cs="Arial"/>
          <w:sz w:val="22"/>
          <w:szCs w:val="18"/>
        </w:rPr>
        <w:t>d</w:t>
      </w:r>
      <w:r w:rsidR="00F74ED2">
        <w:rPr>
          <w:rFonts w:asciiTheme="majorHAnsi" w:hAnsiTheme="majorHAnsi" w:cs="Arial"/>
          <w:sz w:val="22"/>
          <w:szCs w:val="18"/>
        </w:rPr>
        <w:t xml:space="preserve"> demonstrated</w:t>
      </w:r>
      <w:r w:rsidR="00AD60BD">
        <w:rPr>
          <w:rFonts w:asciiTheme="majorHAnsi" w:hAnsiTheme="majorHAnsi" w:cs="Arial"/>
          <w:sz w:val="22"/>
          <w:szCs w:val="18"/>
        </w:rPr>
        <w:t xml:space="preserve"> </w:t>
      </w:r>
      <w:r w:rsidR="00F74ED2">
        <w:rPr>
          <w:rFonts w:asciiTheme="majorHAnsi" w:hAnsiTheme="majorHAnsi" w:cs="Arial"/>
          <w:sz w:val="22"/>
          <w:szCs w:val="18"/>
        </w:rPr>
        <w:t>an area under the curve of 0.939 (</w:t>
      </w:r>
      <w:r w:rsidR="00882105">
        <w:rPr>
          <w:rFonts w:asciiTheme="majorHAnsi" w:hAnsiTheme="majorHAnsi" w:cs="Arial"/>
          <w:sz w:val="22"/>
          <w:szCs w:val="18"/>
        </w:rPr>
        <w:t>Figure 3</w:t>
      </w:r>
      <w:r w:rsidR="00F74ED2">
        <w:rPr>
          <w:rFonts w:asciiTheme="majorHAnsi" w:hAnsiTheme="majorHAnsi" w:cs="Arial"/>
          <w:sz w:val="22"/>
          <w:szCs w:val="18"/>
        </w:rPr>
        <w:t>)</w:t>
      </w:r>
      <w:r w:rsidR="00AD60BD">
        <w:rPr>
          <w:rFonts w:asciiTheme="majorHAnsi" w:hAnsiTheme="majorHAnsi" w:cs="Arial"/>
          <w:sz w:val="22"/>
          <w:szCs w:val="18"/>
        </w:rPr>
        <w:t>.</w:t>
      </w:r>
    </w:p>
    <w:p w14:paraId="7CB62846" w14:textId="77777777" w:rsidR="00AD60BD" w:rsidRDefault="00AD60BD" w:rsidP="002E390D">
      <w:pPr>
        <w:spacing w:line="480" w:lineRule="auto"/>
        <w:rPr>
          <w:rFonts w:asciiTheme="majorHAnsi" w:hAnsiTheme="majorHAnsi" w:cs="Arial"/>
          <w:sz w:val="22"/>
          <w:szCs w:val="18"/>
        </w:rPr>
      </w:pPr>
    </w:p>
    <w:p w14:paraId="73340C00" w14:textId="77777777" w:rsidR="00AD60BD" w:rsidRDefault="00AD60BD" w:rsidP="002E390D">
      <w:pPr>
        <w:spacing w:line="480" w:lineRule="auto"/>
        <w:rPr>
          <w:rFonts w:asciiTheme="majorHAnsi" w:hAnsiTheme="majorHAnsi" w:cs="Arial"/>
          <w:sz w:val="22"/>
          <w:szCs w:val="18"/>
        </w:rPr>
      </w:pPr>
      <w:r>
        <w:rPr>
          <w:rFonts w:asciiTheme="majorHAnsi" w:hAnsiTheme="majorHAnsi" w:cs="Arial"/>
          <w:sz w:val="22"/>
          <w:szCs w:val="18"/>
        </w:rPr>
        <w:t xml:space="preserve"> </w:t>
      </w:r>
    </w:p>
    <w:p w14:paraId="2EBD3E88" w14:textId="77777777" w:rsidR="00255BE1" w:rsidRDefault="00255BE1" w:rsidP="00D8005E">
      <w:pPr>
        <w:spacing w:line="480" w:lineRule="auto"/>
        <w:rPr>
          <w:rFonts w:asciiTheme="majorHAnsi" w:hAnsiTheme="majorHAnsi" w:cs="Arial"/>
          <w:sz w:val="22"/>
          <w:szCs w:val="22"/>
        </w:rPr>
      </w:pPr>
    </w:p>
    <w:p w14:paraId="2D14BBDA" w14:textId="77777777" w:rsidR="000C5245" w:rsidRPr="002D6DC8" w:rsidRDefault="000C5245" w:rsidP="002D6DC8">
      <w:pPr>
        <w:rPr>
          <w:rFonts w:asciiTheme="majorHAnsi" w:hAnsiTheme="majorHAnsi" w:cs="Arial"/>
          <w:sz w:val="22"/>
          <w:szCs w:val="22"/>
        </w:rPr>
      </w:pPr>
    </w:p>
    <w:p w14:paraId="0F7768E0" w14:textId="77777777" w:rsidR="000C5245" w:rsidRPr="000C5245" w:rsidRDefault="000C5245" w:rsidP="00D8005E">
      <w:pPr>
        <w:spacing w:line="480" w:lineRule="auto"/>
        <w:rPr>
          <w:rFonts w:asciiTheme="majorHAnsi" w:hAnsiTheme="majorHAnsi" w:cs="Arial"/>
          <w:sz w:val="18"/>
          <w:szCs w:val="22"/>
        </w:rPr>
      </w:pPr>
    </w:p>
    <w:p w14:paraId="72FF0235" w14:textId="77777777" w:rsidR="002D6DC8" w:rsidRDefault="002D6DC8">
      <w:pPr>
        <w:rPr>
          <w:rFonts w:asciiTheme="majorHAnsi" w:hAnsiTheme="majorHAnsi" w:cs="Arial"/>
          <w:b/>
          <w:sz w:val="22"/>
          <w:szCs w:val="22"/>
          <w:u w:val="single"/>
        </w:rPr>
      </w:pPr>
      <w:r>
        <w:rPr>
          <w:rFonts w:asciiTheme="majorHAnsi" w:hAnsiTheme="majorHAnsi" w:cs="Arial"/>
          <w:b/>
          <w:sz w:val="22"/>
          <w:szCs w:val="22"/>
          <w:u w:val="single"/>
        </w:rPr>
        <w:br w:type="page"/>
      </w:r>
    </w:p>
    <w:p w14:paraId="3C04AB3B" w14:textId="77777777" w:rsidR="00D8542A" w:rsidRDefault="00D8542A" w:rsidP="00D8005E">
      <w:pPr>
        <w:spacing w:line="480" w:lineRule="auto"/>
        <w:rPr>
          <w:rFonts w:asciiTheme="majorHAnsi" w:hAnsiTheme="majorHAnsi" w:cs="Arial"/>
          <w:b/>
          <w:sz w:val="22"/>
          <w:szCs w:val="22"/>
          <w:u w:val="single"/>
        </w:rPr>
      </w:pPr>
      <w:r>
        <w:rPr>
          <w:rFonts w:asciiTheme="majorHAnsi" w:hAnsiTheme="majorHAnsi" w:cs="Arial"/>
          <w:b/>
          <w:sz w:val="22"/>
          <w:szCs w:val="22"/>
          <w:u w:val="single"/>
        </w:rPr>
        <w:lastRenderedPageBreak/>
        <w:t>Conclusions</w:t>
      </w:r>
    </w:p>
    <w:p w14:paraId="1A29D991" w14:textId="77777777" w:rsidR="001D4989" w:rsidRDefault="001D4989" w:rsidP="00D8005E">
      <w:pPr>
        <w:spacing w:line="480" w:lineRule="auto"/>
        <w:rPr>
          <w:rFonts w:asciiTheme="majorHAnsi" w:hAnsiTheme="majorHAnsi" w:cs="Arial"/>
          <w:sz w:val="22"/>
          <w:szCs w:val="22"/>
        </w:rPr>
      </w:pPr>
    </w:p>
    <w:p w14:paraId="528C4F10" w14:textId="02CCED9A" w:rsidR="00037E87" w:rsidRDefault="00037E87" w:rsidP="00D8005E">
      <w:pPr>
        <w:spacing w:line="480" w:lineRule="auto"/>
        <w:rPr>
          <w:rFonts w:asciiTheme="majorHAnsi" w:hAnsiTheme="majorHAnsi" w:cs="Arial"/>
          <w:sz w:val="22"/>
          <w:szCs w:val="22"/>
        </w:rPr>
      </w:pPr>
      <w:r>
        <w:rPr>
          <w:rFonts w:asciiTheme="majorHAnsi" w:hAnsiTheme="majorHAnsi" w:cs="Arial"/>
          <w:sz w:val="22"/>
          <w:szCs w:val="22"/>
        </w:rPr>
        <w:t xml:space="preserve">This study demonstrates that </w:t>
      </w:r>
      <w:r w:rsidR="0048580A">
        <w:rPr>
          <w:rFonts w:asciiTheme="majorHAnsi" w:hAnsiTheme="majorHAnsi" w:cs="Arial"/>
          <w:sz w:val="22"/>
          <w:szCs w:val="22"/>
        </w:rPr>
        <w:t xml:space="preserve">normal </w:t>
      </w:r>
      <w:r>
        <w:rPr>
          <w:rFonts w:asciiTheme="majorHAnsi" w:hAnsiTheme="majorHAnsi" w:cs="Arial"/>
          <w:sz w:val="22"/>
          <w:szCs w:val="22"/>
        </w:rPr>
        <w:t>oxygen exchange</w:t>
      </w:r>
      <w:r w:rsidR="0048580A">
        <w:rPr>
          <w:rFonts w:asciiTheme="majorHAnsi" w:hAnsiTheme="majorHAnsi" w:cs="Arial"/>
          <w:sz w:val="22"/>
          <w:szCs w:val="22"/>
        </w:rPr>
        <w:t xml:space="preserve"> (estimated P/F ratio) and low C-reactive protein levels predict safe discharge for patients who presented to hospital with influenza A (H1N1). Patients safely discharged were also younger, had higher albumin levels, less deranged physiological scores (</w:t>
      </w:r>
      <w:proofErr w:type="spellStart"/>
      <w:r w:rsidR="0048580A">
        <w:rPr>
          <w:rFonts w:asciiTheme="majorHAnsi" w:hAnsiTheme="majorHAnsi" w:cs="Arial"/>
          <w:sz w:val="22"/>
          <w:szCs w:val="22"/>
        </w:rPr>
        <w:t>qSOFA</w:t>
      </w:r>
      <w:proofErr w:type="spellEnd"/>
      <w:r w:rsidR="0048580A">
        <w:rPr>
          <w:rFonts w:asciiTheme="majorHAnsi" w:hAnsiTheme="majorHAnsi" w:cs="Arial"/>
          <w:sz w:val="22"/>
          <w:szCs w:val="22"/>
        </w:rPr>
        <w:t>, SOFA and STSS) and less infiltrates on a quantitative chest X-ray score. Based on our results we propose a pragmatic triage tool to guide hospital admission and discharge decisions in the event of a future influenza pandemic.</w:t>
      </w:r>
      <w:r w:rsidR="00BA4AC5">
        <w:rPr>
          <w:rFonts w:asciiTheme="majorHAnsi" w:hAnsiTheme="majorHAnsi" w:cs="Arial"/>
          <w:sz w:val="22"/>
          <w:szCs w:val="22"/>
        </w:rPr>
        <w:t xml:space="preserve"> This tool requires valid</w:t>
      </w:r>
      <w:r w:rsidR="002E56D3">
        <w:rPr>
          <w:rFonts w:asciiTheme="majorHAnsi" w:hAnsiTheme="majorHAnsi" w:cs="Arial"/>
          <w:sz w:val="22"/>
          <w:szCs w:val="22"/>
        </w:rPr>
        <w:t>ation in an additional patient cohort prior to implementation</w:t>
      </w:r>
      <w:r w:rsidR="00C540F3">
        <w:rPr>
          <w:rFonts w:asciiTheme="majorHAnsi" w:hAnsiTheme="majorHAnsi" w:cs="Arial"/>
          <w:sz w:val="22"/>
          <w:szCs w:val="22"/>
        </w:rPr>
        <w:t xml:space="preserve">, but these </w:t>
      </w:r>
      <w:r w:rsidR="006E16A6">
        <w:rPr>
          <w:rFonts w:asciiTheme="majorHAnsi" w:hAnsiTheme="majorHAnsi" w:cs="Arial"/>
          <w:sz w:val="22"/>
          <w:szCs w:val="22"/>
        </w:rPr>
        <w:t xml:space="preserve">initial </w:t>
      </w:r>
      <w:r w:rsidR="00C540F3">
        <w:rPr>
          <w:rFonts w:asciiTheme="majorHAnsi" w:hAnsiTheme="majorHAnsi" w:cs="Arial"/>
          <w:sz w:val="22"/>
          <w:szCs w:val="22"/>
        </w:rPr>
        <w:t xml:space="preserve">results suggest up to </w:t>
      </w:r>
      <w:r w:rsidR="008F2BE9">
        <w:rPr>
          <w:rFonts w:asciiTheme="majorHAnsi" w:hAnsiTheme="majorHAnsi" w:cs="Arial"/>
          <w:sz w:val="22"/>
          <w:szCs w:val="22"/>
        </w:rPr>
        <w:t>one fifth</w:t>
      </w:r>
      <w:r w:rsidR="00C540F3">
        <w:rPr>
          <w:rFonts w:asciiTheme="majorHAnsi" w:hAnsiTheme="majorHAnsi" w:cs="Arial"/>
          <w:sz w:val="22"/>
          <w:szCs w:val="22"/>
        </w:rPr>
        <w:t xml:space="preserve"> of </w:t>
      </w:r>
      <w:r w:rsidR="008F2BE9">
        <w:rPr>
          <w:rFonts w:asciiTheme="majorHAnsi" w:hAnsiTheme="majorHAnsi" w:cs="Arial"/>
          <w:sz w:val="22"/>
          <w:szCs w:val="22"/>
        </w:rPr>
        <w:t>the</w:t>
      </w:r>
      <w:r w:rsidR="00C540F3">
        <w:rPr>
          <w:rFonts w:asciiTheme="majorHAnsi" w:hAnsiTheme="majorHAnsi" w:cs="Arial"/>
          <w:sz w:val="22"/>
          <w:szCs w:val="22"/>
        </w:rPr>
        <w:t xml:space="preserve"> admissions for H1N1 in 2010-11 could </w:t>
      </w:r>
      <w:r w:rsidR="00107D96">
        <w:rPr>
          <w:rFonts w:asciiTheme="majorHAnsi" w:hAnsiTheme="majorHAnsi" w:cs="Arial"/>
          <w:sz w:val="22"/>
          <w:szCs w:val="22"/>
        </w:rPr>
        <w:t xml:space="preserve">potentially have </w:t>
      </w:r>
      <w:r w:rsidR="00C540F3">
        <w:rPr>
          <w:rFonts w:asciiTheme="majorHAnsi" w:hAnsiTheme="majorHAnsi" w:cs="Arial"/>
          <w:sz w:val="22"/>
          <w:szCs w:val="22"/>
        </w:rPr>
        <w:t>been avoided</w:t>
      </w:r>
      <w:r w:rsidR="008F2BE9">
        <w:rPr>
          <w:rFonts w:asciiTheme="majorHAnsi" w:hAnsiTheme="majorHAnsi" w:cs="Arial"/>
          <w:sz w:val="22"/>
          <w:szCs w:val="22"/>
        </w:rPr>
        <w:t xml:space="preserve"> (1759 of 8797</w:t>
      </w:r>
      <w:r w:rsidR="000D4EEE">
        <w:rPr>
          <w:rFonts w:asciiTheme="majorHAnsi" w:hAnsiTheme="majorHAnsi" w:cs="Arial"/>
          <w:sz w:val="22"/>
          <w:szCs w:val="22"/>
        </w:rPr>
        <w:t xml:space="preserve">, </w:t>
      </w:r>
      <w:r w:rsidR="00FA5767">
        <w:rPr>
          <w:rFonts w:asciiTheme="majorHAnsi" w:hAnsiTheme="majorHAnsi" w:cs="Arial"/>
          <w:sz w:val="22"/>
          <w:szCs w:val="22"/>
        </w:rPr>
        <w:fldChar w:fldCharType="begin" w:fldLock="1"/>
      </w:r>
      <w:r w:rsidR="00610094">
        <w:rPr>
          <w:rFonts w:asciiTheme="majorHAnsi" w:hAnsiTheme="majorHAnsi" w:cs="Arial"/>
          <w:sz w:val="22"/>
          <w:szCs w:val="22"/>
        </w:rPr>
        <w:instrText>ADDIN CSL_CITATION { "citationItems" : [ { "id" : "ITEM-1", "itemData" : { "ISBN" : "1560-7917 (Electronic)\\n1025-496X (Linking)", "ISSN" : "1025496X", "PMID" : "22516004", "abstract" : "Influenza pandemics are often perceived as single-year events, but the burden of previous influenza pandemics has in reality been spread over a number of years. The aim of this paper is to compare the burden of influenza in the pandemic year 2009/10 with that in the year immediately after (2010/11) in England. We compared four measures of disease. There was a greater burden of severe illness in 2010/11 compared with 2009/10: more deaths (474 vs 361), more critical care admissions (2,200 vs 1,700), and more hospital admissions (8,797 vs 7,879). In contrast, there were fewer general practice consultations in 2010/11 compared with 2009/10 (370,000 vs 580,000). There was also much less public interest in influenza, as assessed by number of Google searches. This is a worrying finding, as by the time of the second influenza season, much had been learnt about the potential impact of the influenza A(H1N1)pdm09 virus and an effective vaccine developed. We suggest that a widespread assumption of 'mildness' led to insufficient ongoing action to prevent influenza and hence to avoidable influenza-related deaths. This offers a lesson to all countries, both for future influenza seasons and for pandemic preparedness planning.", "author" : [ { "dropping-particle" : "", "family" : "Mytton", "given" : "O. T.", "non-dropping-particle" : "", "parse-names" : false, "suffix" : "" }, { "dropping-particle" : "", "family" : "Rutter", "given" : "P. D.", "non-dropping-particle" : "", "parse-names" : false, "suffix" : "" }, { "dropping-particle" : "", "family" : "Donaldson", "given" : "L. J.", "non-dropping-particle" : "", "parse-names" : false, "suffix" : "" } ], "container-title" : "Eurosurveillance", "id" : "ITEM-1", "issue" : "14", "issued" : { "date-parts" : [ [ "2012" ] ] }, "page" : "1-9", "title" : "Influenza A(H1N1)pdm09 in England, 2009 to 2011: A greater burden of severe illness in the year after the pandemic than in the pandemic year", "type" : "article-journal", "volume" : "17" }, "uris" : [ "http://www.mendeley.com/documents/?uuid=2c90318a-464d-41b3-823e-1e5d00d9d8d2" ] } ], "mendeley" : { "formattedCitation" : "(20)", "plainTextFormattedCitation" : "(20)", "previouslyFormattedCitation" : "(20)" }, "properties" : { "noteIndex" : 0 }, "schema" : "https://github.com/citation-style-language/schema/raw/master/csl-citation.json" }</w:instrText>
      </w:r>
      <w:r w:rsidR="00FA5767">
        <w:rPr>
          <w:rFonts w:asciiTheme="majorHAnsi" w:hAnsiTheme="majorHAnsi" w:cs="Arial"/>
          <w:sz w:val="22"/>
          <w:szCs w:val="22"/>
        </w:rPr>
        <w:fldChar w:fldCharType="separate"/>
      </w:r>
      <w:r w:rsidR="000D4EEE" w:rsidRPr="000D4EEE">
        <w:rPr>
          <w:rFonts w:asciiTheme="majorHAnsi" w:hAnsiTheme="majorHAnsi" w:cs="Arial"/>
          <w:noProof/>
          <w:sz w:val="22"/>
          <w:szCs w:val="22"/>
        </w:rPr>
        <w:t>(20)</w:t>
      </w:r>
      <w:r w:rsidR="00FA5767">
        <w:rPr>
          <w:rFonts w:asciiTheme="majorHAnsi" w:hAnsiTheme="majorHAnsi" w:cs="Arial"/>
          <w:sz w:val="22"/>
          <w:szCs w:val="22"/>
        </w:rPr>
        <w:fldChar w:fldCharType="end"/>
      </w:r>
      <w:r w:rsidR="008F2BE9">
        <w:rPr>
          <w:rFonts w:asciiTheme="majorHAnsi" w:hAnsiTheme="majorHAnsi" w:cs="Arial"/>
          <w:sz w:val="22"/>
          <w:szCs w:val="22"/>
        </w:rPr>
        <w:t>)</w:t>
      </w:r>
      <w:r w:rsidR="00C540F3">
        <w:rPr>
          <w:rFonts w:asciiTheme="majorHAnsi" w:hAnsiTheme="majorHAnsi" w:cs="Arial"/>
          <w:sz w:val="22"/>
          <w:szCs w:val="22"/>
        </w:rPr>
        <w:t>.</w:t>
      </w:r>
    </w:p>
    <w:p w14:paraId="6BC20C46" w14:textId="77777777" w:rsidR="002E56D3" w:rsidRDefault="002E56D3" w:rsidP="00D8005E">
      <w:pPr>
        <w:spacing w:line="480" w:lineRule="auto"/>
        <w:rPr>
          <w:rFonts w:asciiTheme="majorHAnsi" w:hAnsiTheme="majorHAnsi" w:cs="Arial"/>
          <w:sz w:val="22"/>
          <w:szCs w:val="22"/>
        </w:rPr>
      </w:pPr>
    </w:p>
    <w:p w14:paraId="0E5DD61D" w14:textId="551EF726" w:rsidR="002E56D3" w:rsidRDefault="002E56D3" w:rsidP="00D8005E">
      <w:pPr>
        <w:spacing w:line="480" w:lineRule="auto"/>
        <w:rPr>
          <w:rFonts w:asciiTheme="majorHAnsi" w:hAnsiTheme="majorHAnsi" w:cs="Arial"/>
          <w:sz w:val="22"/>
          <w:szCs w:val="22"/>
        </w:rPr>
      </w:pPr>
      <w:r>
        <w:rPr>
          <w:rFonts w:asciiTheme="majorHAnsi" w:hAnsiTheme="majorHAnsi" w:cs="Arial"/>
          <w:sz w:val="22"/>
          <w:szCs w:val="22"/>
        </w:rPr>
        <w:t xml:space="preserve">This investigation was conducted on an established patient database previously used to develop a triage tool to predict </w:t>
      </w:r>
      <w:r w:rsidR="00582DA7">
        <w:rPr>
          <w:rFonts w:asciiTheme="majorHAnsi" w:hAnsiTheme="majorHAnsi" w:cs="Arial"/>
          <w:sz w:val="22"/>
          <w:szCs w:val="22"/>
        </w:rPr>
        <w:t xml:space="preserve">need for </w:t>
      </w:r>
      <w:r>
        <w:rPr>
          <w:rFonts w:asciiTheme="majorHAnsi" w:hAnsiTheme="majorHAnsi" w:cs="Arial"/>
          <w:sz w:val="22"/>
          <w:szCs w:val="22"/>
        </w:rPr>
        <w:t xml:space="preserve">mechanical ventilation </w:t>
      </w:r>
      <w:r w:rsidR="00FA5767">
        <w:rPr>
          <w:rFonts w:asciiTheme="majorHAnsi" w:hAnsiTheme="majorHAnsi" w:cs="Arial"/>
          <w:sz w:val="22"/>
          <w:szCs w:val="22"/>
        </w:rPr>
        <w:fldChar w:fldCharType="begin" w:fldLock="1"/>
      </w:r>
      <w:r w:rsidR="0078573D">
        <w:rPr>
          <w:rFonts w:asciiTheme="majorHAnsi" w:hAnsiTheme="majorHAnsi" w:cs="Arial"/>
          <w:sz w:val="22"/>
          <w:szCs w:val="22"/>
        </w:rPr>
        <w:instrText>ADDIN CSL_CITATION { "citationItems" : [ { "id" : "ITEM-1", "itemData" : { "DOI" : "10.1093/bja/aev042", "ISSN" : "1471-6771", "PMID" : "25829394", "abstract" : "BACKGROUND: Pandemic influenza presents a major threat to global health and socioeconomic well-being. Future demand for critical care may outstrip supply and force clinicians to triage patients for admission. We evaluated the Simple Triage Scoring System (STSS), Ontario Health Plan for an Influenza Epidemic (OHPIP) and PaO2 /FiO2 \u00a0(P/F) ratio to determine utility in predicting need for mechanical ventilation.\n\nMETHODS: We conducted a retrospective case note review of patients admitted to two centres, Royal Liverpool University Hospital and Countess of Chester Hospital, during the UK influenza pandemic of 2010-11. Demand for critical care during this period forced hospitals in Cheshire and Merseyside to implement escalation policies and increase capacity. Inclusion criteria were polymerase chain reaction-confirmed H1N1 influenza and age &gt;18 years. Exclusion criteria were no evidence of treatment for influenza, patient not admitted to hospital or the inability to locate case notes.\n\nRESULTS: One hundred and one patients were included, 29 were admitted to critical care and 23 required mechanical ventilation. The P/F ratio predicted the need for mechanical ventilation with a receiver operating characteristic area under the curve (ROC AUC) of 0.885 (CI 0.817-0.952). Predictive ability was not reduced when the P/F ratio had to be estimated using the Pandharipande tool. The STSS score predicted the need for mechanical ventilation [ROC AUC 0.798 (CI 0.704-0.891)]. The reverse triage component of the OHPIP tool was a poor predictor of patient outcome.\n\nCONCLUSIONS: The P/F ratio was a better predictor of need for mechanical ventilation than STSS. The P/F ratio is a simple and accepted determinant of hypoxaemia and should be used if secondary triaging becomes necessary during future influenza pandemics.", "author" : [ { "dropping-particle" : "", "family" : "Morton", "given" : "B", "non-dropping-particle" : "", "parse-names" : false, "suffix" : "" }, { "dropping-particle" : "", "family" : "Tang", "given" : "L", "non-dropping-particle" : "", "parse-names" : false, "suffix" : "" }, { "dropping-particle" : "", "family" : "Gale", "given" : "R", "non-dropping-particle" : "", "parse-names" : false, "suffix" : "" }, { "dropping-particle" : "", "family" : "Kelly", "given" : "M", "non-dropping-particle" : "", "parse-names" : false, "suffix" : "" }, { "dropping-particle" : "", "family" : "Robertson", "given" : "H", "non-dropping-particle" : "", "parse-names" : false, "suffix" : "" }, { "dropping-particle" : "", "family" : "Mogk", "given" : "M", "non-dropping-particle" : "", "parse-names" : false, "suffix" : "" }, { "dropping-particle" : "", "family" : "Robin", "given" : "N", "non-dropping-particle" : "", "parse-names" : false, "suffix" : "" }, { "dropping-particle" : "", "family" : "Welters", "given" : "I", "non-dropping-particle" : "", "parse-names" : false, "suffix" : "" } ], "container-title" : "British journal of anaesthesia", "id" : "ITEM-1", "issued" : { "date-parts" : [ [ "2015", "3", "31" ] ] }, "title" : "Performance of influenza-specific triage tools in an H1N1-positive cohort: P/F ratio better predicts the need for mechanical ventilation and critical care admission.", "type" : "article-journal" }, "uris" : [ "http://www.mendeley.com/documents/?uuid=2111d13a-f3aa-419d-bd30-db9ebea66cc5" ] } ], "mendeley" : { "formattedCitation" : "(5)", "plainTextFormattedCitation" : "(5)", "previouslyFormattedCitation" : "(5)" }, "properties" : { "noteIndex" : 0 }, "schema" : "https://github.com/citation-style-language/schema/raw/master/csl-citation.json" }</w:instrText>
      </w:r>
      <w:r w:rsidR="00FA5767">
        <w:rPr>
          <w:rFonts w:asciiTheme="majorHAnsi" w:hAnsiTheme="majorHAnsi" w:cs="Arial"/>
          <w:sz w:val="22"/>
          <w:szCs w:val="22"/>
        </w:rPr>
        <w:fldChar w:fldCharType="separate"/>
      </w:r>
      <w:r w:rsidR="003F274A" w:rsidRPr="003F274A">
        <w:rPr>
          <w:rFonts w:asciiTheme="majorHAnsi" w:hAnsiTheme="majorHAnsi" w:cs="Arial"/>
          <w:noProof/>
          <w:sz w:val="22"/>
          <w:szCs w:val="22"/>
        </w:rPr>
        <w:t>(5)</w:t>
      </w:r>
      <w:r w:rsidR="00FA5767">
        <w:rPr>
          <w:rFonts w:asciiTheme="majorHAnsi" w:hAnsiTheme="majorHAnsi" w:cs="Arial"/>
          <w:sz w:val="22"/>
          <w:szCs w:val="22"/>
        </w:rPr>
        <w:fldChar w:fldCharType="end"/>
      </w:r>
      <w:r>
        <w:rPr>
          <w:rFonts w:asciiTheme="majorHAnsi" w:hAnsiTheme="majorHAnsi" w:cs="Arial"/>
          <w:sz w:val="22"/>
          <w:szCs w:val="22"/>
        </w:rPr>
        <w:t>. This database was supplemented to include additional clinical information commonly requested by</w:t>
      </w:r>
      <w:r w:rsidR="007607FD">
        <w:rPr>
          <w:rFonts w:asciiTheme="majorHAnsi" w:hAnsiTheme="majorHAnsi" w:cs="Arial"/>
          <w:sz w:val="22"/>
          <w:szCs w:val="22"/>
        </w:rPr>
        <w:t xml:space="preserve"> clinicians treating patients at</w:t>
      </w:r>
      <w:r>
        <w:rPr>
          <w:rFonts w:asciiTheme="majorHAnsi" w:hAnsiTheme="majorHAnsi" w:cs="Arial"/>
          <w:sz w:val="22"/>
          <w:szCs w:val="22"/>
        </w:rPr>
        <w:t xml:space="preserve"> pre</w:t>
      </w:r>
      <w:r w:rsidR="007607FD">
        <w:rPr>
          <w:rFonts w:asciiTheme="majorHAnsi" w:hAnsiTheme="majorHAnsi" w:cs="Arial"/>
          <w:sz w:val="22"/>
          <w:szCs w:val="22"/>
        </w:rPr>
        <w:t>sentation</w:t>
      </w:r>
      <w:r w:rsidR="00F60793">
        <w:rPr>
          <w:rFonts w:asciiTheme="majorHAnsi" w:hAnsiTheme="majorHAnsi" w:cs="Arial"/>
          <w:sz w:val="22"/>
          <w:szCs w:val="22"/>
        </w:rPr>
        <w:t xml:space="preserve"> (CXR) and the </w:t>
      </w:r>
      <w:proofErr w:type="spellStart"/>
      <w:r w:rsidR="00F60793">
        <w:rPr>
          <w:rFonts w:asciiTheme="majorHAnsi" w:hAnsiTheme="majorHAnsi" w:cs="Arial"/>
          <w:sz w:val="22"/>
          <w:szCs w:val="22"/>
        </w:rPr>
        <w:t>qSOFA</w:t>
      </w:r>
      <w:proofErr w:type="spellEnd"/>
      <w:r w:rsidR="00F60793">
        <w:rPr>
          <w:rFonts w:asciiTheme="majorHAnsi" w:hAnsiTheme="majorHAnsi" w:cs="Arial"/>
          <w:sz w:val="22"/>
          <w:szCs w:val="22"/>
        </w:rPr>
        <w:t xml:space="preserve"> score in light of the recent update to sepsis definitions </w:t>
      </w:r>
      <w:r w:rsidR="00FA5767">
        <w:rPr>
          <w:rFonts w:asciiTheme="majorHAnsi" w:hAnsiTheme="majorHAnsi" w:cs="Arial"/>
          <w:sz w:val="22"/>
          <w:szCs w:val="22"/>
        </w:rPr>
        <w:fldChar w:fldCharType="begin" w:fldLock="1"/>
      </w:r>
      <w:r w:rsidR="000D4EEE">
        <w:rPr>
          <w:rFonts w:asciiTheme="majorHAnsi" w:hAnsiTheme="majorHAnsi" w:cs="Arial"/>
          <w:sz w:val="22"/>
          <w:szCs w:val="22"/>
        </w:rPr>
        <w:instrText>ADDIN CSL_CITATION { "citationItems" : [ { "id" : "ITEM-1", "itemData" : { "DOI" : "10.1001/jama.2016.0287", "ISSN" : "0098-7484", "PMID" : "26903338", "abstract" : "Importance: Definitions of sepsis and septic shock were last revised in 2001. Considerable advances have since been made into the pathobiology (changes in organ function, morphology, cell biology, biochemistry, immunology, and circulation), management, and epidemiology of sepsis, suggesting the need for reexamination.\n\nObjective: To evaluate and, as needed, update definitions for sepsis and septic shock.\n\nProcess: A task force (n\u2009=\u200919) with expertise in sepsis pathobiology, clinical trials, and epidemiology was convened by the Society of Critical Care Medicine and the European Society of Intensive Care Medicine. Definitions and clinical criteria were generated through meetings, Delphi processes, analysis of electronic health record databases, and voting, followed by circulation to international professional societies, requesting peer review and endorsement (by 31 societies listed in the Acknowledgment).\n\nKey Findings From Evidence Synthesis: Limitations of previous definitions included an excessive focus on inflammation, the misleading model that sepsis follows a continuum through severe sepsis to shock, and inadequate specificity and sensitivity of the systemic inflammatory response syndrome (SIRS) criteria. Multiple definitions and terminologies are currently in use for sepsis, septic shock, and organ dysfunction, leading to discrepancies in reported incidence and observed mortality. The task force concluded the term severe sepsis was redundant.\n\nRecommendations: Sepsis should be defined as life-threatening organ dysfunction caused by a dysregulated host response to infection. For clinical operationalization, organ dysfunction can be represented by an increase in the Sequential [Sepsis-related] Organ Failure Assessment (SOFA) score of 2 points or more, which is associated with an in-hospital mortality greater than 10%. Septic shock should be defined as a subset of sepsis in which particularly profound circulatory, cellular, and metabolic abnormalities are associated with a greater risk of mortality than with sepsis alone. Patients with septic shock can be clinically identified by a vasopressor requirement to maintain a mean arterial pressure of 65 mm Hg or greater and serum lactate level greater than 2 mmol/L (&gt;18 mg/dL) in the absence of hypovolemia. This combination is associated with hospital mortality rates greater than 40%. In out-of-hospital, emergency department, or general hospital ward settings, adult patients with suspected infection can be \u2026", "author" : [ { "dropping-particle" : "", "family" : "Singer", "given" : "Mervyn", "non-dropping-particle" : "", "parse-names" : false, "suffix" : "" }, { "dropping-particle" : "", "family" : "Deutschman", "given" : "Clifford S.", "non-dropping-particle" : "", "parse-names" : false, "suffix" : "" }, { "dropping-particle" : "", "family" : "Seymour", "given" : "Christopher Warren", "non-dropping-particle" : "", "parse-names" : false, "suffix" : "" }, { "dropping-particle" : "", "family" : "Shankar-Hari", "given" : "Manu", "non-dropping-particle" : "", "parse-names" : false, "suffix" : "" }, { "dropping-particle" : "", "family" : "Annane", "given" : "Djillali", "non-dropping-particle" : "", "parse-names" : false, "suffix" : "" }, { "dropping-particle" : "", "family" : "Bauer", "given" : "Michael", "non-dropping-particle" : "", "parse-names" : false, "suffix" : "" }, { "dropping-particle" : "", "family" : "Bellomo", "given" : "Rinaldo", "non-dropping-particle" : "", "parse-names" : false, "suffix" : "" }, { "dropping-particle" : "", "family" : "Bernard", "given" : "Gordon R.", "non-dropping-particle" : "", "parse-names" : false, "suffix" : "" }, { "dropping-particle" : "", "family" : "Chiche", "given" : "Jean-Daniel", "non-dropping-particle" : "", "parse-names" : false, "suffix" : "" }, { "dropping-particle" : "", "family" : "Coopersmith", "given" : "Craig M.", "non-dropping-particle" : "", "parse-names" : false, "suffix" : "" }, { "dropping-particle" : "", "family" : "Hotchkiss", "given" : "Richard S.", "non-dropping-particle" : "", "parse-names" : false, "suffix" : "" }, { "dropping-particle" : "", "family" : "Levy", "given" : "Mitchell M.", "non-dropping-particle" : "", "parse-names" : false, "suffix" : "" }, { "dropping-particle" : "", "family" : "Marshall", "given" : "John C.", "non-dropping-particle" : "", "parse-names" : false, "suffix" : "" }, { "dropping-particle" : "", "family" : "Martin", "given" : "Greg S.", "non-dropping-particle" : "", "parse-names" : false, "suffix" : "" }, { "dropping-particle" : "", "family" : "Opal", "given" : "Steven M.", "non-dropping-particle" : "", "parse-names" : false, "suffix" : "" }, { "dropping-particle" : "", "family" : "Rubenfeld", "given" : "Gordon D.", "non-dropping-particle" : "", "parse-names" : false, "suffix" : "" }, { "dropping-particle" : "", "family" : "Poll", "given" : "Tom", "non-dropping-particle" : "van der", "parse-names" : false, "suffix" : "" }, { "dropping-particle" : "", "family" : "Vincent", "given" : "Jean-Louis", "non-dropping-particle" : "", "parse-names" : false, "suffix" : "" }, { "dropping-particle" : "", "family" : "Angus", "given" : "Derek C.", "non-dropping-particle" : "", "parse-names" : false, "suffix" : "" } ], "container-title" : "JAMA", "id" : "ITEM-1", "issue" : "8", "issued" : { "date-parts" : [ [ "2016", "2", "23" ] ] }, "page" : "801", "title" : "The Third International Consensus Definitions for Sepsis and Septic Shock (Sepsis-3)", "type" : "article-journal", "volume" : "315" }, "uris" : [ "http://www.mendeley.com/documents/?uuid=b548cef4-7444-4f2a-aefa-a4d52a985ec2" ] } ], "mendeley" : { "formattedCitation" : "(15)", "plainTextFormattedCitation" : "(15)", "previouslyFormattedCitation" : "(15)" }, "properties" : { "noteIndex" : 0 }, "schema" : "https://github.com/citation-style-language/schema/raw/master/csl-citation.json" }</w:instrText>
      </w:r>
      <w:r w:rsidR="00FA5767">
        <w:rPr>
          <w:rFonts w:asciiTheme="majorHAnsi" w:hAnsiTheme="majorHAnsi" w:cs="Arial"/>
          <w:sz w:val="22"/>
          <w:szCs w:val="22"/>
        </w:rPr>
        <w:fldChar w:fldCharType="separate"/>
      </w:r>
      <w:r w:rsidR="003B7B92" w:rsidRPr="003B7B92">
        <w:rPr>
          <w:rFonts w:asciiTheme="majorHAnsi" w:hAnsiTheme="majorHAnsi" w:cs="Arial"/>
          <w:noProof/>
          <w:sz w:val="22"/>
          <w:szCs w:val="22"/>
        </w:rPr>
        <w:t>(15)</w:t>
      </w:r>
      <w:r w:rsidR="00FA5767">
        <w:rPr>
          <w:rFonts w:asciiTheme="majorHAnsi" w:hAnsiTheme="majorHAnsi" w:cs="Arial"/>
          <w:sz w:val="22"/>
          <w:szCs w:val="22"/>
        </w:rPr>
        <w:fldChar w:fldCharType="end"/>
      </w:r>
      <w:r>
        <w:rPr>
          <w:rFonts w:asciiTheme="majorHAnsi" w:hAnsiTheme="majorHAnsi" w:cs="Arial"/>
          <w:sz w:val="22"/>
          <w:szCs w:val="22"/>
        </w:rPr>
        <w:t>.</w:t>
      </w:r>
      <w:r w:rsidR="00F60793">
        <w:rPr>
          <w:rFonts w:asciiTheme="majorHAnsi" w:hAnsiTheme="majorHAnsi" w:cs="Arial"/>
          <w:sz w:val="22"/>
          <w:szCs w:val="22"/>
        </w:rPr>
        <w:t xml:space="preserve"> Multiple clinical parameters were associated with safe discharge on univariate analysis </w:t>
      </w:r>
      <w:r w:rsidR="007607FD">
        <w:rPr>
          <w:rFonts w:asciiTheme="majorHAnsi" w:hAnsiTheme="majorHAnsi" w:cs="Arial"/>
          <w:sz w:val="22"/>
          <w:szCs w:val="22"/>
        </w:rPr>
        <w:t xml:space="preserve">(Table 2) </w:t>
      </w:r>
      <w:r w:rsidR="00F60793">
        <w:rPr>
          <w:rFonts w:asciiTheme="majorHAnsi" w:hAnsiTheme="majorHAnsi" w:cs="Arial"/>
          <w:sz w:val="22"/>
          <w:szCs w:val="22"/>
        </w:rPr>
        <w:t>but only estimated P/F ratio and CRP remained as independently associated when a multivariate model was constructed (Table 3). Our aim was to develop a pragmatic triage tool that can be used by treating clinicians</w:t>
      </w:r>
      <w:r w:rsidR="00805AF8">
        <w:rPr>
          <w:rFonts w:asciiTheme="majorHAnsi" w:hAnsiTheme="majorHAnsi" w:cs="Arial"/>
          <w:sz w:val="22"/>
          <w:szCs w:val="22"/>
        </w:rPr>
        <w:t xml:space="preserve"> without recourse to complex calculations</w:t>
      </w:r>
      <w:r w:rsidR="00F60793">
        <w:rPr>
          <w:rFonts w:asciiTheme="majorHAnsi" w:hAnsiTheme="majorHAnsi" w:cs="Arial"/>
          <w:sz w:val="22"/>
          <w:szCs w:val="22"/>
        </w:rPr>
        <w:t>. Therefore, we constructed a new variable: estimated P/F ratio minus CRP (no weighting) and sensitivity / sp</w:t>
      </w:r>
      <w:r w:rsidR="00805AF8">
        <w:rPr>
          <w:rFonts w:asciiTheme="majorHAnsi" w:hAnsiTheme="majorHAnsi" w:cs="Arial"/>
          <w:sz w:val="22"/>
          <w:szCs w:val="22"/>
        </w:rPr>
        <w:t xml:space="preserve">ecificity cut-off points were described (Figure 1). Using this information we developed a triage tool to guide clinical decision-making </w:t>
      </w:r>
      <w:r w:rsidR="00B96E16">
        <w:rPr>
          <w:rFonts w:asciiTheme="majorHAnsi" w:hAnsiTheme="majorHAnsi" w:cs="Arial"/>
          <w:sz w:val="22"/>
          <w:szCs w:val="22"/>
        </w:rPr>
        <w:t xml:space="preserve">that did not require the user to be familiar with calculation of P/F ratio, and did not require arithmetic that could introduce error </w:t>
      </w:r>
      <w:r w:rsidR="00805AF8">
        <w:rPr>
          <w:rFonts w:asciiTheme="majorHAnsi" w:hAnsiTheme="majorHAnsi" w:cs="Arial"/>
          <w:sz w:val="22"/>
          <w:szCs w:val="22"/>
        </w:rPr>
        <w:t>(Figure 2). Estimated P/F ratio was calculated using air (FiO</w:t>
      </w:r>
      <w:r w:rsidR="00805AF8">
        <w:rPr>
          <w:rFonts w:asciiTheme="majorHAnsi" w:hAnsiTheme="majorHAnsi" w:cs="Arial"/>
          <w:sz w:val="22"/>
          <w:szCs w:val="22"/>
          <w:vertAlign w:val="subscript"/>
        </w:rPr>
        <w:t xml:space="preserve">2 </w:t>
      </w:r>
      <w:r w:rsidR="00805AF8">
        <w:rPr>
          <w:rFonts w:asciiTheme="majorHAnsi" w:hAnsiTheme="majorHAnsi" w:cs="Arial"/>
          <w:sz w:val="22"/>
          <w:szCs w:val="22"/>
        </w:rPr>
        <w:t xml:space="preserve">=0.21) for this tool on the assumption that any patient who requires oxygen to </w:t>
      </w:r>
      <w:r w:rsidR="00805AF8">
        <w:rPr>
          <w:rFonts w:asciiTheme="majorHAnsi" w:hAnsiTheme="majorHAnsi" w:cs="Arial"/>
          <w:sz w:val="22"/>
          <w:szCs w:val="22"/>
        </w:rPr>
        <w:lastRenderedPageBreak/>
        <w:t xml:space="preserve">maintain </w:t>
      </w:r>
      <w:r w:rsidR="005D5756">
        <w:rPr>
          <w:rFonts w:asciiTheme="majorHAnsi" w:hAnsiTheme="majorHAnsi" w:cs="Arial"/>
          <w:sz w:val="22"/>
          <w:szCs w:val="22"/>
        </w:rPr>
        <w:t>Sp</w:t>
      </w:r>
      <w:r w:rsidR="00805AF8" w:rsidRPr="00805AF8">
        <w:rPr>
          <w:rFonts w:asciiTheme="majorHAnsi" w:hAnsiTheme="majorHAnsi" w:cs="Arial"/>
          <w:sz w:val="22"/>
          <w:szCs w:val="22"/>
        </w:rPr>
        <w:t>O</w:t>
      </w:r>
      <w:r w:rsidR="00805AF8">
        <w:rPr>
          <w:rFonts w:asciiTheme="majorHAnsi" w:hAnsiTheme="majorHAnsi" w:cs="Arial"/>
          <w:sz w:val="22"/>
          <w:szCs w:val="22"/>
          <w:vertAlign w:val="subscript"/>
        </w:rPr>
        <w:t>2</w:t>
      </w:r>
      <w:r w:rsidR="00805AF8">
        <w:rPr>
          <w:rFonts w:asciiTheme="majorHAnsi" w:hAnsiTheme="majorHAnsi" w:cs="Arial"/>
          <w:sz w:val="22"/>
          <w:szCs w:val="22"/>
        </w:rPr>
        <w:t xml:space="preserve"> &gt;9</w:t>
      </w:r>
      <w:r w:rsidR="002E474E">
        <w:rPr>
          <w:rFonts w:asciiTheme="majorHAnsi" w:hAnsiTheme="majorHAnsi" w:cs="Arial"/>
          <w:sz w:val="22"/>
          <w:szCs w:val="22"/>
        </w:rPr>
        <w:t>3% would automatically require hospital admission</w:t>
      </w:r>
      <w:r w:rsidR="00805AF8">
        <w:rPr>
          <w:rFonts w:asciiTheme="majorHAnsi" w:hAnsiTheme="majorHAnsi" w:cs="Arial"/>
          <w:sz w:val="22"/>
          <w:szCs w:val="22"/>
        </w:rPr>
        <w:t>.</w:t>
      </w:r>
      <w:r w:rsidR="007607FD">
        <w:rPr>
          <w:rFonts w:asciiTheme="majorHAnsi" w:hAnsiTheme="majorHAnsi" w:cs="Arial"/>
          <w:sz w:val="22"/>
          <w:szCs w:val="22"/>
        </w:rPr>
        <w:t xml:space="preserve"> This</w:t>
      </w:r>
      <w:r w:rsidR="004341C0">
        <w:rPr>
          <w:rFonts w:asciiTheme="majorHAnsi" w:hAnsiTheme="majorHAnsi" w:cs="Arial"/>
          <w:sz w:val="22"/>
          <w:szCs w:val="22"/>
        </w:rPr>
        <w:t xml:space="preserve"> approach is in line</w:t>
      </w:r>
      <w:r w:rsidR="009E1474">
        <w:rPr>
          <w:rFonts w:asciiTheme="majorHAnsi" w:hAnsiTheme="majorHAnsi" w:cs="Arial"/>
          <w:sz w:val="22"/>
          <w:szCs w:val="22"/>
        </w:rPr>
        <w:t xml:space="preserve"> with the</w:t>
      </w:r>
      <w:r w:rsidR="004341C0">
        <w:rPr>
          <w:rFonts w:asciiTheme="majorHAnsi" w:hAnsiTheme="majorHAnsi" w:cs="Arial"/>
          <w:sz w:val="22"/>
          <w:szCs w:val="22"/>
        </w:rPr>
        <w:t xml:space="preserve"> British </w:t>
      </w:r>
      <w:r w:rsidR="009E1474">
        <w:rPr>
          <w:rFonts w:asciiTheme="majorHAnsi" w:hAnsiTheme="majorHAnsi" w:cs="Arial"/>
          <w:sz w:val="22"/>
          <w:szCs w:val="22"/>
        </w:rPr>
        <w:t xml:space="preserve">Thoracic </w:t>
      </w:r>
      <w:r w:rsidR="004341C0">
        <w:rPr>
          <w:rFonts w:asciiTheme="majorHAnsi" w:hAnsiTheme="majorHAnsi" w:cs="Arial"/>
          <w:sz w:val="22"/>
          <w:szCs w:val="22"/>
        </w:rPr>
        <w:t>Society guideline on supp</w:t>
      </w:r>
      <w:r w:rsidR="009E1474">
        <w:rPr>
          <w:rFonts w:asciiTheme="majorHAnsi" w:hAnsiTheme="majorHAnsi" w:cs="Arial"/>
          <w:sz w:val="22"/>
          <w:szCs w:val="22"/>
        </w:rPr>
        <w:t>lemental oxygen stating that oxygen</w:t>
      </w:r>
      <w:r w:rsidR="004341C0">
        <w:rPr>
          <w:rFonts w:asciiTheme="majorHAnsi" w:hAnsiTheme="majorHAnsi" w:cs="Arial"/>
          <w:sz w:val="22"/>
          <w:szCs w:val="22"/>
        </w:rPr>
        <w:t xml:space="preserve"> should be titrated to saturations of 94-98% in the emergency setting </w:t>
      </w:r>
      <w:r w:rsidR="00FA5767">
        <w:rPr>
          <w:rFonts w:asciiTheme="majorHAnsi" w:hAnsiTheme="majorHAnsi" w:cs="Arial"/>
          <w:sz w:val="22"/>
          <w:szCs w:val="22"/>
        </w:rPr>
        <w:fldChar w:fldCharType="begin" w:fldLock="1"/>
      </w:r>
      <w:r w:rsidR="00610094">
        <w:rPr>
          <w:rFonts w:asciiTheme="majorHAnsi" w:hAnsiTheme="majorHAnsi" w:cs="Arial"/>
          <w:sz w:val="22"/>
          <w:szCs w:val="22"/>
        </w:rPr>
        <w:instrText>ADDIN CSL_CITATION { "citationItems" : [ { "id" : "ITEM-1", "itemData" : { "DOI" : "10.1136/thx.2008.102947", "ISBN" : "1468-3296 (Electronic)\\r0040-6376 (Linking)", "ISSN" : "0040-6376", "PMID" : "18838559", "abstract" : "Oxygen is a treatment for hypoxaemia, not breathlessness. (Oxygen has not been shown to have any effect on the sensation of breathlessness in non-hypoxaemic patients.) The essence of this guideline can be summarised simply as a requirement for oxygen to be prescribed according to a target saturation range and for those who administer oxygen therapy to monitor the patient and keep within the target saturation range. The guideline suggests aiming to achieve normal or near-normal oxygen saturation for all acutely ill patients apart from those at risk of hypercapnic respiratory failure or those receiving terminal palliative care.", "author" : [ { "dropping-particle" : "", "family" : "O'Driscoll", "given" : "B R", "non-dropping-particle" : "", "parse-names" : false, "suffix" : "" }, { "dropping-particle" : "", "family" : "Howard", "given" : "L S", "non-dropping-particle" : "", "parse-names" : false, "suffix" : "" }, { "dropping-particle" : "", "family" : "Davison", "given" : "a G", "non-dropping-particle" : "", "parse-names" : false, "suffix" : "" } ], "container-title" : "Thorax", "id" : "ITEM-1", "issue" : "October", "issued" : { "date-parts" : [ [ "2008" ] ] }, "page" : "vi1-i68", "title" : "BTS guideline for emergency oxygen use in adult patients.", "type" : "article-journal", "volume" : "63 Suppl 6" }, "uris" : [ "http://www.mendeley.com/documents/?uuid=ac4bd0ab-f2e6-462a-92d0-83c4a0e6940f" ] } ], "mendeley" : { "formattedCitation" : "(21)", "plainTextFormattedCitation" : "(21)", "previouslyFormattedCitation" : "(21)" }, "properties" : { "noteIndex" : 0 }, "schema" : "https://github.com/citation-style-language/schema/raw/master/csl-citation.json" }</w:instrText>
      </w:r>
      <w:r w:rsidR="00FA5767">
        <w:rPr>
          <w:rFonts w:asciiTheme="majorHAnsi" w:hAnsiTheme="majorHAnsi" w:cs="Arial"/>
          <w:sz w:val="22"/>
          <w:szCs w:val="22"/>
        </w:rPr>
        <w:fldChar w:fldCharType="separate"/>
      </w:r>
      <w:r w:rsidR="000D4EEE" w:rsidRPr="000D4EEE">
        <w:rPr>
          <w:rFonts w:asciiTheme="majorHAnsi" w:hAnsiTheme="majorHAnsi" w:cs="Arial"/>
          <w:noProof/>
          <w:sz w:val="22"/>
          <w:szCs w:val="22"/>
        </w:rPr>
        <w:t>(21)</w:t>
      </w:r>
      <w:r w:rsidR="00FA5767">
        <w:rPr>
          <w:rFonts w:asciiTheme="majorHAnsi" w:hAnsiTheme="majorHAnsi" w:cs="Arial"/>
          <w:sz w:val="22"/>
          <w:szCs w:val="22"/>
        </w:rPr>
        <w:fldChar w:fldCharType="end"/>
      </w:r>
      <w:r w:rsidR="004341C0">
        <w:rPr>
          <w:rFonts w:asciiTheme="majorHAnsi" w:hAnsiTheme="majorHAnsi" w:cs="Arial"/>
          <w:sz w:val="22"/>
          <w:szCs w:val="22"/>
        </w:rPr>
        <w:t>.</w:t>
      </w:r>
    </w:p>
    <w:p w14:paraId="40EBD39A" w14:textId="77777777" w:rsidR="002D6D73" w:rsidRDefault="002D6D73" w:rsidP="00D8005E">
      <w:pPr>
        <w:spacing w:line="480" w:lineRule="auto"/>
        <w:rPr>
          <w:rFonts w:asciiTheme="majorHAnsi" w:hAnsiTheme="majorHAnsi" w:cs="Arial"/>
          <w:sz w:val="22"/>
          <w:szCs w:val="22"/>
        </w:rPr>
      </w:pPr>
    </w:p>
    <w:p w14:paraId="32219636" w14:textId="174C4CB1" w:rsidR="002D6D73" w:rsidRPr="007607FD" w:rsidRDefault="002D6D73" w:rsidP="002D6D73">
      <w:pPr>
        <w:spacing w:line="480" w:lineRule="auto"/>
        <w:rPr>
          <w:rFonts w:asciiTheme="majorHAnsi" w:hAnsiTheme="majorHAnsi" w:cs="Times New Roman"/>
          <w:sz w:val="22"/>
          <w:szCs w:val="22"/>
          <w:lang w:val="en-US"/>
        </w:rPr>
      </w:pPr>
      <w:r>
        <w:rPr>
          <w:rFonts w:asciiTheme="majorHAnsi" w:hAnsiTheme="majorHAnsi" w:cs="Arial"/>
          <w:sz w:val="22"/>
          <w:szCs w:val="22"/>
        </w:rPr>
        <w:t xml:space="preserve">Patients with influenza may rapidly deteriorate within a 24 hour period </w:t>
      </w:r>
      <w:r w:rsidR="00FA5767">
        <w:rPr>
          <w:rFonts w:asciiTheme="majorHAnsi" w:hAnsiTheme="majorHAnsi" w:cs="Arial"/>
          <w:sz w:val="22"/>
          <w:szCs w:val="22"/>
        </w:rPr>
        <w:fldChar w:fldCharType="begin" w:fldLock="1"/>
      </w:r>
      <w:r w:rsidR="00610094">
        <w:rPr>
          <w:rFonts w:asciiTheme="majorHAnsi" w:hAnsiTheme="majorHAnsi" w:cs="Arial"/>
          <w:sz w:val="22"/>
          <w:szCs w:val="22"/>
        </w:rPr>
        <w:instrText>ADDIN CSL_CITATION { "citationItems" : [ { "id" : "ITEM-1", "itemData" : { "URL" : "http://www.who.int/csr/resources/publications/swineflu/clinical_management/en/", "accessed" : { "date-parts" : [ [ "2016", "7", "21" ] ] }, "author" : [ { "dropping-particle" : "", "family" : "WHO", "given" : "", "non-dropping-particle" : "", "parse-names" : false, "suffix" : "" } ], "id" : "ITEM-1", "issued" : { "date-parts" : [ [ "0" ] ] }, "title" : "Clinical management of human infection with pandemic (H1N1) 2009: revised guidance", "type" : "webpage" }, "uris" : [ "http://www.mendeley.com/documents/?uuid=1455a3a2-1586-4158-8245-3172b9d88caa" ] } ], "mendeley" : { "formattedCitation" : "(22)", "plainTextFormattedCitation" : "(22)", "previouslyFormattedCitation" : "(22)" }, "properties" : { "noteIndex" : 0 }, "schema" : "https://github.com/citation-style-language/schema/raw/master/csl-citation.json" }</w:instrText>
      </w:r>
      <w:r w:rsidR="00FA5767">
        <w:rPr>
          <w:rFonts w:asciiTheme="majorHAnsi" w:hAnsiTheme="majorHAnsi" w:cs="Arial"/>
          <w:sz w:val="22"/>
          <w:szCs w:val="22"/>
        </w:rPr>
        <w:fldChar w:fldCharType="separate"/>
      </w:r>
      <w:r w:rsidR="000D4EEE" w:rsidRPr="000D4EEE">
        <w:rPr>
          <w:rFonts w:asciiTheme="majorHAnsi" w:hAnsiTheme="majorHAnsi" w:cs="Arial"/>
          <w:noProof/>
          <w:sz w:val="22"/>
          <w:szCs w:val="22"/>
        </w:rPr>
        <w:t>(22)</w:t>
      </w:r>
      <w:r w:rsidR="00FA5767">
        <w:rPr>
          <w:rFonts w:asciiTheme="majorHAnsi" w:hAnsiTheme="majorHAnsi" w:cs="Arial"/>
          <w:sz w:val="22"/>
          <w:szCs w:val="22"/>
        </w:rPr>
        <w:fldChar w:fldCharType="end"/>
      </w:r>
      <w:r>
        <w:rPr>
          <w:rFonts w:asciiTheme="majorHAnsi" w:hAnsiTheme="majorHAnsi" w:cs="Arial"/>
          <w:sz w:val="22"/>
          <w:szCs w:val="22"/>
        </w:rPr>
        <w:t xml:space="preserve">. We have therefore been conservative in our approach and advocated a period of observation for patients with </w:t>
      </w:r>
      <w:r w:rsidR="003B7B92">
        <w:rPr>
          <w:rFonts w:asciiTheme="majorHAnsi" w:hAnsiTheme="majorHAnsi" w:cs="Arial"/>
          <w:sz w:val="22"/>
          <w:szCs w:val="22"/>
        </w:rPr>
        <w:t xml:space="preserve">discordant saturations and </w:t>
      </w:r>
      <w:r>
        <w:rPr>
          <w:rFonts w:asciiTheme="majorHAnsi" w:hAnsiTheme="majorHAnsi" w:cs="Arial"/>
          <w:sz w:val="22"/>
          <w:szCs w:val="22"/>
        </w:rPr>
        <w:t>CRP before a final admission decision is made (Figure 2). We would caveat our proposed approach to allow factors such as co-morbidity, pregnancy and clinical concern to be incorporated into the final hospital admission decision.</w:t>
      </w:r>
      <w:r w:rsidR="007607FD">
        <w:rPr>
          <w:rFonts w:asciiTheme="majorHAnsi" w:hAnsiTheme="majorHAnsi" w:cs="Arial"/>
          <w:sz w:val="22"/>
          <w:szCs w:val="22"/>
        </w:rPr>
        <w:t xml:space="preserve"> </w:t>
      </w:r>
      <w:r w:rsidR="007607FD">
        <w:rPr>
          <w:rFonts w:asciiTheme="majorHAnsi" w:hAnsiTheme="majorHAnsi" w:cs="Times New Roman"/>
          <w:sz w:val="22"/>
          <w:szCs w:val="22"/>
          <w:lang w:val="en-US"/>
        </w:rPr>
        <w:t xml:space="preserve">Point of care tests are increasingly used by primary care practitioners to measure CRP </w:t>
      </w:r>
      <w:r w:rsidR="00FA5767">
        <w:rPr>
          <w:rFonts w:asciiTheme="majorHAnsi" w:hAnsiTheme="majorHAnsi" w:cs="Times New Roman"/>
          <w:sz w:val="22"/>
          <w:szCs w:val="22"/>
          <w:lang w:val="en-US"/>
        </w:rPr>
        <w:fldChar w:fldCharType="begin" w:fldLock="1"/>
      </w:r>
      <w:r w:rsidR="00610094">
        <w:rPr>
          <w:rFonts w:asciiTheme="majorHAnsi" w:hAnsiTheme="majorHAnsi" w:cs="Times New Roman"/>
          <w:sz w:val="22"/>
          <w:szCs w:val="22"/>
          <w:lang w:val="en-US"/>
        </w:rPr>
        <w:instrText>ADDIN CSL_CITATION { "citationItems" : [ { "id" : "ITEM-1", "itemData" : { "DOI" : "10.1136/bmjresp-2015-000086", "ISBN" : "10.1136/bmjresp-2015-000086", "ISSN" : "2052-4439", "PMID" : "25973210", "abstract" : "Antimicrobial resistance is a global problem and is being addressed through national strategies to improve diagnostics, develop new antimicrobials and promote antimicrobial stewardship. A narrative review of the literature was undertaken to ascertain the value of C reactive protein (CRP) and procalcitonin, measurements to guide antibacterial prescribing in adult patients presenting to GP practices with symptoms of respiratory tract infection (RTI). Studies that were included were randomised controlled trials, controlled before and after studies, cohort studies and economic evaluations. Many studies demonstrated that the use of CRP tests in patients presenting with RTI symptoms reduces antibiotic prescribing by 23.3% to 36.16%. Procalcitonin is not currently available as a point-of-care testing (POCT), but has shown value for patients with RTI admitted to hospital. GPs and patients report a good acceptability for a CRP POCT and economic evaluations show cost-effectiveness of CRP POCT over existing RTI management in primary care. POCTs increase diagnostic precision for GPs in the better management of patients with RTI. CRP POCT can better target antibacterial prescribing by GPs and contribute to national antimicrobial resistance strategies. Health services need to develop ways to ensure funding is transferred in order for POCT to be implemented.", "author" : [ { "dropping-particle" : "", "family" : "Cooke", "given" : "Jonathan", "non-dropping-particle" : "", "parse-names" : false, "suffix" : "" }, { "dropping-particle" : "", "family" : "Butler", "given" : "Christopher", "non-dropping-particle" : "", "parse-names" : false, "suffix" : "" }, { "dropping-particle" : "", "family" : "Hopstaken", "given" : "Rogier", "non-dropping-particle" : "", "parse-names" : false, "suffix" : "" }, { "dropping-particle" : "", "family" : "Dryden", "given" : "Matthew Scott", "non-dropping-particle" : "", "parse-names" : false, "suffix" : "" }, { "dropping-particle" : "", "family" : "McNulty", "given" : "Cliodna", "non-dropping-particle" : "", "parse-names" : false, "suffix" : "" }, { "dropping-particle" : "", "family" : "Hurding", "given" : "Simon", "non-dropping-particle" : "", "parse-names" : false, "suffix" : "" }, { "dropping-particle" : "", "family" : "Moore", "given" : "Michael", "non-dropping-particle" : "", "parse-names" : false, "suffix" : "" }, { "dropping-particle" : "", "family" : "Livermore", "given" : "David Martin", "non-dropping-particle" : "", "parse-names" : false, "suffix" : "" } ], "container-title" : "BMJ open respiratory research", "id" : "ITEM-1", "issue" : "1", "issued" : { "date-parts" : [ [ "2015" ] ] }, "page" : "e000086", "title" : "Narrative review of primary care point-of-care testing (POCT) and antibacterial use in respiratory tract infection (RTI).", "type" : "article-journal", "volume" : "2" }, "uris" : [ "http://www.mendeley.com/documents/?uuid=6e650b35-a530-49c0-8540-9cd93215e858" ] } ], "mendeley" : { "formattedCitation" : "(23)", "plainTextFormattedCitation" : "(23)", "previouslyFormattedCitation" : "(23)" }, "properties" : { "noteIndex" : 0 }, "schema" : "https://github.com/citation-style-language/schema/raw/master/csl-citation.json" }</w:instrText>
      </w:r>
      <w:r w:rsidR="00FA5767">
        <w:rPr>
          <w:rFonts w:asciiTheme="majorHAnsi" w:hAnsiTheme="majorHAnsi" w:cs="Times New Roman"/>
          <w:sz w:val="22"/>
          <w:szCs w:val="22"/>
          <w:lang w:val="en-US"/>
        </w:rPr>
        <w:fldChar w:fldCharType="separate"/>
      </w:r>
      <w:r w:rsidR="000D4EEE" w:rsidRPr="000D4EEE">
        <w:rPr>
          <w:rFonts w:asciiTheme="majorHAnsi" w:hAnsiTheme="majorHAnsi" w:cs="Times New Roman"/>
          <w:noProof/>
          <w:sz w:val="22"/>
          <w:szCs w:val="22"/>
          <w:lang w:val="en-US"/>
        </w:rPr>
        <w:t>(23)</w:t>
      </w:r>
      <w:r w:rsidR="00FA5767">
        <w:rPr>
          <w:rFonts w:asciiTheme="majorHAnsi" w:hAnsiTheme="majorHAnsi" w:cs="Times New Roman"/>
          <w:sz w:val="22"/>
          <w:szCs w:val="22"/>
          <w:lang w:val="en-US"/>
        </w:rPr>
        <w:fldChar w:fldCharType="end"/>
      </w:r>
      <w:r w:rsidR="007607FD">
        <w:rPr>
          <w:rFonts w:asciiTheme="majorHAnsi" w:hAnsiTheme="majorHAnsi" w:cs="Times New Roman"/>
          <w:sz w:val="22"/>
          <w:szCs w:val="22"/>
          <w:lang w:val="en-US"/>
        </w:rPr>
        <w:t xml:space="preserve"> as recommended by NICE guidelines for the diagnosis and treatment of pneumonia (2014, CG191). Potentially and with future validation, our proposed tool could be used by GPs to guide referral decisions to hospital during a future pandemic.</w:t>
      </w:r>
    </w:p>
    <w:p w14:paraId="4D8C523C" w14:textId="77777777" w:rsidR="007A6C90" w:rsidRDefault="007A6C90" w:rsidP="00D8005E">
      <w:pPr>
        <w:spacing w:line="480" w:lineRule="auto"/>
        <w:rPr>
          <w:rFonts w:asciiTheme="majorHAnsi" w:hAnsiTheme="majorHAnsi" w:cs="Arial"/>
          <w:sz w:val="22"/>
          <w:szCs w:val="22"/>
        </w:rPr>
      </w:pPr>
    </w:p>
    <w:p w14:paraId="1B3B9F9E" w14:textId="246B7D58" w:rsidR="00ED77FC" w:rsidRPr="00810B39" w:rsidRDefault="007A6C90" w:rsidP="007A6C90">
      <w:pPr>
        <w:spacing w:line="480" w:lineRule="auto"/>
        <w:rPr>
          <w:rFonts w:asciiTheme="majorHAnsi" w:hAnsiTheme="majorHAnsi" w:cs="Times New Roman"/>
          <w:sz w:val="22"/>
          <w:szCs w:val="22"/>
          <w:lang w:val="en-US"/>
        </w:rPr>
      </w:pPr>
      <w:r>
        <w:rPr>
          <w:rFonts w:asciiTheme="majorHAnsi" w:hAnsiTheme="majorHAnsi" w:cs="Arial"/>
          <w:sz w:val="22"/>
          <w:szCs w:val="22"/>
        </w:rPr>
        <w:t xml:space="preserve">Intuitively, using both an inflammatory marker and oxygen exchange to predict safe discharge </w:t>
      </w:r>
      <w:r w:rsidR="004D0566">
        <w:rPr>
          <w:rFonts w:asciiTheme="majorHAnsi" w:hAnsiTheme="majorHAnsi" w:cs="Arial"/>
          <w:sz w:val="22"/>
          <w:szCs w:val="22"/>
        </w:rPr>
        <w:t xml:space="preserve">is clinically coherent – the H1N1 influenza virus characteristically caused an inflammatory disorder that negatively impacted on oxygen exchange </w:t>
      </w:r>
      <w:r w:rsidR="00FA5767">
        <w:rPr>
          <w:rFonts w:asciiTheme="majorHAnsi" w:hAnsiTheme="majorHAnsi" w:cs="Arial"/>
          <w:sz w:val="22"/>
          <w:szCs w:val="22"/>
        </w:rPr>
        <w:fldChar w:fldCharType="begin" w:fldLock="1"/>
      </w:r>
      <w:r w:rsidR="00610094">
        <w:rPr>
          <w:rFonts w:asciiTheme="majorHAnsi" w:hAnsiTheme="majorHAnsi" w:cs="Arial"/>
          <w:sz w:val="22"/>
          <w:szCs w:val="22"/>
        </w:rPr>
        <w:instrText>ADDIN CSL_CITATION { "citationItems" : [ { "id" : "ITEM-1", "itemData" : { "DOI" : "10.1001/jama.2009.1536", "ISSN" : "1538-3598", "PMID" : "19822626", "abstract" : "CONTEXT: In March 2009, novel 2009 influenza A(H1N1) was first reported in the southwestern United States and Mexico. The population and health care system in Mexico City experienced the first and greatest early burden of critical illness.\n\nOBJECTIVE: To describe baseline characteristics, treatment, and outcomes of consecutive critically ill patients in Mexico hospitals that treated the majority of such patients with confirmed, probable, or suspected 2009 influenza A(H1N1).\n\nDESIGN, SETTING, AND PATIENTS: Observational study of 58 critically ill patients with 2009 influenza A(H1N1) at 6 hospitals between March 24 and June 1, 2009. Demographic data, symptoms, comorbid conditions, illness progression, treatments, and clinical outcomes were collected using a piloted case report form.\n\nMAIN OUTCOME MEASURES: The primary outcome measure was mortality. Secondary outcomes included rate of 2009 influenza (A)H1N1-related critical illness and mechanical ventilation as well as intensive care unit (ICU) and hospital length of stay.\n\nRESULTS: Critical illness occurred in 58 of 899 patients (6.5%) admitted to the hospital with confirmed, probable, or suspected 2009 influenza (A)H1N1. Patients were young (median, 44.0 [range, 10-83] years); all presented with fever and all but 1 with respiratory symptoms. Few patients had comorbid respiratory disorders, but 21 (36%) were obese. Time from hospital to ICU admission was short (median, 1 day [interquartile range {IQR}, 0-3 days]), and all patients but 2 received mechanical ventilation for severe acute respiratory distress syndrome and refractory hypoxemia (median day 1 ratio of Pao(2) to fraction of inspired oxygen, 83 [IQR, 59-145] mm Hg). By 60 days, 24 patients had died (41.4%; 95% confidence interval, 28.9%-55.0%). Patients who died had greater initial severity of illness, worse hypoxemia, higher creatine kinase levels, higher creatinine levels, and ongoing organ dysfunction. After adjusting for a reduced opportunity of patients dying early to receive neuraminidase inhibitors, neuraminidase inhibitor treatment (vs no treatment) was associated with improved survival (odds ratio, 8.5; 95% confidence interval, 1.2-62.8).\n\nCONCLUSION: Critical illness from 2009 influenza A(H1N1) in Mexico occurred in young individuals, was associated with severe acute respiratory distress syndrome and shock, and had a high case-fatality rate.", "author" : [ { "dropping-particle" : "", "family" : "Dom\u00ednguez-Cherit", "given" : "Guillermo", "non-dropping-particle" : "", "parse-names" : false, "suffix" : "" }, { "dropping-particle" : "", "family" : "Lapinsky", "given" : "Stephen E", "non-dropping-particle" : "", "parse-names" : false, "suffix" : "" }, { "dropping-particle" : "", "family" : "Macias", "given" : "Alejandro E", "non-dropping-particle" : "", "parse-names" : false, "suffix" : "" }, { "dropping-particle" : "", "family" : "Pinto", "given" : "Ruxandra", "non-dropping-particle" : "", "parse-names" : false, "suffix" : "" }, { "dropping-particle" : "", "family" : "Espinosa-Perez", "given" : "Lourdes", "non-dropping-particle" : "", "parse-names" : false, "suffix" : "" }, { "dropping-particle" : "", "family" : "la Torre", "given" : "Alethse", "non-dropping-particle" : "de", "parse-names" : false, "suffix" : "" }, { "dropping-particle" : "", "family" : "Poblano-Morales", "given" : "Manuel", "non-dropping-particle" : "", "parse-names" : false, "suffix" : "" }, { "dropping-particle" : "", "family" : "Baltazar-Torres", "given" : "Jose A", "non-dropping-particle" : "", "parse-names" : false, "suffix" : "" }, { "dropping-particle" : "", "family" : "Bautista", "given" : "Edgar", "non-dropping-particle" : "", "parse-names" : false, "suffix" : "" }, { "dropping-particle" : "", "family" : "Martinez", "given" : "Abril", "non-dropping-particle" : "", "parse-names" : false, "suffix" : "" }, { "dropping-particle" : "", "family" : "Martinez", "given" : "Marco A", "non-dropping-particle" : "", "parse-names" : false, "suffix" : "" }, { "dropping-particle" : "", "family" : "Rivero", "given" : "Eduardo", "non-dropping-particle" : "", "parse-names" : false, "suffix" : "" }, { "dropping-particle" : "", "family" : "Valdez", "given" : "Rafael", "non-dropping-particle" : "", "parse-names" : false, "suffix" : "" }, { "dropping-particle" : "", "family" : "Ruiz-Palacios", "given" : "Guillermo", "non-dropping-particle" : "", "parse-names" : false, "suffix" : "" }, { "dropping-particle" : "", "family" : "Hern\u00e1ndez", "given" : "Mart\u00edn", "non-dropping-particle" : "", "parse-names" : false, "suffix" : "" }, { "dropping-particle" : "", "family" : "Stewart", "given" : "Thomas E", "non-dropping-particle" : "", "parse-names" : false, "suffix" : "" }, { "dropping-particle" : "", "family" : "Fowler", "given" : "Robert A", "non-dropping-particle" : "", "parse-names" : false, "suffix" : "" } ], "container-title" : "JAMA : the journal of the American Medical Association", "id" : "ITEM-1", "issue" : "17", "issued" : { "date-parts" : [ [ "2009", "11", "4" ] ] }, "page" : "1880-7", "title" : "Critically Ill patients with 2009 influenza A(H1N1) in Mexico.", "type" : "article-journal", "volume" : "302" }, "uris" : [ "http://www.mendeley.com/documents/?uuid=aa9882a0-db89-4ca8-8eef-89cc0c78f387" ] } ], "mendeley" : { "formattedCitation" : "(24)", "plainTextFormattedCitation" : "(24)", "previouslyFormattedCitation" : "(24)" }, "properties" : { "noteIndex" : 0 }, "schema" : "https://github.com/citation-style-language/schema/raw/master/csl-citation.json" }</w:instrText>
      </w:r>
      <w:r w:rsidR="00FA5767">
        <w:rPr>
          <w:rFonts w:asciiTheme="majorHAnsi" w:hAnsiTheme="majorHAnsi" w:cs="Arial"/>
          <w:sz w:val="22"/>
          <w:szCs w:val="22"/>
        </w:rPr>
        <w:fldChar w:fldCharType="separate"/>
      </w:r>
      <w:r w:rsidR="000D4EEE" w:rsidRPr="000D4EEE">
        <w:rPr>
          <w:rFonts w:asciiTheme="majorHAnsi" w:hAnsiTheme="majorHAnsi" w:cs="Arial"/>
          <w:noProof/>
          <w:sz w:val="22"/>
          <w:szCs w:val="22"/>
        </w:rPr>
        <w:t>(24)</w:t>
      </w:r>
      <w:r w:rsidR="00FA5767">
        <w:rPr>
          <w:rFonts w:asciiTheme="majorHAnsi" w:hAnsiTheme="majorHAnsi" w:cs="Arial"/>
          <w:sz w:val="22"/>
          <w:szCs w:val="22"/>
        </w:rPr>
        <w:fldChar w:fldCharType="end"/>
      </w:r>
      <w:r w:rsidR="004D0566">
        <w:rPr>
          <w:rFonts w:asciiTheme="majorHAnsi" w:hAnsiTheme="majorHAnsi" w:cs="Arial"/>
          <w:sz w:val="22"/>
          <w:szCs w:val="22"/>
        </w:rPr>
        <w:t xml:space="preserve">. </w:t>
      </w:r>
      <w:r>
        <w:rPr>
          <w:rFonts w:asciiTheme="majorHAnsi" w:hAnsiTheme="majorHAnsi" w:cs="Arial"/>
          <w:sz w:val="22"/>
          <w:szCs w:val="22"/>
        </w:rPr>
        <w:t>Compared to our</w:t>
      </w:r>
      <w:r w:rsidR="004D0566">
        <w:rPr>
          <w:rFonts w:asciiTheme="majorHAnsi" w:hAnsiTheme="majorHAnsi" w:cs="Arial"/>
          <w:sz w:val="22"/>
          <w:szCs w:val="22"/>
        </w:rPr>
        <w:t xml:space="preserve"> previous</w:t>
      </w:r>
      <w:r>
        <w:rPr>
          <w:rFonts w:asciiTheme="majorHAnsi" w:hAnsiTheme="majorHAnsi" w:cs="Arial"/>
          <w:sz w:val="22"/>
          <w:szCs w:val="22"/>
        </w:rPr>
        <w:t xml:space="preserve"> work </w:t>
      </w:r>
      <w:r w:rsidR="00FA5767">
        <w:rPr>
          <w:rFonts w:asciiTheme="majorHAnsi" w:hAnsiTheme="majorHAnsi" w:cs="Arial"/>
          <w:sz w:val="22"/>
          <w:szCs w:val="22"/>
        </w:rPr>
        <w:fldChar w:fldCharType="begin" w:fldLock="1"/>
      </w:r>
      <w:r w:rsidR="0078573D">
        <w:rPr>
          <w:rFonts w:asciiTheme="majorHAnsi" w:hAnsiTheme="majorHAnsi" w:cs="Arial"/>
          <w:sz w:val="22"/>
          <w:szCs w:val="22"/>
        </w:rPr>
        <w:instrText>ADDIN CSL_CITATION { "citationItems" : [ { "id" : "ITEM-1", "itemData" : { "DOI" : "10.1093/bja/aev042", "ISSN" : "1471-6771", "PMID" : "25829394", "abstract" : "BACKGROUND: Pandemic influenza presents a major threat to global health and socioeconomic well-being. Future demand for critical care may outstrip supply and force clinicians to triage patients for admission. We evaluated the Simple Triage Scoring System (STSS), Ontario Health Plan for an Influenza Epidemic (OHPIP) and PaO2 /FiO2 \u00a0(P/F) ratio to determine utility in predicting need for mechanical ventilation.\n\nMETHODS: We conducted a retrospective case note review of patients admitted to two centres, Royal Liverpool University Hospital and Countess of Chester Hospital, during the UK influenza pandemic of 2010-11. Demand for critical care during this period forced hospitals in Cheshire and Merseyside to implement escalation policies and increase capacity. Inclusion criteria were polymerase chain reaction-confirmed H1N1 influenza and age &gt;18 years. Exclusion criteria were no evidence of treatment for influenza, patient not admitted to hospital or the inability to locate case notes.\n\nRESULTS: One hundred and one patients were included, 29 were admitted to critical care and 23 required mechanical ventilation. The P/F ratio predicted the need for mechanical ventilation with a receiver operating characteristic area under the curve (ROC AUC) of 0.885 (CI 0.817-0.952). Predictive ability was not reduced when the P/F ratio had to be estimated using the Pandharipande tool. The STSS score predicted the need for mechanical ventilation [ROC AUC 0.798 (CI 0.704-0.891)]. The reverse triage component of the OHPIP tool was a poor predictor of patient outcome.\n\nCONCLUSIONS: The P/F ratio was a better predictor of need for mechanical ventilation than STSS. The P/F ratio is a simple and accepted determinant of hypoxaemia and should be used if secondary triaging becomes necessary during future influenza pandemics.", "author" : [ { "dropping-particle" : "", "family" : "Morton", "given" : "B", "non-dropping-particle" : "", "parse-names" : false, "suffix" : "" }, { "dropping-particle" : "", "family" : "Tang", "given" : "L", "non-dropping-particle" : "", "parse-names" : false, "suffix" : "" }, { "dropping-particle" : "", "family" : "Gale", "given" : "R", "non-dropping-particle" : "", "parse-names" : false, "suffix" : "" }, { "dropping-particle" : "", "family" : "Kelly", "given" : "M", "non-dropping-particle" : "", "parse-names" : false, "suffix" : "" }, { "dropping-particle" : "", "family" : "Robertson", "given" : "H", "non-dropping-particle" : "", "parse-names" : false, "suffix" : "" }, { "dropping-particle" : "", "family" : "Mogk", "given" : "M", "non-dropping-particle" : "", "parse-names" : false, "suffix" : "" }, { "dropping-particle" : "", "family" : "Robin", "given" : "N", "non-dropping-particle" : "", "parse-names" : false, "suffix" : "" }, { "dropping-particle" : "", "family" : "Welters", "given" : "I", "non-dropping-particle" : "", "parse-names" : false, "suffix" : "" } ], "container-title" : "British journal of anaesthesia", "id" : "ITEM-1", "issued" : { "date-parts" : [ [ "2015", "3", "31" ] ] }, "title" : "Performance of influenza-specific triage tools in an H1N1-positive cohort: P/F ratio better predicts the need for mechanical ventilation and critical care admission.", "type" : "article-journal" }, "uris" : [ "http://www.mendeley.com/documents/?uuid=2111d13a-f3aa-419d-bd30-db9ebea66cc5" ] } ], "mendeley" : { "formattedCitation" : "(5)", "plainTextFormattedCitation" : "(5)", "previouslyFormattedCitation" : "(5)" }, "properties" : { "noteIndex" : 0 }, "schema" : "https://github.com/citation-style-language/schema/raw/master/csl-citation.json" }</w:instrText>
      </w:r>
      <w:r w:rsidR="00FA5767">
        <w:rPr>
          <w:rFonts w:asciiTheme="majorHAnsi" w:hAnsiTheme="majorHAnsi" w:cs="Arial"/>
          <w:sz w:val="22"/>
          <w:szCs w:val="22"/>
        </w:rPr>
        <w:fldChar w:fldCharType="separate"/>
      </w:r>
      <w:r w:rsidR="003F274A" w:rsidRPr="003F274A">
        <w:rPr>
          <w:rFonts w:asciiTheme="majorHAnsi" w:hAnsiTheme="majorHAnsi" w:cs="Arial"/>
          <w:noProof/>
          <w:sz w:val="22"/>
          <w:szCs w:val="22"/>
        </w:rPr>
        <w:t>(5)</w:t>
      </w:r>
      <w:r w:rsidR="00FA5767">
        <w:rPr>
          <w:rFonts w:asciiTheme="majorHAnsi" w:hAnsiTheme="majorHAnsi" w:cs="Arial"/>
          <w:sz w:val="22"/>
          <w:szCs w:val="22"/>
        </w:rPr>
        <w:fldChar w:fldCharType="end"/>
      </w:r>
      <w:r>
        <w:rPr>
          <w:rFonts w:asciiTheme="majorHAnsi" w:hAnsiTheme="majorHAnsi" w:cs="Arial"/>
          <w:sz w:val="22"/>
          <w:szCs w:val="22"/>
        </w:rPr>
        <w:t xml:space="preserve">, we found that the discriminatory power </w:t>
      </w:r>
      <w:r w:rsidR="004D0566">
        <w:rPr>
          <w:rFonts w:asciiTheme="majorHAnsi" w:hAnsiTheme="majorHAnsi" w:cs="Arial"/>
          <w:sz w:val="22"/>
          <w:szCs w:val="22"/>
        </w:rPr>
        <w:t>of estimated P/F ratio was decreased in patients</w:t>
      </w:r>
      <w:r>
        <w:rPr>
          <w:rFonts w:asciiTheme="majorHAnsi" w:hAnsiTheme="majorHAnsi" w:cs="Arial"/>
          <w:sz w:val="22"/>
          <w:szCs w:val="22"/>
        </w:rPr>
        <w:t xml:space="preserve"> with near</w:t>
      </w:r>
      <w:r w:rsidR="004D0566">
        <w:rPr>
          <w:rFonts w:asciiTheme="majorHAnsi" w:hAnsiTheme="majorHAnsi" w:cs="Arial"/>
          <w:sz w:val="22"/>
          <w:szCs w:val="22"/>
        </w:rPr>
        <w:t xml:space="preserve"> normal oxygen saturations (</w:t>
      </w:r>
      <w:r>
        <w:rPr>
          <w:rFonts w:asciiTheme="majorHAnsi" w:hAnsiTheme="majorHAnsi" w:cs="Arial"/>
          <w:sz w:val="22"/>
          <w:szCs w:val="22"/>
        </w:rPr>
        <w:t xml:space="preserve">area under the curve </w:t>
      </w:r>
      <w:r w:rsidR="004D0566">
        <w:rPr>
          <w:rFonts w:asciiTheme="majorHAnsi" w:hAnsiTheme="majorHAnsi" w:cs="Arial"/>
          <w:sz w:val="22"/>
          <w:szCs w:val="22"/>
        </w:rPr>
        <w:t>estimated P/</w:t>
      </w:r>
      <w:r w:rsidR="004D0566" w:rsidRPr="00DE3153">
        <w:rPr>
          <w:rFonts w:asciiTheme="majorHAnsi" w:hAnsiTheme="majorHAnsi" w:cs="Arial"/>
          <w:sz w:val="22"/>
          <w:szCs w:val="22"/>
        </w:rPr>
        <w:t>F</w:t>
      </w:r>
      <w:r w:rsidRPr="00DE3153">
        <w:rPr>
          <w:rFonts w:asciiTheme="majorHAnsi" w:hAnsiTheme="majorHAnsi" w:cs="Arial"/>
          <w:sz w:val="22"/>
          <w:szCs w:val="22"/>
        </w:rPr>
        <w:t xml:space="preserve"> in isolation was 0.653</w:t>
      </w:r>
      <w:r w:rsidR="004D0566" w:rsidRPr="00DE3153">
        <w:rPr>
          <w:rFonts w:asciiTheme="majorHAnsi" w:hAnsiTheme="majorHAnsi" w:cs="Arial"/>
          <w:sz w:val="22"/>
          <w:szCs w:val="22"/>
        </w:rPr>
        <w:t>)</w:t>
      </w:r>
      <w:r w:rsidRPr="00DE3153">
        <w:rPr>
          <w:rFonts w:asciiTheme="majorHAnsi" w:hAnsiTheme="majorHAnsi" w:cs="Arial"/>
          <w:sz w:val="22"/>
          <w:szCs w:val="22"/>
        </w:rPr>
        <w:t>.</w:t>
      </w:r>
      <w:r w:rsidR="004D0566" w:rsidRPr="00DE3153">
        <w:rPr>
          <w:rFonts w:asciiTheme="majorHAnsi" w:hAnsiTheme="majorHAnsi" w:cs="Arial"/>
          <w:sz w:val="22"/>
          <w:szCs w:val="22"/>
        </w:rPr>
        <w:t xml:space="preserve"> </w:t>
      </w:r>
      <w:r w:rsidR="002E474E">
        <w:rPr>
          <w:rFonts w:asciiTheme="majorHAnsi" w:hAnsiTheme="majorHAnsi" w:cs="Times New Roman"/>
          <w:sz w:val="22"/>
          <w:szCs w:val="22"/>
          <w:lang w:val="en-US"/>
        </w:rPr>
        <w:t>When CRP was used as the sole predictor of safe discharge</w:t>
      </w:r>
      <w:r w:rsidR="00810B39">
        <w:rPr>
          <w:rFonts w:asciiTheme="majorHAnsi" w:hAnsiTheme="majorHAnsi" w:cs="Times New Roman"/>
          <w:sz w:val="22"/>
          <w:szCs w:val="22"/>
          <w:lang w:val="en-US"/>
        </w:rPr>
        <w:t xml:space="preserve"> in this </w:t>
      </w:r>
      <w:proofErr w:type="spellStart"/>
      <w:r w:rsidR="00810B39">
        <w:rPr>
          <w:rFonts w:asciiTheme="majorHAnsi" w:hAnsiTheme="majorHAnsi" w:cs="Times New Roman"/>
          <w:sz w:val="22"/>
          <w:szCs w:val="22"/>
          <w:lang w:val="en-US"/>
        </w:rPr>
        <w:t>dataset</w:t>
      </w:r>
      <w:proofErr w:type="gramStart"/>
      <w:r w:rsidR="000055C0">
        <w:rPr>
          <w:rFonts w:asciiTheme="majorHAnsi" w:hAnsiTheme="majorHAnsi" w:cs="Times New Roman"/>
          <w:sz w:val="22"/>
          <w:szCs w:val="22"/>
          <w:lang w:val="en-US"/>
        </w:rPr>
        <w:t>,</w:t>
      </w:r>
      <w:r w:rsidR="002E474E">
        <w:rPr>
          <w:rFonts w:asciiTheme="majorHAnsi" w:hAnsiTheme="majorHAnsi" w:cs="Times New Roman"/>
          <w:sz w:val="22"/>
          <w:szCs w:val="22"/>
          <w:lang w:val="en-US"/>
        </w:rPr>
        <w:t>the</w:t>
      </w:r>
      <w:proofErr w:type="spellEnd"/>
      <w:proofErr w:type="gramEnd"/>
      <w:r w:rsidR="002E474E">
        <w:rPr>
          <w:rFonts w:asciiTheme="majorHAnsi" w:hAnsiTheme="majorHAnsi" w:cs="Times New Roman"/>
          <w:sz w:val="22"/>
          <w:szCs w:val="22"/>
          <w:lang w:val="en-US"/>
        </w:rPr>
        <w:t xml:space="preserve"> area under the</w:t>
      </w:r>
      <w:r w:rsidR="00810B39">
        <w:rPr>
          <w:rFonts w:asciiTheme="majorHAnsi" w:hAnsiTheme="majorHAnsi" w:cs="Times New Roman"/>
          <w:sz w:val="22"/>
          <w:szCs w:val="22"/>
          <w:lang w:val="en-US"/>
        </w:rPr>
        <w:t xml:space="preserve"> curve was 0.805</w:t>
      </w:r>
      <w:r w:rsidR="002E474E">
        <w:rPr>
          <w:rFonts w:asciiTheme="majorHAnsi" w:hAnsiTheme="majorHAnsi" w:cs="Times New Roman"/>
          <w:sz w:val="22"/>
          <w:szCs w:val="22"/>
          <w:lang w:val="en-US"/>
        </w:rPr>
        <w:t xml:space="preserve">. The combination of </w:t>
      </w:r>
      <w:r w:rsidR="00810B39">
        <w:rPr>
          <w:rFonts w:asciiTheme="majorHAnsi" w:hAnsiTheme="majorHAnsi" w:cs="Times New Roman"/>
          <w:sz w:val="22"/>
          <w:szCs w:val="22"/>
          <w:lang w:val="en-US"/>
        </w:rPr>
        <w:t>CRP and estimated P/F</w:t>
      </w:r>
      <w:r w:rsidR="002E474E">
        <w:rPr>
          <w:rFonts w:asciiTheme="majorHAnsi" w:hAnsiTheme="majorHAnsi" w:cs="Times New Roman"/>
          <w:sz w:val="22"/>
          <w:szCs w:val="22"/>
          <w:lang w:val="en-US"/>
        </w:rPr>
        <w:t xml:space="preserve"> increased the discriminatory ability of the model (Figure 1). </w:t>
      </w:r>
    </w:p>
    <w:p w14:paraId="59671F61" w14:textId="77777777" w:rsidR="007C43F2" w:rsidRDefault="007C43F2" w:rsidP="007A6C90">
      <w:pPr>
        <w:spacing w:line="480" w:lineRule="auto"/>
        <w:rPr>
          <w:rFonts w:asciiTheme="majorHAnsi" w:hAnsiTheme="majorHAnsi" w:cs="Arial"/>
          <w:sz w:val="22"/>
          <w:szCs w:val="22"/>
        </w:rPr>
      </w:pPr>
    </w:p>
    <w:p w14:paraId="642BA1CE" w14:textId="77777777" w:rsidR="00452FE7" w:rsidRPr="006E4FBA" w:rsidRDefault="00452FE7" w:rsidP="00452FE7">
      <w:pPr>
        <w:spacing w:line="480" w:lineRule="auto"/>
        <w:rPr>
          <w:rFonts w:asciiTheme="majorHAnsi" w:hAnsiTheme="majorHAnsi" w:cs="Arial"/>
          <w:sz w:val="22"/>
          <w:szCs w:val="22"/>
        </w:rPr>
      </w:pPr>
      <w:r>
        <w:rPr>
          <w:rFonts w:asciiTheme="majorHAnsi" w:hAnsiTheme="majorHAnsi" w:cs="Arial"/>
          <w:sz w:val="22"/>
          <w:szCs w:val="22"/>
        </w:rPr>
        <w:t xml:space="preserve">A number of other potential triage tools have been postulated for pandemic influenza. There has been focus on the impact of pandemic influenza and critical care capacity with assessments of CURB-65, the Simplified Triage Severity Score and the </w:t>
      </w:r>
      <w:r w:rsidRPr="00452FE7">
        <w:rPr>
          <w:rFonts w:asciiTheme="majorHAnsi" w:hAnsiTheme="majorHAnsi" w:cs="Arial"/>
          <w:sz w:val="22"/>
          <w:szCs w:val="22"/>
          <w:lang w:val="en-US"/>
        </w:rPr>
        <w:t>Ontario Health</w:t>
      </w:r>
      <w:r>
        <w:rPr>
          <w:rFonts w:asciiTheme="majorHAnsi" w:hAnsiTheme="majorHAnsi" w:cs="Arial"/>
          <w:sz w:val="22"/>
          <w:szCs w:val="22"/>
          <w:lang w:val="en-US"/>
        </w:rPr>
        <w:t xml:space="preserve"> </w:t>
      </w:r>
      <w:r w:rsidRPr="00452FE7">
        <w:rPr>
          <w:rFonts w:asciiTheme="majorHAnsi" w:hAnsiTheme="majorHAnsi" w:cs="Arial"/>
          <w:sz w:val="22"/>
          <w:szCs w:val="22"/>
          <w:lang w:val="en-US"/>
        </w:rPr>
        <w:t xml:space="preserve">Plan </w:t>
      </w:r>
      <w:r w:rsidRPr="00452FE7">
        <w:rPr>
          <w:rFonts w:asciiTheme="majorHAnsi" w:hAnsiTheme="majorHAnsi" w:cs="Arial"/>
          <w:sz w:val="22"/>
          <w:szCs w:val="22"/>
          <w:lang w:val="en-US"/>
        </w:rPr>
        <w:lastRenderedPageBreak/>
        <w:t>for an Influenza Epidemic</w:t>
      </w:r>
      <w:r>
        <w:rPr>
          <w:rFonts w:asciiTheme="majorHAnsi" w:hAnsiTheme="majorHAnsi" w:cs="Arial"/>
          <w:sz w:val="22"/>
          <w:szCs w:val="22"/>
          <w:lang w:val="en-US"/>
        </w:rPr>
        <w:t>; all found to be unreliable predict</w:t>
      </w:r>
      <w:r w:rsidR="004960EA">
        <w:rPr>
          <w:rFonts w:asciiTheme="majorHAnsi" w:hAnsiTheme="majorHAnsi" w:cs="Arial"/>
          <w:sz w:val="22"/>
          <w:szCs w:val="22"/>
          <w:lang w:val="en-US"/>
        </w:rPr>
        <w:t>ors of need for critical care admission</w:t>
      </w:r>
      <w:r>
        <w:rPr>
          <w:rFonts w:asciiTheme="majorHAnsi" w:hAnsiTheme="majorHAnsi" w:cs="Arial"/>
          <w:sz w:val="22"/>
          <w:szCs w:val="22"/>
          <w:lang w:val="en-US"/>
        </w:rPr>
        <w:t xml:space="preserve"> </w:t>
      </w:r>
      <w:r w:rsidR="00FA5767">
        <w:rPr>
          <w:rFonts w:asciiTheme="majorHAnsi" w:hAnsiTheme="majorHAnsi" w:cs="Arial"/>
          <w:sz w:val="22"/>
          <w:szCs w:val="22"/>
          <w:lang w:val="en-US"/>
        </w:rPr>
        <w:fldChar w:fldCharType="begin" w:fldLock="1"/>
      </w:r>
      <w:r w:rsidR="0078573D">
        <w:rPr>
          <w:rFonts w:asciiTheme="majorHAnsi" w:hAnsiTheme="majorHAnsi" w:cs="Arial"/>
          <w:sz w:val="22"/>
          <w:szCs w:val="22"/>
          <w:lang w:val="en-US"/>
        </w:rPr>
        <w:instrText>ADDIN CSL_CITATION { "citationItems" : [ { "id" : "ITEM-1", "itemData" : { "DOI" : "10.1093/bja/aev042", "ISSN" : "1471-6771", "PMID" : "25829394", "abstract" : "BACKGROUND: Pandemic influenza presents a major threat to global health and socioeconomic well-being. Future demand for critical care may outstrip supply and force clinicians to triage patients for admission. We evaluated the Simple Triage Scoring System (STSS), Ontario Health Plan for an Influenza Epidemic (OHPIP) and PaO2 /FiO2 \u00a0(P/F) ratio to determine utility in predicting need for mechanical ventilation.\n\nMETHODS: We conducted a retrospective case note review of patients admitted to two centres, Royal Liverpool University Hospital and Countess of Chester Hospital, during the UK influenza pandemic of 2010-11. Demand for critical care during this period forced hospitals in Cheshire and Merseyside to implement escalation policies and increase capacity. Inclusion criteria were polymerase chain reaction-confirmed H1N1 influenza and age &gt;18 years. Exclusion criteria were no evidence of treatment for influenza, patient not admitted to hospital or the inability to locate case notes.\n\nRESULTS: One hundred and one patients were included, 29 were admitted to critical care and 23 required mechanical ventilation. The P/F ratio predicted the need for mechanical ventilation with a receiver operating characteristic area under the curve (ROC AUC) of 0.885 (CI 0.817-0.952). Predictive ability was not reduced when the P/F ratio had to be estimated using the Pandharipande tool. The STSS score predicted the need for mechanical ventilation [ROC AUC 0.798 (CI 0.704-0.891)]. The reverse triage component of the OHPIP tool was a poor predictor of patient outcome.\n\nCONCLUSIONS: The P/F ratio was a better predictor of need for mechanical ventilation than STSS. The P/F ratio is a simple and accepted determinant of hypoxaemia and should be used if secondary triaging becomes necessary during future influenza pandemics.", "author" : [ { "dropping-particle" : "", "family" : "Morton", "given" : "B", "non-dropping-particle" : "", "parse-names" : false, "suffix" : "" }, { "dropping-particle" : "", "family" : "Tang", "given" : "L", "non-dropping-particle" : "", "parse-names" : false, "suffix" : "" }, { "dropping-particle" : "", "family" : "Gale", "given" : "R", "non-dropping-particle" : "", "parse-names" : false, "suffix" : "" }, { "dropping-particle" : "", "family" : "Kelly", "given" : "M", "non-dropping-particle" : "", "parse-names" : false, "suffix" : "" }, { "dropping-particle" : "", "family" : "Robertson", "given" : "H", "non-dropping-particle" : "", "parse-names" : false, "suffix" : "" }, { "dropping-particle" : "", "family" : "Mogk", "given" : "M", "non-dropping-particle" : "", "parse-names" : false, "suffix" : "" }, { "dropping-particle" : "", "family" : "Robin", "given" : "N", "non-dropping-particle" : "", "parse-names" : false, "suffix" : "" }, { "dropping-particle" : "", "family" : "Welters", "given" : "I", "non-dropping-particle" : "", "parse-names" : false, "suffix" : "" } ], "container-title" : "British journal of anaesthesia", "id" : "ITEM-1", "issued" : { "date-parts" : [ [ "2015", "3", "31" ] ] }, "title" : "Performance of influenza-specific triage tools in an H1N1-positive cohort: P/F ratio better predicts the need for mechanical ventilation and critical care admission.", "type" : "article-journal" }, "uris" : [ "http://www.mendeley.com/documents/?uuid=2111d13a-f3aa-419d-bd30-db9ebea66cc5" ] }, { "id" : "ITEM-2", "itemData" : { "DOI" : "10.1111/j.1365-2044.2009.06135.x", "ISSN" : "1365-2044", "PMID" : "19860754", "abstract" : "Sequential Organ Failure Assessment (SOFA) score based triage of influenza A H1N1 critically ill patients has been proposed for surge capacity management as a guide for clinical decision making. We conducted a retrospective records review and SOFA scoring of critically ill patients with influenza A H1N1 in a mixed medical-surgical intensive care unit in an urban hospital. Eight critically ill patients with influenza A H1N1 were admitted to the intensive care unit. Their mean (range) age was 39 (26-52) years with a length of stay of 11 (3-17) days. All patients met SOFA score based triage admission criteria with a modal SOFA score of five. Five patients required invasive ventilation for a mean (range) of 5 (4-11) days. Five patients would have been considered for withdrawal of treatment using SOFA scoring guidelines at 48 h. All patients survived. We conclude that SOFA score based triage could lead to withdrawal of life support in critically ill patients who could survive with an acceptably low length of stay in the intensive care unit.", "author" : [ { "dropping-particle" : "", "family" : "Khan", "given" : "Z", "non-dropping-particle" : "", "parse-names" : false, "suffix" : "" }, { "dropping-particle" : "", "family" : "Hulme", "given" : "J", "non-dropping-particle" : "", "parse-names" : false, "suffix" : "" }, { "dropping-particle" : "", "family" : "Sherwood", "given" : "N", "non-dropping-particle" : "", "parse-names" : false, "suffix" : "" } ], "container-title" : "Anaesthesia", "id" : "ITEM-2", "issue" : "12", "issued" : { "date-parts" : [ [ "2009", "12" ] ] }, "page" : "1283-8", "title" : "An assessment of the validity of SOFA score based triage in H1N1 critically ill patients during an influenza pandemic.", "type" : "article-journal", "volume" : "64" }, "uris" : [ "http://www.mendeley.com/documents/?uuid=63aea16f-fc21-4f53-956f-4b3b9ccf1b89" ] }, { "id" : "ITEM-3", "itemData" : { "DOI" : "10.1186/cc10001", "ISSN" : "1466-609X", "PMID" : "21269458", "abstract" : "Triage protocols are only initiated when it is apparent that resource deficits will occur across a broad geographical area despite efforts to expand or acquire additional capacity. Prior to the pandemic the UK Department of Health (DOH) recommended the use of a staged triage plan incorporating Sepsis-related Organ Failure Assessment (SOFA) developed by the Ontario Ministry of Health to assist in the triage of critical care admissions and discharges during an influenza outbreak in the UK. There are data to suggest that had it been used in the recent H1N1 pandemic it may have led to inappropriate limitation of therapy if surge capacity had been overwhelmed.", "author" : [ { "dropping-particle" : "", "family" : "Adeniji", "given" : "Kayode a", "non-dropping-particle" : "", "parse-names" : false, "suffix" : "" }, { "dropping-particle" : "", "family" : "Cusack", "given" : "Rebecca", "non-dropping-particle" : "", "parse-names" : false, "suffix" : "" } ], "container-title" : "Critical care (London, England)", "id" : "ITEM-3", "issue" : "1", "issued" : { "date-parts" : [ [ "2011", "1" ] ] }, "page" : "R39", "publisher" : "BioMed Central Ltd", "title" : "The Simple Triage Scoring System (STSS) successfully predicts mortality and critical care resource utilization in H1N1 pandemic flu: a retrospective analysis.", "type" : "article-journal", "volume" : "15" }, "uris" : [ "http://www.mendeley.com/documents/?uuid=603b1e49-0de7-4aee-a6f9-17c44dc95dcb" ] }, { "id" : "ITEM-4", "itemData" : { "DOI" : "10.3310/hta14550-05", "ISSN" : "2046-4924", "PMID" : "21208551", "abstract" : "OBJECTIVES: To use, existing critical care and early pandemic, data to inform care during the pandemic influenza A 2009 (H1N1) pandemic (with a possible use for triage - if the demand for critical care seriously exceeded supply). To monitor the impact of the H1N1 pandemic on critical care services, in real time, with regular feedback to critical care clinicians and other relevant jurisdictions to inform ongoing policy and practice.\n\nDESIGN: Modelling of data and cohort study.\n\nSETTING: Modelling - 148 adult, general critical care units in England, Wales and Northern Ireland in the Intensive Care National Audit &amp; Research Centre Case Mix Programme. Cohort study - 192 acute hospitals in England, Wales, Northern Ireland, Scotland and the Republic of Ireland.\n\nPARTICIPANTS: Modelling - 105,397 admissions to adult, general critical care units. Cohort study - 1728 H1N1 pandemic-related admissions referred and assessed as requiring critical care.\n\nMAIN OUTCOME MEASURES: Modelling - requirement for organ support and acute hospital mortality. Cohort study - survival to the end of critical care.\n\nRESULTS: Modelling - cancelled or postponed, elective or scheduled surgery resulted in savings in calendar days of critical, Level 3 and advanced respiratory care of 17, 11 and 10%, respectively. These savings varied across units. Using routine, physiological variables, the best triage models, for all and for acute respiratory admissions, achieved only satisfactory concordance of 0.79 and 0.75, respectively. Application of the best model on all admissions indicated that approximately 12.5% of calendar days of critical care could be saved. Cohort study - research governance approvals were achieved for 192 acute hospitals, for 91 within 1 day of central research and development approval across the five countries. A total of 1725 cases (562 confirmed) were reported. Confirmed cases were young (mean age of 40 years), had low severity of acute illness on presentation [61% CURB-65 (confusion, urea, respiratory rate, blood pressure, age over 65 years) 0-1], but had long stays in critical care (median 8.5 days) and were likely to be ventilated (77% for median 9 days). Risk factors for acute hospital death were similar to those for general critical care admissions.\n\nCONCLUSIONS: SwiFT was rapidly established. Models based on routine physiology suggested limited value for triage. More data and further modelling are warranted. The magnitude of the pandemic did not approach the wors\u2026", "author" : [ { "dropping-particle" : "", "family" : "Rowan", "given" : "K M", "non-dropping-particle" : "", "parse-names" : false, "suffix" : "" }, { "dropping-particle" : "", "family" : "Harrison", "given" : "D A", "non-dropping-particle" : "", "parse-names" : false, "suffix" : "" }, { "dropping-particle" : "", "family" : "Walsh", "given" : "T S", "non-dropping-particle" : "", "parse-names" : false, "suffix" : "" }, { "dropping-particle" : "", "family" : "McAuley", "given" : "D F", "non-dropping-particle" : "", "parse-names" : false, "suffix" : "" }, { "dropping-particle" : "", "family" : "Perkins", "given" : "G D", "non-dropping-particle" : "", "parse-names" : false, "suffix" : "" }, { "dropping-particle" : "", "family" : "Taylor", "given" : "B L", "non-dropping-particle" : "", "parse-names" : false, "suffix" : "" }, { "dropping-particle" : "", "family" : "Menon", "given" : "D K", "non-dropping-particle" : "", "parse-names" : false, "suffix" : "" } ], "container-title" : "Health technology assessment (Winchester, England)", "id" : "ITEM-4", "issue" : "55", "issued" : { "date-parts" : [ [ "2010", "12" ] ] }, "page" : "335-492", "title" : "The Swine Flu Triage (SwiFT) study: development and ongoing refinement of a triage tool to provide regular information to guide immediate policy and practice for the use of critical care services during the H1N1 swine influenza pandemic.", "type" : "article-journal", "volume" : "14" }, "uris" : [ "http://www.mendeley.com/documents/?uuid=609393e8-dd82-4754-a0fe-44b8a8d72dd9" ] } ], "mendeley" : { "formattedCitation" : "(5\u20138)", "plainTextFormattedCitation" : "(5\u20138)", "previouslyFormattedCitation" : "(5\u20138)" }, "properties" : { "noteIndex" : 0 }, "schema" : "https://github.com/citation-style-language/schema/raw/master/csl-citation.json" }</w:instrText>
      </w:r>
      <w:r w:rsidR="00FA5767">
        <w:rPr>
          <w:rFonts w:asciiTheme="majorHAnsi" w:hAnsiTheme="majorHAnsi" w:cs="Arial"/>
          <w:sz w:val="22"/>
          <w:szCs w:val="22"/>
          <w:lang w:val="en-US"/>
        </w:rPr>
        <w:fldChar w:fldCharType="separate"/>
      </w:r>
      <w:r w:rsidR="003F274A" w:rsidRPr="003F274A">
        <w:rPr>
          <w:rFonts w:asciiTheme="majorHAnsi" w:hAnsiTheme="majorHAnsi" w:cs="Arial"/>
          <w:noProof/>
          <w:sz w:val="22"/>
          <w:szCs w:val="22"/>
          <w:lang w:val="en-US"/>
        </w:rPr>
        <w:t>(5–8)</w:t>
      </w:r>
      <w:r w:rsidR="00FA5767">
        <w:rPr>
          <w:rFonts w:asciiTheme="majorHAnsi" w:hAnsiTheme="majorHAnsi" w:cs="Arial"/>
          <w:sz w:val="22"/>
          <w:szCs w:val="22"/>
          <w:lang w:val="en-US"/>
        </w:rPr>
        <w:fldChar w:fldCharType="end"/>
      </w:r>
      <w:r>
        <w:rPr>
          <w:rFonts w:asciiTheme="majorHAnsi" w:hAnsiTheme="majorHAnsi" w:cs="Arial"/>
          <w:sz w:val="22"/>
          <w:szCs w:val="22"/>
          <w:lang w:val="en-US"/>
        </w:rPr>
        <w:t xml:space="preserve">. </w:t>
      </w:r>
      <w:r w:rsidR="006E4FBA">
        <w:rPr>
          <w:rFonts w:asciiTheme="majorHAnsi" w:hAnsiTheme="majorHAnsi" w:cs="Arial"/>
          <w:sz w:val="22"/>
          <w:szCs w:val="22"/>
          <w:lang w:val="en-US"/>
        </w:rPr>
        <w:t>Our previous publication highli</w:t>
      </w:r>
      <w:r w:rsidR="002F5D4D">
        <w:rPr>
          <w:rFonts w:asciiTheme="majorHAnsi" w:hAnsiTheme="majorHAnsi" w:cs="Arial"/>
          <w:sz w:val="22"/>
          <w:szCs w:val="22"/>
          <w:lang w:val="en-US"/>
        </w:rPr>
        <w:t>ghted that oxygen exchange</w:t>
      </w:r>
      <w:r w:rsidR="006E4FBA">
        <w:rPr>
          <w:rFonts w:asciiTheme="majorHAnsi" w:hAnsiTheme="majorHAnsi" w:cs="Arial"/>
          <w:sz w:val="22"/>
          <w:szCs w:val="22"/>
          <w:lang w:val="en-US"/>
        </w:rPr>
        <w:t xml:space="preserve"> was the best predictor of need for mechanical ventilation and admission to critical care </w:t>
      </w:r>
      <w:r w:rsidR="00FA5767">
        <w:rPr>
          <w:rFonts w:asciiTheme="majorHAnsi" w:hAnsiTheme="majorHAnsi" w:cs="Arial"/>
          <w:sz w:val="22"/>
          <w:szCs w:val="22"/>
          <w:lang w:val="en-US"/>
        </w:rPr>
        <w:fldChar w:fldCharType="begin" w:fldLock="1"/>
      </w:r>
      <w:r w:rsidR="0078573D">
        <w:rPr>
          <w:rFonts w:asciiTheme="majorHAnsi" w:hAnsiTheme="majorHAnsi" w:cs="Arial"/>
          <w:sz w:val="22"/>
          <w:szCs w:val="22"/>
          <w:lang w:val="en-US"/>
        </w:rPr>
        <w:instrText>ADDIN CSL_CITATION { "citationItems" : [ { "id" : "ITEM-1", "itemData" : { "DOI" : "10.1093/bja/aev042", "ISSN" : "1471-6771", "PMID" : "25829394", "abstract" : "BACKGROUND: Pandemic influenza presents a major threat to global health and socioeconomic well-being. Future demand for critical care may outstrip supply and force clinicians to triage patients for admission. We evaluated the Simple Triage Scoring System (STSS), Ontario Health Plan for an Influenza Epidemic (OHPIP) and PaO2 /FiO2 \u00a0(P/F) ratio to determine utility in predicting need for mechanical ventilation.\n\nMETHODS: We conducted a retrospective case note review of patients admitted to two centres, Royal Liverpool University Hospital and Countess of Chester Hospital, during the UK influenza pandemic of 2010-11. Demand for critical care during this period forced hospitals in Cheshire and Merseyside to implement escalation policies and increase capacity. Inclusion criteria were polymerase chain reaction-confirmed H1N1 influenza and age &gt;18 years. Exclusion criteria were no evidence of treatment for influenza, patient not admitted to hospital or the inability to locate case notes.\n\nRESULTS: One hundred and one patients were included, 29 were admitted to critical care and 23 required mechanical ventilation. The P/F ratio predicted the need for mechanical ventilation with a receiver operating characteristic area under the curve (ROC AUC) of 0.885 (CI 0.817-0.952). Predictive ability was not reduced when the P/F ratio had to be estimated using the Pandharipande tool. The STSS score predicted the need for mechanical ventilation [ROC AUC 0.798 (CI 0.704-0.891)]. The reverse triage component of the OHPIP tool was a poor predictor of patient outcome.\n\nCONCLUSIONS: The P/F ratio was a better predictor of need for mechanical ventilation than STSS. The P/F ratio is a simple and accepted determinant of hypoxaemia and should be used if secondary triaging becomes necessary during future influenza pandemics.", "author" : [ { "dropping-particle" : "", "family" : "Morton", "given" : "B", "non-dropping-particle" : "", "parse-names" : false, "suffix" : "" }, { "dropping-particle" : "", "family" : "Tang", "given" : "L", "non-dropping-particle" : "", "parse-names" : false, "suffix" : "" }, { "dropping-particle" : "", "family" : "Gale", "given" : "R", "non-dropping-particle" : "", "parse-names" : false, "suffix" : "" }, { "dropping-particle" : "", "family" : "Kelly", "given" : "M", "non-dropping-particle" : "", "parse-names" : false, "suffix" : "" }, { "dropping-particle" : "", "family" : "Robertson", "given" : "H", "non-dropping-particle" : "", "parse-names" : false, "suffix" : "" }, { "dropping-particle" : "", "family" : "Mogk", "given" : "M", "non-dropping-particle" : "", "parse-names" : false, "suffix" : "" }, { "dropping-particle" : "", "family" : "Robin", "given" : "N", "non-dropping-particle" : "", "parse-names" : false, "suffix" : "" }, { "dropping-particle" : "", "family" : "Welters", "given" : "I", "non-dropping-particle" : "", "parse-names" : false, "suffix" : "" } ], "container-title" : "British journal of anaesthesia", "id" : "ITEM-1", "issued" : { "date-parts" : [ [ "2015", "3", "31" ] ] }, "title" : "Performance of influenza-specific triage tools in an H1N1-positive cohort: P/F ratio better predicts the need for mechanical ventilation and critical care admission.", "type" : "article-journal" }, "uris" : [ "http://www.mendeley.com/documents/?uuid=2111d13a-f3aa-419d-bd30-db9ebea66cc5" ] } ], "mendeley" : { "formattedCitation" : "(5)", "plainTextFormattedCitation" : "(5)", "previouslyFormattedCitation" : "(5)" }, "properties" : { "noteIndex" : 0 }, "schema" : "https://github.com/citation-style-language/schema/raw/master/csl-citation.json" }</w:instrText>
      </w:r>
      <w:r w:rsidR="00FA5767">
        <w:rPr>
          <w:rFonts w:asciiTheme="majorHAnsi" w:hAnsiTheme="majorHAnsi" w:cs="Arial"/>
          <w:sz w:val="22"/>
          <w:szCs w:val="22"/>
          <w:lang w:val="en-US"/>
        </w:rPr>
        <w:fldChar w:fldCharType="separate"/>
      </w:r>
      <w:r w:rsidR="003F274A" w:rsidRPr="003F274A">
        <w:rPr>
          <w:rFonts w:asciiTheme="majorHAnsi" w:hAnsiTheme="majorHAnsi" w:cs="Arial"/>
          <w:noProof/>
          <w:sz w:val="22"/>
          <w:szCs w:val="22"/>
          <w:lang w:val="en-US"/>
        </w:rPr>
        <w:t>(5)</w:t>
      </w:r>
      <w:r w:rsidR="00FA5767">
        <w:rPr>
          <w:rFonts w:asciiTheme="majorHAnsi" w:hAnsiTheme="majorHAnsi" w:cs="Arial"/>
          <w:sz w:val="22"/>
          <w:szCs w:val="22"/>
          <w:lang w:val="en-US"/>
        </w:rPr>
        <w:fldChar w:fldCharType="end"/>
      </w:r>
      <w:r w:rsidR="006E4FBA">
        <w:rPr>
          <w:rFonts w:asciiTheme="majorHAnsi" w:hAnsiTheme="majorHAnsi" w:cs="Arial"/>
          <w:sz w:val="22"/>
          <w:szCs w:val="22"/>
          <w:lang w:val="en-US"/>
        </w:rPr>
        <w:t xml:space="preserve">. </w:t>
      </w:r>
      <w:r w:rsidR="005F31C2">
        <w:rPr>
          <w:rFonts w:asciiTheme="majorHAnsi" w:hAnsiTheme="majorHAnsi" w:cs="Arial"/>
          <w:sz w:val="22"/>
          <w:szCs w:val="22"/>
          <w:lang w:val="en-US"/>
        </w:rPr>
        <w:t>An alternative investigatory approach has been to identify clinical factors that are associated with a confirmed (PCR +</w:t>
      </w:r>
      <w:proofErr w:type="spellStart"/>
      <w:r w:rsidR="005F31C2">
        <w:rPr>
          <w:rFonts w:asciiTheme="majorHAnsi" w:hAnsiTheme="majorHAnsi" w:cs="Arial"/>
          <w:sz w:val="22"/>
          <w:szCs w:val="22"/>
          <w:lang w:val="en-US"/>
        </w:rPr>
        <w:t>ve</w:t>
      </w:r>
      <w:proofErr w:type="spellEnd"/>
      <w:r w:rsidR="005F31C2">
        <w:rPr>
          <w:rFonts w:asciiTheme="majorHAnsi" w:hAnsiTheme="majorHAnsi" w:cs="Arial"/>
          <w:sz w:val="22"/>
          <w:szCs w:val="22"/>
          <w:lang w:val="en-US"/>
        </w:rPr>
        <w:t xml:space="preserve">) diagnosis of influenza </w:t>
      </w:r>
      <w:r w:rsidR="00FA5767">
        <w:rPr>
          <w:rFonts w:asciiTheme="majorHAnsi" w:hAnsiTheme="majorHAnsi" w:cs="Arial"/>
          <w:sz w:val="22"/>
          <w:szCs w:val="22"/>
        </w:rPr>
        <w:fldChar w:fldCharType="begin" w:fldLock="1"/>
      </w:r>
      <w:r w:rsidR="003B7B92">
        <w:rPr>
          <w:rFonts w:asciiTheme="majorHAnsi" w:hAnsiTheme="majorHAnsi" w:cs="Arial"/>
          <w:sz w:val="22"/>
          <w:szCs w:val="22"/>
        </w:rPr>
        <w:instrText>ADDIN CSL_CITATION { "citationItems" : [ { "id" : "ITEM-1", "itemData" : { "ISSN" : "1916-7245; 1198-2241", "PMID" : "23762891", "abstract" : "BACKGROUND: Following the severe acute respiratory syndrome outbreak in 2003, hospitals have been mandated to use infection screening questionnaires to determine which patients have infectious respiratory illness and, therefore, require isolation precautions. Despite widespread use of symptom-based screening tools in Ontario, there are no data supporting the accuracy of these screening tools in hospitalized patients. OBJECTIVE: To measure the performance characteristics of infection screening tools used during the H1N1 influenza season. METHODS: The present retrospective cohort study was conducted at The Ottawa Hospital (Ottawa, Ontario) between October and December, 2009. Consecutive inpatients admitted from the emergency department were included if they were &gt;/=18 years of age, underwent a screening tool assessment at presentation and had a most responsible diagnosis that was cardiac, respiratory or infectious. The gold-standard outcome was laboratory diagnosis of influenza. RESULTS: The prevalence of laboratory-confirmed influenza was 23.5%. The sensitivity and specificity of the febrile respiratory illness screening tool were 74.5% (95% CI 60.5% to 84.8%) and 32.7% (95% CI 25.8% to 40.5%), respectively. The sensitivity and specificity of the influenza-like illness screening tool were 75.6% (95% CI 61.3% to 85.8%) and 46.3% (95% CI 38.2% to 54.7%), respectively. CONCLUSIONS: The febrile respiratory illness screening tool missed 26% of active influenza cases, while 67% of noninfluenza patients were unnecessarily placed under respiratory isolation. Results of the present study suggest that infection-control practitioners should re-evaluate their strategy of screening patients at admission for contagious respiratory illness using symptom- and sign-based tests. Future efforts should focus on the derivation and validation of clinical decision rules that combine clinical features with laboratory tests.", "author" : [ { "dropping-particle" : "", "family" : "Mulpuru", "given" : "S", "non-dropping-particle" : "", "parse-names" : false, "suffix" : "" }, { "dropping-particle" : "", "family" : "Roth", "given" : "V R", "non-dropping-particle" : "", "parse-names" : false, "suffix" : "" }, { "dropping-particle" : "", "family" : "Lawrence", "given" : "N", "non-dropping-particle" : "", "parse-names" : false, "suffix" : "" }, { "dropping-particle" : "", "family" : "Forster", "given" : "a J", "non-dropping-particle" : "", "parse-names" : false, "suffix" : "" } ], "container-title" : "Canadian respiratory journal : journal of the Canadian Thoracic Society", "id" : "ITEM-1", "issue" : "3", "issued" : { "date-parts" : [ [ "2013" ] ] }, "page" : "e55-9", "title" : "Influenza infection screening tools fail to accurately predict influenza status for patients during pandemic H1N1 influenza season", "type" : "article-journal", "volume" : "20" }, "uris" : [ "http://www.mendeley.com/documents/?uuid=35ebf049-3345-4b51-8bcb-2a0059530008" ] }, { "id" : "ITEM-2", "itemData" : { "DOI" : "10.1136/emj.2010.096016", "ISBN" : "1472-0213 (Electronic)\\n1472-0205 (Linking)", "ISSN" : "1472-0213", "PMID" : "21441268", "abstract" : "To create a clinical decision tool for suspected influenza A (including 2009 H1N1) to facilitate treatment and isolation decisions for patients admitted to hospital with an acute respiratory illness from the emergency department (ED) during a 2009 H1N1 pandemic.", "author" : [ { "dropping-particle" : "", "family" : "Keijzers", "given" : "Gerben B", "non-dropping-particle" : "", "parse-names" : false, "suffix" : "" }, { "dropping-particle" : "", "family" : "Vossen", "given" : "Caleb Nathaniel Kai-Lik", "non-dropping-particle" : "", "parse-names" : false, "suffix" : "" }, { "dropping-particle" : "", "family" : "Zhang", "given" : "Ping", "non-dropping-particle" : "", "parse-names" : false, "suffix" : "" }, { "dropping-particle" : "", "family" : "Macbeth", "given" : "Debourough", "non-dropping-particle" : "", "parse-names" : false, "suffix" : "" }, { "dropping-particle" : "", "family" : "Derrington", "given" : "Petra", "non-dropping-particle" : "", "parse-names" : false, "suffix" : "" }, { "dropping-particle" : "", "family" : "Gerrard", "given" : "John Gregory", "non-dropping-particle" : "", "parse-names" : false, "suffix" : "" }, { "dropping-particle" : "", "family" : "Doust", "given" : "Jenny", "non-dropping-particle" : "", "parse-names" : false, "suffix" : "" } ], "container-title" : "Emergency medicine journal : EMJ", "id" : "ITEM-2", "issue" : "6", "issued" : { "date-parts" : [ [ "2011" ] ] }, "page" : "500-6", "title" : "Predicting influenza A and 2009 H1N1 influenza in patients admitted to hospital with acute respiratory illness.", "type" : "article-journal", "volume" : "28" }, "uris" : [ "http://www.mendeley.com/documents/?uuid=f4b9db1e-8d04-491a-a607-d064da0f19aa" ] }, { "id" : "ITEM-3", "itemData" : { "ISBN" : "1565-1088 (Print)", "ISSN" : "15651088", "PMID" : "23193782", "abstract" : "BACKGROUND: During an influenza pandemic, clinicians need easily available clinical and laboratory criteria to distinguish influenza from similar respiratory illnesses. We compared A/H1N1/2009-polymerase chain reaction (PCR)-positive and matched PCR-negative hospitalized patients with suspected H1N1 influenza to identify factors that could assist physicians at patient admission. OBJECTIVES: To identify factors significantly associated with A/ H1N1/2009 infection. METHODS: A group of 145 patients with PCR-confirmed A/H1N1 2009 influenza admitted between 27 May 2009 and 3 December 2009 was matched with 145 PCR-negative patients by age, epidemiological week and pregnancy status. Epidemiological and clinical parameters and radiological findings on initial chest X-ray were compared between the two groups. RESULTS: Asthma (PCR+ 26%, PCR- 12%, P = 0.006) and military service (PCR+ 13%, PCR- 4%, P = 0.15) were associated with PCR-positive status in non-pregnant patients. At presentation, fever, cough, myalgia and fulfilling the pandemic influenza case definition were significantly more frequent in nonpregnant PCR+ patients (62/90/43/59% in PCR+ versus 38/69/30/35% in PCR-). In pregnant patients, fever and fulfilling the case definition were significantly associated with PCR-positive status. Mean leukocyte and absolute lymphocyte counts were significantly lower in both pregnant and nonpregnant PCR-positive patients. Significantly more PCR-negative non-pregnant patients (43% vs. 22% PCR+, P = 0.004) had abnormal chest X-ray (CXR) findings on presentation. In PCR-positive patients, patchy consolidation and interstitial infiltrates were the most common abnormalities. CONCLUSIONS: Under the conditions generated by the A/ H1 1/2009 pandemic, radiological findings did not distinguish reliably between influenza and other febrile respiratory illnesses. Asthma, military service, the pandemic case definition (particularly fever, cough and myalgia)", "author" : [ { "dropping-particle" : "", "family" : "Karplus", "given" : "Rebekah", "non-dropping-particle" : "", "parse-names" : false, "suffix" : "" }, { "dropping-particle" : "", "family" : "Weinberger", "given" : "Miriam", "non-dropping-particle" : "", "parse-names" : false, "suffix" : "" }, { "dropping-particle" : "", "family" : "Zaidenstein", "given" : "Ronit", "non-dropping-particle" : "", "parse-names" : false, "suffix" : "" }, { "dropping-particle" : "", "family" : "Goldshtein", "given" : "Lili", "non-dropping-particle" : "", "parse-names" : false, "suffix" : "" }, { "dropping-particle" : "", "family" : "Natif", "given" : "Noam", "non-dropping-particle" : "", "parse-names" : false, "suffix" : "" }, { "dropping-particle" : "", "family" : "Gayer", "given" : "Gabriela", "non-dropping-particle" : "", "parse-names" : false, "suffix" : "" } ], "container-title" : "Israel Medical Association Journal", "id" : "ITEM-3", "issue" : "10", "issued" : { "date-parts" : [ [ "2012" ] ] }, "page" : "613-619", "title" : "The role of readily available clinical, laboratory and radiologic findings in distinguishing A/H1N1/2009 influenza from other causes of acute febrile respiratory illness under pandemic conditions", "type" : "article-journal", "volume" : "14" }, "uris" : [ "http://www.mendeley.com/documents/?uuid=22a917e3-735e-4708-ab82-4af81ae507b4" ] }, { "id" : "ITEM-4", "itemData" : { "abstract" : "INTRODUCTION: In June 2009, the World Health Organization declared an influenza pandemic associated with the pandemic (H1N1) 2009 strain. It was summer in the northern hemisphere, and therefore travelling and vacation time, which also provided an increased opportunity for the dissemination of respiratory diseases. METHODOLOGY: We reviewed the paper case report forms from all the patients with influenza-like illnesses with nasopharyngeal samples submitted for laboratory diagnosis of pandemic (H1N1) 2009 infection during the first wave of pandemic influenza that occurred between June and August 2009, in the central region of Portugal. RESULTS: From all the patients with influenza-like illnesses, one third was found positive for pandemic (H1N1) 2009. Individuals under the age of 29 (75%) were the most affected. Most of the patients (91%) presented with fever. A group of symptoms were positively correlated with the probability of pandemic (H1N1) 2009 infection: cough, epistaxis, lack of dyspnea or vomiting, fever, headache and myalgia. CONCLUSIONS: During the first wave of the pandemic influenza, young individuals were the most affected, and in the ambulatory setting, presentation was of a mild febrile illness without complications.", "author" : [ { "dropping-particle" : "", "family" : "Duque", "given" : "V", "non-dropping-particle" : "", "parse-names" : false, "suffix" : "" }, { "dropping-particle" : "", "family" : "Vaz", "given" : "J", "non-dropping-particle" : "", "parse-names" : false, "suffix" : "" }, { "dropping-particle" : "", "family" : "Mota", "given" : "V", "non-dropping-particle" : "", "parse-names" : false, "suffix" : "" }, { "dropping-particle" : "", "family" : "Morais", "given" : "C", "non-dropping-particle" : "", "parse-names" : false, "suffix" : "" }, { "dropping-particle" : "", "family" : "Cunha", "given" : "S", "non-dropping-particle" : "Da", "parse-names" : false, "suffix" : "" }, { "dropping-particle" : "", "family" : "Melico-Silvestre", "given" : "A", "non-dropping-particle" : "", "parse-names" : false, "suffix" : "" } ], "container-title" : "Journal of Infection in Developing Countries", "id" : "ITEM-4", "issued" : { "date-parts" : [ [ "2011" ] ] }, "page" : "658-663", "title" : "Clinical manifestations of pandemic (H1N1) 2009 in the ambulatory setting", "type" : "article-journal", "volume" : "5" }, "uris" : [ "http://www.mendeley.com/documents/?uuid=f17f752b-16fd-489f-b061-509c33ccbe59" ] }, { "id" : "ITEM-5", "itemData" : { "DOI" : "10.1136/thx.2010.151522", "ISBN" : "1468-3296", "ISSN" : "1468-3296", "PMID" : "21252388", "abstract" : "Early identification of patients with H1N1 influenza-related pneumonia is desirable for the early instigation of antiviral agents. A study was undertaken to investigate whether adults admitted to hospital with H1N1 influenza-related pneumonia could be distinguished clinically from patients with non-H1N1 community-acquired pneumonia (CAP).", "author" : [ { "dropping-particle" : "", "family" : "Bewick", "given" : "Thomas", "non-dropping-particle" : "", "parse-names" : false, "suffix" : "" }, { "dropping-particle" : "", "family" : "Myles", "given" : "Puja", "non-dropping-particle" : "", "parse-names" : false, "suffix" : "" }, { "dropping-particle" : "", "family" : "Greenwood", "given" : "Sonia", "non-dropping-particle" : "", "parse-names" : false, "suffix" : "" }, { "dropping-particle" : "", "family" : "Nguyen-Van-Tam", "given" : "Jonathan S", "non-dropping-particle" : "", "parse-names" : false, "suffix" : "" }, { "dropping-particle" : "", "family" : "Brett", "given" : "Stephen J", "non-dropping-particle" : "", "parse-names" : false, "suffix" : "" }, { "dropping-particle" : "", "family" : "Semple", "given" : "Malcolm G", "non-dropping-particle" : "", "parse-names" : false, "suffix" : "" }, { "dropping-particle" : "", "family" : "Openshaw", "given" : "Peter J", "non-dropping-particle" : "", "parse-names" : false, "suffix" : "" }, { "dropping-particle" : "", "family" : "Bannister", "given" : "Barbara", "non-dropping-particle" : "", "parse-names" : false, "suffix" : "" }, { "dropping-particle" : "", "family" : "Read", "given" : "Robert C", "non-dropping-particle" : "", "parse-names" : false, "suffix" : "" }, { "dropping-particle" : "", "family" : "Taylor", "given" : "Bruce L", "non-dropping-particle" : "", "parse-names" : false, "suffix" : "" }, { "dropping-particle" : "", "family" : "McMenamin", "given" : "Jim", "non-dropping-particle" : "", "parse-names" : false, "suffix" : "" }, { "dropping-particle" : "", "family" : "Enstone", "given" : "Joanne E", "non-dropping-particle" : "", "parse-names" : false, "suffix" : "" }, { "dropping-particle" : "", "family" : "Nicholson", "given" : "Karl G", "non-dropping-particle" : "", "parse-names" : false, "suffix" : "" }, { "dropping-particle" : "", "family" : "Lim", "given" : "Wei Shen", "non-dropping-particle" : "", "parse-names" : false, "suffix" : "" } ], "container-title" : "Thorax", "id" : "ITEM-5", "issue" : "3", "issued" : { "date-parts" : [ [ "2011" ] ] }, "page" : "247-252", "title" : "Clinical and laboratory features distinguishing pandemic H1N1 influenza-related pneumonia from interpandemic community-acquired pneumonia in adults.", "type" : "article-journal", "volume" : "66" }, "uris" : [ "http://www.mendeley.com/documents/?uuid=52cd3a68-7cee-4542-82ca-13ca93359380" ] } ], "mendeley" : { "formattedCitation" : "(9\u201313)", "plainTextFormattedCitation" : "(9\u201313)", "previouslyFormattedCitation" : "(9\u201313)" }, "properties" : { "noteIndex" : 0 }, "schema" : "https://github.com/citation-style-language/schema/raw/master/csl-citation.json" }</w:instrText>
      </w:r>
      <w:r w:rsidR="00FA5767">
        <w:rPr>
          <w:rFonts w:asciiTheme="majorHAnsi" w:hAnsiTheme="majorHAnsi" w:cs="Arial"/>
          <w:sz w:val="22"/>
          <w:szCs w:val="22"/>
        </w:rPr>
        <w:fldChar w:fldCharType="separate"/>
      </w:r>
      <w:r w:rsidR="0078573D" w:rsidRPr="0078573D">
        <w:rPr>
          <w:rFonts w:asciiTheme="majorHAnsi" w:hAnsiTheme="majorHAnsi" w:cs="Arial"/>
          <w:noProof/>
          <w:sz w:val="22"/>
          <w:szCs w:val="22"/>
        </w:rPr>
        <w:t>(9–13)</w:t>
      </w:r>
      <w:r w:rsidR="00FA5767">
        <w:rPr>
          <w:rFonts w:asciiTheme="majorHAnsi" w:hAnsiTheme="majorHAnsi" w:cs="Arial"/>
          <w:sz w:val="22"/>
          <w:szCs w:val="22"/>
        </w:rPr>
        <w:fldChar w:fldCharType="end"/>
      </w:r>
      <w:r w:rsidR="005F31C2">
        <w:rPr>
          <w:rFonts w:asciiTheme="majorHAnsi" w:hAnsiTheme="majorHAnsi" w:cs="Arial"/>
          <w:sz w:val="22"/>
          <w:szCs w:val="22"/>
        </w:rPr>
        <w:t>.</w:t>
      </w:r>
      <w:r w:rsidR="004921F2">
        <w:rPr>
          <w:rFonts w:asciiTheme="majorHAnsi" w:hAnsiTheme="majorHAnsi" w:cs="Arial"/>
          <w:sz w:val="22"/>
          <w:szCs w:val="22"/>
        </w:rPr>
        <w:t xml:space="preserve"> However, there is a paucity of work that examines </w:t>
      </w:r>
      <w:r w:rsidR="004960EA">
        <w:rPr>
          <w:rFonts w:asciiTheme="majorHAnsi" w:hAnsiTheme="majorHAnsi" w:cs="Arial"/>
          <w:sz w:val="22"/>
          <w:szCs w:val="22"/>
        </w:rPr>
        <w:t xml:space="preserve">hospital </w:t>
      </w:r>
      <w:r w:rsidR="004921F2">
        <w:rPr>
          <w:rFonts w:asciiTheme="majorHAnsi" w:hAnsiTheme="majorHAnsi" w:cs="Arial"/>
          <w:sz w:val="22"/>
          <w:szCs w:val="22"/>
        </w:rPr>
        <w:t xml:space="preserve">admission and discharge decisions for patients with H1N1 influenza. </w:t>
      </w:r>
      <w:r w:rsidR="006E4FBA">
        <w:rPr>
          <w:rFonts w:asciiTheme="majorHAnsi" w:hAnsiTheme="majorHAnsi" w:cs="Arial"/>
          <w:sz w:val="22"/>
          <w:szCs w:val="22"/>
        </w:rPr>
        <w:t>We believe our proposed tool provides a pragmatic method for incorporating measures of inflammation and oxygen exchange into hospital admission decisions. Clearly this tool requires</w:t>
      </w:r>
      <w:r w:rsidR="00DF5604">
        <w:rPr>
          <w:rFonts w:asciiTheme="majorHAnsi" w:hAnsiTheme="majorHAnsi" w:cs="Arial"/>
          <w:sz w:val="22"/>
          <w:szCs w:val="22"/>
        </w:rPr>
        <w:t xml:space="preserve"> refinement and </w:t>
      </w:r>
      <w:r w:rsidR="006E4FBA">
        <w:rPr>
          <w:rFonts w:asciiTheme="majorHAnsi" w:hAnsiTheme="majorHAnsi" w:cs="Arial"/>
          <w:sz w:val="22"/>
          <w:szCs w:val="22"/>
        </w:rPr>
        <w:t xml:space="preserve">validation </w:t>
      </w:r>
      <w:r w:rsidR="00DF5604">
        <w:rPr>
          <w:rFonts w:asciiTheme="majorHAnsi" w:hAnsiTheme="majorHAnsi" w:cs="Arial"/>
          <w:sz w:val="22"/>
          <w:szCs w:val="22"/>
        </w:rPr>
        <w:t xml:space="preserve">through study </w:t>
      </w:r>
      <w:r w:rsidR="006E4FBA">
        <w:rPr>
          <w:rFonts w:asciiTheme="majorHAnsi" w:hAnsiTheme="majorHAnsi" w:cs="Arial"/>
          <w:sz w:val="22"/>
          <w:szCs w:val="22"/>
        </w:rPr>
        <w:t xml:space="preserve">in </w:t>
      </w:r>
      <w:r w:rsidR="00DF5604">
        <w:rPr>
          <w:rFonts w:asciiTheme="majorHAnsi" w:hAnsiTheme="majorHAnsi" w:cs="Arial"/>
          <w:sz w:val="22"/>
          <w:szCs w:val="22"/>
        </w:rPr>
        <w:t>other</w:t>
      </w:r>
      <w:r w:rsidR="006E4FBA">
        <w:rPr>
          <w:rFonts w:asciiTheme="majorHAnsi" w:hAnsiTheme="majorHAnsi" w:cs="Arial"/>
          <w:sz w:val="22"/>
          <w:szCs w:val="22"/>
        </w:rPr>
        <w:t xml:space="preserve"> cohort</w:t>
      </w:r>
      <w:r w:rsidR="00DF5604">
        <w:rPr>
          <w:rFonts w:asciiTheme="majorHAnsi" w:hAnsiTheme="majorHAnsi" w:cs="Arial"/>
          <w:sz w:val="22"/>
          <w:szCs w:val="22"/>
        </w:rPr>
        <w:t>s</w:t>
      </w:r>
      <w:r w:rsidR="006E4FBA">
        <w:rPr>
          <w:rFonts w:asciiTheme="majorHAnsi" w:hAnsiTheme="majorHAnsi" w:cs="Arial"/>
          <w:sz w:val="22"/>
          <w:szCs w:val="22"/>
        </w:rPr>
        <w:t xml:space="preserve"> of patients</w:t>
      </w:r>
      <w:r w:rsidR="002D6D73">
        <w:rPr>
          <w:rFonts w:asciiTheme="majorHAnsi" w:hAnsiTheme="majorHAnsi" w:cs="Arial"/>
          <w:sz w:val="22"/>
          <w:szCs w:val="22"/>
        </w:rPr>
        <w:t xml:space="preserve"> prior to implementatio</w:t>
      </w:r>
      <w:r w:rsidR="00DF5604">
        <w:rPr>
          <w:rFonts w:asciiTheme="majorHAnsi" w:hAnsiTheme="majorHAnsi" w:cs="Arial"/>
          <w:sz w:val="22"/>
          <w:szCs w:val="22"/>
        </w:rPr>
        <w:t>n</w:t>
      </w:r>
      <w:r w:rsidR="004341C0">
        <w:rPr>
          <w:rFonts w:asciiTheme="majorHAnsi" w:hAnsiTheme="majorHAnsi" w:cs="Arial"/>
          <w:sz w:val="22"/>
          <w:szCs w:val="22"/>
        </w:rPr>
        <w:t>.</w:t>
      </w:r>
    </w:p>
    <w:p w14:paraId="78EB464E" w14:textId="77777777" w:rsidR="00452FE7" w:rsidRDefault="00452FE7" w:rsidP="007A6C90">
      <w:pPr>
        <w:spacing w:line="480" w:lineRule="auto"/>
        <w:rPr>
          <w:rFonts w:asciiTheme="majorHAnsi" w:hAnsiTheme="majorHAnsi" w:cs="Arial"/>
          <w:sz w:val="22"/>
          <w:szCs w:val="22"/>
        </w:rPr>
      </w:pPr>
    </w:p>
    <w:p w14:paraId="74F522CE" w14:textId="77777777" w:rsidR="00A23AC0" w:rsidRDefault="000D4EEE" w:rsidP="00D8005E">
      <w:pPr>
        <w:spacing w:line="480" w:lineRule="auto"/>
        <w:rPr>
          <w:rFonts w:asciiTheme="majorHAnsi" w:hAnsiTheme="majorHAnsi" w:cs="Arial"/>
          <w:sz w:val="22"/>
          <w:szCs w:val="22"/>
        </w:rPr>
      </w:pPr>
      <w:r>
        <w:rPr>
          <w:rFonts w:asciiTheme="majorHAnsi" w:hAnsiTheme="majorHAnsi" w:cs="Arial"/>
          <w:sz w:val="22"/>
          <w:szCs w:val="22"/>
        </w:rPr>
        <w:t xml:space="preserve">Re-examining </w:t>
      </w:r>
      <w:r w:rsidR="00D80997">
        <w:rPr>
          <w:rFonts w:asciiTheme="majorHAnsi" w:hAnsiTheme="majorHAnsi" w:cs="Arial"/>
          <w:sz w:val="22"/>
          <w:szCs w:val="22"/>
        </w:rPr>
        <w:t xml:space="preserve">the </w:t>
      </w:r>
      <w:r>
        <w:rPr>
          <w:rFonts w:asciiTheme="majorHAnsi" w:hAnsiTheme="majorHAnsi" w:cs="Arial"/>
          <w:sz w:val="22"/>
          <w:szCs w:val="22"/>
        </w:rPr>
        <w:t xml:space="preserve">need for mechanical ventilation, we investigated </w:t>
      </w:r>
      <w:proofErr w:type="spellStart"/>
      <w:r>
        <w:rPr>
          <w:rFonts w:asciiTheme="majorHAnsi" w:hAnsiTheme="majorHAnsi" w:cs="Arial"/>
          <w:sz w:val="22"/>
          <w:szCs w:val="22"/>
        </w:rPr>
        <w:t>qSOFA</w:t>
      </w:r>
      <w:proofErr w:type="spellEnd"/>
      <w:r>
        <w:rPr>
          <w:rFonts w:asciiTheme="majorHAnsi" w:hAnsiTheme="majorHAnsi" w:cs="Arial"/>
          <w:sz w:val="22"/>
          <w:szCs w:val="22"/>
        </w:rPr>
        <w:t xml:space="preserve"> and Chest X-ray score as supplementary variables. </w:t>
      </w:r>
      <w:r w:rsidR="007607FD">
        <w:rPr>
          <w:rFonts w:asciiTheme="majorHAnsi" w:hAnsiTheme="majorHAnsi" w:cs="Arial"/>
          <w:sz w:val="22"/>
          <w:szCs w:val="22"/>
        </w:rPr>
        <w:t xml:space="preserve">As part of the recent update on sepsis definition, </w:t>
      </w:r>
      <w:proofErr w:type="spellStart"/>
      <w:r w:rsidR="007607FD">
        <w:rPr>
          <w:rFonts w:asciiTheme="majorHAnsi" w:hAnsiTheme="majorHAnsi" w:cs="Arial"/>
          <w:sz w:val="22"/>
          <w:szCs w:val="22"/>
        </w:rPr>
        <w:t>qSOFA</w:t>
      </w:r>
      <w:proofErr w:type="spellEnd"/>
      <w:r w:rsidR="007607FD">
        <w:rPr>
          <w:rFonts w:asciiTheme="majorHAnsi" w:hAnsiTheme="majorHAnsi" w:cs="Arial"/>
          <w:sz w:val="22"/>
          <w:szCs w:val="22"/>
        </w:rPr>
        <w:t xml:space="preserve"> has been advocated as a simple bedside score to identify pati</w:t>
      </w:r>
      <w:r w:rsidR="00FD0436">
        <w:rPr>
          <w:rFonts w:asciiTheme="majorHAnsi" w:hAnsiTheme="majorHAnsi" w:cs="Arial"/>
          <w:sz w:val="22"/>
          <w:szCs w:val="22"/>
        </w:rPr>
        <w:t>ents suspected of infection at risk of poor outcome</w:t>
      </w:r>
      <w:r w:rsidR="007607FD">
        <w:rPr>
          <w:rFonts w:asciiTheme="majorHAnsi" w:hAnsiTheme="majorHAnsi" w:cs="Arial"/>
          <w:sz w:val="22"/>
          <w:szCs w:val="22"/>
        </w:rPr>
        <w:t xml:space="preserve"> </w:t>
      </w:r>
      <w:r w:rsidR="00FA5767">
        <w:rPr>
          <w:rFonts w:asciiTheme="majorHAnsi" w:hAnsiTheme="majorHAnsi" w:cs="Arial"/>
          <w:sz w:val="22"/>
          <w:szCs w:val="22"/>
        </w:rPr>
        <w:fldChar w:fldCharType="begin" w:fldLock="1"/>
      </w:r>
      <w:r>
        <w:rPr>
          <w:rFonts w:asciiTheme="majorHAnsi" w:hAnsiTheme="majorHAnsi" w:cs="Arial"/>
          <w:sz w:val="22"/>
          <w:szCs w:val="22"/>
        </w:rPr>
        <w:instrText>ADDIN CSL_CITATION { "citationItems" : [ { "id" : "ITEM-1", "itemData" : { "DOI" : "10.1001/jama.2016.0287", "ISSN" : "0098-7484", "PMID" : "26903338", "abstract" : "Importance: Definitions of sepsis and septic shock were last revised in 2001. Considerable advances have since been made into the pathobiology (changes in organ function, morphology, cell biology, biochemistry, immunology, and circulation), management, and epidemiology of sepsis, suggesting the need for reexamination.\n\nObjective: To evaluate and, as needed, update definitions for sepsis and septic shock.\n\nProcess: A task force (n\u2009=\u200919) with expertise in sepsis pathobiology, clinical trials, and epidemiology was convened by the Society of Critical Care Medicine and the European Society of Intensive Care Medicine. Definitions and clinical criteria were generated through meetings, Delphi processes, analysis of electronic health record databases, and voting, followed by circulation to international professional societies, requesting peer review and endorsement (by 31 societies listed in the Acknowledgment).\n\nKey Findings From Evidence Synthesis: Limitations of previous definitions included an excessive focus on inflammation, the misleading model that sepsis follows a continuum through severe sepsis to shock, and inadequate specificity and sensitivity of the systemic inflammatory response syndrome (SIRS) criteria. Multiple definitions and terminologies are currently in use for sepsis, septic shock, and organ dysfunction, leading to discrepancies in reported incidence and observed mortality. The task force concluded the term severe sepsis was redundant.\n\nRecommendations: Sepsis should be defined as life-threatening organ dysfunction caused by a dysregulated host response to infection. For clinical operationalization, organ dysfunction can be represented by an increase in the Sequential [Sepsis-related] Organ Failure Assessment (SOFA) score of 2 points or more, which is associated with an in-hospital mortality greater than 10%. Septic shock should be defined as a subset of sepsis in which particularly profound circulatory, cellular, and metabolic abnormalities are associated with a greater risk of mortality than with sepsis alone. Patients with septic shock can be clinically identified by a vasopressor requirement to maintain a mean arterial pressure of 65 mm Hg or greater and serum lactate level greater than 2 mmol/L (&gt;18 mg/dL) in the absence of hypovolemia. This combination is associated with hospital mortality rates greater than 40%. In out-of-hospital, emergency department, or general hospital ward settings, adult patients with suspected infection can be \u2026", "author" : [ { "dropping-particle" : "", "family" : "Singer", "given" : "Mervyn", "non-dropping-particle" : "", "parse-names" : false, "suffix" : "" }, { "dropping-particle" : "", "family" : "Deutschman", "given" : "Clifford S.", "non-dropping-particle" : "", "parse-names" : false, "suffix" : "" }, { "dropping-particle" : "", "family" : "Seymour", "given" : "Christopher Warren", "non-dropping-particle" : "", "parse-names" : false, "suffix" : "" }, { "dropping-particle" : "", "family" : "Shankar-Hari", "given" : "Manu", "non-dropping-particle" : "", "parse-names" : false, "suffix" : "" }, { "dropping-particle" : "", "family" : "Annane", "given" : "Djillali", "non-dropping-particle" : "", "parse-names" : false, "suffix" : "" }, { "dropping-particle" : "", "family" : "Bauer", "given" : "Michael", "non-dropping-particle" : "", "parse-names" : false, "suffix" : "" }, { "dropping-particle" : "", "family" : "Bellomo", "given" : "Rinaldo", "non-dropping-particle" : "", "parse-names" : false, "suffix" : "" }, { "dropping-particle" : "", "family" : "Bernard", "given" : "Gordon R.", "non-dropping-particle" : "", "parse-names" : false, "suffix" : "" }, { "dropping-particle" : "", "family" : "Chiche", "given" : "Jean-Daniel", "non-dropping-particle" : "", "parse-names" : false, "suffix" : "" }, { "dropping-particle" : "", "family" : "Coopersmith", "given" : "Craig M.", "non-dropping-particle" : "", "parse-names" : false, "suffix" : "" }, { "dropping-particle" : "", "family" : "Hotchkiss", "given" : "Richard S.", "non-dropping-particle" : "", "parse-names" : false, "suffix" : "" }, { "dropping-particle" : "", "family" : "Levy", "given" : "Mitchell M.", "non-dropping-particle" : "", "parse-names" : false, "suffix" : "" }, { "dropping-particle" : "", "family" : "Marshall", "given" : "John C.", "non-dropping-particle" : "", "parse-names" : false, "suffix" : "" }, { "dropping-particle" : "", "family" : "Martin", "given" : "Greg S.", "non-dropping-particle" : "", "parse-names" : false, "suffix" : "" }, { "dropping-particle" : "", "family" : "Opal", "given" : "Steven M.", "non-dropping-particle" : "", "parse-names" : false, "suffix" : "" }, { "dropping-particle" : "", "family" : "Rubenfeld", "given" : "Gordon D.", "non-dropping-particle" : "", "parse-names" : false, "suffix" : "" }, { "dropping-particle" : "", "family" : "Poll", "given" : "Tom", "non-dropping-particle" : "van der", "parse-names" : false, "suffix" : "" }, { "dropping-particle" : "", "family" : "Vincent", "given" : "Jean-Louis", "non-dropping-particle" : "", "parse-names" : false, "suffix" : "" }, { "dropping-particle" : "", "family" : "Angus", "given" : "Derek C.", "non-dropping-particle" : "", "parse-names" : false, "suffix" : "" } ], "container-title" : "JAMA", "id" : "ITEM-1", "issue" : "8", "issued" : { "date-parts" : [ [ "2016", "2", "23" ] ] }, "page" : "801", "title" : "The Third International Consensus Definitions for Sepsis and Septic Shock (Sepsis-3)", "type" : "article-journal", "volume" : "315" }, "uris" : [ "http://www.mendeley.com/documents/?uuid=b548cef4-7444-4f2a-aefa-a4d52a985ec2" ] } ], "mendeley" : { "formattedCitation" : "(15)", "plainTextFormattedCitation" : "(15)", "previouslyFormattedCitation" : "(15)" }, "properties" : { "noteIndex" : 0 }, "schema" : "https://github.com/citation-style-language/schema/raw/master/csl-citation.json" }</w:instrText>
      </w:r>
      <w:r w:rsidR="00FA5767">
        <w:rPr>
          <w:rFonts w:asciiTheme="majorHAnsi" w:hAnsiTheme="majorHAnsi" w:cs="Arial"/>
          <w:sz w:val="22"/>
          <w:szCs w:val="22"/>
        </w:rPr>
        <w:fldChar w:fldCharType="separate"/>
      </w:r>
      <w:r w:rsidR="003B7B92" w:rsidRPr="003B7B92">
        <w:rPr>
          <w:rFonts w:asciiTheme="majorHAnsi" w:hAnsiTheme="majorHAnsi" w:cs="Arial"/>
          <w:noProof/>
          <w:sz w:val="22"/>
          <w:szCs w:val="22"/>
        </w:rPr>
        <w:t>(15)</w:t>
      </w:r>
      <w:r w:rsidR="00FA5767">
        <w:rPr>
          <w:rFonts w:asciiTheme="majorHAnsi" w:hAnsiTheme="majorHAnsi" w:cs="Arial"/>
          <w:sz w:val="22"/>
          <w:szCs w:val="22"/>
        </w:rPr>
        <w:fldChar w:fldCharType="end"/>
      </w:r>
      <w:r w:rsidR="007607FD">
        <w:rPr>
          <w:rFonts w:asciiTheme="majorHAnsi" w:hAnsiTheme="majorHAnsi" w:cs="Arial"/>
          <w:sz w:val="22"/>
          <w:szCs w:val="22"/>
        </w:rPr>
        <w:t xml:space="preserve">. </w:t>
      </w:r>
      <w:r w:rsidR="00FD0436">
        <w:rPr>
          <w:rFonts w:asciiTheme="majorHAnsi" w:hAnsiTheme="majorHAnsi" w:cs="Arial"/>
          <w:sz w:val="22"/>
          <w:szCs w:val="22"/>
        </w:rPr>
        <w:t>This score does n</w:t>
      </w:r>
      <w:r w:rsidR="00F90F37">
        <w:rPr>
          <w:rFonts w:asciiTheme="majorHAnsi" w:hAnsiTheme="majorHAnsi" w:cs="Arial"/>
          <w:sz w:val="22"/>
          <w:szCs w:val="22"/>
        </w:rPr>
        <w:t xml:space="preserve">ot require laboratory tests, </w:t>
      </w:r>
      <w:r w:rsidR="00FD0436">
        <w:rPr>
          <w:rFonts w:asciiTheme="majorHAnsi" w:hAnsiTheme="majorHAnsi" w:cs="Arial"/>
          <w:sz w:val="22"/>
          <w:szCs w:val="22"/>
        </w:rPr>
        <w:t>can be assessed rapidly and repeatedly a</w:t>
      </w:r>
      <w:r w:rsidR="00F90F37">
        <w:rPr>
          <w:rFonts w:asciiTheme="majorHAnsi" w:hAnsiTheme="majorHAnsi" w:cs="Arial"/>
          <w:sz w:val="22"/>
          <w:szCs w:val="22"/>
        </w:rPr>
        <w:t>nd as a surrogate for increased SOFA score (</w:t>
      </w:r>
      <w:r w:rsidR="00F90F37">
        <w:rPr>
          <w:rFonts w:ascii="Calibri" w:hAnsi="Calibri" w:cs="Arial"/>
          <w:sz w:val="22"/>
          <w:szCs w:val="22"/>
        </w:rPr>
        <w:t>≥</w:t>
      </w:r>
      <w:r w:rsidR="00F90F37">
        <w:rPr>
          <w:rFonts w:asciiTheme="majorHAnsi" w:hAnsiTheme="majorHAnsi" w:cs="Arial"/>
          <w:sz w:val="22"/>
          <w:szCs w:val="22"/>
        </w:rPr>
        <w:t>2</w:t>
      </w:r>
      <w:r w:rsidR="008317E7">
        <w:rPr>
          <w:rFonts w:asciiTheme="majorHAnsi" w:hAnsiTheme="majorHAnsi" w:cs="Arial"/>
          <w:sz w:val="22"/>
          <w:szCs w:val="22"/>
        </w:rPr>
        <w:t>), is</w:t>
      </w:r>
      <w:r w:rsidR="00F90F37">
        <w:rPr>
          <w:rFonts w:asciiTheme="majorHAnsi" w:hAnsiTheme="majorHAnsi" w:cs="Arial"/>
          <w:sz w:val="22"/>
          <w:szCs w:val="22"/>
        </w:rPr>
        <w:t xml:space="preserve"> associated with a mortality of at least 10%. </w:t>
      </w:r>
      <w:r w:rsidR="007607FD">
        <w:rPr>
          <w:rFonts w:asciiTheme="majorHAnsi" w:hAnsiTheme="majorHAnsi" w:cs="Arial"/>
          <w:sz w:val="22"/>
          <w:szCs w:val="22"/>
        </w:rPr>
        <w:t xml:space="preserve">We applied this tool to our cohort and found that </w:t>
      </w:r>
      <w:proofErr w:type="spellStart"/>
      <w:r w:rsidR="007607FD">
        <w:rPr>
          <w:rFonts w:asciiTheme="majorHAnsi" w:hAnsiTheme="majorHAnsi" w:cs="Arial"/>
          <w:sz w:val="22"/>
          <w:szCs w:val="22"/>
        </w:rPr>
        <w:t>qSOFA</w:t>
      </w:r>
      <w:proofErr w:type="spellEnd"/>
      <w:r w:rsidR="007607FD">
        <w:rPr>
          <w:rFonts w:asciiTheme="majorHAnsi" w:hAnsiTheme="majorHAnsi" w:cs="Arial"/>
          <w:sz w:val="22"/>
          <w:szCs w:val="22"/>
        </w:rPr>
        <w:t xml:space="preserve"> increased the discriminatory power of oxygen exchange in predicting the need for mechanical ventilation</w:t>
      </w:r>
      <w:r w:rsidR="00F90F37">
        <w:rPr>
          <w:rFonts w:asciiTheme="majorHAnsi" w:hAnsiTheme="majorHAnsi" w:cs="Arial"/>
          <w:sz w:val="22"/>
          <w:szCs w:val="22"/>
        </w:rPr>
        <w:t xml:space="preserve"> (area under the curve 0.939). This </w:t>
      </w:r>
      <w:r w:rsidR="00D80997">
        <w:rPr>
          <w:rFonts w:asciiTheme="majorHAnsi" w:hAnsiTheme="majorHAnsi" w:cs="Arial"/>
          <w:sz w:val="22"/>
          <w:szCs w:val="22"/>
        </w:rPr>
        <w:t xml:space="preserve">could be </w:t>
      </w:r>
      <w:r w:rsidR="00F90F37">
        <w:rPr>
          <w:rFonts w:asciiTheme="majorHAnsi" w:hAnsiTheme="majorHAnsi" w:cs="Arial"/>
          <w:sz w:val="22"/>
          <w:szCs w:val="22"/>
        </w:rPr>
        <w:t xml:space="preserve">very useful for critical care clinicians to rapidly assess patients who present acutely to hospital. </w:t>
      </w:r>
    </w:p>
    <w:p w14:paraId="7B453E6E" w14:textId="77777777" w:rsidR="003B7B92" w:rsidRDefault="003B7B92" w:rsidP="00D8005E">
      <w:pPr>
        <w:spacing w:line="480" w:lineRule="auto"/>
        <w:rPr>
          <w:rFonts w:asciiTheme="majorHAnsi" w:hAnsiTheme="majorHAnsi" w:cs="Arial"/>
          <w:sz w:val="22"/>
          <w:szCs w:val="22"/>
        </w:rPr>
      </w:pPr>
    </w:p>
    <w:p w14:paraId="2A78FD12" w14:textId="77777777" w:rsidR="001D4989" w:rsidRDefault="00A93480" w:rsidP="00D8005E">
      <w:pPr>
        <w:spacing w:line="480" w:lineRule="auto"/>
        <w:rPr>
          <w:rFonts w:asciiTheme="majorHAnsi" w:hAnsiTheme="majorHAnsi" w:cs="Arial"/>
          <w:sz w:val="22"/>
          <w:szCs w:val="22"/>
        </w:rPr>
      </w:pPr>
      <w:r>
        <w:rPr>
          <w:rFonts w:asciiTheme="majorHAnsi" w:hAnsiTheme="majorHAnsi" w:cs="Arial"/>
          <w:sz w:val="22"/>
          <w:szCs w:val="22"/>
        </w:rPr>
        <w:t>Eighty-six</w:t>
      </w:r>
      <w:r w:rsidR="002D7192">
        <w:rPr>
          <w:rFonts w:asciiTheme="majorHAnsi" w:hAnsiTheme="majorHAnsi" w:cs="Arial"/>
          <w:sz w:val="22"/>
          <w:szCs w:val="22"/>
        </w:rPr>
        <w:t xml:space="preserve"> patients were included, of whom 16 were safely discharged home after initial presentation. This is a relatively small cohort of patients with confirmed H1N1 influenza but other patients with alternative diagnoses were excluded.</w:t>
      </w:r>
      <w:r w:rsidR="002F5D4D">
        <w:rPr>
          <w:rFonts w:asciiTheme="majorHAnsi" w:hAnsiTheme="majorHAnsi" w:cs="Arial"/>
          <w:sz w:val="22"/>
          <w:szCs w:val="22"/>
        </w:rPr>
        <w:t xml:space="preserve"> We recommend that validation and refinement of this tool be conducted before future implementation.</w:t>
      </w:r>
    </w:p>
    <w:p w14:paraId="7E915FCC" w14:textId="77777777" w:rsidR="004960EA" w:rsidRDefault="004960EA" w:rsidP="00D8005E">
      <w:pPr>
        <w:spacing w:line="480" w:lineRule="auto"/>
        <w:rPr>
          <w:rFonts w:asciiTheme="majorHAnsi" w:hAnsiTheme="majorHAnsi" w:cs="Arial"/>
          <w:sz w:val="22"/>
          <w:szCs w:val="22"/>
        </w:rPr>
      </w:pPr>
    </w:p>
    <w:p w14:paraId="2A150128" w14:textId="77777777" w:rsidR="002F5D4D" w:rsidRPr="00EB3163" w:rsidRDefault="002F5D4D" w:rsidP="00D8005E">
      <w:pPr>
        <w:spacing w:line="480" w:lineRule="auto"/>
        <w:rPr>
          <w:rFonts w:asciiTheme="majorHAnsi" w:hAnsiTheme="majorHAnsi" w:cs="Arial"/>
          <w:sz w:val="22"/>
          <w:szCs w:val="22"/>
        </w:rPr>
      </w:pPr>
      <w:r>
        <w:rPr>
          <w:rFonts w:asciiTheme="majorHAnsi" w:hAnsiTheme="majorHAnsi" w:cs="Arial"/>
          <w:sz w:val="22"/>
          <w:szCs w:val="22"/>
        </w:rPr>
        <w:lastRenderedPageBreak/>
        <w:t xml:space="preserve">In summary, </w:t>
      </w:r>
      <w:r w:rsidR="00EB3163">
        <w:rPr>
          <w:rFonts w:asciiTheme="majorHAnsi" w:hAnsiTheme="majorHAnsi" w:cs="Arial"/>
          <w:sz w:val="22"/>
          <w:szCs w:val="22"/>
        </w:rPr>
        <w:t>we have demonstrated that estimated PaO</w:t>
      </w:r>
      <w:r w:rsidR="00EB3163">
        <w:rPr>
          <w:rFonts w:asciiTheme="majorHAnsi" w:hAnsiTheme="majorHAnsi" w:cs="Arial"/>
          <w:sz w:val="22"/>
          <w:szCs w:val="22"/>
          <w:vertAlign w:val="subscript"/>
        </w:rPr>
        <w:t>2</w:t>
      </w:r>
      <w:r w:rsidR="00EB3163">
        <w:rPr>
          <w:rFonts w:asciiTheme="majorHAnsi" w:hAnsiTheme="majorHAnsi" w:cs="Arial"/>
          <w:sz w:val="22"/>
          <w:szCs w:val="22"/>
        </w:rPr>
        <w:t xml:space="preserve"> / FiO</w:t>
      </w:r>
      <w:r w:rsidR="00EB3163">
        <w:rPr>
          <w:rFonts w:asciiTheme="majorHAnsi" w:hAnsiTheme="majorHAnsi" w:cs="Arial"/>
          <w:sz w:val="22"/>
          <w:szCs w:val="22"/>
          <w:vertAlign w:val="subscript"/>
        </w:rPr>
        <w:t>2</w:t>
      </w:r>
      <w:r w:rsidR="00EB3163">
        <w:rPr>
          <w:rFonts w:asciiTheme="majorHAnsi" w:hAnsiTheme="majorHAnsi" w:cs="Arial"/>
          <w:sz w:val="22"/>
          <w:szCs w:val="22"/>
        </w:rPr>
        <w:t xml:space="preserve">, a measure of lung oxygen exchange, and C-reactive protein accurately predict safe discharge for patients who presented acutely to hospital with pandemic H1N1 influenza. We propose a pragmatic triage tool to guide clinical decision-making that also has the potential to be used </w:t>
      </w:r>
      <w:r w:rsidR="00B96E16">
        <w:rPr>
          <w:rFonts w:asciiTheme="majorHAnsi" w:hAnsiTheme="majorHAnsi" w:cs="Arial"/>
          <w:sz w:val="22"/>
          <w:szCs w:val="22"/>
        </w:rPr>
        <w:t xml:space="preserve">in future </w:t>
      </w:r>
      <w:r w:rsidR="00EB3163">
        <w:rPr>
          <w:rFonts w:asciiTheme="majorHAnsi" w:hAnsiTheme="majorHAnsi" w:cs="Arial"/>
          <w:sz w:val="22"/>
          <w:szCs w:val="22"/>
        </w:rPr>
        <w:t>by primary care physicians when assessing patients in the community. This tool requires validation in a further cohort of patients before potential implementation.</w:t>
      </w:r>
    </w:p>
    <w:p w14:paraId="02DA32AD" w14:textId="77777777" w:rsidR="00261B13" w:rsidRPr="00261B13" w:rsidRDefault="00261B13" w:rsidP="00D8005E">
      <w:pPr>
        <w:spacing w:line="480" w:lineRule="auto"/>
        <w:rPr>
          <w:rFonts w:asciiTheme="majorHAnsi" w:hAnsiTheme="majorHAnsi" w:cs="Arial"/>
          <w:sz w:val="22"/>
          <w:szCs w:val="22"/>
        </w:rPr>
      </w:pPr>
    </w:p>
    <w:p w14:paraId="07D6D3D8" w14:textId="77777777" w:rsidR="002E390D" w:rsidRDefault="002E390D">
      <w:pPr>
        <w:rPr>
          <w:rFonts w:asciiTheme="majorHAnsi" w:hAnsiTheme="majorHAnsi"/>
          <w:sz w:val="22"/>
          <w:szCs w:val="22"/>
          <w:u w:val="single"/>
        </w:rPr>
      </w:pPr>
      <w:r>
        <w:rPr>
          <w:rFonts w:asciiTheme="majorHAnsi" w:hAnsiTheme="majorHAnsi"/>
          <w:sz w:val="22"/>
          <w:szCs w:val="22"/>
          <w:u w:val="single"/>
        </w:rPr>
        <w:br w:type="page"/>
      </w:r>
    </w:p>
    <w:p w14:paraId="5789B367" w14:textId="77777777" w:rsidR="002E390D" w:rsidRDefault="002E390D" w:rsidP="002E390D">
      <w:pPr>
        <w:spacing w:line="480" w:lineRule="auto"/>
        <w:ind w:left="720" w:hanging="720"/>
        <w:rPr>
          <w:rFonts w:asciiTheme="majorHAnsi" w:hAnsiTheme="majorHAnsi"/>
          <w:b/>
          <w:sz w:val="22"/>
          <w:szCs w:val="22"/>
          <w:u w:val="single"/>
        </w:rPr>
      </w:pPr>
      <w:r>
        <w:rPr>
          <w:rFonts w:asciiTheme="majorHAnsi" w:hAnsiTheme="majorHAnsi"/>
          <w:b/>
          <w:sz w:val="22"/>
          <w:szCs w:val="22"/>
          <w:u w:val="single"/>
        </w:rPr>
        <w:lastRenderedPageBreak/>
        <w:t xml:space="preserve">Tables </w:t>
      </w:r>
    </w:p>
    <w:p w14:paraId="58B44E26" w14:textId="77777777" w:rsidR="002E390D" w:rsidRPr="002E390D" w:rsidRDefault="002E390D" w:rsidP="002E390D">
      <w:pPr>
        <w:rPr>
          <w:rFonts w:asciiTheme="majorHAnsi" w:hAnsiTheme="majorHAnsi" w:cs="Arial"/>
          <w:b/>
          <w:sz w:val="22"/>
          <w:szCs w:val="22"/>
        </w:rPr>
      </w:pPr>
      <w:r w:rsidRPr="002E390D">
        <w:rPr>
          <w:rFonts w:asciiTheme="majorHAnsi" w:hAnsiTheme="majorHAnsi" w:cs="Arial"/>
          <w:b/>
          <w:sz w:val="22"/>
          <w:szCs w:val="22"/>
        </w:rPr>
        <w:t>Table 1</w:t>
      </w:r>
    </w:p>
    <w:p w14:paraId="1826ED43" w14:textId="77777777" w:rsidR="002E390D" w:rsidRDefault="002E390D" w:rsidP="002E390D">
      <w:pPr>
        <w:rPr>
          <w:rFonts w:asciiTheme="majorHAnsi" w:hAnsiTheme="majorHAnsi" w:cs="Arial"/>
          <w:sz w:val="22"/>
          <w:szCs w:val="22"/>
        </w:rPr>
      </w:pPr>
    </w:p>
    <w:tbl>
      <w:tblPr>
        <w:tblStyle w:val="MediumList1"/>
        <w:tblW w:w="8235" w:type="dxa"/>
        <w:tblLayout w:type="fixed"/>
        <w:tblLook w:val="06A0" w:firstRow="1" w:lastRow="0" w:firstColumn="1" w:lastColumn="0" w:noHBand="1" w:noVBand="1"/>
      </w:tblPr>
      <w:tblGrid>
        <w:gridCol w:w="2282"/>
        <w:gridCol w:w="2283"/>
        <w:gridCol w:w="2282"/>
        <w:gridCol w:w="1388"/>
      </w:tblGrid>
      <w:tr w:rsidR="002E390D" w:rsidRPr="00AA52E0" w14:paraId="60208941" w14:textId="77777777" w:rsidTr="002E3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tcBorders>
          </w:tcPr>
          <w:p w14:paraId="2868D492" w14:textId="77777777" w:rsidR="002E390D" w:rsidRPr="00AA52E0" w:rsidRDefault="002E390D" w:rsidP="002E390D">
            <w:pPr>
              <w:spacing w:line="480" w:lineRule="auto"/>
              <w:rPr>
                <w:rFonts w:cs="Arial"/>
                <w:b w:val="0"/>
                <w:sz w:val="22"/>
                <w:szCs w:val="22"/>
              </w:rPr>
            </w:pPr>
          </w:p>
        </w:tc>
        <w:tc>
          <w:tcPr>
            <w:tcW w:w="2283" w:type="dxa"/>
            <w:tcBorders>
              <w:top w:val="single" w:sz="4" w:space="0" w:color="auto"/>
            </w:tcBorders>
          </w:tcPr>
          <w:p w14:paraId="58AFA57A" w14:textId="77777777" w:rsidR="002E390D" w:rsidRPr="00AA52E0" w:rsidRDefault="002E390D" w:rsidP="002E390D">
            <w:pPr>
              <w:spacing w:line="480" w:lineRule="auto"/>
              <w:cnfStyle w:val="100000000000" w:firstRow="1"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rPr>
              <w:t>Discharged (n=16</w:t>
            </w:r>
            <w:r w:rsidRPr="00AA52E0">
              <w:rPr>
                <w:rFonts w:cs="Arial"/>
                <w:b/>
                <w:sz w:val="22"/>
                <w:szCs w:val="22"/>
              </w:rPr>
              <w:t>)</w:t>
            </w:r>
          </w:p>
        </w:tc>
        <w:tc>
          <w:tcPr>
            <w:tcW w:w="2282" w:type="dxa"/>
            <w:tcBorders>
              <w:top w:val="single" w:sz="4" w:space="0" w:color="auto"/>
            </w:tcBorders>
          </w:tcPr>
          <w:p w14:paraId="656C1B40" w14:textId="77777777" w:rsidR="002E390D" w:rsidRPr="00AA52E0" w:rsidRDefault="002E390D" w:rsidP="002E390D">
            <w:pPr>
              <w:spacing w:line="480" w:lineRule="auto"/>
              <w:cnfStyle w:val="100000000000" w:firstRow="1" w:lastRow="0" w:firstColumn="0" w:lastColumn="0" w:oddVBand="0" w:evenVBand="0" w:oddHBand="0" w:evenHBand="0" w:firstRowFirstColumn="0" w:firstRowLastColumn="0" w:lastRowFirstColumn="0" w:lastRowLastColumn="0"/>
              <w:rPr>
                <w:rFonts w:cs="Arial"/>
                <w:b/>
                <w:sz w:val="22"/>
                <w:szCs w:val="22"/>
              </w:rPr>
            </w:pPr>
            <w:r>
              <w:rPr>
                <w:rFonts w:cs="Arial"/>
                <w:b/>
                <w:sz w:val="22"/>
                <w:szCs w:val="22"/>
              </w:rPr>
              <w:t>Admitted (n=70</w:t>
            </w:r>
            <w:r w:rsidRPr="00AA52E0">
              <w:rPr>
                <w:rFonts w:cs="Arial"/>
                <w:b/>
                <w:sz w:val="22"/>
                <w:szCs w:val="22"/>
              </w:rPr>
              <w:t>)</w:t>
            </w:r>
          </w:p>
        </w:tc>
        <w:tc>
          <w:tcPr>
            <w:tcW w:w="1388" w:type="dxa"/>
            <w:tcBorders>
              <w:top w:val="single" w:sz="4" w:space="0" w:color="auto"/>
            </w:tcBorders>
          </w:tcPr>
          <w:p w14:paraId="7F5E4F98" w14:textId="77777777" w:rsidR="002E390D" w:rsidRPr="00AA52E0" w:rsidRDefault="002E390D" w:rsidP="002E390D">
            <w:pPr>
              <w:spacing w:line="480" w:lineRule="auto"/>
              <w:cnfStyle w:val="100000000000" w:firstRow="1" w:lastRow="0" w:firstColumn="0" w:lastColumn="0" w:oddVBand="0" w:evenVBand="0" w:oddHBand="0" w:evenHBand="0" w:firstRowFirstColumn="0" w:firstRowLastColumn="0" w:lastRowFirstColumn="0" w:lastRowLastColumn="0"/>
              <w:rPr>
                <w:rFonts w:cs="Arial"/>
                <w:b/>
                <w:sz w:val="22"/>
                <w:szCs w:val="22"/>
              </w:rPr>
            </w:pPr>
            <w:r w:rsidRPr="00AA52E0">
              <w:rPr>
                <w:rFonts w:ascii="Cambria Math" w:hAnsi="Cambria Math" w:cs="Cambria Math"/>
                <w:b/>
                <w:i/>
                <w:sz w:val="22"/>
                <w:szCs w:val="22"/>
              </w:rPr>
              <w:t>𝑷</w:t>
            </w:r>
            <w:r w:rsidRPr="00AA52E0">
              <w:rPr>
                <w:rFonts w:cs="Arial"/>
                <w:b/>
                <w:sz w:val="22"/>
                <w:szCs w:val="22"/>
              </w:rPr>
              <w:t xml:space="preserve"> value</w:t>
            </w:r>
          </w:p>
        </w:tc>
      </w:tr>
      <w:tr w:rsidR="002E390D" w:rsidRPr="00AA52E0" w14:paraId="5C7531D5" w14:textId="77777777" w:rsidTr="002E390D">
        <w:tc>
          <w:tcPr>
            <w:cnfStyle w:val="001000000000" w:firstRow="0" w:lastRow="0" w:firstColumn="1" w:lastColumn="0" w:oddVBand="0" w:evenVBand="0" w:oddHBand="0" w:evenHBand="0" w:firstRowFirstColumn="0" w:firstRowLastColumn="0" w:lastRowFirstColumn="0" w:lastRowLastColumn="0"/>
            <w:tcW w:w="2282" w:type="dxa"/>
            <w:tcBorders>
              <w:top w:val="single" w:sz="4" w:space="0" w:color="auto"/>
            </w:tcBorders>
          </w:tcPr>
          <w:p w14:paraId="5B3E7960" w14:textId="77777777" w:rsidR="002E390D" w:rsidRPr="00AA52E0" w:rsidRDefault="002E390D" w:rsidP="002E390D">
            <w:pPr>
              <w:spacing w:line="480" w:lineRule="auto"/>
              <w:rPr>
                <w:rFonts w:cs="Arial"/>
                <w:b w:val="0"/>
                <w:sz w:val="22"/>
                <w:szCs w:val="22"/>
              </w:rPr>
            </w:pPr>
            <w:proofErr w:type="spellStart"/>
            <w:proofErr w:type="gramStart"/>
            <w:r>
              <w:rPr>
                <w:rFonts w:asciiTheme="majorHAnsi" w:hAnsiTheme="majorHAnsi" w:cs="Arial"/>
                <w:b w:val="0"/>
                <w:sz w:val="22"/>
                <w:szCs w:val="22"/>
              </w:rPr>
              <w:t>qSOFA</w:t>
            </w:r>
            <w:proofErr w:type="spellEnd"/>
            <w:proofErr w:type="gramEnd"/>
          </w:p>
        </w:tc>
        <w:tc>
          <w:tcPr>
            <w:tcW w:w="2283" w:type="dxa"/>
            <w:tcBorders>
              <w:top w:val="single" w:sz="4" w:space="0" w:color="auto"/>
            </w:tcBorders>
          </w:tcPr>
          <w:p w14:paraId="06C32DE6" w14:textId="77777777" w:rsidR="002E390D" w:rsidRPr="00AA52E0"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asciiTheme="majorHAnsi" w:hAnsiTheme="majorHAnsi" w:cs="Arial"/>
                <w:sz w:val="22"/>
                <w:szCs w:val="22"/>
              </w:rPr>
              <w:t>0 (0-1)</w:t>
            </w:r>
          </w:p>
        </w:tc>
        <w:tc>
          <w:tcPr>
            <w:tcW w:w="2282" w:type="dxa"/>
            <w:tcBorders>
              <w:top w:val="single" w:sz="4" w:space="0" w:color="auto"/>
            </w:tcBorders>
          </w:tcPr>
          <w:p w14:paraId="08C471C0" w14:textId="77777777" w:rsidR="002E390D" w:rsidRPr="00AA52E0"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cs="Arial"/>
                <w:b/>
                <w:sz w:val="22"/>
                <w:szCs w:val="22"/>
              </w:rPr>
            </w:pPr>
            <w:r>
              <w:rPr>
                <w:rFonts w:asciiTheme="majorHAnsi" w:hAnsiTheme="majorHAnsi" w:cs="Arial"/>
                <w:sz w:val="22"/>
                <w:szCs w:val="22"/>
              </w:rPr>
              <w:t>1 (0-1)</w:t>
            </w:r>
          </w:p>
        </w:tc>
        <w:tc>
          <w:tcPr>
            <w:tcW w:w="1388" w:type="dxa"/>
            <w:tcBorders>
              <w:top w:val="single" w:sz="4" w:space="0" w:color="auto"/>
            </w:tcBorders>
          </w:tcPr>
          <w:p w14:paraId="734C9821" w14:textId="77777777" w:rsidR="002E390D" w:rsidRPr="00AA52E0"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Cambria Math" w:hAnsi="Cambria Math" w:cs="Cambria Math"/>
                <w:b/>
                <w:i/>
                <w:sz w:val="22"/>
                <w:szCs w:val="22"/>
              </w:rPr>
            </w:pPr>
            <w:r>
              <w:rPr>
                <w:rFonts w:asciiTheme="majorHAnsi" w:hAnsiTheme="majorHAnsi" w:cs="Arial"/>
                <w:sz w:val="22"/>
                <w:szCs w:val="22"/>
              </w:rPr>
              <w:t>0.009</w:t>
            </w:r>
          </w:p>
        </w:tc>
      </w:tr>
      <w:tr w:rsidR="002E390D" w:rsidRPr="00AA52E0" w14:paraId="7E7D8057" w14:textId="77777777" w:rsidTr="002E390D">
        <w:tc>
          <w:tcPr>
            <w:cnfStyle w:val="001000000000" w:firstRow="0" w:lastRow="0" w:firstColumn="1" w:lastColumn="0" w:oddVBand="0" w:evenVBand="0" w:oddHBand="0" w:evenHBand="0" w:firstRowFirstColumn="0" w:firstRowLastColumn="0" w:lastRowFirstColumn="0" w:lastRowLastColumn="0"/>
            <w:tcW w:w="2282" w:type="dxa"/>
          </w:tcPr>
          <w:p w14:paraId="17059E5C" w14:textId="77777777" w:rsidR="002E390D" w:rsidRPr="00AA52E0" w:rsidRDefault="002E390D" w:rsidP="002E390D">
            <w:pPr>
              <w:spacing w:line="480" w:lineRule="auto"/>
              <w:rPr>
                <w:rFonts w:asciiTheme="majorHAnsi" w:hAnsiTheme="majorHAnsi" w:cs="Arial"/>
                <w:b w:val="0"/>
                <w:sz w:val="22"/>
                <w:szCs w:val="22"/>
              </w:rPr>
            </w:pPr>
            <w:r>
              <w:rPr>
                <w:rFonts w:asciiTheme="majorHAnsi" w:hAnsiTheme="majorHAnsi" w:cs="Arial"/>
                <w:b w:val="0"/>
                <w:sz w:val="22"/>
                <w:szCs w:val="22"/>
              </w:rPr>
              <w:t>STSS</w:t>
            </w:r>
          </w:p>
        </w:tc>
        <w:tc>
          <w:tcPr>
            <w:tcW w:w="2283" w:type="dxa"/>
          </w:tcPr>
          <w:p w14:paraId="4D98EB10" w14:textId="77777777" w:rsidR="002E390D" w:rsidRPr="00AA52E0"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0 (0-1)</w:t>
            </w:r>
          </w:p>
        </w:tc>
        <w:tc>
          <w:tcPr>
            <w:tcW w:w="2282" w:type="dxa"/>
          </w:tcPr>
          <w:p w14:paraId="7E7EB520" w14:textId="77777777" w:rsidR="002E390D" w:rsidRPr="00AA52E0"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1 (0-2)</w:t>
            </w:r>
          </w:p>
        </w:tc>
        <w:tc>
          <w:tcPr>
            <w:tcW w:w="1388" w:type="dxa"/>
          </w:tcPr>
          <w:p w14:paraId="5DF7978A" w14:textId="77777777" w:rsidR="002E390D" w:rsidRPr="00AA52E0"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0.003</w:t>
            </w:r>
          </w:p>
        </w:tc>
      </w:tr>
      <w:tr w:rsidR="002E390D" w:rsidRPr="00AA52E0" w14:paraId="6D8C8541" w14:textId="77777777" w:rsidTr="002E390D">
        <w:tc>
          <w:tcPr>
            <w:cnfStyle w:val="001000000000" w:firstRow="0" w:lastRow="0" w:firstColumn="1" w:lastColumn="0" w:oddVBand="0" w:evenVBand="0" w:oddHBand="0" w:evenHBand="0" w:firstRowFirstColumn="0" w:firstRowLastColumn="0" w:lastRowFirstColumn="0" w:lastRowLastColumn="0"/>
            <w:tcW w:w="2282" w:type="dxa"/>
          </w:tcPr>
          <w:p w14:paraId="2FB1896F" w14:textId="77777777" w:rsidR="002E390D" w:rsidRDefault="002E390D" w:rsidP="002E390D">
            <w:pPr>
              <w:spacing w:line="480" w:lineRule="auto"/>
              <w:rPr>
                <w:rFonts w:asciiTheme="majorHAnsi" w:hAnsiTheme="majorHAnsi" w:cs="Arial"/>
                <w:b w:val="0"/>
                <w:sz w:val="22"/>
                <w:szCs w:val="22"/>
              </w:rPr>
            </w:pPr>
            <w:r>
              <w:rPr>
                <w:rFonts w:asciiTheme="majorHAnsi" w:hAnsiTheme="majorHAnsi" w:cs="Arial"/>
                <w:b w:val="0"/>
                <w:sz w:val="22"/>
                <w:szCs w:val="22"/>
              </w:rPr>
              <w:t>SOFA</w:t>
            </w:r>
          </w:p>
        </w:tc>
        <w:tc>
          <w:tcPr>
            <w:tcW w:w="2283" w:type="dxa"/>
          </w:tcPr>
          <w:p w14:paraId="48F23CAB" w14:textId="77777777" w:rsidR="002E390D" w:rsidRPr="00AA52E0"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1 (0-2)</w:t>
            </w:r>
          </w:p>
        </w:tc>
        <w:tc>
          <w:tcPr>
            <w:tcW w:w="2282" w:type="dxa"/>
          </w:tcPr>
          <w:p w14:paraId="100E41B1" w14:textId="77777777" w:rsidR="002E390D" w:rsidRPr="00AA52E0"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2 (1-4)</w:t>
            </w:r>
          </w:p>
        </w:tc>
        <w:tc>
          <w:tcPr>
            <w:tcW w:w="1388" w:type="dxa"/>
          </w:tcPr>
          <w:p w14:paraId="0DFAE76A" w14:textId="77777777" w:rsidR="002E390D" w:rsidRPr="00AA52E0"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&lt;0.001</w:t>
            </w:r>
          </w:p>
        </w:tc>
      </w:tr>
      <w:tr w:rsidR="002E390D" w:rsidRPr="00AA52E0" w14:paraId="4081A42C" w14:textId="77777777" w:rsidTr="002E390D">
        <w:tc>
          <w:tcPr>
            <w:cnfStyle w:val="001000000000" w:firstRow="0" w:lastRow="0" w:firstColumn="1" w:lastColumn="0" w:oddVBand="0" w:evenVBand="0" w:oddHBand="0" w:evenHBand="0" w:firstRowFirstColumn="0" w:firstRowLastColumn="0" w:lastRowFirstColumn="0" w:lastRowLastColumn="0"/>
            <w:tcW w:w="2282" w:type="dxa"/>
          </w:tcPr>
          <w:p w14:paraId="42E0EDD9" w14:textId="77777777" w:rsidR="002E390D" w:rsidRDefault="002E390D" w:rsidP="002E390D">
            <w:pPr>
              <w:spacing w:line="480" w:lineRule="auto"/>
              <w:rPr>
                <w:rFonts w:asciiTheme="majorHAnsi" w:hAnsiTheme="majorHAnsi" w:cs="Arial"/>
                <w:b w:val="0"/>
                <w:sz w:val="22"/>
                <w:szCs w:val="22"/>
              </w:rPr>
            </w:pPr>
            <w:r>
              <w:rPr>
                <w:rFonts w:asciiTheme="majorHAnsi" w:hAnsiTheme="majorHAnsi" w:cs="Arial"/>
                <w:b w:val="0"/>
                <w:sz w:val="22"/>
                <w:szCs w:val="22"/>
              </w:rPr>
              <w:t>CXR score</w:t>
            </w:r>
          </w:p>
        </w:tc>
        <w:tc>
          <w:tcPr>
            <w:tcW w:w="2283" w:type="dxa"/>
          </w:tcPr>
          <w:p w14:paraId="4A117293"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1 (1-2)</w:t>
            </w:r>
          </w:p>
        </w:tc>
        <w:tc>
          <w:tcPr>
            <w:tcW w:w="2282" w:type="dxa"/>
          </w:tcPr>
          <w:p w14:paraId="1A655BF4"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2 (1-4)</w:t>
            </w:r>
          </w:p>
        </w:tc>
        <w:tc>
          <w:tcPr>
            <w:tcW w:w="1388" w:type="dxa"/>
          </w:tcPr>
          <w:p w14:paraId="3D855E5B"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0.003</w:t>
            </w:r>
          </w:p>
        </w:tc>
      </w:tr>
    </w:tbl>
    <w:p w14:paraId="48840107" w14:textId="77777777" w:rsidR="002E390D" w:rsidRDefault="002E390D" w:rsidP="002E390D">
      <w:pPr>
        <w:spacing w:line="480" w:lineRule="auto"/>
        <w:rPr>
          <w:rFonts w:asciiTheme="majorHAnsi" w:hAnsiTheme="majorHAnsi" w:cs="Arial"/>
          <w:b/>
          <w:sz w:val="18"/>
          <w:szCs w:val="18"/>
        </w:rPr>
      </w:pPr>
    </w:p>
    <w:p w14:paraId="0B28499B" w14:textId="77777777" w:rsidR="002E390D" w:rsidRDefault="002E390D" w:rsidP="002E390D">
      <w:pPr>
        <w:spacing w:line="480" w:lineRule="auto"/>
        <w:rPr>
          <w:rFonts w:asciiTheme="majorHAnsi" w:hAnsiTheme="majorHAnsi" w:cs="Arial"/>
          <w:sz w:val="18"/>
          <w:szCs w:val="18"/>
        </w:rPr>
      </w:pPr>
      <w:r>
        <w:rPr>
          <w:rFonts w:asciiTheme="majorHAnsi" w:hAnsiTheme="majorHAnsi" w:cs="Arial"/>
          <w:b/>
          <w:sz w:val="18"/>
          <w:szCs w:val="18"/>
        </w:rPr>
        <w:t xml:space="preserve">Table 1: Patient triage scores and outcome data. </w:t>
      </w:r>
      <w:r>
        <w:rPr>
          <w:rFonts w:asciiTheme="majorHAnsi" w:hAnsiTheme="majorHAnsi" w:cs="Arial"/>
          <w:sz w:val="18"/>
          <w:szCs w:val="18"/>
        </w:rPr>
        <w:t xml:space="preserve">Patient triage scores: </w:t>
      </w:r>
      <w:proofErr w:type="spellStart"/>
      <w:r>
        <w:rPr>
          <w:rFonts w:asciiTheme="majorHAnsi" w:hAnsiTheme="majorHAnsi" w:cs="Arial"/>
          <w:sz w:val="18"/>
          <w:szCs w:val="18"/>
        </w:rPr>
        <w:t>qSOFA</w:t>
      </w:r>
      <w:proofErr w:type="spellEnd"/>
      <w:r>
        <w:rPr>
          <w:rFonts w:asciiTheme="majorHAnsi" w:hAnsiTheme="majorHAnsi" w:cs="Arial"/>
          <w:sz w:val="18"/>
          <w:szCs w:val="18"/>
        </w:rPr>
        <w:t>; ‘quick’ sequential organ failure assessment, SOFA: sequential organ failure assessment and STSS</w:t>
      </w:r>
      <w:proofErr w:type="gramStart"/>
      <w:r>
        <w:rPr>
          <w:rFonts w:asciiTheme="majorHAnsi" w:hAnsiTheme="majorHAnsi" w:cs="Arial"/>
          <w:sz w:val="18"/>
          <w:szCs w:val="18"/>
        </w:rPr>
        <w:t>;</w:t>
      </w:r>
      <w:proofErr w:type="gramEnd"/>
      <w:r>
        <w:rPr>
          <w:rFonts w:asciiTheme="majorHAnsi" w:hAnsiTheme="majorHAnsi" w:cs="Arial"/>
          <w:sz w:val="18"/>
          <w:szCs w:val="18"/>
        </w:rPr>
        <w:t xml:space="preserve"> simplified triage severity score. Data displayed as median (IQR) and p values calculated by Mann-Whitney U analysis.</w:t>
      </w:r>
    </w:p>
    <w:p w14:paraId="239C6D8B" w14:textId="77777777" w:rsidR="002E390D" w:rsidRDefault="002E390D" w:rsidP="002E390D">
      <w:pPr>
        <w:spacing w:line="480" w:lineRule="auto"/>
        <w:rPr>
          <w:rFonts w:asciiTheme="majorHAnsi" w:hAnsiTheme="majorHAnsi" w:cs="Arial"/>
          <w:sz w:val="22"/>
          <w:szCs w:val="18"/>
        </w:rPr>
      </w:pPr>
    </w:p>
    <w:p w14:paraId="432323BF" w14:textId="77777777" w:rsidR="002E390D" w:rsidRPr="002E390D" w:rsidRDefault="002E390D" w:rsidP="002E390D">
      <w:pPr>
        <w:spacing w:line="480" w:lineRule="auto"/>
        <w:rPr>
          <w:rFonts w:asciiTheme="majorHAnsi" w:hAnsiTheme="majorHAnsi" w:cs="Arial"/>
          <w:b/>
          <w:sz w:val="22"/>
          <w:szCs w:val="18"/>
        </w:rPr>
      </w:pPr>
      <w:r>
        <w:rPr>
          <w:rFonts w:asciiTheme="majorHAnsi" w:hAnsiTheme="majorHAnsi" w:cs="Arial"/>
          <w:b/>
          <w:sz w:val="22"/>
          <w:szCs w:val="18"/>
        </w:rPr>
        <w:t>Table 2</w:t>
      </w:r>
    </w:p>
    <w:tbl>
      <w:tblPr>
        <w:tblStyle w:val="LightShading"/>
        <w:tblW w:w="8791" w:type="dxa"/>
        <w:tblLook w:val="06A0" w:firstRow="1" w:lastRow="0" w:firstColumn="1" w:lastColumn="0" w:noHBand="1" w:noVBand="1"/>
      </w:tblPr>
      <w:tblGrid>
        <w:gridCol w:w="2672"/>
        <w:gridCol w:w="1547"/>
        <w:gridCol w:w="1649"/>
        <w:gridCol w:w="1225"/>
        <w:gridCol w:w="1698"/>
      </w:tblGrid>
      <w:tr w:rsidR="002E390D" w14:paraId="1C68565B" w14:textId="77777777" w:rsidTr="002E3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361F1D58" w14:textId="77777777" w:rsidR="002E390D" w:rsidRDefault="002E390D" w:rsidP="002E390D">
            <w:pPr>
              <w:spacing w:line="480" w:lineRule="auto"/>
              <w:rPr>
                <w:rFonts w:asciiTheme="majorHAnsi" w:hAnsiTheme="majorHAnsi"/>
                <w:sz w:val="22"/>
                <w:szCs w:val="18"/>
              </w:rPr>
            </w:pPr>
            <w:r>
              <w:rPr>
                <w:rFonts w:asciiTheme="majorHAnsi" w:hAnsiTheme="majorHAnsi"/>
                <w:sz w:val="22"/>
                <w:szCs w:val="18"/>
              </w:rPr>
              <w:t>Independent variable</w:t>
            </w:r>
          </w:p>
        </w:tc>
        <w:tc>
          <w:tcPr>
            <w:tcW w:w="1547" w:type="dxa"/>
          </w:tcPr>
          <w:p w14:paraId="62B59355" w14:textId="77777777" w:rsidR="002E390D" w:rsidRDefault="002E390D" w:rsidP="002E390D">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Coefficient</w:t>
            </w:r>
          </w:p>
        </w:tc>
        <w:tc>
          <w:tcPr>
            <w:tcW w:w="1649" w:type="dxa"/>
          </w:tcPr>
          <w:p w14:paraId="6AE1FFF7" w14:textId="77777777" w:rsidR="002E390D" w:rsidRDefault="002E390D" w:rsidP="002E390D">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Standard Error</w:t>
            </w:r>
          </w:p>
        </w:tc>
        <w:tc>
          <w:tcPr>
            <w:tcW w:w="1225" w:type="dxa"/>
          </w:tcPr>
          <w:p w14:paraId="7B2589A2" w14:textId="77777777" w:rsidR="002E390D" w:rsidRDefault="002E390D" w:rsidP="002E390D">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18"/>
              </w:rPr>
            </w:pPr>
            <w:proofErr w:type="gramStart"/>
            <w:r>
              <w:rPr>
                <w:rFonts w:asciiTheme="majorHAnsi" w:hAnsiTheme="majorHAnsi"/>
                <w:sz w:val="22"/>
                <w:szCs w:val="18"/>
              </w:rPr>
              <w:t>p</w:t>
            </w:r>
            <w:proofErr w:type="gramEnd"/>
            <w:r>
              <w:rPr>
                <w:rFonts w:asciiTheme="majorHAnsi" w:hAnsiTheme="majorHAnsi"/>
                <w:sz w:val="22"/>
                <w:szCs w:val="18"/>
              </w:rPr>
              <w:t>-value</w:t>
            </w:r>
          </w:p>
        </w:tc>
        <w:tc>
          <w:tcPr>
            <w:tcW w:w="1698" w:type="dxa"/>
          </w:tcPr>
          <w:p w14:paraId="6A1E030F" w14:textId="77777777" w:rsidR="002E390D" w:rsidRPr="00CC2868" w:rsidRDefault="002E390D" w:rsidP="002E390D">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Pseudo R</w:t>
            </w:r>
            <w:r>
              <w:rPr>
                <w:rFonts w:asciiTheme="majorHAnsi" w:hAnsiTheme="majorHAnsi"/>
                <w:sz w:val="22"/>
                <w:szCs w:val="18"/>
                <w:vertAlign w:val="superscript"/>
              </w:rPr>
              <w:t>2</w:t>
            </w:r>
          </w:p>
        </w:tc>
      </w:tr>
      <w:tr w:rsidR="002E390D" w14:paraId="64DB2DF0" w14:textId="77777777" w:rsidTr="002E390D">
        <w:tc>
          <w:tcPr>
            <w:cnfStyle w:val="001000000000" w:firstRow="0" w:lastRow="0" w:firstColumn="1" w:lastColumn="0" w:oddVBand="0" w:evenVBand="0" w:oddHBand="0" w:evenHBand="0" w:firstRowFirstColumn="0" w:firstRowLastColumn="0" w:lastRowFirstColumn="0" w:lastRowLastColumn="0"/>
            <w:tcW w:w="2672" w:type="dxa"/>
          </w:tcPr>
          <w:p w14:paraId="69C596DB" w14:textId="77777777" w:rsidR="002E390D" w:rsidRDefault="002E390D" w:rsidP="002E390D">
            <w:pPr>
              <w:spacing w:line="480" w:lineRule="auto"/>
              <w:rPr>
                <w:rFonts w:asciiTheme="majorHAnsi" w:hAnsiTheme="majorHAnsi"/>
                <w:sz w:val="22"/>
                <w:szCs w:val="18"/>
              </w:rPr>
            </w:pPr>
            <w:r>
              <w:rPr>
                <w:rFonts w:asciiTheme="majorHAnsi" w:hAnsiTheme="majorHAnsi"/>
                <w:sz w:val="22"/>
                <w:szCs w:val="18"/>
              </w:rPr>
              <w:t>Age</w:t>
            </w:r>
          </w:p>
        </w:tc>
        <w:tc>
          <w:tcPr>
            <w:tcW w:w="1547" w:type="dxa"/>
          </w:tcPr>
          <w:p w14:paraId="5C39396E"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-0.04</w:t>
            </w:r>
          </w:p>
        </w:tc>
        <w:tc>
          <w:tcPr>
            <w:tcW w:w="1649" w:type="dxa"/>
          </w:tcPr>
          <w:p w14:paraId="1A5D240E"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0.02</w:t>
            </w:r>
          </w:p>
        </w:tc>
        <w:tc>
          <w:tcPr>
            <w:tcW w:w="1225" w:type="dxa"/>
          </w:tcPr>
          <w:p w14:paraId="023CE091"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0.035</w:t>
            </w:r>
          </w:p>
        </w:tc>
        <w:tc>
          <w:tcPr>
            <w:tcW w:w="1698" w:type="dxa"/>
          </w:tcPr>
          <w:p w14:paraId="747FC5FB"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0.062</w:t>
            </w:r>
          </w:p>
        </w:tc>
      </w:tr>
      <w:tr w:rsidR="002E390D" w14:paraId="087FBB45" w14:textId="77777777" w:rsidTr="002E390D">
        <w:tc>
          <w:tcPr>
            <w:cnfStyle w:val="001000000000" w:firstRow="0" w:lastRow="0" w:firstColumn="1" w:lastColumn="0" w:oddVBand="0" w:evenVBand="0" w:oddHBand="0" w:evenHBand="0" w:firstRowFirstColumn="0" w:firstRowLastColumn="0" w:lastRowFirstColumn="0" w:lastRowLastColumn="0"/>
            <w:tcW w:w="2672" w:type="dxa"/>
          </w:tcPr>
          <w:p w14:paraId="477E356A" w14:textId="77777777" w:rsidR="002E390D" w:rsidRDefault="002E390D" w:rsidP="002E390D">
            <w:pPr>
              <w:spacing w:line="480" w:lineRule="auto"/>
              <w:rPr>
                <w:rFonts w:asciiTheme="majorHAnsi" w:hAnsiTheme="majorHAnsi"/>
                <w:sz w:val="22"/>
                <w:szCs w:val="18"/>
              </w:rPr>
            </w:pPr>
            <w:r>
              <w:rPr>
                <w:rFonts w:asciiTheme="majorHAnsi" w:hAnsiTheme="majorHAnsi"/>
                <w:sz w:val="22"/>
                <w:szCs w:val="18"/>
              </w:rPr>
              <w:t>CRP</w:t>
            </w:r>
          </w:p>
        </w:tc>
        <w:tc>
          <w:tcPr>
            <w:tcW w:w="1547" w:type="dxa"/>
          </w:tcPr>
          <w:p w14:paraId="4FD40C8E"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-0.03</w:t>
            </w:r>
          </w:p>
        </w:tc>
        <w:tc>
          <w:tcPr>
            <w:tcW w:w="1649" w:type="dxa"/>
          </w:tcPr>
          <w:p w14:paraId="14F296C1"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0.01</w:t>
            </w:r>
          </w:p>
        </w:tc>
        <w:tc>
          <w:tcPr>
            <w:tcW w:w="1225" w:type="dxa"/>
          </w:tcPr>
          <w:p w14:paraId="398E248F"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0.014</w:t>
            </w:r>
          </w:p>
        </w:tc>
        <w:tc>
          <w:tcPr>
            <w:tcW w:w="1698" w:type="dxa"/>
          </w:tcPr>
          <w:p w14:paraId="1D1D4F81"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0.251</w:t>
            </w:r>
          </w:p>
        </w:tc>
      </w:tr>
      <w:tr w:rsidR="002E390D" w14:paraId="75A14396" w14:textId="77777777" w:rsidTr="002E390D">
        <w:tc>
          <w:tcPr>
            <w:cnfStyle w:val="001000000000" w:firstRow="0" w:lastRow="0" w:firstColumn="1" w:lastColumn="0" w:oddVBand="0" w:evenVBand="0" w:oddHBand="0" w:evenHBand="0" w:firstRowFirstColumn="0" w:firstRowLastColumn="0" w:lastRowFirstColumn="0" w:lastRowLastColumn="0"/>
            <w:tcW w:w="2672" w:type="dxa"/>
          </w:tcPr>
          <w:p w14:paraId="273FEA69" w14:textId="77777777" w:rsidR="002E390D" w:rsidRDefault="002E390D" w:rsidP="002E390D">
            <w:pPr>
              <w:spacing w:line="480" w:lineRule="auto"/>
              <w:rPr>
                <w:rFonts w:asciiTheme="majorHAnsi" w:hAnsiTheme="majorHAnsi"/>
                <w:sz w:val="22"/>
                <w:szCs w:val="18"/>
              </w:rPr>
            </w:pPr>
            <w:r>
              <w:rPr>
                <w:rFonts w:asciiTheme="majorHAnsi" w:hAnsiTheme="majorHAnsi"/>
                <w:sz w:val="22"/>
                <w:szCs w:val="18"/>
              </w:rPr>
              <w:t>Albumin</w:t>
            </w:r>
          </w:p>
        </w:tc>
        <w:tc>
          <w:tcPr>
            <w:tcW w:w="1547" w:type="dxa"/>
          </w:tcPr>
          <w:p w14:paraId="5A10754A"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0.17</w:t>
            </w:r>
          </w:p>
        </w:tc>
        <w:tc>
          <w:tcPr>
            <w:tcW w:w="1649" w:type="dxa"/>
          </w:tcPr>
          <w:p w14:paraId="44708C19"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0.07</w:t>
            </w:r>
          </w:p>
        </w:tc>
        <w:tc>
          <w:tcPr>
            <w:tcW w:w="1225" w:type="dxa"/>
          </w:tcPr>
          <w:p w14:paraId="2CBB6A5C"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0.013</w:t>
            </w:r>
          </w:p>
        </w:tc>
        <w:tc>
          <w:tcPr>
            <w:tcW w:w="1698" w:type="dxa"/>
          </w:tcPr>
          <w:p w14:paraId="2CEC05A5"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0.131</w:t>
            </w:r>
          </w:p>
        </w:tc>
      </w:tr>
      <w:tr w:rsidR="002E390D" w14:paraId="101B9298" w14:textId="77777777" w:rsidTr="002E390D">
        <w:tc>
          <w:tcPr>
            <w:cnfStyle w:val="001000000000" w:firstRow="0" w:lastRow="0" w:firstColumn="1" w:lastColumn="0" w:oddVBand="0" w:evenVBand="0" w:oddHBand="0" w:evenHBand="0" w:firstRowFirstColumn="0" w:firstRowLastColumn="0" w:lastRowFirstColumn="0" w:lastRowLastColumn="0"/>
            <w:tcW w:w="2672" w:type="dxa"/>
          </w:tcPr>
          <w:p w14:paraId="46AAB79F" w14:textId="77777777" w:rsidR="002E390D" w:rsidRDefault="002E390D" w:rsidP="002E390D">
            <w:pPr>
              <w:spacing w:line="480" w:lineRule="auto"/>
              <w:rPr>
                <w:rFonts w:asciiTheme="majorHAnsi" w:hAnsiTheme="majorHAnsi"/>
                <w:sz w:val="22"/>
                <w:szCs w:val="18"/>
              </w:rPr>
            </w:pPr>
            <w:r>
              <w:rPr>
                <w:rFonts w:asciiTheme="majorHAnsi" w:hAnsiTheme="majorHAnsi"/>
                <w:sz w:val="22"/>
                <w:szCs w:val="18"/>
              </w:rPr>
              <w:t>Estimated P/F ratio</w:t>
            </w:r>
          </w:p>
        </w:tc>
        <w:tc>
          <w:tcPr>
            <w:tcW w:w="1547" w:type="dxa"/>
          </w:tcPr>
          <w:p w14:paraId="1E53186B" w14:textId="77777777" w:rsidR="002E390D" w:rsidRDefault="001E3809"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0.01</w:t>
            </w:r>
          </w:p>
        </w:tc>
        <w:tc>
          <w:tcPr>
            <w:tcW w:w="1649" w:type="dxa"/>
          </w:tcPr>
          <w:p w14:paraId="74DC898C"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0.01</w:t>
            </w:r>
          </w:p>
        </w:tc>
        <w:tc>
          <w:tcPr>
            <w:tcW w:w="1225" w:type="dxa"/>
          </w:tcPr>
          <w:p w14:paraId="4B95C767" w14:textId="77777777" w:rsidR="002E390D" w:rsidRDefault="001E3809"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0.026</w:t>
            </w:r>
          </w:p>
        </w:tc>
        <w:tc>
          <w:tcPr>
            <w:tcW w:w="1698" w:type="dxa"/>
          </w:tcPr>
          <w:p w14:paraId="4C0FAAE3" w14:textId="77777777" w:rsidR="002E390D" w:rsidRDefault="001E3809"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0.131</w:t>
            </w:r>
          </w:p>
        </w:tc>
      </w:tr>
      <w:tr w:rsidR="002E390D" w14:paraId="2575B399" w14:textId="77777777" w:rsidTr="002E390D">
        <w:tc>
          <w:tcPr>
            <w:cnfStyle w:val="001000000000" w:firstRow="0" w:lastRow="0" w:firstColumn="1" w:lastColumn="0" w:oddVBand="0" w:evenVBand="0" w:oddHBand="0" w:evenHBand="0" w:firstRowFirstColumn="0" w:firstRowLastColumn="0" w:lastRowFirstColumn="0" w:lastRowLastColumn="0"/>
            <w:tcW w:w="2672" w:type="dxa"/>
          </w:tcPr>
          <w:p w14:paraId="0CD399AE" w14:textId="77777777" w:rsidR="002E390D" w:rsidRDefault="002E390D" w:rsidP="002E390D">
            <w:pPr>
              <w:spacing w:line="480" w:lineRule="auto"/>
              <w:rPr>
                <w:rFonts w:asciiTheme="majorHAnsi" w:hAnsiTheme="majorHAnsi"/>
                <w:sz w:val="22"/>
                <w:szCs w:val="18"/>
              </w:rPr>
            </w:pPr>
            <w:proofErr w:type="spellStart"/>
            <w:proofErr w:type="gramStart"/>
            <w:r>
              <w:rPr>
                <w:rFonts w:asciiTheme="majorHAnsi" w:hAnsiTheme="majorHAnsi"/>
                <w:sz w:val="22"/>
                <w:szCs w:val="18"/>
              </w:rPr>
              <w:t>qSOFA</w:t>
            </w:r>
            <w:proofErr w:type="spellEnd"/>
            <w:proofErr w:type="gramEnd"/>
          </w:p>
        </w:tc>
        <w:tc>
          <w:tcPr>
            <w:tcW w:w="1547" w:type="dxa"/>
          </w:tcPr>
          <w:p w14:paraId="2CBB4E20"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-1.37</w:t>
            </w:r>
          </w:p>
        </w:tc>
        <w:tc>
          <w:tcPr>
            <w:tcW w:w="1649" w:type="dxa"/>
          </w:tcPr>
          <w:p w14:paraId="28B0F805"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0.57</w:t>
            </w:r>
          </w:p>
        </w:tc>
        <w:tc>
          <w:tcPr>
            <w:tcW w:w="1225" w:type="dxa"/>
          </w:tcPr>
          <w:p w14:paraId="28279BDA"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0.016</w:t>
            </w:r>
          </w:p>
        </w:tc>
        <w:tc>
          <w:tcPr>
            <w:tcW w:w="1698" w:type="dxa"/>
          </w:tcPr>
          <w:p w14:paraId="1292D157"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0.100</w:t>
            </w:r>
          </w:p>
        </w:tc>
      </w:tr>
      <w:tr w:rsidR="002E390D" w14:paraId="16B607EA" w14:textId="77777777" w:rsidTr="002E390D">
        <w:tc>
          <w:tcPr>
            <w:cnfStyle w:val="001000000000" w:firstRow="0" w:lastRow="0" w:firstColumn="1" w:lastColumn="0" w:oddVBand="0" w:evenVBand="0" w:oddHBand="0" w:evenHBand="0" w:firstRowFirstColumn="0" w:firstRowLastColumn="0" w:lastRowFirstColumn="0" w:lastRowLastColumn="0"/>
            <w:tcW w:w="2672" w:type="dxa"/>
          </w:tcPr>
          <w:p w14:paraId="2F77C8E1" w14:textId="77777777" w:rsidR="002E390D" w:rsidRDefault="002E390D" w:rsidP="002E390D">
            <w:pPr>
              <w:spacing w:line="480" w:lineRule="auto"/>
              <w:rPr>
                <w:rFonts w:asciiTheme="majorHAnsi" w:hAnsiTheme="majorHAnsi"/>
                <w:sz w:val="22"/>
                <w:szCs w:val="18"/>
              </w:rPr>
            </w:pPr>
            <w:r>
              <w:rPr>
                <w:rFonts w:asciiTheme="majorHAnsi" w:hAnsiTheme="majorHAnsi"/>
                <w:sz w:val="22"/>
                <w:szCs w:val="18"/>
              </w:rPr>
              <w:t>STSS</w:t>
            </w:r>
          </w:p>
        </w:tc>
        <w:tc>
          <w:tcPr>
            <w:tcW w:w="1547" w:type="dxa"/>
          </w:tcPr>
          <w:p w14:paraId="2162207B"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-1.08</w:t>
            </w:r>
          </w:p>
        </w:tc>
        <w:tc>
          <w:tcPr>
            <w:tcW w:w="1649" w:type="dxa"/>
          </w:tcPr>
          <w:p w14:paraId="4C84BFC3"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0.40</w:t>
            </w:r>
          </w:p>
        </w:tc>
        <w:tc>
          <w:tcPr>
            <w:tcW w:w="1225" w:type="dxa"/>
          </w:tcPr>
          <w:p w14:paraId="1BBD74B5"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0.006</w:t>
            </w:r>
          </w:p>
        </w:tc>
        <w:tc>
          <w:tcPr>
            <w:tcW w:w="1698" w:type="dxa"/>
          </w:tcPr>
          <w:p w14:paraId="4E330790"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0.127</w:t>
            </w:r>
          </w:p>
        </w:tc>
      </w:tr>
      <w:tr w:rsidR="002E390D" w14:paraId="7A42EB7B" w14:textId="77777777" w:rsidTr="002E390D">
        <w:tc>
          <w:tcPr>
            <w:cnfStyle w:val="001000000000" w:firstRow="0" w:lastRow="0" w:firstColumn="1" w:lastColumn="0" w:oddVBand="0" w:evenVBand="0" w:oddHBand="0" w:evenHBand="0" w:firstRowFirstColumn="0" w:firstRowLastColumn="0" w:lastRowFirstColumn="0" w:lastRowLastColumn="0"/>
            <w:tcW w:w="2672" w:type="dxa"/>
          </w:tcPr>
          <w:p w14:paraId="605A655C" w14:textId="77777777" w:rsidR="002E390D" w:rsidRDefault="002E390D" w:rsidP="002E390D">
            <w:pPr>
              <w:spacing w:line="480" w:lineRule="auto"/>
              <w:rPr>
                <w:rFonts w:asciiTheme="majorHAnsi" w:hAnsiTheme="majorHAnsi"/>
                <w:sz w:val="22"/>
                <w:szCs w:val="18"/>
              </w:rPr>
            </w:pPr>
            <w:r>
              <w:rPr>
                <w:rFonts w:asciiTheme="majorHAnsi" w:hAnsiTheme="majorHAnsi"/>
                <w:sz w:val="22"/>
                <w:szCs w:val="18"/>
              </w:rPr>
              <w:t>CXR score</w:t>
            </w:r>
          </w:p>
        </w:tc>
        <w:tc>
          <w:tcPr>
            <w:tcW w:w="1547" w:type="dxa"/>
          </w:tcPr>
          <w:p w14:paraId="06EF73F6"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-0.99</w:t>
            </w:r>
          </w:p>
        </w:tc>
        <w:tc>
          <w:tcPr>
            <w:tcW w:w="1649" w:type="dxa"/>
          </w:tcPr>
          <w:p w14:paraId="2B40494F"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0.39</w:t>
            </w:r>
          </w:p>
        </w:tc>
        <w:tc>
          <w:tcPr>
            <w:tcW w:w="1225" w:type="dxa"/>
          </w:tcPr>
          <w:p w14:paraId="5C49243A"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0.011</w:t>
            </w:r>
          </w:p>
        </w:tc>
        <w:tc>
          <w:tcPr>
            <w:tcW w:w="1698" w:type="dxa"/>
          </w:tcPr>
          <w:p w14:paraId="7CFFBEAD"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0.146</w:t>
            </w:r>
          </w:p>
        </w:tc>
      </w:tr>
    </w:tbl>
    <w:p w14:paraId="7450B89A" w14:textId="77777777" w:rsidR="006335EE" w:rsidRDefault="006335EE" w:rsidP="002E390D">
      <w:pPr>
        <w:spacing w:line="480" w:lineRule="auto"/>
        <w:rPr>
          <w:rFonts w:asciiTheme="majorHAnsi" w:hAnsiTheme="majorHAnsi" w:cs="Arial"/>
          <w:b/>
          <w:sz w:val="18"/>
          <w:szCs w:val="18"/>
        </w:rPr>
      </w:pPr>
    </w:p>
    <w:p w14:paraId="57C6F3F0" w14:textId="77777777" w:rsidR="002E390D" w:rsidRPr="002E390D" w:rsidRDefault="002E390D" w:rsidP="002E390D">
      <w:pPr>
        <w:spacing w:line="480" w:lineRule="auto"/>
        <w:rPr>
          <w:rFonts w:asciiTheme="majorHAnsi" w:hAnsiTheme="majorHAnsi" w:cs="Arial"/>
          <w:sz w:val="18"/>
          <w:szCs w:val="18"/>
        </w:rPr>
      </w:pPr>
      <w:r>
        <w:rPr>
          <w:rFonts w:asciiTheme="majorHAnsi" w:hAnsiTheme="majorHAnsi" w:cs="Arial"/>
          <w:b/>
          <w:sz w:val="18"/>
          <w:szCs w:val="18"/>
        </w:rPr>
        <w:t>Table 2: Univariate logistical regression analyses to determine association between clinical factors and safe discharge.</w:t>
      </w:r>
      <w:r>
        <w:rPr>
          <w:rFonts w:asciiTheme="majorHAnsi" w:hAnsiTheme="majorHAnsi" w:cs="Arial"/>
          <w:sz w:val="18"/>
          <w:szCs w:val="18"/>
        </w:rPr>
        <w:t xml:space="preserve"> Table demonstrates the relationship between measured clinical variables and subsequent safe discharge. CRP: C-reactive protein; P/F: PaO</w:t>
      </w:r>
      <w:r>
        <w:rPr>
          <w:rFonts w:asciiTheme="majorHAnsi" w:hAnsiTheme="majorHAnsi" w:cs="Arial"/>
          <w:sz w:val="18"/>
          <w:szCs w:val="18"/>
          <w:vertAlign w:val="subscript"/>
        </w:rPr>
        <w:t>2</w:t>
      </w:r>
      <w:r>
        <w:rPr>
          <w:rFonts w:asciiTheme="majorHAnsi" w:hAnsiTheme="majorHAnsi" w:cs="Arial"/>
          <w:sz w:val="18"/>
          <w:szCs w:val="18"/>
        </w:rPr>
        <w:t xml:space="preserve"> divided by FiO</w:t>
      </w:r>
      <w:r>
        <w:rPr>
          <w:rFonts w:asciiTheme="majorHAnsi" w:hAnsiTheme="majorHAnsi" w:cs="Arial"/>
          <w:sz w:val="18"/>
          <w:szCs w:val="18"/>
          <w:vertAlign w:val="subscript"/>
        </w:rPr>
        <w:t>2</w:t>
      </w:r>
      <w:r>
        <w:rPr>
          <w:rFonts w:asciiTheme="majorHAnsi" w:hAnsiTheme="majorHAnsi" w:cs="Arial"/>
          <w:sz w:val="18"/>
          <w:szCs w:val="18"/>
        </w:rPr>
        <w:t xml:space="preserve">; </w:t>
      </w:r>
      <w:proofErr w:type="spellStart"/>
      <w:r>
        <w:rPr>
          <w:rFonts w:asciiTheme="majorHAnsi" w:hAnsiTheme="majorHAnsi" w:cs="Arial"/>
          <w:sz w:val="18"/>
          <w:szCs w:val="18"/>
        </w:rPr>
        <w:t>qSOFA</w:t>
      </w:r>
      <w:proofErr w:type="spellEnd"/>
      <w:r>
        <w:rPr>
          <w:rFonts w:asciiTheme="majorHAnsi" w:hAnsiTheme="majorHAnsi" w:cs="Arial"/>
          <w:sz w:val="18"/>
          <w:szCs w:val="18"/>
        </w:rPr>
        <w:t>: quick sequential organ failure assessment; STSS: Simplified Triage Severity Score; CXR: Chest X-ray.</w:t>
      </w:r>
    </w:p>
    <w:p w14:paraId="0689321B" w14:textId="77777777" w:rsidR="002E390D" w:rsidRDefault="002E390D" w:rsidP="002E390D">
      <w:pPr>
        <w:spacing w:line="480" w:lineRule="auto"/>
        <w:rPr>
          <w:rFonts w:asciiTheme="majorHAnsi" w:hAnsiTheme="majorHAnsi" w:cs="Arial"/>
          <w:sz w:val="18"/>
          <w:szCs w:val="18"/>
        </w:rPr>
      </w:pPr>
    </w:p>
    <w:p w14:paraId="5853E935" w14:textId="77777777" w:rsidR="006335EE" w:rsidRDefault="006335EE" w:rsidP="002E390D">
      <w:pPr>
        <w:spacing w:line="480" w:lineRule="auto"/>
        <w:rPr>
          <w:rFonts w:asciiTheme="majorHAnsi" w:hAnsiTheme="majorHAnsi" w:cs="Arial"/>
          <w:sz w:val="18"/>
          <w:szCs w:val="18"/>
        </w:rPr>
      </w:pPr>
    </w:p>
    <w:p w14:paraId="26268753" w14:textId="77777777" w:rsidR="002E390D" w:rsidRPr="002E390D" w:rsidRDefault="002E390D" w:rsidP="002E390D">
      <w:pPr>
        <w:spacing w:line="480" w:lineRule="auto"/>
        <w:rPr>
          <w:rFonts w:asciiTheme="majorHAnsi" w:hAnsiTheme="majorHAnsi" w:cs="Arial"/>
          <w:b/>
          <w:sz w:val="22"/>
          <w:szCs w:val="18"/>
        </w:rPr>
      </w:pPr>
      <w:r>
        <w:rPr>
          <w:rFonts w:asciiTheme="majorHAnsi" w:hAnsiTheme="majorHAnsi" w:cs="Arial"/>
          <w:b/>
          <w:sz w:val="22"/>
          <w:szCs w:val="18"/>
        </w:rPr>
        <w:lastRenderedPageBreak/>
        <w:t>Table 3</w:t>
      </w:r>
    </w:p>
    <w:tbl>
      <w:tblPr>
        <w:tblStyle w:val="LightShading"/>
        <w:tblW w:w="8791" w:type="dxa"/>
        <w:tblLook w:val="06A0" w:firstRow="1" w:lastRow="0" w:firstColumn="1" w:lastColumn="0" w:noHBand="1" w:noVBand="1"/>
      </w:tblPr>
      <w:tblGrid>
        <w:gridCol w:w="2672"/>
        <w:gridCol w:w="1547"/>
        <w:gridCol w:w="1649"/>
        <w:gridCol w:w="1225"/>
        <w:gridCol w:w="1698"/>
      </w:tblGrid>
      <w:tr w:rsidR="002E390D" w14:paraId="08402A7A" w14:textId="77777777" w:rsidTr="002E39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2F22324D" w14:textId="77777777" w:rsidR="002E390D" w:rsidRDefault="002E390D" w:rsidP="002E390D">
            <w:pPr>
              <w:spacing w:line="480" w:lineRule="auto"/>
              <w:rPr>
                <w:rFonts w:asciiTheme="majorHAnsi" w:hAnsiTheme="majorHAnsi"/>
                <w:sz w:val="22"/>
                <w:szCs w:val="18"/>
              </w:rPr>
            </w:pPr>
            <w:r>
              <w:rPr>
                <w:rFonts w:asciiTheme="majorHAnsi" w:hAnsiTheme="majorHAnsi"/>
                <w:sz w:val="22"/>
                <w:szCs w:val="18"/>
              </w:rPr>
              <w:t xml:space="preserve"> </w:t>
            </w:r>
          </w:p>
        </w:tc>
        <w:tc>
          <w:tcPr>
            <w:tcW w:w="1547" w:type="dxa"/>
          </w:tcPr>
          <w:p w14:paraId="4DF081D3" w14:textId="77777777" w:rsidR="002E390D" w:rsidRDefault="00D42675" w:rsidP="002E390D">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 xml:space="preserve">Std. </w:t>
            </w:r>
            <w:proofErr w:type="spellStart"/>
            <w:r>
              <w:rPr>
                <w:rFonts w:asciiTheme="majorHAnsi" w:hAnsiTheme="majorHAnsi"/>
                <w:sz w:val="22"/>
                <w:szCs w:val="18"/>
              </w:rPr>
              <w:t>Coef</w:t>
            </w:r>
            <w:proofErr w:type="spellEnd"/>
            <w:r>
              <w:rPr>
                <w:rFonts w:asciiTheme="majorHAnsi" w:hAnsiTheme="majorHAnsi"/>
                <w:sz w:val="22"/>
                <w:szCs w:val="18"/>
              </w:rPr>
              <w:t>.</w:t>
            </w:r>
          </w:p>
        </w:tc>
        <w:tc>
          <w:tcPr>
            <w:tcW w:w="1649" w:type="dxa"/>
          </w:tcPr>
          <w:p w14:paraId="1EB14AEE" w14:textId="77777777" w:rsidR="002E390D" w:rsidRDefault="002E390D" w:rsidP="002E390D">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Standard Error</w:t>
            </w:r>
          </w:p>
        </w:tc>
        <w:tc>
          <w:tcPr>
            <w:tcW w:w="1225" w:type="dxa"/>
          </w:tcPr>
          <w:p w14:paraId="129446AF" w14:textId="77777777" w:rsidR="002E390D" w:rsidRDefault="002E390D" w:rsidP="002E390D">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18"/>
              </w:rPr>
            </w:pPr>
            <w:proofErr w:type="gramStart"/>
            <w:r>
              <w:rPr>
                <w:rFonts w:asciiTheme="majorHAnsi" w:hAnsiTheme="majorHAnsi"/>
                <w:sz w:val="22"/>
                <w:szCs w:val="18"/>
              </w:rPr>
              <w:t>p</w:t>
            </w:r>
            <w:proofErr w:type="gramEnd"/>
            <w:r>
              <w:rPr>
                <w:rFonts w:asciiTheme="majorHAnsi" w:hAnsiTheme="majorHAnsi"/>
                <w:sz w:val="22"/>
                <w:szCs w:val="18"/>
              </w:rPr>
              <w:t>-value</w:t>
            </w:r>
          </w:p>
        </w:tc>
        <w:tc>
          <w:tcPr>
            <w:tcW w:w="1698" w:type="dxa"/>
          </w:tcPr>
          <w:p w14:paraId="5D686038" w14:textId="77777777" w:rsidR="002E390D" w:rsidRPr="00CC2868" w:rsidRDefault="002E390D" w:rsidP="002E390D">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95% C.I.</w:t>
            </w:r>
          </w:p>
        </w:tc>
      </w:tr>
      <w:tr w:rsidR="002E390D" w14:paraId="0E52442B" w14:textId="77777777" w:rsidTr="002E390D">
        <w:tc>
          <w:tcPr>
            <w:cnfStyle w:val="001000000000" w:firstRow="0" w:lastRow="0" w:firstColumn="1" w:lastColumn="0" w:oddVBand="0" w:evenVBand="0" w:oddHBand="0" w:evenHBand="0" w:firstRowFirstColumn="0" w:firstRowLastColumn="0" w:lastRowFirstColumn="0" w:lastRowLastColumn="0"/>
            <w:tcW w:w="2672" w:type="dxa"/>
          </w:tcPr>
          <w:p w14:paraId="20AA2D8A" w14:textId="77777777" w:rsidR="002E390D" w:rsidRDefault="002E390D" w:rsidP="002E390D">
            <w:pPr>
              <w:spacing w:line="480" w:lineRule="auto"/>
              <w:rPr>
                <w:rFonts w:asciiTheme="majorHAnsi" w:hAnsiTheme="majorHAnsi"/>
                <w:sz w:val="22"/>
                <w:szCs w:val="18"/>
              </w:rPr>
            </w:pPr>
            <w:r>
              <w:rPr>
                <w:rFonts w:asciiTheme="majorHAnsi" w:hAnsiTheme="majorHAnsi"/>
                <w:sz w:val="22"/>
                <w:szCs w:val="18"/>
              </w:rPr>
              <w:t>CRP</w:t>
            </w:r>
          </w:p>
        </w:tc>
        <w:tc>
          <w:tcPr>
            <w:tcW w:w="1547" w:type="dxa"/>
          </w:tcPr>
          <w:p w14:paraId="3BA1C8D8"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-0.03</w:t>
            </w:r>
          </w:p>
        </w:tc>
        <w:tc>
          <w:tcPr>
            <w:tcW w:w="1649" w:type="dxa"/>
          </w:tcPr>
          <w:p w14:paraId="48A2EBC6"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0.01</w:t>
            </w:r>
          </w:p>
        </w:tc>
        <w:tc>
          <w:tcPr>
            <w:tcW w:w="1225" w:type="dxa"/>
          </w:tcPr>
          <w:p w14:paraId="2D3BD496" w14:textId="77777777" w:rsidR="002E390D" w:rsidRDefault="004168B9"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0.028</w:t>
            </w:r>
          </w:p>
        </w:tc>
        <w:tc>
          <w:tcPr>
            <w:tcW w:w="1698" w:type="dxa"/>
          </w:tcPr>
          <w:p w14:paraId="6B57472C" w14:textId="77777777" w:rsidR="002E390D" w:rsidRDefault="004168B9"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-0.06</w:t>
            </w:r>
            <w:r w:rsidR="002E390D">
              <w:rPr>
                <w:rFonts w:asciiTheme="majorHAnsi" w:hAnsiTheme="majorHAnsi"/>
                <w:sz w:val="22"/>
                <w:szCs w:val="18"/>
              </w:rPr>
              <w:t xml:space="preserve"> – -0.00 </w:t>
            </w:r>
          </w:p>
        </w:tc>
      </w:tr>
      <w:tr w:rsidR="002E390D" w14:paraId="0AAFB332" w14:textId="77777777" w:rsidTr="002E390D">
        <w:tc>
          <w:tcPr>
            <w:cnfStyle w:val="001000000000" w:firstRow="0" w:lastRow="0" w:firstColumn="1" w:lastColumn="0" w:oddVBand="0" w:evenVBand="0" w:oddHBand="0" w:evenHBand="0" w:firstRowFirstColumn="0" w:firstRowLastColumn="0" w:lastRowFirstColumn="0" w:lastRowLastColumn="0"/>
            <w:tcW w:w="2672" w:type="dxa"/>
          </w:tcPr>
          <w:p w14:paraId="050DEFBB" w14:textId="77777777" w:rsidR="002E390D" w:rsidRDefault="002E390D" w:rsidP="002E390D">
            <w:pPr>
              <w:spacing w:line="480" w:lineRule="auto"/>
              <w:rPr>
                <w:rFonts w:asciiTheme="majorHAnsi" w:hAnsiTheme="majorHAnsi"/>
                <w:sz w:val="22"/>
                <w:szCs w:val="18"/>
              </w:rPr>
            </w:pPr>
            <w:r>
              <w:rPr>
                <w:rFonts w:asciiTheme="majorHAnsi" w:hAnsiTheme="majorHAnsi"/>
                <w:sz w:val="22"/>
                <w:szCs w:val="18"/>
              </w:rPr>
              <w:t>Estimated P/F</w:t>
            </w:r>
          </w:p>
        </w:tc>
        <w:tc>
          <w:tcPr>
            <w:tcW w:w="1547" w:type="dxa"/>
          </w:tcPr>
          <w:p w14:paraId="02B27EB4"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0.01</w:t>
            </w:r>
          </w:p>
        </w:tc>
        <w:tc>
          <w:tcPr>
            <w:tcW w:w="1649" w:type="dxa"/>
          </w:tcPr>
          <w:p w14:paraId="14B3617C"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0.01</w:t>
            </w:r>
          </w:p>
        </w:tc>
        <w:tc>
          <w:tcPr>
            <w:tcW w:w="1225" w:type="dxa"/>
          </w:tcPr>
          <w:p w14:paraId="40AF9E54" w14:textId="77777777" w:rsidR="002E390D" w:rsidRDefault="004168B9"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0.056</w:t>
            </w:r>
          </w:p>
        </w:tc>
        <w:tc>
          <w:tcPr>
            <w:tcW w:w="1698" w:type="dxa"/>
          </w:tcPr>
          <w:p w14:paraId="2C59C38D" w14:textId="77777777" w:rsidR="002E390D" w:rsidRDefault="002E390D" w:rsidP="002E390D">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-0.00 – 0.03</w:t>
            </w:r>
          </w:p>
        </w:tc>
      </w:tr>
    </w:tbl>
    <w:p w14:paraId="117A36C5" w14:textId="77777777" w:rsidR="006335EE" w:rsidRDefault="006335EE" w:rsidP="002E390D">
      <w:pPr>
        <w:spacing w:line="480" w:lineRule="auto"/>
        <w:rPr>
          <w:rFonts w:asciiTheme="majorHAnsi" w:hAnsiTheme="majorHAnsi" w:cs="Arial"/>
          <w:b/>
          <w:sz w:val="18"/>
          <w:szCs w:val="18"/>
        </w:rPr>
      </w:pPr>
    </w:p>
    <w:p w14:paraId="1893E07C" w14:textId="77777777" w:rsidR="002E390D" w:rsidRDefault="002E390D" w:rsidP="002E390D">
      <w:pPr>
        <w:spacing w:line="480" w:lineRule="auto"/>
        <w:rPr>
          <w:rFonts w:asciiTheme="majorHAnsi" w:hAnsiTheme="majorHAnsi"/>
          <w:sz w:val="18"/>
        </w:rPr>
      </w:pPr>
      <w:r>
        <w:rPr>
          <w:rFonts w:asciiTheme="majorHAnsi" w:hAnsiTheme="majorHAnsi" w:cs="Arial"/>
          <w:b/>
          <w:sz w:val="18"/>
          <w:szCs w:val="18"/>
        </w:rPr>
        <w:t>Table 3: Multivariate logistic regression model to determine association between clinical factors and safe discharge.</w:t>
      </w:r>
      <w:r>
        <w:rPr>
          <w:rFonts w:asciiTheme="majorHAnsi" w:hAnsiTheme="majorHAnsi" w:cs="Arial"/>
          <w:sz w:val="18"/>
          <w:szCs w:val="18"/>
        </w:rPr>
        <w:t xml:space="preserve"> </w:t>
      </w:r>
      <w:r>
        <w:rPr>
          <w:rFonts w:asciiTheme="majorHAnsi" w:hAnsiTheme="majorHAnsi"/>
          <w:sz w:val="18"/>
          <w:szCs w:val="22"/>
        </w:rPr>
        <w:t xml:space="preserve">Table displays the output from a multivariate regression analysis constructed by backwards elimination (p&lt;0.1) using univariate factors that were significantly associated with safe discharge. </w:t>
      </w:r>
      <w:r w:rsidR="004168B9">
        <w:rPr>
          <w:rFonts w:asciiTheme="majorHAnsi" w:hAnsiTheme="majorHAnsi"/>
          <w:sz w:val="18"/>
          <w:szCs w:val="22"/>
        </w:rPr>
        <w:t>Albumin (beta -0.04, p=0.682), t</w:t>
      </w:r>
      <w:r>
        <w:rPr>
          <w:rFonts w:asciiTheme="majorHAnsi" w:hAnsiTheme="majorHAnsi"/>
          <w:sz w:val="18"/>
          <w:szCs w:val="22"/>
        </w:rPr>
        <w:t xml:space="preserve">he Simplified Triage Severity Score </w:t>
      </w:r>
      <w:r w:rsidR="004168B9">
        <w:rPr>
          <w:rFonts w:asciiTheme="majorHAnsi" w:hAnsiTheme="majorHAnsi"/>
          <w:sz w:val="18"/>
          <w:szCs w:val="22"/>
        </w:rPr>
        <w:t>(beta -0.15, p=0.8</w:t>
      </w:r>
      <w:r w:rsidR="006335EE">
        <w:rPr>
          <w:rFonts w:asciiTheme="majorHAnsi" w:hAnsiTheme="majorHAnsi"/>
          <w:sz w:val="18"/>
          <w:szCs w:val="22"/>
        </w:rPr>
        <w:t xml:space="preserve">61), </w:t>
      </w:r>
      <w:r w:rsidR="004168B9">
        <w:rPr>
          <w:rFonts w:asciiTheme="majorHAnsi" w:hAnsiTheme="majorHAnsi"/>
          <w:sz w:val="18"/>
          <w:szCs w:val="22"/>
        </w:rPr>
        <w:t>quick sequential organ failure assessment score (beta -0.54, p=0.556), chest x-ray score (beta -0.95, p=0.139</w:t>
      </w:r>
      <w:r w:rsidR="006335EE">
        <w:rPr>
          <w:rFonts w:asciiTheme="majorHAnsi" w:hAnsiTheme="majorHAnsi"/>
          <w:sz w:val="18"/>
          <w:szCs w:val="22"/>
        </w:rPr>
        <w:t xml:space="preserve">), </w:t>
      </w:r>
      <w:r w:rsidR="004168B9">
        <w:rPr>
          <w:rFonts w:asciiTheme="majorHAnsi" w:hAnsiTheme="majorHAnsi"/>
          <w:sz w:val="18"/>
          <w:szCs w:val="22"/>
        </w:rPr>
        <w:t>and age (beta -0.06, p=0.115</w:t>
      </w:r>
      <w:r w:rsidR="006335EE">
        <w:rPr>
          <w:rFonts w:asciiTheme="majorHAnsi" w:hAnsiTheme="majorHAnsi"/>
          <w:sz w:val="18"/>
          <w:szCs w:val="22"/>
        </w:rPr>
        <w:t xml:space="preserve">) were sequentially eliminated from the model as non-significant. </w:t>
      </w:r>
      <w:r w:rsidR="00D42675">
        <w:rPr>
          <w:rFonts w:asciiTheme="majorHAnsi" w:hAnsiTheme="majorHAnsi"/>
          <w:sz w:val="18"/>
          <w:szCs w:val="22"/>
        </w:rPr>
        <w:t>Final model: n</w:t>
      </w:r>
      <w:r w:rsidR="006335EE">
        <w:rPr>
          <w:rFonts w:asciiTheme="majorHAnsi" w:hAnsiTheme="majorHAnsi"/>
          <w:sz w:val="18"/>
          <w:szCs w:val="22"/>
        </w:rPr>
        <w:t xml:space="preserve"> = 62, </w:t>
      </w:r>
      <w:r w:rsidR="00D42675">
        <w:rPr>
          <w:rFonts w:ascii="Calibri" w:hAnsi="Calibri"/>
          <w:sz w:val="18"/>
          <w:szCs w:val="22"/>
        </w:rPr>
        <w:t>χ</w:t>
      </w:r>
      <w:r w:rsidR="00D42675">
        <w:rPr>
          <w:rFonts w:asciiTheme="majorHAnsi" w:hAnsiTheme="majorHAnsi"/>
          <w:sz w:val="18"/>
          <w:szCs w:val="22"/>
          <w:vertAlign w:val="superscript"/>
        </w:rPr>
        <w:t>2</w:t>
      </w:r>
      <w:r w:rsidR="004168B9">
        <w:rPr>
          <w:rFonts w:asciiTheme="majorHAnsi" w:hAnsiTheme="majorHAnsi"/>
          <w:sz w:val="18"/>
          <w:szCs w:val="22"/>
        </w:rPr>
        <w:t xml:space="preserve"> = 21.86</w:t>
      </w:r>
      <w:r w:rsidR="006335EE">
        <w:rPr>
          <w:rFonts w:asciiTheme="majorHAnsi" w:hAnsiTheme="majorHAnsi"/>
          <w:sz w:val="18"/>
          <w:szCs w:val="22"/>
        </w:rPr>
        <w:t>, R</w:t>
      </w:r>
      <w:r w:rsidR="006335EE">
        <w:rPr>
          <w:rFonts w:asciiTheme="majorHAnsi" w:hAnsiTheme="majorHAnsi"/>
          <w:sz w:val="18"/>
          <w:szCs w:val="22"/>
          <w:vertAlign w:val="superscript"/>
        </w:rPr>
        <w:t>2</w:t>
      </w:r>
      <w:r w:rsidR="004168B9">
        <w:rPr>
          <w:rFonts w:asciiTheme="majorHAnsi" w:hAnsiTheme="majorHAnsi"/>
          <w:sz w:val="18"/>
          <w:szCs w:val="22"/>
        </w:rPr>
        <w:t xml:space="preserve"> = 0.35</w:t>
      </w:r>
      <w:r w:rsidR="00D42675">
        <w:rPr>
          <w:rFonts w:asciiTheme="majorHAnsi" w:hAnsiTheme="majorHAnsi"/>
          <w:sz w:val="18"/>
          <w:szCs w:val="22"/>
        </w:rPr>
        <w:t>9</w:t>
      </w:r>
      <w:r w:rsidR="006335EE">
        <w:rPr>
          <w:rFonts w:asciiTheme="majorHAnsi" w:hAnsiTheme="majorHAnsi"/>
          <w:sz w:val="18"/>
          <w:szCs w:val="22"/>
        </w:rPr>
        <w:t xml:space="preserve">. Std. </w:t>
      </w:r>
      <w:proofErr w:type="spellStart"/>
      <w:r w:rsidR="006335EE">
        <w:rPr>
          <w:rFonts w:asciiTheme="majorHAnsi" w:hAnsiTheme="majorHAnsi"/>
          <w:sz w:val="18"/>
        </w:rPr>
        <w:t>Coef</w:t>
      </w:r>
      <w:proofErr w:type="spellEnd"/>
      <w:r w:rsidR="006335EE">
        <w:rPr>
          <w:rFonts w:asciiTheme="majorHAnsi" w:hAnsiTheme="majorHAnsi"/>
          <w:sz w:val="18"/>
        </w:rPr>
        <w:t xml:space="preserve">. = </w:t>
      </w:r>
      <w:proofErr w:type="gramStart"/>
      <w:r w:rsidR="006335EE">
        <w:rPr>
          <w:rFonts w:asciiTheme="majorHAnsi" w:hAnsiTheme="majorHAnsi"/>
          <w:sz w:val="18"/>
        </w:rPr>
        <w:t>standa</w:t>
      </w:r>
      <w:r w:rsidR="00D42675">
        <w:rPr>
          <w:rFonts w:asciiTheme="majorHAnsi" w:hAnsiTheme="majorHAnsi"/>
          <w:sz w:val="18"/>
        </w:rPr>
        <w:t>rdised</w:t>
      </w:r>
      <w:proofErr w:type="gramEnd"/>
      <w:r w:rsidR="00D42675">
        <w:rPr>
          <w:rFonts w:asciiTheme="majorHAnsi" w:hAnsiTheme="majorHAnsi"/>
          <w:sz w:val="18"/>
        </w:rPr>
        <w:t xml:space="preserve"> coefficient (beta value)</w:t>
      </w:r>
      <w:r w:rsidR="006335EE">
        <w:rPr>
          <w:rFonts w:asciiTheme="majorHAnsi" w:hAnsiTheme="majorHAnsi"/>
          <w:sz w:val="18"/>
        </w:rPr>
        <w:t xml:space="preserve">, 95% C.I. = 95% confidence interval. </w:t>
      </w:r>
    </w:p>
    <w:p w14:paraId="7C17C25F" w14:textId="77777777" w:rsidR="00AD60BD" w:rsidRDefault="00AD60BD" w:rsidP="002E390D">
      <w:pPr>
        <w:spacing w:line="480" w:lineRule="auto"/>
        <w:rPr>
          <w:rFonts w:asciiTheme="majorHAnsi" w:hAnsiTheme="majorHAnsi"/>
          <w:b/>
          <w:sz w:val="22"/>
        </w:rPr>
      </w:pPr>
    </w:p>
    <w:p w14:paraId="3688A1BC" w14:textId="77777777" w:rsidR="00AD60BD" w:rsidRPr="00AD60BD" w:rsidRDefault="00AD60BD" w:rsidP="002E390D">
      <w:pPr>
        <w:spacing w:line="480" w:lineRule="auto"/>
        <w:rPr>
          <w:rFonts w:asciiTheme="majorHAnsi" w:hAnsiTheme="majorHAnsi"/>
          <w:b/>
          <w:sz w:val="22"/>
        </w:rPr>
      </w:pPr>
      <w:r>
        <w:rPr>
          <w:rFonts w:asciiTheme="majorHAnsi" w:hAnsiTheme="majorHAnsi"/>
          <w:b/>
          <w:sz w:val="22"/>
        </w:rPr>
        <w:t>Table 4</w:t>
      </w:r>
    </w:p>
    <w:tbl>
      <w:tblPr>
        <w:tblStyle w:val="LightShading"/>
        <w:tblW w:w="8791" w:type="dxa"/>
        <w:tblLook w:val="06A0" w:firstRow="1" w:lastRow="0" w:firstColumn="1" w:lastColumn="0" w:noHBand="1" w:noVBand="1"/>
      </w:tblPr>
      <w:tblGrid>
        <w:gridCol w:w="2672"/>
        <w:gridCol w:w="1547"/>
        <w:gridCol w:w="1649"/>
        <w:gridCol w:w="1225"/>
        <w:gridCol w:w="1698"/>
      </w:tblGrid>
      <w:tr w:rsidR="00AD60BD" w14:paraId="7E68A7C6" w14:textId="77777777" w:rsidTr="001D49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2" w:type="dxa"/>
          </w:tcPr>
          <w:p w14:paraId="32B18071" w14:textId="77777777" w:rsidR="00AD60BD" w:rsidRDefault="00AD60BD" w:rsidP="001D4989">
            <w:pPr>
              <w:spacing w:line="480" w:lineRule="auto"/>
              <w:rPr>
                <w:rFonts w:asciiTheme="majorHAnsi" w:hAnsiTheme="majorHAnsi"/>
                <w:sz w:val="22"/>
                <w:szCs w:val="18"/>
              </w:rPr>
            </w:pPr>
          </w:p>
        </w:tc>
        <w:tc>
          <w:tcPr>
            <w:tcW w:w="1547" w:type="dxa"/>
          </w:tcPr>
          <w:p w14:paraId="5E992C0A" w14:textId="77777777" w:rsidR="00AD60BD" w:rsidRDefault="00AD60BD" w:rsidP="001D4989">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 xml:space="preserve">Std. </w:t>
            </w:r>
            <w:proofErr w:type="spellStart"/>
            <w:r>
              <w:rPr>
                <w:rFonts w:asciiTheme="majorHAnsi" w:hAnsiTheme="majorHAnsi"/>
                <w:sz w:val="22"/>
                <w:szCs w:val="18"/>
              </w:rPr>
              <w:t>Coef</w:t>
            </w:r>
            <w:proofErr w:type="spellEnd"/>
            <w:r>
              <w:rPr>
                <w:rFonts w:asciiTheme="majorHAnsi" w:hAnsiTheme="majorHAnsi"/>
                <w:sz w:val="22"/>
                <w:szCs w:val="18"/>
              </w:rPr>
              <w:t>.</w:t>
            </w:r>
          </w:p>
        </w:tc>
        <w:tc>
          <w:tcPr>
            <w:tcW w:w="1649" w:type="dxa"/>
          </w:tcPr>
          <w:p w14:paraId="353B764B" w14:textId="77777777" w:rsidR="00AD60BD" w:rsidRDefault="00AD60BD" w:rsidP="001D4989">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Standard Error</w:t>
            </w:r>
          </w:p>
        </w:tc>
        <w:tc>
          <w:tcPr>
            <w:tcW w:w="1225" w:type="dxa"/>
          </w:tcPr>
          <w:p w14:paraId="4535DBFC" w14:textId="77777777" w:rsidR="00AD60BD" w:rsidRDefault="00AD60BD" w:rsidP="001D4989">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18"/>
              </w:rPr>
            </w:pPr>
            <w:proofErr w:type="gramStart"/>
            <w:r>
              <w:rPr>
                <w:rFonts w:asciiTheme="majorHAnsi" w:hAnsiTheme="majorHAnsi"/>
                <w:sz w:val="22"/>
                <w:szCs w:val="18"/>
              </w:rPr>
              <w:t>p</w:t>
            </w:r>
            <w:proofErr w:type="gramEnd"/>
            <w:r>
              <w:rPr>
                <w:rFonts w:asciiTheme="majorHAnsi" w:hAnsiTheme="majorHAnsi"/>
                <w:sz w:val="22"/>
                <w:szCs w:val="18"/>
              </w:rPr>
              <w:t>-value</w:t>
            </w:r>
          </w:p>
        </w:tc>
        <w:tc>
          <w:tcPr>
            <w:tcW w:w="1698" w:type="dxa"/>
          </w:tcPr>
          <w:p w14:paraId="3E4529FD" w14:textId="77777777" w:rsidR="00AD60BD" w:rsidRPr="00CC2868" w:rsidRDefault="00AD60BD" w:rsidP="001D4989">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95% C.I.</w:t>
            </w:r>
          </w:p>
        </w:tc>
      </w:tr>
      <w:tr w:rsidR="00AD60BD" w14:paraId="7F7D784C" w14:textId="77777777" w:rsidTr="001D4989">
        <w:tc>
          <w:tcPr>
            <w:cnfStyle w:val="001000000000" w:firstRow="0" w:lastRow="0" w:firstColumn="1" w:lastColumn="0" w:oddVBand="0" w:evenVBand="0" w:oddHBand="0" w:evenHBand="0" w:firstRowFirstColumn="0" w:firstRowLastColumn="0" w:lastRowFirstColumn="0" w:lastRowLastColumn="0"/>
            <w:tcW w:w="2672" w:type="dxa"/>
          </w:tcPr>
          <w:p w14:paraId="0FF9411B" w14:textId="77777777" w:rsidR="00AD60BD" w:rsidRDefault="00AD60BD" w:rsidP="001D4989">
            <w:pPr>
              <w:spacing w:line="480" w:lineRule="auto"/>
              <w:rPr>
                <w:rFonts w:asciiTheme="majorHAnsi" w:hAnsiTheme="majorHAnsi"/>
                <w:sz w:val="22"/>
                <w:szCs w:val="18"/>
              </w:rPr>
            </w:pPr>
            <w:proofErr w:type="spellStart"/>
            <w:proofErr w:type="gramStart"/>
            <w:r>
              <w:rPr>
                <w:rFonts w:asciiTheme="majorHAnsi" w:hAnsiTheme="majorHAnsi"/>
                <w:sz w:val="22"/>
                <w:szCs w:val="18"/>
              </w:rPr>
              <w:t>qSOFA</w:t>
            </w:r>
            <w:proofErr w:type="spellEnd"/>
            <w:proofErr w:type="gramEnd"/>
          </w:p>
        </w:tc>
        <w:tc>
          <w:tcPr>
            <w:tcW w:w="1547" w:type="dxa"/>
          </w:tcPr>
          <w:p w14:paraId="68436B1E" w14:textId="77777777" w:rsidR="00AD60BD" w:rsidRDefault="003401D2" w:rsidP="001D4989">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2.1</w:t>
            </w:r>
            <w:r w:rsidR="00AD60BD">
              <w:rPr>
                <w:rFonts w:asciiTheme="majorHAnsi" w:hAnsiTheme="majorHAnsi"/>
                <w:sz w:val="22"/>
                <w:szCs w:val="18"/>
              </w:rPr>
              <w:t>1</w:t>
            </w:r>
          </w:p>
        </w:tc>
        <w:tc>
          <w:tcPr>
            <w:tcW w:w="1649" w:type="dxa"/>
          </w:tcPr>
          <w:p w14:paraId="7D715495" w14:textId="77777777" w:rsidR="00AD60BD" w:rsidRDefault="003401D2" w:rsidP="001D4989">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0.73</w:t>
            </w:r>
          </w:p>
        </w:tc>
        <w:tc>
          <w:tcPr>
            <w:tcW w:w="1225" w:type="dxa"/>
          </w:tcPr>
          <w:p w14:paraId="7FC6CD8A" w14:textId="77777777" w:rsidR="00AD60BD" w:rsidRDefault="003401D2" w:rsidP="001D4989">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0.004</w:t>
            </w:r>
          </w:p>
        </w:tc>
        <w:tc>
          <w:tcPr>
            <w:tcW w:w="1698" w:type="dxa"/>
          </w:tcPr>
          <w:p w14:paraId="08C81941" w14:textId="77777777" w:rsidR="00AD60BD" w:rsidRDefault="003401D2" w:rsidP="001D4989">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0.68</w:t>
            </w:r>
            <w:r w:rsidR="00AD60BD">
              <w:rPr>
                <w:rFonts w:asciiTheme="majorHAnsi" w:hAnsiTheme="majorHAnsi"/>
                <w:sz w:val="22"/>
                <w:szCs w:val="18"/>
              </w:rPr>
              <w:t xml:space="preserve"> –</w:t>
            </w:r>
            <w:r>
              <w:rPr>
                <w:rFonts w:asciiTheme="majorHAnsi" w:hAnsiTheme="majorHAnsi"/>
                <w:sz w:val="22"/>
                <w:szCs w:val="18"/>
              </w:rPr>
              <w:t xml:space="preserve"> 3.54</w:t>
            </w:r>
          </w:p>
        </w:tc>
      </w:tr>
      <w:tr w:rsidR="00AD60BD" w14:paraId="305262D0" w14:textId="77777777" w:rsidTr="001D4989">
        <w:tc>
          <w:tcPr>
            <w:cnfStyle w:val="001000000000" w:firstRow="0" w:lastRow="0" w:firstColumn="1" w:lastColumn="0" w:oddVBand="0" w:evenVBand="0" w:oddHBand="0" w:evenHBand="0" w:firstRowFirstColumn="0" w:firstRowLastColumn="0" w:lastRowFirstColumn="0" w:lastRowLastColumn="0"/>
            <w:tcW w:w="2672" w:type="dxa"/>
          </w:tcPr>
          <w:p w14:paraId="0B7D09D4" w14:textId="77777777" w:rsidR="00AD60BD" w:rsidRDefault="00AD60BD" w:rsidP="001D4989">
            <w:pPr>
              <w:spacing w:line="480" w:lineRule="auto"/>
              <w:rPr>
                <w:rFonts w:asciiTheme="majorHAnsi" w:hAnsiTheme="majorHAnsi"/>
                <w:sz w:val="22"/>
                <w:szCs w:val="18"/>
              </w:rPr>
            </w:pPr>
            <w:r>
              <w:rPr>
                <w:rFonts w:asciiTheme="majorHAnsi" w:hAnsiTheme="majorHAnsi"/>
                <w:sz w:val="22"/>
                <w:szCs w:val="18"/>
              </w:rPr>
              <w:t>Estimated P/F</w:t>
            </w:r>
          </w:p>
        </w:tc>
        <w:tc>
          <w:tcPr>
            <w:tcW w:w="1547" w:type="dxa"/>
          </w:tcPr>
          <w:p w14:paraId="56EEB433" w14:textId="77777777" w:rsidR="00AD60BD" w:rsidRDefault="00AD60BD" w:rsidP="001D4989">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-0.01</w:t>
            </w:r>
          </w:p>
        </w:tc>
        <w:tc>
          <w:tcPr>
            <w:tcW w:w="1649" w:type="dxa"/>
          </w:tcPr>
          <w:p w14:paraId="1E83EC7C" w14:textId="77777777" w:rsidR="00AD60BD" w:rsidRDefault="00AD60BD" w:rsidP="001D4989">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0.00</w:t>
            </w:r>
          </w:p>
        </w:tc>
        <w:tc>
          <w:tcPr>
            <w:tcW w:w="1225" w:type="dxa"/>
          </w:tcPr>
          <w:p w14:paraId="4614105C" w14:textId="77777777" w:rsidR="00AD60BD" w:rsidRDefault="003401D2" w:rsidP="001D4989">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0.015</w:t>
            </w:r>
          </w:p>
        </w:tc>
        <w:tc>
          <w:tcPr>
            <w:tcW w:w="1698" w:type="dxa"/>
          </w:tcPr>
          <w:p w14:paraId="0AC485EC" w14:textId="77777777" w:rsidR="00AD60BD" w:rsidRDefault="00AD60BD" w:rsidP="001D4989">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18"/>
              </w:rPr>
            </w:pPr>
            <w:r>
              <w:rPr>
                <w:rFonts w:asciiTheme="majorHAnsi" w:hAnsiTheme="majorHAnsi"/>
                <w:sz w:val="22"/>
                <w:szCs w:val="18"/>
              </w:rPr>
              <w:t xml:space="preserve">-0.02 – -0.00 </w:t>
            </w:r>
          </w:p>
        </w:tc>
      </w:tr>
    </w:tbl>
    <w:p w14:paraId="63A58241" w14:textId="77777777" w:rsidR="00AD60BD" w:rsidRDefault="00AD60BD" w:rsidP="00AD60BD">
      <w:pPr>
        <w:spacing w:line="480" w:lineRule="auto"/>
        <w:rPr>
          <w:rFonts w:asciiTheme="majorHAnsi" w:hAnsiTheme="majorHAnsi" w:cs="Arial"/>
          <w:b/>
          <w:sz w:val="18"/>
          <w:szCs w:val="18"/>
        </w:rPr>
      </w:pPr>
    </w:p>
    <w:p w14:paraId="5F82D665" w14:textId="77777777" w:rsidR="00AD60BD" w:rsidRDefault="00AD60BD" w:rsidP="00AD60BD">
      <w:pPr>
        <w:spacing w:line="480" w:lineRule="auto"/>
        <w:rPr>
          <w:rFonts w:asciiTheme="majorHAnsi" w:hAnsiTheme="majorHAnsi"/>
          <w:sz w:val="18"/>
        </w:rPr>
      </w:pPr>
      <w:r>
        <w:rPr>
          <w:rFonts w:asciiTheme="majorHAnsi" w:hAnsiTheme="majorHAnsi" w:cs="Arial"/>
          <w:b/>
          <w:sz w:val="18"/>
          <w:szCs w:val="18"/>
        </w:rPr>
        <w:t xml:space="preserve">Table 4: Multivariate logistic regression model to determine association between clinical factors and need for mechanical </w:t>
      </w:r>
      <w:proofErr w:type="gramStart"/>
      <w:r>
        <w:rPr>
          <w:rFonts w:asciiTheme="majorHAnsi" w:hAnsiTheme="majorHAnsi" w:cs="Arial"/>
          <w:b/>
          <w:sz w:val="18"/>
          <w:szCs w:val="18"/>
        </w:rPr>
        <w:t>ventilation .</w:t>
      </w:r>
      <w:proofErr w:type="gramEnd"/>
      <w:r>
        <w:rPr>
          <w:rFonts w:asciiTheme="majorHAnsi" w:hAnsiTheme="majorHAnsi" w:cs="Arial"/>
          <w:sz w:val="18"/>
          <w:szCs w:val="18"/>
        </w:rPr>
        <w:t xml:space="preserve"> </w:t>
      </w:r>
      <w:r>
        <w:rPr>
          <w:rFonts w:asciiTheme="majorHAnsi" w:hAnsiTheme="majorHAnsi"/>
          <w:sz w:val="18"/>
          <w:szCs w:val="22"/>
        </w:rPr>
        <w:t>Table displays the output from a multivariate regression analysis constructed by backwards elimination (p&lt;0.1) using univariate factors that were significantly associated with mechanical ventilation. The chest x-ray score (b</w:t>
      </w:r>
      <w:r w:rsidR="003401D2">
        <w:rPr>
          <w:rFonts w:asciiTheme="majorHAnsi" w:hAnsiTheme="majorHAnsi"/>
          <w:sz w:val="18"/>
          <w:szCs w:val="22"/>
        </w:rPr>
        <w:t>eta 0.36, p=0.303</w:t>
      </w:r>
      <w:r>
        <w:rPr>
          <w:rFonts w:asciiTheme="majorHAnsi" w:hAnsiTheme="majorHAnsi"/>
          <w:sz w:val="18"/>
          <w:szCs w:val="22"/>
        </w:rPr>
        <w:t>) was eliminated from the model as non-</w:t>
      </w:r>
      <w:r w:rsidR="003401D2">
        <w:rPr>
          <w:rFonts w:asciiTheme="majorHAnsi" w:hAnsiTheme="majorHAnsi"/>
          <w:sz w:val="18"/>
          <w:szCs w:val="22"/>
        </w:rPr>
        <w:t>significant. Final model: n = 85</w:t>
      </w:r>
      <w:r>
        <w:rPr>
          <w:rFonts w:asciiTheme="majorHAnsi" w:hAnsiTheme="majorHAnsi"/>
          <w:sz w:val="18"/>
          <w:szCs w:val="22"/>
        </w:rPr>
        <w:t xml:space="preserve">, </w:t>
      </w:r>
      <w:r>
        <w:rPr>
          <w:rFonts w:ascii="Calibri" w:hAnsi="Calibri"/>
          <w:sz w:val="18"/>
          <w:szCs w:val="22"/>
        </w:rPr>
        <w:t>χ</w:t>
      </w:r>
      <w:r>
        <w:rPr>
          <w:rFonts w:asciiTheme="majorHAnsi" w:hAnsiTheme="majorHAnsi"/>
          <w:sz w:val="18"/>
          <w:szCs w:val="22"/>
          <w:vertAlign w:val="superscript"/>
        </w:rPr>
        <w:t>2</w:t>
      </w:r>
      <w:r w:rsidR="003401D2">
        <w:rPr>
          <w:rFonts w:asciiTheme="majorHAnsi" w:hAnsiTheme="majorHAnsi"/>
          <w:sz w:val="18"/>
          <w:szCs w:val="22"/>
        </w:rPr>
        <w:t xml:space="preserve"> = 35.03</w:t>
      </w:r>
      <w:r>
        <w:rPr>
          <w:rFonts w:asciiTheme="majorHAnsi" w:hAnsiTheme="majorHAnsi"/>
          <w:sz w:val="18"/>
          <w:szCs w:val="22"/>
        </w:rPr>
        <w:t>, R</w:t>
      </w:r>
      <w:r>
        <w:rPr>
          <w:rFonts w:asciiTheme="majorHAnsi" w:hAnsiTheme="majorHAnsi"/>
          <w:sz w:val="18"/>
          <w:szCs w:val="22"/>
          <w:vertAlign w:val="superscript"/>
        </w:rPr>
        <w:t>2</w:t>
      </w:r>
      <w:r w:rsidR="003401D2">
        <w:rPr>
          <w:rFonts w:asciiTheme="majorHAnsi" w:hAnsiTheme="majorHAnsi"/>
          <w:sz w:val="18"/>
          <w:szCs w:val="22"/>
        </w:rPr>
        <w:t xml:space="preserve"> = 0.461</w:t>
      </w:r>
      <w:r>
        <w:rPr>
          <w:rFonts w:asciiTheme="majorHAnsi" w:hAnsiTheme="majorHAnsi"/>
          <w:sz w:val="18"/>
          <w:szCs w:val="22"/>
        </w:rPr>
        <w:t xml:space="preserve">. Std. </w:t>
      </w:r>
      <w:proofErr w:type="spellStart"/>
      <w:r>
        <w:rPr>
          <w:rFonts w:asciiTheme="majorHAnsi" w:hAnsiTheme="majorHAnsi"/>
          <w:sz w:val="18"/>
        </w:rPr>
        <w:t>Coef</w:t>
      </w:r>
      <w:proofErr w:type="spellEnd"/>
      <w:r>
        <w:rPr>
          <w:rFonts w:asciiTheme="majorHAnsi" w:hAnsiTheme="majorHAnsi"/>
          <w:sz w:val="18"/>
        </w:rPr>
        <w:t xml:space="preserve">. = </w:t>
      </w:r>
      <w:proofErr w:type="gramStart"/>
      <w:r>
        <w:rPr>
          <w:rFonts w:asciiTheme="majorHAnsi" w:hAnsiTheme="majorHAnsi"/>
          <w:sz w:val="18"/>
        </w:rPr>
        <w:t>standardised</w:t>
      </w:r>
      <w:proofErr w:type="gramEnd"/>
      <w:r>
        <w:rPr>
          <w:rFonts w:asciiTheme="majorHAnsi" w:hAnsiTheme="majorHAnsi"/>
          <w:sz w:val="18"/>
        </w:rPr>
        <w:t xml:space="preserve"> coefficient (beta value), 95% C.I. = 95% confidence interval. </w:t>
      </w:r>
    </w:p>
    <w:p w14:paraId="3967D847" w14:textId="77777777" w:rsidR="00AD60BD" w:rsidRPr="002E390D" w:rsidRDefault="00AD60BD" w:rsidP="002E390D">
      <w:pPr>
        <w:spacing w:line="480" w:lineRule="auto"/>
        <w:rPr>
          <w:rFonts w:asciiTheme="majorHAnsi" w:hAnsiTheme="majorHAnsi" w:cs="Arial"/>
          <w:sz w:val="18"/>
          <w:szCs w:val="18"/>
        </w:rPr>
      </w:pPr>
    </w:p>
    <w:p w14:paraId="5FE0F1BC" w14:textId="77777777" w:rsidR="002E390D" w:rsidRDefault="002E390D" w:rsidP="002E390D">
      <w:pPr>
        <w:spacing w:line="480" w:lineRule="auto"/>
        <w:ind w:left="720" w:hanging="720"/>
        <w:rPr>
          <w:rFonts w:asciiTheme="majorHAnsi" w:hAnsiTheme="majorHAnsi"/>
          <w:b/>
          <w:sz w:val="22"/>
          <w:szCs w:val="22"/>
          <w:u w:val="single"/>
        </w:rPr>
      </w:pPr>
    </w:p>
    <w:p w14:paraId="53A6A03F" w14:textId="77777777" w:rsidR="000E5B44" w:rsidRDefault="000E5B44">
      <w:pPr>
        <w:rPr>
          <w:rFonts w:asciiTheme="majorHAnsi" w:hAnsiTheme="majorHAnsi"/>
          <w:b/>
          <w:sz w:val="22"/>
          <w:szCs w:val="22"/>
          <w:u w:val="single"/>
        </w:rPr>
      </w:pPr>
      <w:r>
        <w:rPr>
          <w:rFonts w:asciiTheme="majorHAnsi" w:hAnsiTheme="majorHAnsi"/>
          <w:b/>
          <w:sz w:val="22"/>
          <w:szCs w:val="22"/>
          <w:u w:val="single"/>
        </w:rPr>
        <w:br w:type="page"/>
      </w:r>
    </w:p>
    <w:p w14:paraId="3A5E80C1" w14:textId="77777777" w:rsidR="000E5B44" w:rsidRPr="001D35AC" w:rsidRDefault="000E5B44" w:rsidP="000E5B44">
      <w:pPr>
        <w:spacing w:line="480" w:lineRule="auto"/>
        <w:rPr>
          <w:rFonts w:asciiTheme="majorHAnsi" w:hAnsiTheme="majorHAnsi" w:cs="Arial"/>
          <w:sz w:val="22"/>
          <w:szCs w:val="22"/>
        </w:rPr>
      </w:pPr>
    </w:p>
    <w:p w14:paraId="567E4D38" w14:textId="77777777" w:rsidR="000E5B44" w:rsidRPr="00296B8E" w:rsidRDefault="000607E6" w:rsidP="000E5B44">
      <w:pPr>
        <w:spacing w:line="480" w:lineRule="auto"/>
        <w:rPr>
          <w:rFonts w:asciiTheme="majorHAnsi" w:hAnsiTheme="majorHAnsi" w:cs="Arial"/>
          <w:b/>
          <w:sz w:val="22"/>
          <w:szCs w:val="22"/>
          <w:u w:val="single"/>
        </w:rPr>
      </w:pPr>
      <w:r>
        <w:rPr>
          <w:rFonts w:asciiTheme="majorHAnsi" w:hAnsiTheme="majorHAnsi" w:cs="Arial"/>
          <w:b/>
          <w:noProof/>
          <w:sz w:val="22"/>
          <w:szCs w:val="22"/>
          <w:u w:val="single"/>
          <w:lang w:val="en-US"/>
        </w:rPr>
        <w:drawing>
          <wp:inline distT="0" distB="0" distL="0" distR="0" wp14:anchorId="3AAE0F20" wp14:editId="428716AA">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tbl>
      <w:tblPr>
        <w:tblStyle w:val="LightShading"/>
        <w:tblW w:w="0" w:type="auto"/>
        <w:tblLook w:val="06A0" w:firstRow="1" w:lastRow="0" w:firstColumn="1" w:lastColumn="0" w:noHBand="1" w:noVBand="1"/>
      </w:tblPr>
      <w:tblGrid>
        <w:gridCol w:w="1562"/>
        <w:gridCol w:w="1470"/>
        <w:gridCol w:w="1338"/>
        <w:gridCol w:w="1338"/>
        <w:gridCol w:w="1338"/>
        <w:gridCol w:w="1338"/>
      </w:tblGrid>
      <w:tr w:rsidR="00F34836" w14:paraId="68D2BBF6" w14:textId="77777777" w:rsidTr="00F348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2" w:type="dxa"/>
          </w:tcPr>
          <w:p w14:paraId="466546C5" w14:textId="77777777" w:rsidR="00F34836" w:rsidRPr="00E83D50" w:rsidRDefault="00F34836" w:rsidP="000E5B44">
            <w:pPr>
              <w:spacing w:line="480" w:lineRule="auto"/>
              <w:rPr>
                <w:rFonts w:asciiTheme="majorHAnsi" w:hAnsiTheme="majorHAnsi" w:cs="Arial"/>
                <w:sz w:val="22"/>
                <w:szCs w:val="22"/>
              </w:rPr>
            </w:pPr>
            <w:proofErr w:type="spellStart"/>
            <w:r>
              <w:rPr>
                <w:rFonts w:asciiTheme="majorHAnsi" w:hAnsiTheme="majorHAnsi" w:cs="Arial"/>
                <w:sz w:val="22"/>
                <w:szCs w:val="22"/>
              </w:rPr>
              <w:t>PFest</w:t>
            </w:r>
            <w:proofErr w:type="spellEnd"/>
            <w:r>
              <w:rPr>
                <w:rFonts w:asciiTheme="majorHAnsi" w:hAnsiTheme="majorHAnsi" w:cs="Arial"/>
                <w:sz w:val="22"/>
                <w:szCs w:val="22"/>
              </w:rPr>
              <w:t xml:space="preserve"> - CRP</w:t>
            </w:r>
          </w:p>
        </w:tc>
        <w:tc>
          <w:tcPr>
            <w:tcW w:w="1470" w:type="dxa"/>
          </w:tcPr>
          <w:p w14:paraId="3658BCD9" w14:textId="77777777" w:rsidR="00F34836" w:rsidRPr="00E83D50" w:rsidRDefault="00F34836" w:rsidP="000E5B44">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Calibri" w:hAnsi="Calibri" w:cs="Arial"/>
                <w:sz w:val="22"/>
                <w:szCs w:val="22"/>
              </w:rPr>
              <w:t>≥</w:t>
            </w:r>
            <w:r>
              <w:rPr>
                <w:rFonts w:asciiTheme="majorHAnsi" w:hAnsiTheme="majorHAnsi" w:cs="Arial"/>
                <w:sz w:val="22"/>
                <w:szCs w:val="22"/>
              </w:rPr>
              <w:t>89</w:t>
            </w:r>
          </w:p>
        </w:tc>
        <w:tc>
          <w:tcPr>
            <w:tcW w:w="1338" w:type="dxa"/>
          </w:tcPr>
          <w:p w14:paraId="05519D0A" w14:textId="77777777" w:rsidR="00F34836" w:rsidRPr="00E83D50" w:rsidRDefault="00F34836" w:rsidP="000E5B44">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Calibri" w:hAnsi="Calibri" w:cs="Arial"/>
                <w:sz w:val="22"/>
                <w:szCs w:val="22"/>
              </w:rPr>
              <w:t>≥</w:t>
            </w:r>
            <w:r>
              <w:rPr>
                <w:rFonts w:asciiTheme="majorHAnsi" w:hAnsiTheme="majorHAnsi" w:cs="Arial"/>
                <w:sz w:val="22"/>
                <w:szCs w:val="22"/>
              </w:rPr>
              <w:t>191</w:t>
            </w:r>
          </w:p>
        </w:tc>
        <w:tc>
          <w:tcPr>
            <w:tcW w:w="1338" w:type="dxa"/>
          </w:tcPr>
          <w:p w14:paraId="270231B2" w14:textId="77777777" w:rsidR="00F34836" w:rsidRPr="00E83D50" w:rsidRDefault="00F34836" w:rsidP="000E5B44">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Calibri" w:hAnsi="Calibri" w:cs="Arial"/>
                <w:sz w:val="22"/>
                <w:szCs w:val="22"/>
              </w:rPr>
              <w:t>≥</w:t>
            </w:r>
            <w:r>
              <w:rPr>
                <w:rFonts w:asciiTheme="majorHAnsi" w:hAnsiTheme="majorHAnsi" w:cs="Arial"/>
                <w:sz w:val="22"/>
                <w:szCs w:val="22"/>
              </w:rPr>
              <w:t>284</w:t>
            </w:r>
          </w:p>
        </w:tc>
        <w:tc>
          <w:tcPr>
            <w:tcW w:w="1338" w:type="dxa"/>
          </w:tcPr>
          <w:p w14:paraId="1A3941D3" w14:textId="77777777" w:rsidR="00F34836" w:rsidRPr="00E83D50" w:rsidRDefault="00F34836" w:rsidP="000E5B44">
            <w:pPr>
              <w:spacing w:line="48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Calibri" w:hAnsi="Calibri" w:cs="Arial"/>
                <w:sz w:val="22"/>
                <w:szCs w:val="22"/>
              </w:rPr>
              <w:t>≥</w:t>
            </w:r>
            <w:r>
              <w:rPr>
                <w:rFonts w:asciiTheme="majorHAnsi" w:hAnsiTheme="majorHAnsi" w:cs="Arial"/>
                <w:sz w:val="22"/>
                <w:szCs w:val="22"/>
              </w:rPr>
              <w:t>299</w:t>
            </w:r>
          </w:p>
        </w:tc>
        <w:tc>
          <w:tcPr>
            <w:tcW w:w="1338" w:type="dxa"/>
          </w:tcPr>
          <w:p w14:paraId="219EEC0F" w14:textId="77777777" w:rsidR="00F34836" w:rsidRDefault="00F34836" w:rsidP="000E5B44">
            <w:pPr>
              <w:spacing w:line="480" w:lineRule="auto"/>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Pr>
                <w:rFonts w:ascii="Calibri" w:hAnsi="Calibri" w:cs="Arial"/>
                <w:sz w:val="22"/>
                <w:szCs w:val="22"/>
              </w:rPr>
              <w:t>≥</w:t>
            </w:r>
            <w:r>
              <w:rPr>
                <w:rFonts w:asciiTheme="majorHAnsi" w:hAnsiTheme="majorHAnsi" w:cs="Arial"/>
                <w:sz w:val="22"/>
                <w:szCs w:val="22"/>
              </w:rPr>
              <w:t>326</w:t>
            </w:r>
          </w:p>
        </w:tc>
      </w:tr>
      <w:tr w:rsidR="00F34836" w14:paraId="716E261E" w14:textId="77777777" w:rsidTr="00F34836">
        <w:tc>
          <w:tcPr>
            <w:cnfStyle w:val="001000000000" w:firstRow="0" w:lastRow="0" w:firstColumn="1" w:lastColumn="0" w:oddVBand="0" w:evenVBand="0" w:oddHBand="0" w:evenHBand="0" w:firstRowFirstColumn="0" w:firstRowLastColumn="0" w:lastRowFirstColumn="0" w:lastRowLastColumn="0"/>
            <w:tcW w:w="1562" w:type="dxa"/>
          </w:tcPr>
          <w:p w14:paraId="7781B544" w14:textId="77777777" w:rsidR="00F34836" w:rsidRDefault="00F34836" w:rsidP="000E5B44">
            <w:pPr>
              <w:spacing w:line="480" w:lineRule="auto"/>
              <w:rPr>
                <w:rFonts w:asciiTheme="majorHAnsi" w:hAnsiTheme="majorHAnsi" w:cs="Arial"/>
                <w:b w:val="0"/>
                <w:sz w:val="22"/>
                <w:szCs w:val="22"/>
              </w:rPr>
            </w:pPr>
            <w:r>
              <w:rPr>
                <w:rFonts w:asciiTheme="majorHAnsi" w:hAnsiTheme="majorHAnsi" w:cs="Arial"/>
                <w:b w:val="0"/>
                <w:sz w:val="22"/>
                <w:szCs w:val="22"/>
              </w:rPr>
              <w:t>Sensitivity</w:t>
            </w:r>
          </w:p>
        </w:tc>
        <w:tc>
          <w:tcPr>
            <w:tcW w:w="1470" w:type="dxa"/>
          </w:tcPr>
          <w:p w14:paraId="4613D6EE" w14:textId="77777777" w:rsidR="00F34836" w:rsidRPr="00E83D50" w:rsidRDefault="00F34836" w:rsidP="000E5B44">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100%</w:t>
            </w:r>
          </w:p>
        </w:tc>
        <w:tc>
          <w:tcPr>
            <w:tcW w:w="1338" w:type="dxa"/>
          </w:tcPr>
          <w:p w14:paraId="02295197" w14:textId="77777777" w:rsidR="00F34836" w:rsidRPr="00E83D50" w:rsidRDefault="00F34836" w:rsidP="000E5B44">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100%</w:t>
            </w:r>
          </w:p>
        </w:tc>
        <w:tc>
          <w:tcPr>
            <w:tcW w:w="1338" w:type="dxa"/>
          </w:tcPr>
          <w:p w14:paraId="062BBB44" w14:textId="77777777" w:rsidR="00F34836" w:rsidRPr="00E83D50" w:rsidRDefault="00F34836" w:rsidP="000E5B44">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91.7%</w:t>
            </w:r>
          </w:p>
        </w:tc>
        <w:tc>
          <w:tcPr>
            <w:tcW w:w="1338" w:type="dxa"/>
          </w:tcPr>
          <w:p w14:paraId="56BBD607" w14:textId="77777777" w:rsidR="00F34836" w:rsidRPr="00E83D50" w:rsidRDefault="00F34836" w:rsidP="000E5B44">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75.0%</w:t>
            </w:r>
          </w:p>
        </w:tc>
        <w:tc>
          <w:tcPr>
            <w:tcW w:w="1338" w:type="dxa"/>
          </w:tcPr>
          <w:p w14:paraId="7F0EAF75" w14:textId="77777777" w:rsidR="00F34836" w:rsidRDefault="00F34836" w:rsidP="000E5B44">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50.0%</w:t>
            </w:r>
          </w:p>
        </w:tc>
      </w:tr>
      <w:tr w:rsidR="00F34836" w14:paraId="7A17F5C7" w14:textId="77777777" w:rsidTr="00F34836">
        <w:tc>
          <w:tcPr>
            <w:cnfStyle w:val="001000000000" w:firstRow="0" w:lastRow="0" w:firstColumn="1" w:lastColumn="0" w:oddVBand="0" w:evenVBand="0" w:oddHBand="0" w:evenHBand="0" w:firstRowFirstColumn="0" w:firstRowLastColumn="0" w:lastRowFirstColumn="0" w:lastRowLastColumn="0"/>
            <w:tcW w:w="1562" w:type="dxa"/>
          </w:tcPr>
          <w:p w14:paraId="29B94E9A" w14:textId="77777777" w:rsidR="00F34836" w:rsidRDefault="00F34836" w:rsidP="000E5B44">
            <w:pPr>
              <w:spacing w:line="480" w:lineRule="auto"/>
              <w:rPr>
                <w:rFonts w:asciiTheme="majorHAnsi" w:hAnsiTheme="majorHAnsi" w:cs="Arial"/>
                <w:b w:val="0"/>
                <w:sz w:val="22"/>
                <w:szCs w:val="22"/>
              </w:rPr>
            </w:pPr>
            <w:r>
              <w:rPr>
                <w:rFonts w:asciiTheme="majorHAnsi" w:hAnsiTheme="majorHAnsi" w:cs="Arial"/>
                <w:b w:val="0"/>
                <w:sz w:val="22"/>
                <w:szCs w:val="22"/>
              </w:rPr>
              <w:t>Specificity</w:t>
            </w:r>
          </w:p>
        </w:tc>
        <w:tc>
          <w:tcPr>
            <w:tcW w:w="1470" w:type="dxa"/>
          </w:tcPr>
          <w:p w14:paraId="45092D9B" w14:textId="77777777" w:rsidR="00F34836" w:rsidRPr="00E83D50" w:rsidRDefault="00F34836" w:rsidP="000E5B44">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44.0%</w:t>
            </w:r>
          </w:p>
        </w:tc>
        <w:tc>
          <w:tcPr>
            <w:tcW w:w="1338" w:type="dxa"/>
          </w:tcPr>
          <w:p w14:paraId="0C276DFA" w14:textId="77777777" w:rsidR="00F34836" w:rsidRPr="00E83D50" w:rsidRDefault="00F34836" w:rsidP="000E5B44">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66.0%</w:t>
            </w:r>
          </w:p>
        </w:tc>
        <w:tc>
          <w:tcPr>
            <w:tcW w:w="1338" w:type="dxa"/>
          </w:tcPr>
          <w:p w14:paraId="5FB2BB0D" w14:textId="77777777" w:rsidR="00F34836" w:rsidRPr="00E83D50" w:rsidRDefault="00F34836" w:rsidP="000E5B44">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80.0%</w:t>
            </w:r>
          </w:p>
        </w:tc>
        <w:tc>
          <w:tcPr>
            <w:tcW w:w="1338" w:type="dxa"/>
          </w:tcPr>
          <w:p w14:paraId="66BEDA81" w14:textId="77777777" w:rsidR="00F34836" w:rsidRPr="00E83D50" w:rsidRDefault="00F34836" w:rsidP="000E5B44">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82.0%</w:t>
            </w:r>
          </w:p>
        </w:tc>
        <w:tc>
          <w:tcPr>
            <w:tcW w:w="1338" w:type="dxa"/>
          </w:tcPr>
          <w:p w14:paraId="42D17F93" w14:textId="77777777" w:rsidR="00F34836" w:rsidRDefault="00F34836" w:rsidP="000E5B44">
            <w:pPr>
              <w:spacing w:line="48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rPr>
            </w:pPr>
            <w:r>
              <w:rPr>
                <w:rFonts w:asciiTheme="majorHAnsi" w:hAnsiTheme="majorHAnsi" w:cs="Arial"/>
                <w:sz w:val="22"/>
                <w:szCs w:val="22"/>
              </w:rPr>
              <w:t>90.0%</w:t>
            </w:r>
          </w:p>
        </w:tc>
      </w:tr>
    </w:tbl>
    <w:p w14:paraId="043CC929" w14:textId="77777777" w:rsidR="000607E6" w:rsidRDefault="000607E6" w:rsidP="000E5B44">
      <w:pPr>
        <w:spacing w:line="480" w:lineRule="auto"/>
        <w:rPr>
          <w:rFonts w:asciiTheme="majorHAnsi" w:hAnsiTheme="majorHAnsi" w:cs="Arial"/>
          <w:b/>
          <w:sz w:val="22"/>
          <w:szCs w:val="22"/>
          <w:u w:val="single"/>
        </w:rPr>
      </w:pPr>
    </w:p>
    <w:p w14:paraId="2AFDD2BB" w14:textId="77777777" w:rsidR="00ED6482" w:rsidRPr="00463186" w:rsidRDefault="00296B8E" w:rsidP="000E5B44">
      <w:pPr>
        <w:spacing w:line="480" w:lineRule="auto"/>
        <w:rPr>
          <w:rFonts w:asciiTheme="majorHAnsi" w:hAnsiTheme="majorHAnsi" w:cs="Arial"/>
          <w:sz w:val="18"/>
          <w:szCs w:val="22"/>
        </w:rPr>
      </w:pPr>
      <w:r w:rsidRPr="00463186">
        <w:rPr>
          <w:rFonts w:asciiTheme="majorHAnsi" w:hAnsiTheme="majorHAnsi" w:cs="Arial"/>
          <w:b/>
          <w:sz w:val="18"/>
          <w:szCs w:val="22"/>
        </w:rPr>
        <w:t>Figure 1: Receiver operator characteristic curve for univariate estimated PaO</w:t>
      </w:r>
      <w:r w:rsidRPr="00463186">
        <w:rPr>
          <w:rFonts w:asciiTheme="majorHAnsi" w:hAnsiTheme="majorHAnsi" w:cs="Arial"/>
          <w:b/>
          <w:sz w:val="18"/>
          <w:szCs w:val="22"/>
          <w:vertAlign w:val="subscript"/>
        </w:rPr>
        <w:t>2</w:t>
      </w:r>
      <w:r w:rsidRPr="00463186">
        <w:rPr>
          <w:rFonts w:asciiTheme="majorHAnsi" w:hAnsiTheme="majorHAnsi" w:cs="Arial"/>
          <w:b/>
          <w:sz w:val="18"/>
          <w:szCs w:val="22"/>
        </w:rPr>
        <w:t>/FiO</w:t>
      </w:r>
      <w:r w:rsidRPr="00463186">
        <w:rPr>
          <w:rFonts w:asciiTheme="majorHAnsi" w:hAnsiTheme="majorHAnsi" w:cs="Arial"/>
          <w:b/>
          <w:sz w:val="18"/>
          <w:szCs w:val="22"/>
          <w:vertAlign w:val="subscript"/>
        </w:rPr>
        <w:t>2</w:t>
      </w:r>
      <w:r w:rsidRPr="00463186">
        <w:rPr>
          <w:rFonts w:asciiTheme="majorHAnsi" w:hAnsiTheme="majorHAnsi" w:cs="Arial"/>
          <w:b/>
          <w:sz w:val="18"/>
          <w:szCs w:val="22"/>
        </w:rPr>
        <w:t xml:space="preserve"> ratio minus CRP</w:t>
      </w:r>
      <w:r w:rsidR="00B0721F">
        <w:rPr>
          <w:rFonts w:asciiTheme="majorHAnsi" w:hAnsiTheme="majorHAnsi" w:cs="Arial"/>
          <w:b/>
          <w:sz w:val="18"/>
          <w:szCs w:val="22"/>
        </w:rPr>
        <w:t xml:space="preserve"> for prediction of discharge</w:t>
      </w:r>
      <w:r w:rsidRPr="00463186">
        <w:rPr>
          <w:rFonts w:asciiTheme="majorHAnsi" w:hAnsiTheme="majorHAnsi" w:cs="Arial"/>
          <w:b/>
          <w:sz w:val="18"/>
          <w:szCs w:val="22"/>
        </w:rPr>
        <w:t xml:space="preserve">. </w:t>
      </w:r>
      <w:r w:rsidRPr="00463186">
        <w:rPr>
          <w:rFonts w:asciiTheme="majorHAnsi" w:hAnsiTheme="majorHAnsi" w:cs="Arial"/>
          <w:sz w:val="18"/>
          <w:szCs w:val="22"/>
        </w:rPr>
        <w:t>Figure demonstrates a receiver operator curve with area under the curve analysis for the variable estimated PaO</w:t>
      </w:r>
      <w:r w:rsidRPr="00463186">
        <w:rPr>
          <w:rFonts w:asciiTheme="majorHAnsi" w:hAnsiTheme="majorHAnsi" w:cs="Arial"/>
          <w:sz w:val="18"/>
          <w:szCs w:val="22"/>
          <w:vertAlign w:val="subscript"/>
        </w:rPr>
        <w:t>2</w:t>
      </w:r>
      <w:r w:rsidRPr="00463186">
        <w:rPr>
          <w:rFonts w:asciiTheme="majorHAnsi" w:hAnsiTheme="majorHAnsi" w:cs="Arial"/>
          <w:sz w:val="18"/>
          <w:szCs w:val="22"/>
        </w:rPr>
        <w:t>/FiO</w:t>
      </w:r>
      <w:r w:rsidRPr="00463186">
        <w:rPr>
          <w:rFonts w:asciiTheme="majorHAnsi" w:hAnsiTheme="majorHAnsi" w:cs="Arial"/>
          <w:sz w:val="18"/>
          <w:szCs w:val="22"/>
          <w:vertAlign w:val="subscript"/>
        </w:rPr>
        <w:t>2</w:t>
      </w:r>
      <w:r w:rsidRPr="00463186">
        <w:rPr>
          <w:rFonts w:asciiTheme="majorHAnsi" w:hAnsiTheme="majorHAnsi" w:cs="Arial"/>
          <w:sz w:val="18"/>
          <w:szCs w:val="22"/>
        </w:rPr>
        <w:t xml:space="preserve"> minus C-reactive protein in predicting safe discharge. The table below demonstrates specific cut off points for this variable with sensitivity and specificity </w:t>
      </w:r>
      <w:r w:rsidR="00ED6482" w:rsidRPr="00463186">
        <w:rPr>
          <w:rFonts w:asciiTheme="majorHAnsi" w:hAnsiTheme="majorHAnsi" w:cs="Arial"/>
          <w:sz w:val="18"/>
          <w:szCs w:val="22"/>
        </w:rPr>
        <w:t>calculations.</w:t>
      </w:r>
    </w:p>
    <w:p w14:paraId="668A298C" w14:textId="77777777" w:rsidR="00ED6482" w:rsidRDefault="00ED6482" w:rsidP="000E5B44">
      <w:pPr>
        <w:spacing w:line="480" w:lineRule="auto"/>
        <w:rPr>
          <w:rFonts w:asciiTheme="majorHAnsi" w:hAnsiTheme="majorHAnsi" w:cs="Arial"/>
          <w:sz w:val="22"/>
          <w:szCs w:val="22"/>
        </w:rPr>
      </w:pPr>
    </w:p>
    <w:p w14:paraId="5D68C2FD" w14:textId="77777777" w:rsidR="000E5B44" w:rsidRDefault="00ED6482" w:rsidP="000E5B44">
      <w:pPr>
        <w:spacing w:line="480" w:lineRule="auto"/>
        <w:rPr>
          <w:rFonts w:asciiTheme="majorHAnsi" w:hAnsiTheme="majorHAnsi" w:cs="Arial"/>
          <w:b/>
          <w:sz w:val="22"/>
          <w:szCs w:val="22"/>
          <w:u w:val="single"/>
        </w:rPr>
      </w:pPr>
      <w:r>
        <w:rPr>
          <w:rFonts w:asciiTheme="majorHAnsi" w:hAnsiTheme="majorHAnsi" w:cs="Arial"/>
          <w:b/>
          <w:sz w:val="22"/>
          <w:szCs w:val="22"/>
          <w:u w:val="single"/>
        </w:rPr>
        <w:lastRenderedPageBreak/>
        <w:t xml:space="preserve"> </w:t>
      </w:r>
      <w:bookmarkStart w:id="0" w:name="_GoBack"/>
      <w:r w:rsidR="005D5756" w:rsidRPr="005D5756">
        <w:rPr>
          <w:noProof/>
          <w:lang w:val="en-US"/>
        </w:rPr>
        <w:drawing>
          <wp:inline distT="0" distB="0" distL="0" distR="0" wp14:anchorId="537D6201" wp14:editId="0C25AFEF">
            <wp:extent cx="5270500" cy="2939496"/>
            <wp:effectExtent l="0" t="0" r="0" b="698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2939496"/>
                    </a:xfrm>
                    <a:prstGeom prst="rect">
                      <a:avLst/>
                    </a:prstGeom>
                    <a:noFill/>
                    <a:ln>
                      <a:noFill/>
                    </a:ln>
                  </pic:spPr>
                </pic:pic>
              </a:graphicData>
            </a:graphic>
          </wp:inline>
        </w:drawing>
      </w:r>
    </w:p>
    <w:bookmarkEnd w:id="0"/>
    <w:p w14:paraId="170D49AA" w14:textId="77777777" w:rsidR="00463186" w:rsidRPr="000C5245" w:rsidRDefault="00ED6482" w:rsidP="00463186">
      <w:pPr>
        <w:spacing w:line="480" w:lineRule="auto"/>
        <w:rPr>
          <w:rFonts w:asciiTheme="majorHAnsi" w:hAnsiTheme="majorHAnsi" w:cs="Arial"/>
          <w:sz w:val="18"/>
          <w:szCs w:val="22"/>
          <w:vertAlign w:val="subscript"/>
        </w:rPr>
      </w:pPr>
      <w:r w:rsidRPr="00463186">
        <w:rPr>
          <w:rFonts w:asciiTheme="majorHAnsi" w:hAnsiTheme="majorHAnsi"/>
          <w:b/>
          <w:sz w:val="18"/>
          <w:szCs w:val="22"/>
        </w:rPr>
        <w:t xml:space="preserve">Figure 2: Pragmatic </w:t>
      </w:r>
      <w:r w:rsidR="0039280C" w:rsidRPr="00463186">
        <w:rPr>
          <w:rFonts w:asciiTheme="majorHAnsi" w:hAnsiTheme="majorHAnsi"/>
          <w:b/>
          <w:sz w:val="18"/>
          <w:szCs w:val="22"/>
        </w:rPr>
        <w:t>admission and discharge decision-</w:t>
      </w:r>
      <w:r w:rsidRPr="00463186">
        <w:rPr>
          <w:rFonts w:asciiTheme="majorHAnsi" w:hAnsiTheme="majorHAnsi"/>
          <w:b/>
          <w:sz w:val="18"/>
          <w:szCs w:val="22"/>
        </w:rPr>
        <w:t>making tool</w:t>
      </w:r>
      <w:r w:rsidR="0039280C" w:rsidRPr="00463186">
        <w:rPr>
          <w:rFonts w:asciiTheme="majorHAnsi" w:hAnsiTheme="majorHAnsi"/>
          <w:b/>
          <w:sz w:val="18"/>
          <w:szCs w:val="22"/>
        </w:rPr>
        <w:t xml:space="preserve"> derived using the safe discharge prediction model: estimated </w:t>
      </w:r>
      <w:r w:rsidR="0039280C" w:rsidRPr="00463186">
        <w:rPr>
          <w:rFonts w:asciiTheme="majorHAnsi" w:hAnsiTheme="majorHAnsi" w:cs="Arial"/>
          <w:b/>
          <w:sz w:val="18"/>
          <w:szCs w:val="22"/>
        </w:rPr>
        <w:t>PaO</w:t>
      </w:r>
      <w:r w:rsidR="0039280C" w:rsidRPr="00463186">
        <w:rPr>
          <w:rFonts w:asciiTheme="majorHAnsi" w:hAnsiTheme="majorHAnsi" w:cs="Arial"/>
          <w:b/>
          <w:sz w:val="18"/>
          <w:szCs w:val="22"/>
          <w:vertAlign w:val="subscript"/>
        </w:rPr>
        <w:t>2</w:t>
      </w:r>
      <w:r w:rsidR="0039280C" w:rsidRPr="00463186">
        <w:rPr>
          <w:rFonts w:asciiTheme="majorHAnsi" w:hAnsiTheme="majorHAnsi" w:cs="Arial"/>
          <w:b/>
          <w:sz w:val="18"/>
          <w:szCs w:val="22"/>
        </w:rPr>
        <w:t>/FiO</w:t>
      </w:r>
      <w:r w:rsidR="0039280C" w:rsidRPr="00463186">
        <w:rPr>
          <w:rFonts w:asciiTheme="majorHAnsi" w:hAnsiTheme="majorHAnsi" w:cs="Arial"/>
          <w:b/>
          <w:sz w:val="18"/>
          <w:szCs w:val="22"/>
          <w:vertAlign w:val="subscript"/>
        </w:rPr>
        <w:t>2</w:t>
      </w:r>
      <w:r w:rsidR="0039280C" w:rsidRPr="00463186">
        <w:rPr>
          <w:rFonts w:asciiTheme="majorHAnsi" w:hAnsiTheme="majorHAnsi" w:cs="Arial"/>
          <w:b/>
          <w:sz w:val="18"/>
          <w:szCs w:val="22"/>
        </w:rPr>
        <w:t xml:space="preserve"> ratio minus CRP.</w:t>
      </w:r>
      <w:r w:rsidR="0039280C" w:rsidRPr="00463186">
        <w:rPr>
          <w:rFonts w:asciiTheme="majorHAnsi" w:hAnsiTheme="majorHAnsi" w:cs="Arial"/>
          <w:sz w:val="18"/>
          <w:szCs w:val="22"/>
        </w:rPr>
        <w:t xml:space="preserve"> Figure demonst</w:t>
      </w:r>
      <w:r w:rsidR="00F34836">
        <w:rPr>
          <w:rFonts w:asciiTheme="majorHAnsi" w:hAnsiTheme="majorHAnsi" w:cs="Arial"/>
          <w:sz w:val="18"/>
          <w:szCs w:val="22"/>
        </w:rPr>
        <w:t xml:space="preserve">rates thresholds for </w:t>
      </w:r>
      <w:proofErr w:type="gramStart"/>
      <w:r w:rsidR="00F34836">
        <w:rPr>
          <w:rFonts w:asciiTheme="majorHAnsi" w:hAnsiTheme="majorHAnsi" w:cs="Arial"/>
          <w:sz w:val="18"/>
          <w:szCs w:val="22"/>
        </w:rPr>
        <w:t>admission</w:t>
      </w:r>
      <w:r w:rsidR="0039280C" w:rsidRPr="00463186">
        <w:rPr>
          <w:rFonts w:asciiTheme="majorHAnsi" w:hAnsiTheme="majorHAnsi" w:cs="Arial"/>
          <w:sz w:val="18"/>
          <w:szCs w:val="22"/>
        </w:rPr>
        <w:t>,</w:t>
      </w:r>
      <w:proofErr w:type="gramEnd"/>
      <w:r w:rsidR="0039280C" w:rsidRPr="00463186">
        <w:rPr>
          <w:rFonts w:asciiTheme="majorHAnsi" w:hAnsiTheme="majorHAnsi" w:cs="Arial"/>
          <w:sz w:val="18"/>
          <w:szCs w:val="22"/>
        </w:rPr>
        <w:t xml:space="preserve"> observe (defer decision after</w:t>
      </w:r>
      <w:r w:rsidR="008F2BE9">
        <w:rPr>
          <w:rFonts w:asciiTheme="majorHAnsi" w:hAnsiTheme="majorHAnsi" w:cs="Arial"/>
          <w:sz w:val="18"/>
          <w:szCs w:val="22"/>
        </w:rPr>
        <w:t xml:space="preserve"> 24 hour</w:t>
      </w:r>
      <w:r w:rsidR="0039280C" w:rsidRPr="00463186">
        <w:rPr>
          <w:rFonts w:asciiTheme="majorHAnsi" w:hAnsiTheme="majorHAnsi" w:cs="Arial"/>
          <w:sz w:val="18"/>
          <w:szCs w:val="22"/>
        </w:rPr>
        <w:t xml:space="preserve"> observation period) and direct hospital admission based on our prediction model. </w:t>
      </w:r>
      <w:r w:rsidR="00463186">
        <w:rPr>
          <w:rFonts w:asciiTheme="majorHAnsi" w:hAnsiTheme="majorHAnsi" w:cs="Arial"/>
          <w:sz w:val="18"/>
          <w:szCs w:val="22"/>
        </w:rPr>
        <w:t xml:space="preserve">Estimated P/F ratio was calculated with saturations on air based on the equation: </w:t>
      </w:r>
      <w:proofErr w:type="gramStart"/>
      <w:r w:rsidR="00463186">
        <w:rPr>
          <w:rFonts w:asciiTheme="majorHAnsi" w:hAnsiTheme="majorHAnsi" w:cs="Arial"/>
          <w:sz w:val="18"/>
          <w:szCs w:val="22"/>
        </w:rPr>
        <w:t>Log(</w:t>
      </w:r>
      <w:proofErr w:type="gramEnd"/>
      <w:r w:rsidR="00463186">
        <w:rPr>
          <w:rFonts w:asciiTheme="majorHAnsi" w:hAnsiTheme="majorHAnsi" w:cs="Arial"/>
          <w:sz w:val="18"/>
          <w:szCs w:val="22"/>
        </w:rPr>
        <w:t xml:space="preserve">PF) = 0.48 + 0.78 x Log(SF) </w:t>
      </w:r>
      <w:r w:rsidR="00FA5767">
        <w:rPr>
          <w:rFonts w:asciiTheme="majorHAnsi" w:hAnsiTheme="majorHAnsi" w:cs="Arial"/>
          <w:sz w:val="18"/>
          <w:szCs w:val="22"/>
        </w:rPr>
        <w:fldChar w:fldCharType="begin" w:fldLock="1"/>
      </w:r>
      <w:r w:rsidR="000D4EEE">
        <w:rPr>
          <w:rFonts w:asciiTheme="majorHAnsi" w:hAnsiTheme="majorHAnsi" w:cs="Arial"/>
          <w:sz w:val="18"/>
          <w:szCs w:val="22"/>
        </w:rPr>
        <w:instrText>ADDIN CSL_CITATION { "citationItems" : [ { "id" : "ITEM-1", "itemData" : { "DOI" : "10.1097/CCM.0b013e31819cefa9", "ISSN" : "1530-0293", "PMID" : "19242333", "abstract" : "The Sequential Organ Failure Assessment (SOFA) score is validated to measure severity of organ dysfunction in critically ill patients. However, in some practice settings, daily arterial blood gas data required to calculate the respiratory component of the SOFA score are often unavailable. The objectives of this study were to derive Spo2/Fio2 (SF) ratio correlations with the Pao2/Fio2 (PF) ratio to calculate the respiratory parameter of the SOFA score, and to validate the respiratory SOFA obtained using SF ratios against clinical outcomes.", "author" : [ { "dropping-particle" : "", "family" : "Pandharipande", "given" : "Pratik P", "non-dropping-particle" : "", "parse-names" : false, "suffix" : "" }, { "dropping-particle" : "", "family" : "Shintani", "given" : "Ayumi K", "non-dropping-particle" : "", "parse-names" : false, "suffix" : "" }, { "dropping-particle" : "", "family" : "Hagerman", "given" : "Heather E", "non-dropping-particle" : "", "parse-names" : false, "suffix" : "" }, { "dropping-particle" : "", "family" : "St Jacques", "given" : "Paul J", "non-dropping-particle" : "", "parse-names" : false, "suffix" : "" }, { "dropping-particle" : "", "family" : "Rice", "given" : "Todd W", "non-dropping-particle" : "", "parse-names" : false, "suffix" : "" }, { "dropping-particle" : "", "family" : "Sanders", "given" : "Neal W", "non-dropping-particle" : "", "parse-names" : false, "suffix" : "" }, { "dropping-particle" : "", "family" : "Ware", "given" : "Lorraine B", "non-dropping-particle" : "", "parse-names" : false, "suffix" : "" }, { "dropping-particle" : "", "family" : "Bernard", "given" : "Gordon R", "non-dropping-particle" : "", "parse-names" : false, "suffix" : "" }, { "dropping-particle" : "", "family" : "Ely", "given" : "E Wesley", "non-dropping-particle" : "", "parse-names" : false, "suffix" : "" } ], "container-title" : "Critical care medicine", "id" : "ITEM-1", "issue" : "4", "issued" : { "date-parts" : [ [ "2009", "4" ] ] }, "page" : "1317-21", "title" : "Derivation and validation of Spo2/Fio2 ratio to impute for Pao2/Fio2 ratio in the respiratory component of the Sequential Organ Failure Assessment score.", "type" : "article-journal", "volume" : "37" }, "uris" : [ "http://www.mendeley.com/documents/?uuid=cda8a8c3-094b-482b-9dea-d9e748663c21" ] } ], "mendeley" : { "formattedCitation" : "(16)", "plainTextFormattedCitation" : "(16)", "previouslyFormattedCitation" : "(16)" }, "properties" : { "noteIndex" : 0 }, "schema" : "https://github.com/citation-style-language/schema/raw/master/csl-citation.json" }</w:instrText>
      </w:r>
      <w:r w:rsidR="00FA5767">
        <w:rPr>
          <w:rFonts w:asciiTheme="majorHAnsi" w:hAnsiTheme="majorHAnsi" w:cs="Arial"/>
          <w:sz w:val="18"/>
          <w:szCs w:val="22"/>
        </w:rPr>
        <w:fldChar w:fldCharType="separate"/>
      </w:r>
      <w:r w:rsidR="003B7B92" w:rsidRPr="003B7B92">
        <w:rPr>
          <w:rFonts w:asciiTheme="majorHAnsi" w:hAnsiTheme="majorHAnsi" w:cs="Arial"/>
          <w:noProof/>
          <w:sz w:val="18"/>
          <w:szCs w:val="22"/>
        </w:rPr>
        <w:t>(16)</w:t>
      </w:r>
      <w:r w:rsidR="00FA5767">
        <w:rPr>
          <w:rFonts w:asciiTheme="majorHAnsi" w:hAnsiTheme="majorHAnsi" w:cs="Arial"/>
          <w:sz w:val="18"/>
          <w:szCs w:val="22"/>
        </w:rPr>
        <w:fldChar w:fldCharType="end"/>
      </w:r>
      <w:r w:rsidR="00463186">
        <w:rPr>
          <w:rFonts w:asciiTheme="majorHAnsi" w:hAnsiTheme="majorHAnsi" w:cs="Arial"/>
          <w:sz w:val="18"/>
          <w:szCs w:val="22"/>
        </w:rPr>
        <w:t xml:space="preserve">. Discharge decision = estimated P/F minus CRP </w:t>
      </w:r>
      <w:r w:rsidR="00463186">
        <w:rPr>
          <w:rFonts w:ascii="Calibri" w:hAnsi="Calibri" w:cs="Arial"/>
          <w:sz w:val="18"/>
          <w:szCs w:val="22"/>
        </w:rPr>
        <w:t>≥</w:t>
      </w:r>
      <w:r w:rsidR="00F34836">
        <w:rPr>
          <w:rFonts w:asciiTheme="majorHAnsi" w:hAnsiTheme="majorHAnsi" w:cs="Arial"/>
          <w:sz w:val="18"/>
          <w:szCs w:val="22"/>
        </w:rPr>
        <w:t>300</w:t>
      </w:r>
      <w:r w:rsidR="00463186">
        <w:rPr>
          <w:rFonts w:asciiTheme="majorHAnsi" w:hAnsiTheme="majorHAnsi" w:cs="Arial"/>
          <w:sz w:val="18"/>
          <w:szCs w:val="22"/>
        </w:rPr>
        <w:t xml:space="preserve">. Admit decision = estimated P/F minus CRP </w:t>
      </w:r>
      <w:r w:rsidR="00463186">
        <w:rPr>
          <w:rFonts w:ascii="Calibri" w:hAnsi="Calibri" w:cs="Arial"/>
          <w:sz w:val="18"/>
          <w:szCs w:val="22"/>
        </w:rPr>
        <w:t>≤</w:t>
      </w:r>
      <w:r w:rsidR="00F34836">
        <w:rPr>
          <w:rFonts w:asciiTheme="majorHAnsi" w:hAnsiTheme="majorHAnsi" w:cs="Arial"/>
          <w:sz w:val="18"/>
          <w:szCs w:val="22"/>
        </w:rPr>
        <w:t>300</w:t>
      </w:r>
      <w:r w:rsidR="00463186">
        <w:rPr>
          <w:rFonts w:asciiTheme="majorHAnsi" w:hAnsiTheme="majorHAnsi" w:cs="Arial"/>
          <w:sz w:val="18"/>
          <w:szCs w:val="22"/>
        </w:rPr>
        <w:t>.</w:t>
      </w:r>
    </w:p>
    <w:p w14:paraId="73CFCBDB" w14:textId="77777777" w:rsidR="002D6D73" w:rsidRDefault="002D6D73">
      <w:pPr>
        <w:rPr>
          <w:rFonts w:asciiTheme="majorHAnsi" w:hAnsiTheme="majorHAnsi"/>
          <w:sz w:val="18"/>
          <w:szCs w:val="22"/>
          <w:vertAlign w:val="subscript"/>
        </w:rPr>
      </w:pPr>
      <w:r>
        <w:rPr>
          <w:rFonts w:asciiTheme="majorHAnsi" w:hAnsiTheme="majorHAnsi"/>
          <w:sz w:val="18"/>
          <w:szCs w:val="22"/>
          <w:vertAlign w:val="subscript"/>
        </w:rPr>
        <w:br w:type="page"/>
      </w:r>
      <w:r w:rsidR="00882105">
        <w:rPr>
          <w:rFonts w:asciiTheme="majorHAnsi" w:hAnsiTheme="majorHAnsi"/>
          <w:noProof/>
          <w:sz w:val="22"/>
          <w:szCs w:val="22"/>
          <w:lang w:val="en-US"/>
        </w:rPr>
        <w:lastRenderedPageBreak/>
        <w:drawing>
          <wp:inline distT="0" distB="0" distL="0" distR="0" wp14:anchorId="1CDB290F" wp14:editId="1EC2F7FF">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5CC8D3E" w14:textId="77777777" w:rsidR="00882105" w:rsidRDefault="00882105" w:rsidP="00882105">
      <w:pPr>
        <w:spacing w:line="480" w:lineRule="auto"/>
        <w:rPr>
          <w:rFonts w:asciiTheme="majorHAnsi" w:hAnsiTheme="majorHAnsi" w:cs="Arial"/>
          <w:b/>
          <w:sz w:val="18"/>
          <w:szCs w:val="18"/>
        </w:rPr>
      </w:pPr>
    </w:p>
    <w:p w14:paraId="13534098" w14:textId="77777777" w:rsidR="00882105" w:rsidRPr="00056F90" w:rsidRDefault="00882105" w:rsidP="00882105">
      <w:pPr>
        <w:spacing w:line="480" w:lineRule="auto"/>
        <w:rPr>
          <w:rFonts w:asciiTheme="majorHAnsi" w:hAnsiTheme="majorHAnsi" w:cs="Arial"/>
          <w:sz w:val="18"/>
          <w:szCs w:val="18"/>
        </w:rPr>
      </w:pPr>
      <w:r>
        <w:rPr>
          <w:rFonts w:asciiTheme="majorHAnsi" w:hAnsiTheme="majorHAnsi" w:cs="Arial"/>
          <w:b/>
          <w:sz w:val="18"/>
          <w:szCs w:val="18"/>
        </w:rPr>
        <w:t>Figure 3</w:t>
      </w:r>
      <w:r w:rsidRPr="00056F90">
        <w:rPr>
          <w:rFonts w:asciiTheme="majorHAnsi" w:hAnsiTheme="majorHAnsi" w:cs="Arial"/>
          <w:b/>
          <w:sz w:val="18"/>
          <w:szCs w:val="18"/>
        </w:rPr>
        <w:t>: Receiver operator characteristic curve for multivariate model PaO</w:t>
      </w:r>
      <w:r w:rsidRPr="00056F90">
        <w:rPr>
          <w:rFonts w:asciiTheme="majorHAnsi" w:hAnsiTheme="majorHAnsi" w:cs="Arial"/>
          <w:b/>
          <w:sz w:val="18"/>
          <w:szCs w:val="18"/>
          <w:vertAlign w:val="subscript"/>
        </w:rPr>
        <w:t>2</w:t>
      </w:r>
      <w:r w:rsidRPr="00056F90">
        <w:rPr>
          <w:rFonts w:asciiTheme="majorHAnsi" w:hAnsiTheme="majorHAnsi" w:cs="Arial"/>
          <w:b/>
          <w:sz w:val="18"/>
          <w:szCs w:val="18"/>
        </w:rPr>
        <w:t>/FiO</w:t>
      </w:r>
      <w:r w:rsidRPr="00056F90">
        <w:rPr>
          <w:rFonts w:asciiTheme="majorHAnsi" w:hAnsiTheme="majorHAnsi" w:cs="Arial"/>
          <w:b/>
          <w:sz w:val="18"/>
          <w:szCs w:val="18"/>
          <w:vertAlign w:val="subscript"/>
        </w:rPr>
        <w:t>2</w:t>
      </w:r>
      <w:r w:rsidRPr="00056F90">
        <w:rPr>
          <w:rFonts w:asciiTheme="majorHAnsi" w:hAnsiTheme="majorHAnsi" w:cs="Arial"/>
          <w:b/>
          <w:sz w:val="18"/>
          <w:szCs w:val="18"/>
        </w:rPr>
        <w:t xml:space="preserve"> ratio and </w:t>
      </w:r>
      <w:proofErr w:type="spellStart"/>
      <w:r w:rsidRPr="00056F90">
        <w:rPr>
          <w:rFonts w:asciiTheme="majorHAnsi" w:hAnsiTheme="majorHAnsi" w:cs="Arial"/>
          <w:b/>
          <w:sz w:val="18"/>
          <w:szCs w:val="18"/>
        </w:rPr>
        <w:t>qSOFA</w:t>
      </w:r>
      <w:proofErr w:type="spellEnd"/>
      <w:r w:rsidRPr="00056F90">
        <w:rPr>
          <w:rFonts w:asciiTheme="majorHAnsi" w:hAnsiTheme="majorHAnsi" w:cs="Arial"/>
          <w:b/>
          <w:sz w:val="18"/>
          <w:szCs w:val="18"/>
        </w:rPr>
        <w:t xml:space="preserve"> in predicting need for mechanical </w:t>
      </w:r>
      <w:r w:rsidRPr="00056F90">
        <w:rPr>
          <w:rFonts w:asciiTheme="majorHAnsi" w:hAnsiTheme="majorHAnsi" w:cs="Arial"/>
          <w:sz w:val="18"/>
          <w:szCs w:val="18"/>
        </w:rPr>
        <w:t>ventilation. Figure demonstrates a receiver operator curve with area under the curve analysis for the variable estimated PaO</w:t>
      </w:r>
      <w:r w:rsidRPr="00056F90">
        <w:rPr>
          <w:rFonts w:asciiTheme="majorHAnsi" w:hAnsiTheme="majorHAnsi" w:cs="Arial"/>
          <w:sz w:val="18"/>
          <w:szCs w:val="18"/>
          <w:vertAlign w:val="subscript"/>
        </w:rPr>
        <w:t>2</w:t>
      </w:r>
      <w:r w:rsidRPr="00056F90">
        <w:rPr>
          <w:rFonts w:asciiTheme="majorHAnsi" w:hAnsiTheme="majorHAnsi" w:cs="Arial"/>
          <w:sz w:val="18"/>
          <w:szCs w:val="18"/>
        </w:rPr>
        <w:t>/FiO</w:t>
      </w:r>
      <w:r w:rsidRPr="00056F90">
        <w:rPr>
          <w:rFonts w:asciiTheme="majorHAnsi" w:hAnsiTheme="majorHAnsi" w:cs="Arial"/>
          <w:sz w:val="18"/>
          <w:szCs w:val="18"/>
          <w:vertAlign w:val="subscript"/>
        </w:rPr>
        <w:t>2</w:t>
      </w:r>
      <w:r w:rsidRPr="00056F90">
        <w:rPr>
          <w:rFonts w:asciiTheme="majorHAnsi" w:hAnsiTheme="majorHAnsi" w:cs="Arial"/>
          <w:sz w:val="18"/>
          <w:szCs w:val="18"/>
        </w:rPr>
        <w:t xml:space="preserve"> ratio and </w:t>
      </w:r>
      <w:proofErr w:type="spellStart"/>
      <w:r w:rsidRPr="00056F90">
        <w:rPr>
          <w:rFonts w:asciiTheme="majorHAnsi" w:hAnsiTheme="majorHAnsi" w:cs="Arial"/>
          <w:sz w:val="18"/>
          <w:szCs w:val="18"/>
        </w:rPr>
        <w:t>qSOFA</w:t>
      </w:r>
      <w:proofErr w:type="spellEnd"/>
      <w:r w:rsidRPr="00056F90">
        <w:rPr>
          <w:rFonts w:asciiTheme="majorHAnsi" w:hAnsiTheme="majorHAnsi" w:cs="Arial"/>
          <w:sz w:val="18"/>
          <w:szCs w:val="18"/>
        </w:rPr>
        <w:t xml:space="preserve"> (quick sequential organ failure assessment score) in predicting safe discharge. </w:t>
      </w:r>
    </w:p>
    <w:p w14:paraId="7BE1BC1D" w14:textId="77777777" w:rsidR="00882105" w:rsidRDefault="00882105">
      <w:pPr>
        <w:rPr>
          <w:rFonts w:asciiTheme="majorHAnsi" w:hAnsiTheme="majorHAnsi"/>
          <w:b/>
          <w:sz w:val="22"/>
          <w:szCs w:val="22"/>
        </w:rPr>
      </w:pPr>
      <w:r>
        <w:rPr>
          <w:rFonts w:asciiTheme="majorHAnsi" w:hAnsiTheme="majorHAnsi"/>
          <w:b/>
          <w:sz w:val="22"/>
          <w:szCs w:val="22"/>
        </w:rPr>
        <w:br w:type="page"/>
      </w:r>
    </w:p>
    <w:p w14:paraId="1DFAADE2" w14:textId="77777777" w:rsidR="002D6D73" w:rsidRDefault="002D6D73" w:rsidP="0039280C">
      <w:pPr>
        <w:spacing w:line="480" w:lineRule="auto"/>
        <w:rPr>
          <w:rFonts w:asciiTheme="majorHAnsi" w:hAnsiTheme="majorHAnsi"/>
          <w:b/>
          <w:sz w:val="22"/>
          <w:szCs w:val="22"/>
        </w:rPr>
      </w:pPr>
      <w:r>
        <w:rPr>
          <w:rFonts w:asciiTheme="majorHAnsi" w:hAnsiTheme="majorHAnsi"/>
          <w:b/>
          <w:sz w:val="22"/>
          <w:szCs w:val="22"/>
        </w:rPr>
        <w:lastRenderedPageBreak/>
        <w:t>Bibliography</w:t>
      </w:r>
    </w:p>
    <w:p w14:paraId="45D0FB8F" w14:textId="3AEF415A" w:rsidR="00610094" w:rsidRPr="00610094" w:rsidRDefault="00FA5767" w:rsidP="00610094">
      <w:pPr>
        <w:widowControl w:val="0"/>
        <w:autoSpaceDE w:val="0"/>
        <w:autoSpaceDN w:val="0"/>
        <w:adjustRightInd w:val="0"/>
        <w:spacing w:line="480" w:lineRule="auto"/>
        <w:ind w:left="640" w:hanging="640"/>
        <w:rPr>
          <w:rFonts w:ascii="Calibri" w:hAnsi="Calibri"/>
          <w:noProof/>
          <w:sz w:val="22"/>
          <w:lang w:val="en-US"/>
        </w:rPr>
      </w:pPr>
      <w:r>
        <w:rPr>
          <w:rFonts w:asciiTheme="majorHAnsi" w:hAnsiTheme="majorHAnsi"/>
          <w:b/>
          <w:sz w:val="22"/>
          <w:szCs w:val="22"/>
        </w:rPr>
        <w:fldChar w:fldCharType="begin" w:fldLock="1"/>
      </w:r>
      <w:r w:rsidR="002D6D73">
        <w:rPr>
          <w:rFonts w:asciiTheme="majorHAnsi" w:hAnsiTheme="majorHAnsi"/>
          <w:b/>
          <w:sz w:val="22"/>
          <w:szCs w:val="22"/>
        </w:rPr>
        <w:instrText xml:space="preserve">ADDIN Mendeley Bibliography CSL_BIBLIOGRAPHY </w:instrText>
      </w:r>
      <w:r>
        <w:rPr>
          <w:rFonts w:asciiTheme="majorHAnsi" w:hAnsiTheme="majorHAnsi"/>
          <w:b/>
          <w:sz w:val="22"/>
          <w:szCs w:val="22"/>
        </w:rPr>
        <w:fldChar w:fldCharType="separate"/>
      </w:r>
      <w:r w:rsidR="00610094" w:rsidRPr="00610094">
        <w:rPr>
          <w:rFonts w:ascii="Calibri" w:hAnsi="Calibri"/>
          <w:noProof/>
          <w:sz w:val="22"/>
          <w:lang w:val="en-US"/>
        </w:rPr>
        <w:t xml:space="preserve">1. </w:t>
      </w:r>
      <w:r w:rsidR="00610094" w:rsidRPr="00610094">
        <w:rPr>
          <w:rFonts w:ascii="Calibri" w:hAnsi="Calibri"/>
          <w:noProof/>
          <w:sz w:val="22"/>
          <w:lang w:val="en-US"/>
        </w:rPr>
        <w:tab/>
        <w:t xml:space="preserve">The antibiotic alarm. Nature. 2013 Mar 14;495(7440):141. </w:t>
      </w:r>
    </w:p>
    <w:p w14:paraId="7D4F7416"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2. </w:t>
      </w:r>
      <w:r w:rsidRPr="00610094">
        <w:rPr>
          <w:rFonts w:ascii="Calibri" w:hAnsi="Calibri"/>
          <w:noProof/>
          <w:sz w:val="22"/>
          <w:lang w:val="en-US"/>
        </w:rPr>
        <w:tab/>
        <w:t>Health and Social Care Influenza Pandemic Preparedness and Response [Internet]. [cited 2016 Jul 21]. Available from: https://www.gov.uk/government/publications/health-and-social-care-response-to-flu-pandemics</w:t>
      </w:r>
    </w:p>
    <w:p w14:paraId="6C2579B5"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3. </w:t>
      </w:r>
      <w:r w:rsidRPr="00610094">
        <w:rPr>
          <w:rFonts w:ascii="Calibri" w:hAnsi="Calibri"/>
          <w:noProof/>
          <w:sz w:val="22"/>
          <w:lang w:val="en-US"/>
        </w:rPr>
        <w:tab/>
        <w:t xml:space="preserve">O’Laughlin DT, Hick JL. Ethical issues in resource triage. Respir Care. 2008 Feb;53(2):190–7; discussion 197–200. </w:t>
      </w:r>
    </w:p>
    <w:p w14:paraId="74BB0F8F"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4. </w:t>
      </w:r>
      <w:r w:rsidRPr="00610094">
        <w:rPr>
          <w:rFonts w:ascii="Calibri" w:hAnsi="Calibri"/>
          <w:noProof/>
          <w:sz w:val="22"/>
          <w:lang w:val="en-US"/>
        </w:rPr>
        <w:tab/>
        <w:t>UK Department of Health Swine Flu Clinical Practice [Internet]. [cited 2016 Jul 21]. Available from: http://webarchive.nationalarchives.gov.uk/20130107105354/http://www.dh.gov.uk/en/Publicationsandstatistics/Publications/PublicationsPolicyAndGuidance/DH_106495</w:t>
      </w:r>
    </w:p>
    <w:p w14:paraId="4750D610"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5. </w:t>
      </w:r>
      <w:r w:rsidRPr="00610094">
        <w:rPr>
          <w:rFonts w:ascii="Calibri" w:hAnsi="Calibri"/>
          <w:noProof/>
          <w:sz w:val="22"/>
          <w:lang w:val="en-US"/>
        </w:rPr>
        <w:tab/>
        <w:t xml:space="preserve">Morton B, Tang L, Gale R, Kelly M, Robertson H, Mogk M, et al. Performance of influenza-specific triage tools in an H1N1-positive cohort: P/F ratio better predicts the need for mechanical ventilation and critical care admission. Br J Anaesth. 2015 Mar 31; </w:t>
      </w:r>
    </w:p>
    <w:p w14:paraId="0330FA0F"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6. </w:t>
      </w:r>
      <w:r w:rsidRPr="00610094">
        <w:rPr>
          <w:rFonts w:ascii="Calibri" w:hAnsi="Calibri"/>
          <w:noProof/>
          <w:sz w:val="22"/>
          <w:lang w:val="en-US"/>
        </w:rPr>
        <w:tab/>
        <w:t xml:space="preserve">Khan Z, Hulme J, Sherwood N. An assessment of the validity of SOFA score based triage in H1N1 critically ill patients during an influenza pandemic. Anaesthesia. 2009 Dec;64(12):1283–8. </w:t>
      </w:r>
    </w:p>
    <w:p w14:paraId="08F5C78D"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7. </w:t>
      </w:r>
      <w:r w:rsidRPr="00610094">
        <w:rPr>
          <w:rFonts w:ascii="Calibri" w:hAnsi="Calibri"/>
          <w:noProof/>
          <w:sz w:val="22"/>
          <w:lang w:val="en-US"/>
        </w:rPr>
        <w:tab/>
        <w:t xml:space="preserve">Adeniji K a, Cusack R. The Simple Triage Scoring System (STSS) successfully predicts mortality and critical care resource utilization in H1N1 pandemic flu: a retrospective analysis. Crit Care. BioMed Central Ltd; 2011 Jan;15(1):R39. </w:t>
      </w:r>
    </w:p>
    <w:p w14:paraId="57F5253F"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8. </w:t>
      </w:r>
      <w:r w:rsidRPr="00610094">
        <w:rPr>
          <w:rFonts w:ascii="Calibri" w:hAnsi="Calibri"/>
          <w:noProof/>
          <w:sz w:val="22"/>
          <w:lang w:val="en-US"/>
        </w:rPr>
        <w:tab/>
        <w:t xml:space="preserve">Rowan KM, Harrison DA, Walsh TS, McAuley DF, Perkins GD, Taylor BL, et al. The Swine Flu Triage (SwiFT) study: development and ongoing refinement of a triage tool to provide regular information to guide immediate policy and practice for the use of critical care services during the H1N1 swine influenza pandemic. Health Technol Assess. 2010 Dec;14(55):335–492. </w:t>
      </w:r>
    </w:p>
    <w:p w14:paraId="72A2B51F"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9. </w:t>
      </w:r>
      <w:r w:rsidRPr="00610094">
        <w:rPr>
          <w:rFonts w:ascii="Calibri" w:hAnsi="Calibri"/>
          <w:noProof/>
          <w:sz w:val="22"/>
          <w:lang w:val="en-US"/>
        </w:rPr>
        <w:tab/>
        <w:t xml:space="preserve">Mulpuru S, Roth VR, Lawrence N, Forster  a J. Influenza infection screening tools fail to accurately predict influenza status for patients during pandemic H1N1 influenza season. Can Respir J. 2013;20(3):e55–9. </w:t>
      </w:r>
    </w:p>
    <w:p w14:paraId="670B4F9C"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10. </w:t>
      </w:r>
      <w:r w:rsidRPr="00610094">
        <w:rPr>
          <w:rFonts w:ascii="Calibri" w:hAnsi="Calibri"/>
          <w:noProof/>
          <w:sz w:val="22"/>
          <w:lang w:val="en-US"/>
        </w:rPr>
        <w:tab/>
        <w:t xml:space="preserve">Keijzers GB, Vossen CNK-L, Zhang P, Macbeth D, Derrington P, Gerrard JG, et al. Predicting influenza A and 2009 H1N1 influenza in patients admitted to hospital with acute respiratory illness. Emerg Med J. 2011;28(6):500–6. </w:t>
      </w:r>
    </w:p>
    <w:p w14:paraId="37F9FC7F"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11. </w:t>
      </w:r>
      <w:r w:rsidRPr="00610094">
        <w:rPr>
          <w:rFonts w:ascii="Calibri" w:hAnsi="Calibri"/>
          <w:noProof/>
          <w:sz w:val="22"/>
          <w:lang w:val="en-US"/>
        </w:rPr>
        <w:tab/>
        <w:t xml:space="preserve">Karplus R, Weinberger M, Zaidenstein R, Goldshtein L, Natif N, Gayer G. The role of readily available clinical, laboratory and radiologic findings in distinguishing A/H1N1/2009 influenza from other causes of acute febrile respiratory illness under pandemic conditions. Isr Med Assoc J. 2012;14(10):613–9. </w:t>
      </w:r>
    </w:p>
    <w:p w14:paraId="0C587266"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12. </w:t>
      </w:r>
      <w:r w:rsidRPr="00610094">
        <w:rPr>
          <w:rFonts w:ascii="Calibri" w:hAnsi="Calibri"/>
          <w:noProof/>
          <w:sz w:val="22"/>
          <w:lang w:val="en-US"/>
        </w:rPr>
        <w:tab/>
        <w:t xml:space="preserve">Duque V, Vaz J, Mota V, Morais C, Da Cunha S, Melico-Silvestre A. Clinical manifestations of pandemic (H1N1) 2009 in the ambulatory setting. J Infect Dev Ctries. 2011;5:658–63. </w:t>
      </w:r>
    </w:p>
    <w:p w14:paraId="382979DD"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13. </w:t>
      </w:r>
      <w:r w:rsidRPr="00610094">
        <w:rPr>
          <w:rFonts w:ascii="Calibri" w:hAnsi="Calibri"/>
          <w:noProof/>
          <w:sz w:val="22"/>
          <w:lang w:val="en-US"/>
        </w:rPr>
        <w:tab/>
        <w:t xml:space="preserve">Bewick T, Myles P, Greenwood S, Nguyen-Van-Tam JS, Brett SJ, Semple MG, et al. Clinical and laboratory features distinguishing pandemic H1N1 influenza-related pneumonia from interpandemic community-acquired pneumonia in adults. Thorax. 2011;66(3):247–52. </w:t>
      </w:r>
    </w:p>
    <w:p w14:paraId="2A34DFB7"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14. </w:t>
      </w:r>
      <w:r w:rsidRPr="00610094">
        <w:rPr>
          <w:rFonts w:ascii="Calibri" w:hAnsi="Calibri"/>
          <w:noProof/>
          <w:sz w:val="22"/>
          <w:lang w:val="en-US"/>
        </w:rPr>
        <w:tab/>
        <w:t xml:space="preserve">Hospitals on the edge ? The time for action A report by the Royal College of Physicians. 2012. </w:t>
      </w:r>
    </w:p>
    <w:p w14:paraId="49772D72"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15. </w:t>
      </w:r>
      <w:r w:rsidRPr="00610094">
        <w:rPr>
          <w:rFonts w:ascii="Calibri" w:hAnsi="Calibri"/>
          <w:noProof/>
          <w:sz w:val="22"/>
          <w:lang w:val="en-US"/>
        </w:rPr>
        <w:tab/>
        <w:t xml:space="preserve">Singer M, Deutschman CS, Seymour CW, Shankar-Hari M, Annane D, Bauer M, et al. The Third International Consensus Definitions for Sepsis and Septic Shock (Sepsis-3). JAMA. 2016 Feb 23;315(8):801. </w:t>
      </w:r>
    </w:p>
    <w:p w14:paraId="7C175091"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16. </w:t>
      </w:r>
      <w:r w:rsidRPr="00610094">
        <w:rPr>
          <w:rFonts w:ascii="Calibri" w:hAnsi="Calibri"/>
          <w:noProof/>
          <w:sz w:val="22"/>
          <w:lang w:val="en-US"/>
        </w:rPr>
        <w:tab/>
        <w:t xml:space="preserve">Pandharipande PP, Shintani AK, Hagerman HE, St Jacques PJ, Rice TW, Sanders NW, et al. Derivation and validation of Spo2/Fio2 ratio to impute for Pao2/Fio2 ratio in the respiratory component of the Sequential Organ Failure Assessment score. Crit Care Med. 2009 Apr;37(4):1317–21. </w:t>
      </w:r>
    </w:p>
    <w:p w14:paraId="257AC8EF"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17. </w:t>
      </w:r>
      <w:r w:rsidRPr="00610094">
        <w:rPr>
          <w:rFonts w:ascii="Calibri" w:hAnsi="Calibri"/>
          <w:noProof/>
          <w:sz w:val="22"/>
          <w:lang w:val="en-US"/>
        </w:rPr>
        <w:tab/>
        <w:t xml:space="preserve">Taylor E, Haven K, Reed P, Bissielo A, Harvey D, McArthur C, et al. A chest radiograph scoring system in patients with severe acute respiratory infection: a validation study. BMC Med Imaging. 2015;15:61. </w:t>
      </w:r>
    </w:p>
    <w:p w14:paraId="727B2ED8"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18. </w:t>
      </w:r>
      <w:r w:rsidRPr="00610094">
        <w:rPr>
          <w:rFonts w:ascii="Calibri" w:hAnsi="Calibri"/>
          <w:noProof/>
          <w:sz w:val="22"/>
          <w:lang w:val="en-US"/>
        </w:rPr>
        <w:tab/>
        <w:t xml:space="preserve">Talmor D, Jones AE, Rubinson L, Howell MD, Shapiro NI. Simple triage scoring system predicting death and the need for critical care resources for use during epidemics. Crit Care Med. 2007 May;35(5):1251–6. </w:t>
      </w:r>
    </w:p>
    <w:p w14:paraId="7AC1133F"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19. </w:t>
      </w:r>
      <w:r w:rsidRPr="00610094">
        <w:rPr>
          <w:rFonts w:ascii="Calibri" w:hAnsi="Calibri"/>
          <w:noProof/>
          <w:sz w:val="22"/>
          <w:lang w:val="en-US"/>
        </w:rPr>
        <w:tab/>
        <w:t xml:space="preserve">Greiner M, Pfeiffer D, Smith RD. Principles and practical application of the receiver-operating characteristic analysis for diagnostic tests. Prev Vet Med. 2000 May 30;45(1-2):23–41. </w:t>
      </w:r>
    </w:p>
    <w:p w14:paraId="5C0C3E9D"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20. </w:t>
      </w:r>
      <w:r w:rsidRPr="00610094">
        <w:rPr>
          <w:rFonts w:ascii="Calibri" w:hAnsi="Calibri"/>
          <w:noProof/>
          <w:sz w:val="22"/>
          <w:lang w:val="en-US"/>
        </w:rPr>
        <w:tab/>
        <w:t xml:space="preserve">Mytton OT, Rutter PD, Donaldson LJ. Influenza A(H1N1)pdm09 in England, 2009 to 2011: A greater burden of severe illness in the year after the pandemic than in the pandemic year. Eurosurveillance. 2012;17(14):1–9. </w:t>
      </w:r>
    </w:p>
    <w:p w14:paraId="5CCAE812"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21. </w:t>
      </w:r>
      <w:r w:rsidRPr="00610094">
        <w:rPr>
          <w:rFonts w:ascii="Calibri" w:hAnsi="Calibri"/>
          <w:noProof/>
          <w:sz w:val="22"/>
          <w:lang w:val="en-US"/>
        </w:rPr>
        <w:tab/>
        <w:t xml:space="preserve">O’Driscoll BR, Howard LS, Davison  a G. BTS guideline for emergency oxygen use in adult patients. Thorax. 2008;63 Suppl 6(October):vi1–i68. </w:t>
      </w:r>
    </w:p>
    <w:p w14:paraId="6F35EEFA"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22. </w:t>
      </w:r>
      <w:r w:rsidRPr="00610094">
        <w:rPr>
          <w:rFonts w:ascii="Calibri" w:hAnsi="Calibri"/>
          <w:noProof/>
          <w:sz w:val="22"/>
          <w:lang w:val="en-US"/>
        </w:rPr>
        <w:tab/>
        <w:t>WHO. Clinical management of human infection with pandemic (H1N1) 2009: revised guidance [Internet]. [cited 2016 Jul 21]. Available from: http://www.who.int/csr/resources/publications/swineflu/clinical_management/en/</w:t>
      </w:r>
    </w:p>
    <w:p w14:paraId="031DD101"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lang w:val="en-US"/>
        </w:rPr>
      </w:pPr>
      <w:r w:rsidRPr="00610094">
        <w:rPr>
          <w:rFonts w:ascii="Calibri" w:hAnsi="Calibri"/>
          <w:noProof/>
          <w:sz w:val="22"/>
          <w:lang w:val="en-US"/>
        </w:rPr>
        <w:t xml:space="preserve">23. </w:t>
      </w:r>
      <w:r w:rsidRPr="00610094">
        <w:rPr>
          <w:rFonts w:ascii="Calibri" w:hAnsi="Calibri"/>
          <w:noProof/>
          <w:sz w:val="22"/>
          <w:lang w:val="en-US"/>
        </w:rPr>
        <w:tab/>
        <w:t xml:space="preserve">Cooke J, Butler C, Hopstaken R, Dryden MS, McNulty C, Hurding S, et al. Narrative review of primary care point-of-care testing (POCT) and antibacterial use in respiratory tract infection (RTI). BMJ open Respir Res. 2015;2(1):e000086. </w:t>
      </w:r>
    </w:p>
    <w:p w14:paraId="29E7C14C" w14:textId="77777777" w:rsidR="00610094" w:rsidRPr="00610094" w:rsidRDefault="00610094" w:rsidP="00610094">
      <w:pPr>
        <w:widowControl w:val="0"/>
        <w:autoSpaceDE w:val="0"/>
        <w:autoSpaceDN w:val="0"/>
        <w:adjustRightInd w:val="0"/>
        <w:spacing w:line="480" w:lineRule="auto"/>
        <w:ind w:left="640" w:hanging="640"/>
        <w:rPr>
          <w:rFonts w:ascii="Calibri" w:hAnsi="Calibri"/>
          <w:noProof/>
          <w:sz w:val="22"/>
        </w:rPr>
      </w:pPr>
      <w:r w:rsidRPr="00610094">
        <w:rPr>
          <w:rFonts w:ascii="Calibri" w:hAnsi="Calibri"/>
          <w:noProof/>
          <w:sz w:val="22"/>
          <w:lang w:val="en-US"/>
        </w:rPr>
        <w:t xml:space="preserve">24. </w:t>
      </w:r>
      <w:r w:rsidRPr="00610094">
        <w:rPr>
          <w:rFonts w:ascii="Calibri" w:hAnsi="Calibri"/>
          <w:noProof/>
          <w:sz w:val="22"/>
          <w:lang w:val="en-US"/>
        </w:rPr>
        <w:tab/>
        <w:t xml:space="preserve">Domínguez-Cherit G, Lapinsky SE, Macias AE, Pinto R, Espinosa-Perez L, de la Torre A, et al. Critically Ill patients with 2009 influenza A(H1N1) in Mexico. JAMA. 2009 Nov 4;302(17):1880–7. </w:t>
      </w:r>
    </w:p>
    <w:p w14:paraId="1D5E0337" w14:textId="27D1651F" w:rsidR="002D6D73" w:rsidRPr="002D6D73" w:rsidRDefault="00FA5767" w:rsidP="00610094">
      <w:pPr>
        <w:widowControl w:val="0"/>
        <w:autoSpaceDE w:val="0"/>
        <w:autoSpaceDN w:val="0"/>
        <w:adjustRightInd w:val="0"/>
        <w:spacing w:line="480" w:lineRule="auto"/>
        <w:ind w:left="640" w:hanging="640"/>
        <w:rPr>
          <w:rFonts w:asciiTheme="majorHAnsi" w:hAnsiTheme="majorHAnsi"/>
          <w:b/>
          <w:sz w:val="22"/>
          <w:szCs w:val="22"/>
        </w:rPr>
      </w:pPr>
      <w:r>
        <w:rPr>
          <w:rFonts w:asciiTheme="majorHAnsi" w:hAnsiTheme="majorHAnsi"/>
          <w:b/>
          <w:sz w:val="22"/>
          <w:szCs w:val="22"/>
        </w:rPr>
        <w:fldChar w:fldCharType="end"/>
      </w:r>
    </w:p>
    <w:sectPr w:rsidR="002D6D73" w:rsidRPr="002D6D73" w:rsidSect="00466AD4">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C4B781" w15:done="0"/>
  <w15:commentEx w15:paraId="275032E0" w15:done="0"/>
  <w15:commentEx w15:paraId="788C114F" w15:done="0"/>
  <w15:commentEx w15:paraId="39EE3E7D" w15:done="0"/>
  <w15:commentEx w15:paraId="50043FBA" w15:done="0"/>
  <w15:commentEx w15:paraId="7AB3CF54" w15:done="0"/>
  <w15:commentEx w15:paraId="654C57B8" w15:done="0"/>
  <w15:commentEx w15:paraId="20C48046" w15:done="0"/>
  <w15:commentEx w15:paraId="200B5BED" w15:done="0"/>
  <w15:commentEx w15:paraId="713D49EC" w15:done="0"/>
  <w15:commentEx w15:paraId="21A26960" w15:done="0"/>
  <w15:commentEx w15:paraId="6B7A7CAC" w15:done="0"/>
  <w15:commentEx w15:paraId="1C431FDF" w15:done="0"/>
  <w15:commentEx w15:paraId="1FB145D2" w15:done="0"/>
  <w15:commentEx w15:paraId="1CBC6957" w15:done="0"/>
  <w15:commentEx w15:paraId="0920DDC2" w15:done="0"/>
  <w15:commentEx w15:paraId="17CBC471" w15:done="0"/>
  <w15:commentEx w15:paraId="10618F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00778"/>
    <w:multiLevelType w:val="hybridMultilevel"/>
    <w:tmpl w:val="D8328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A796C"/>
    <w:multiLevelType w:val="hybridMultilevel"/>
    <w:tmpl w:val="8910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Blakey">
    <w15:presenceInfo w15:providerId="None" w15:userId="John Blak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F3"/>
    <w:rsid w:val="000055C0"/>
    <w:rsid w:val="00005D24"/>
    <w:rsid w:val="00022B96"/>
    <w:rsid w:val="00037E87"/>
    <w:rsid w:val="000607E6"/>
    <w:rsid w:val="00061C76"/>
    <w:rsid w:val="0008533C"/>
    <w:rsid w:val="000C5245"/>
    <w:rsid w:val="000D4EEE"/>
    <w:rsid w:val="000E3B4B"/>
    <w:rsid w:val="000E5B44"/>
    <w:rsid w:val="0010210F"/>
    <w:rsid w:val="00107D96"/>
    <w:rsid w:val="0011626A"/>
    <w:rsid w:val="00116998"/>
    <w:rsid w:val="00124E2A"/>
    <w:rsid w:val="00151578"/>
    <w:rsid w:val="0015370B"/>
    <w:rsid w:val="00173BB4"/>
    <w:rsid w:val="00194328"/>
    <w:rsid w:val="001C6A42"/>
    <w:rsid w:val="001D35AC"/>
    <w:rsid w:val="001D4989"/>
    <w:rsid w:val="001E3809"/>
    <w:rsid w:val="0023126D"/>
    <w:rsid w:val="00255BE1"/>
    <w:rsid w:val="00257491"/>
    <w:rsid w:val="002604D8"/>
    <w:rsid w:val="00261B13"/>
    <w:rsid w:val="00264903"/>
    <w:rsid w:val="00291171"/>
    <w:rsid w:val="00296B8E"/>
    <w:rsid w:val="002B1E12"/>
    <w:rsid w:val="002B2EEF"/>
    <w:rsid w:val="002D6D73"/>
    <w:rsid w:val="002D6DC8"/>
    <w:rsid w:val="002D7192"/>
    <w:rsid w:val="002E390D"/>
    <w:rsid w:val="002E474E"/>
    <w:rsid w:val="002E5202"/>
    <w:rsid w:val="002E56D3"/>
    <w:rsid w:val="002F555E"/>
    <w:rsid w:val="002F5D4D"/>
    <w:rsid w:val="003113BF"/>
    <w:rsid w:val="0031411E"/>
    <w:rsid w:val="00322D74"/>
    <w:rsid w:val="003401D2"/>
    <w:rsid w:val="003626BF"/>
    <w:rsid w:val="00372AE5"/>
    <w:rsid w:val="00384A3E"/>
    <w:rsid w:val="0039280C"/>
    <w:rsid w:val="003936CB"/>
    <w:rsid w:val="003B7B92"/>
    <w:rsid w:val="003E3D9C"/>
    <w:rsid w:val="003F274A"/>
    <w:rsid w:val="003F6536"/>
    <w:rsid w:val="004168B9"/>
    <w:rsid w:val="00417AA2"/>
    <w:rsid w:val="00421905"/>
    <w:rsid w:val="00427ECC"/>
    <w:rsid w:val="00432EDC"/>
    <w:rsid w:val="00433470"/>
    <w:rsid w:val="004341C0"/>
    <w:rsid w:val="004401B5"/>
    <w:rsid w:val="00452FE7"/>
    <w:rsid w:val="0045772E"/>
    <w:rsid w:val="00463186"/>
    <w:rsid w:val="00466AD4"/>
    <w:rsid w:val="00474B82"/>
    <w:rsid w:val="0048580A"/>
    <w:rsid w:val="004869E3"/>
    <w:rsid w:val="004921F2"/>
    <w:rsid w:val="004960EA"/>
    <w:rsid w:val="004A0A92"/>
    <w:rsid w:val="004B4D35"/>
    <w:rsid w:val="004D0566"/>
    <w:rsid w:val="004D478A"/>
    <w:rsid w:val="00533E9B"/>
    <w:rsid w:val="005434AC"/>
    <w:rsid w:val="00557F3B"/>
    <w:rsid w:val="00574BB9"/>
    <w:rsid w:val="00582DA7"/>
    <w:rsid w:val="005974AB"/>
    <w:rsid w:val="005A0A9E"/>
    <w:rsid w:val="005D026A"/>
    <w:rsid w:val="005D10B4"/>
    <w:rsid w:val="005D5756"/>
    <w:rsid w:val="005F31C2"/>
    <w:rsid w:val="005F3838"/>
    <w:rsid w:val="00610094"/>
    <w:rsid w:val="00624539"/>
    <w:rsid w:val="00624D25"/>
    <w:rsid w:val="006335EE"/>
    <w:rsid w:val="006604B2"/>
    <w:rsid w:val="006837AA"/>
    <w:rsid w:val="00692161"/>
    <w:rsid w:val="006C44EB"/>
    <w:rsid w:val="006E16A6"/>
    <w:rsid w:val="006E4FBA"/>
    <w:rsid w:val="00704576"/>
    <w:rsid w:val="00710958"/>
    <w:rsid w:val="00743FB4"/>
    <w:rsid w:val="0074542E"/>
    <w:rsid w:val="00751022"/>
    <w:rsid w:val="007607FD"/>
    <w:rsid w:val="0076439D"/>
    <w:rsid w:val="007670A1"/>
    <w:rsid w:val="0078573D"/>
    <w:rsid w:val="00785A58"/>
    <w:rsid w:val="007A6C90"/>
    <w:rsid w:val="007C43F2"/>
    <w:rsid w:val="00803061"/>
    <w:rsid w:val="00805AF8"/>
    <w:rsid w:val="00810B39"/>
    <w:rsid w:val="008317E7"/>
    <w:rsid w:val="00831E44"/>
    <w:rsid w:val="00841783"/>
    <w:rsid w:val="00882105"/>
    <w:rsid w:val="008A67C6"/>
    <w:rsid w:val="008C4693"/>
    <w:rsid w:val="008F2BE9"/>
    <w:rsid w:val="009030FB"/>
    <w:rsid w:val="0091485B"/>
    <w:rsid w:val="0091490D"/>
    <w:rsid w:val="00930301"/>
    <w:rsid w:val="009322C0"/>
    <w:rsid w:val="0098113D"/>
    <w:rsid w:val="00982FC3"/>
    <w:rsid w:val="009A0B56"/>
    <w:rsid w:val="009B2AB2"/>
    <w:rsid w:val="009B4EFA"/>
    <w:rsid w:val="009C14E8"/>
    <w:rsid w:val="009C3BB0"/>
    <w:rsid w:val="009C7A16"/>
    <w:rsid w:val="009E0136"/>
    <w:rsid w:val="009E1474"/>
    <w:rsid w:val="00A23AC0"/>
    <w:rsid w:val="00A33763"/>
    <w:rsid w:val="00A338FB"/>
    <w:rsid w:val="00A54317"/>
    <w:rsid w:val="00A575A2"/>
    <w:rsid w:val="00A72526"/>
    <w:rsid w:val="00A76E4F"/>
    <w:rsid w:val="00A93480"/>
    <w:rsid w:val="00A93AF0"/>
    <w:rsid w:val="00AA52E0"/>
    <w:rsid w:val="00AD60BD"/>
    <w:rsid w:val="00B0721F"/>
    <w:rsid w:val="00B36708"/>
    <w:rsid w:val="00B96E16"/>
    <w:rsid w:val="00BA1938"/>
    <w:rsid w:val="00BA4AC5"/>
    <w:rsid w:val="00C206ED"/>
    <w:rsid w:val="00C540F3"/>
    <w:rsid w:val="00C63622"/>
    <w:rsid w:val="00C70EF7"/>
    <w:rsid w:val="00C8054F"/>
    <w:rsid w:val="00C84777"/>
    <w:rsid w:val="00CB6B3C"/>
    <w:rsid w:val="00CC6AA4"/>
    <w:rsid w:val="00CD3458"/>
    <w:rsid w:val="00CE1AF3"/>
    <w:rsid w:val="00CE2726"/>
    <w:rsid w:val="00CE414F"/>
    <w:rsid w:val="00CF2853"/>
    <w:rsid w:val="00CF7650"/>
    <w:rsid w:val="00D21CD4"/>
    <w:rsid w:val="00D22E4A"/>
    <w:rsid w:val="00D42675"/>
    <w:rsid w:val="00D449C9"/>
    <w:rsid w:val="00D65D78"/>
    <w:rsid w:val="00D704E0"/>
    <w:rsid w:val="00D8005E"/>
    <w:rsid w:val="00D80997"/>
    <w:rsid w:val="00D8542A"/>
    <w:rsid w:val="00D86A12"/>
    <w:rsid w:val="00DC6B84"/>
    <w:rsid w:val="00DD61B3"/>
    <w:rsid w:val="00DE3153"/>
    <w:rsid w:val="00DF5604"/>
    <w:rsid w:val="00E016F3"/>
    <w:rsid w:val="00E43626"/>
    <w:rsid w:val="00E44947"/>
    <w:rsid w:val="00E83D50"/>
    <w:rsid w:val="00E92BFF"/>
    <w:rsid w:val="00E940DC"/>
    <w:rsid w:val="00EB3163"/>
    <w:rsid w:val="00EC09E7"/>
    <w:rsid w:val="00EC54DE"/>
    <w:rsid w:val="00ED4277"/>
    <w:rsid w:val="00ED6482"/>
    <w:rsid w:val="00ED77FC"/>
    <w:rsid w:val="00F013FA"/>
    <w:rsid w:val="00F10D94"/>
    <w:rsid w:val="00F253EC"/>
    <w:rsid w:val="00F34836"/>
    <w:rsid w:val="00F4400E"/>
    <w:rsid w:val="00F60711"/>
    <w:rsid w:val="00F60793"/>
    <w:rsid w:val="00F64590"/>
    <w:rsid w:val="00F74ED2"/>
    <w:rsid w:val="00F778D1"/>
    <w:rsid w:val="00F80354"/>
    <w:rsid w:val="00F861D9"/>
    <w:rsid w:val="00F90F37"/>
    <w:rsid w:val="00F93A68"/>
    <w:rsid w:val="00FA5767"/>
    <w:rsid w:val="00FC0FF4"/>
    <w:rsid w:val="00FD0436"/>
    <w:rsid w:val="00FD56DD"/>
    <w:rsid w:val="00FE0ADB"/>
    <w:rsid w:val="00FF570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99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016F3"/>
    <w:rPr>
      <w:rFonts w:eastAsiaTheme="minorHAnsi"/>
      <w:sz w:val="22"/>
      <w:szCs w:val="22"/>
      <w:lang w:val="en-GB"/>
    </w:rPr>
  </w:style>
  <w:style w:type="character" w:customStyle="1" w:styleId="NoSpacingChar">
    <w:name w:val="No Spacing Char"/>
    <w:basedOn w:val="DefaultParagraphFont"/>
    <w:link w:val="NoSpacing"/>
    <w:uiPriority w:val="1"/>
    <w:rsid w:val="00E016F3"/>
    <w:rPr>
      <w:rFonts w:eastAsiaTheme="minorHAnsi"/>
      <w:sz w:val="22"/>
      <w:szCs w:val="22"/>
      <w:lang w:val="en-GB"/>
    </w:rPr>
  </w:style>
  <w:style w:type="table" w:styleId="MediumList1">
    <w:name w:val="Medium List 1"/>
    <w:basedOn w:val="TableNormal"/>
    <w:uiPriority w:val="65"/>
    <w:rsid w:val="00AA52E0"/>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2B1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E12"/>
    <w:rPr>
      <w:rFonts w:ascii="Lucida Grande" w:hAnsi="Lucida Grande" w:cs="Lucida Grande"/>
      <w:sz w:val="18"/>
      <w:szCs w:val="18"/>
      <w:lang w:val="en-GB"/>
    </w:rPr>
  </w:style>
  <w:style w:type="table" w:styleId="TableGrid">
    <w:name w:val="Table Grid"/>
    <w:basedOn w:val="TableNormal"/>
    <w:uiPriority w:val="59"/>
    <w:rsid w:val="002B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83D5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9B4EFA"/>
    <w:rPr>
      <w:sz w:val="18"/>
      <w:szCs w:val="18"/>
    </w:rPr>
  </w:style>
  <w:style w:type="paragraph" w:styleId="CommentText">
    <w:name w:val="annotation text"/>
    <w:basedOn w:val="Normal"/>
    <w:link w:val="CommentTextChar"/>
    <w:uiPriority w:val="99"/>
    <w:semiHidden/>
    <w:unhideWhenUsed/>
    <w:rsid w:val="009B4EFA"/>
  </w:style>
  <w:style w:type="character" w:customStyle="1" w:styleId="CommentTextChar">
    <w:name w:val="Comment Text Char"/>
    <w:basedOn w:val="DefaultParagraphFont"/>
    <w:link w:val="CommentText"/>
    <w:uiPriority w:val="99"/>
    <w:semiHidden/>
    <w:rsid w:val="009B4EFA"/>
    <w:rPr>
      <w:lang w:val="en-GB"/>
    </w:rPr>
  </w:style>
  <w:style w:type="paragraph" w:styleId="CommentSubject">
    <w:name w:val="annotation subject"/>
    <w:basedOn w:val="CommentText"/>
    <w:next w:val="CommentText"/>
    <w:link w:val="CommentSubjectChar"/>
    <w:uiPriority w:val="99"/>
    <w:semiHidden/>
    <w:unhideWhenUsed/>
    <w:rsid w:val="009B4EFA"/>
    <w:rPr>
      <w:b/>
      <w:bCs/>
      <w:sz w:val="20"/>
      <w:szCs w:val="20"/>
    </w:rPr>
  </w:style>
  <w:style w:type="character" w:customStyle="1" w:styleId="CommentSubjectChar">
    <w:name w:val="Comment Subject Char"/>
    <w:basedOn w:val="CommentTextChar"/>
    <w:link w:val="CommentSubject"/>
    <w:uiPriority w:val="99"/>
    <w:semiHidden/>
    <w:rsid w:val="009B4EFA"/>
    <w:rPr>
      <w:b/>
      <w:bCs/>
      <w:sz w:val="20"/>
      <w:szCs w:val="20"/>
      <w:lang w:val="en-GB"/>
    </w:rPr>
  </w:style>
  <w:style w:type="paragraph" w:styleId="ListParagraph">
    <w:name w:val="List Paragraph"/>
    <w:basedOn w:val="Normal"/>
    <w:uiPriority w:val="34"/>
    <w:qFormat/>
    <w:rsid w:val="00DD61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016F3"/>
    <w:rPr>
      <w:rFonts w:eastAsiaTheme="minorHAnsi"/>
      <w:sz w:val="22"/>
      <w:szCs w:val="22"/>
      <w:lang w:val="en-GB"/>
    </w:rPr>
  </w:style>
  <w:style w:type="character" w:customStyle="1" w:styleId="NoSpacingChar">
    <w:name w:val="No Spacing Char"/>
    <w:basedOn w:val="DefaultParagraphFont"/>
    <w:link w:val="NoSpacing"/>
    <w:uiPriority w:val="1"/>
    <w:rsid w:val="00E016F3"/>
    <w:rPr>
      <w:rFonts w:eastAsiaTheme="minorHAnsi"/>
      <w:sz w:val="22"/>
      <w:szCs w:val="22"/>
      <w:lang w:val="en-GB"/>
    </w:rPr>
  </w:style>
  <w:style w:type="table" w:styleId="MediumList1">
    <w:name w:val="Medium List 1"/>
    <w:basedOn w:val="TableNormal"/>
    <w:uiPriority w:val="65"/>
    <w:rsid w:val="00AA52E0"/>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2B1E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1E12"/>
    <w:rPr>
      <w:rFonts w:ascii="Lucida Grande" w:hAnsi="Lucida Grande" w:cs="Lucida Grande"/>
      <w:sz w:val="18"/>
      <w:szCs w:val="18"/>
      <w:lang w:val="en-GB"/>
    </w:rPr>
  </w:style>
  <w:style w:type="table" w:styleId="TableGrid">
    <w:name w:val="Table Grid"/>
    <w:basedOn w:val="TableNormal"/>
    <w:uiPriority w:val="59"/>
    <w:rsid w:val="002B1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83D5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9B4EFA"/>
    <w:rPr>
      <w:sz w:val="18"/>
      <w:szCs w:val="18"/>
    </w:rPr>
  </w:style>
  <w:style w:type="paragraph" w:styleId="CommentText">
    <w:name w:val="annotation text"/>
    <w:basedOn w:val="Normal"/>
    <w:link w:val="CommentTextChar"/>
    <w:uiPriority w:val="99"/>
    <w:semiHidden/>
    <w:unhideWhenUsed/>
    <w:rsid w:val="009B4EFA"/>
  </w:style>
  <w:style w:type="character" w:customStyle="1" w:styleId="CommentTextChar">
    <w:name w:val="Comment Text Char"/>
    <w:basedOn w:val="DefaultParagraphFont"/>
    <w:link w:val="CommentText"/>
    <w:uiPriority w:val="99"/>
    <w:semiHidden/>
    <w:rsid w:val="009B4EFA"/>
    <w:rPr>
      <w:lang w:val="en-GB"/>
    </w:rPr>
  </w:style>
  <w:style w:type="paragraph" w:styleId="CommentSubject">
    <w:name w:val="annotation subject"/>
    <w:basedOn w:val="CommentText"/>
    <w:next w:val="CommentText"/>
    <w:link w:val="CommentSubjectChar"/>
    <w:uiPriority w:val="99"/>
    <w:semiHidden/>
    <w:unhideWhenUsed/>
    <w:rsid w:val="009B4EFA"/>
    <w:rPr>
      <w:b/>
      <w:bCs/>
      <w:sz w:val="20"/>
      <w:szCs w:val="20"/>
    </w:rPr>
  </w:style>
  <w:style w:type="character" w:customStyle="1" w:styleId="CommentSubjectChar">
    <w:name w:val="Comment Subject Char"/>
    <w:basedOn w:val="CommentTextChar"/>
    <w:link w:val="CommentSubject"/>
    <w:uiPriority w:val="99"/>
    <w:semiHidden/>
    <w:rsid w:val="009B4EFA"/>
    <w:rPr>
      <w:b/>
      <w:bCs/>
      <w:sz w:val="20"/>
      <w:szCs w:val="20"/>
      <w:lang w:val="en-GB"/>
    </w:rPr>
  </w:style>
  <w:style w:type="paragraph" w:styleId="ListParagraph">
    <w:name w:val="List Paragraph"/>
    <w:basedOn w:val="Normal"/>
    <w:uiPriority w:val="34"/>
    <w:qFormat/>
    <w:rsid w:val="00DD6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58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27327</Words>
  <Characters>155767</Characters>
  <Application>Microsoft Macintosh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Morton</dc:creator>
  <cp:lastModifiedBy>Ben Morton</cp:lastModifiedBy>
  <cp:revision>3</cp:revision>
  <dcterms:created xsi:type="dcterms:W3CDTF">2016-08-16T09:41:00Z</dcterms:created>
  <dcterms:modified xsi:type="dcterms:W3CDTF">2016-08-16T10:01:00Z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benjmorton@doctors.org.uk@www.mendeley.com</vt:lpwstr>
  </property>
  <property fmtid="{D5CDD505-2E9C-101B-9397-08002B2CF9AE}" pid="4" name="Mendeley Citation Style_1">
    <vt:lpwstr>http://www.zotero.org/styles/qjm</vt:lpwstr>
  </property>
  <property fmtid="{D5CDD505-2E9C-101B-9397-08002B2CF9AE}" pid="5" name="Mendeley Recent Style Id 0_1">
    <vt:lpwstr>http://www.zotero.org/styles/american-journal-of-respiratory-and-critical-care-medicine</vt:lpwstr>
  </property>
  <property fmtid="{D5CDD505-2E9C-101B-9397-08002B2CF9AE}" pid="6" name="Mendeley Recent Style Name 0_1">
    <vt:lpwstr>American Journal of Respiratory and Critical Care Medicine</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http://www.zotero.org/styles/british-journal-of-anaesthesia</vt:lpwstr>
  </property>
  <property fmtid="{D5CDD505-2E9C-101B-9397-08002B2CF9AE}" pid="12" name="Mendeley Recent Style Name 3_1">
    <vt:lpwstr>British Journal of Anaesthesia</vt:lpwstr>
  </property>
  <property fmtid="{D5CDD505-2E9C-101B-9397-08002B2CF9AE}" pid="13" name="Mendeley Recent Style Id 4_1">
    <vt:lpwstr>http://www.zotero.org/styles/clinical-infectious-diseases</vt:lpwstr>
  </property>
  <property fmtid="{D5CDD505-2E9C-101B-9397-08002B2CF9AE}" pid="14" name="Mendeley Recent Style Name 4_1">
    <vt:lpwstr>Clinical Infectious Diseases</vt:lpwstr>
  </property>
  <property fmtid="{D5CDD505-2E9C-101B-9397-08002B2CF9AE}" pid="15" name="Mendeley Recent Style Id 5_1">
    <vt:lpwstr>http://www.zotero.org/styles/intensive-care-medicine</vt:lpwstr>
  </property>
  <property fmtid="{D5CDD505-2E9C-101B-9397-08002B2CF9AE}" pid="16" name="Mendeley Recent Style Name 5_1">
    <vt:lpwstr>Intensive Care Medicine</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http://www.zotero.org/styles/plos-medicine</vt:lpwstr>
  </property>
  <property fmtid="{D5CDD505-2E9C-101B-9397-08002B2CF9AE}" pid="20" name="Mendeley Recent Style Name 7_1">
    <vt:lpwstr>PLOS Medicine</vt:lpwstr>
  </property>
  <property fmtid="{D5CDD505-2E9C-101B-9397-08002B2CF9AE}" pid="21" name="Mendeley Recent Style Id 8_1">
    <vt:lpwstr>http://www.zotero.org/styles/plos-pathogens</vt:lpwstr>
  </property>
  <property fmtid="{D5CDD505-2E9C-101B-9397-08002B2CF9AE}" pid="22" name="Mendeley Recent Style Name 8_1">
    <vt:lpwstr>PLOS Pathogens</vt:lpwstr>
  </property>
  <property fmtid="{D5CDD505-2E9C-101B-9397-08002B2CF9AE}" pid="23" name="Mendeley Recent Style Id 9_1">
    <vt:lpwstr>http://www.zotero.org/styles/qjm</vt:lpwstr>
  </property>
  <property fmtid="{D5CDD505-2E9C-101B-9397-08002B2CF9AE}" pid="24" name="Mendeley Recent Style Name 9_1">
    <vt:lpwstr>QJM: An International Journal of Medicine</vt:lpwstr>
  </property>
</Properties>
</file>