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EC9F6" w14:textId="77777777" w:rsidR="00FC12AB" w:rsidRDefault="002B34D1" w:rsidP="00367E23">
      <w:pPr>
        <w:spacing w:line="480" w:lineRule="auto"/>
      </w:pPr>
      <w:r>
        <w:t>Figure 1</w:t>
      </w:r>
      <w:r w:rsidR="00FC12AB">
        <w:t>: Vital signs measurement during the period of transfusion</w:t>
      </w:r>
    </w:p>
    <w:p w14:paraId="30B6D010" w14:textId="77777777" w:rsidR="00FC12AB" w:rsidRDefault="00FC12AB" w:rsidP="00367E23">
      <w:pPr>
        <w:spacing w:line="480" w:lineRule="auto"/>
      </w:pPr>
      <w:r w:rsidRPr="00FC12AB">
        <w:rPr>
          <w:noProof/>
        </w:rPr>
        <w:drawing>
          <wp:inline distT="0" distB="0" distL="0" distR="0" wp14:anchorId="19B01084" wp14:editId="12765685">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058CCA7" w14:textId="7D17723C" w:rsidR="00FC12AB" w:rsidRDefault="00783318" w:rsidP="00367E23">
      <w:pPr>
        <w:spacing w:line="480" w:lineRule="auto"/>
      </w:pPr>
      <w:r>
        <w:t>Definitions used for the study</w:t>
      </w:r>
      <w:r w:rsidR="00AF3161">
        <w:t xml:space="preserve"> was dependent on the age of the patient and the acceptable range/limit for each of the vital signs. In general the following applied:</w:t>
      </w:r>
    </w:p>
    <w:p w14:paraId="5AC0A127" w14:textId="6AE3F7F6" w:rsidR="00783318" w:rsidRDefault="00783318" w:rsidP="00367E23">
      <w:pPr>
        <w:spacing w:line="480" w:lineRule="auto"/>
      </w:pPr>
      <w:r>
        <w:t>Fever – Temperature greater than 37.5 C</w:t>
      </w:r>
    </w:p>
    <w:p w14:paraId="46AC8E74" w14:textId="79BE716B" w:rsidR="00783318" w:rsidRDefault="00D6318E" w:rsidP="00367E23">
      <w:pPr>
        <w:spacing w:line="480" w:lineRule="auto"/>
      </w:pPr>
      <w:r>
        <w:t>Tachycardia</w:t>
      </w:r>
      <w:r w:rsidR="00AF3161">
        <w:t xml:space="preserve"> – A pulse rate greater than 10</w:t>
      </w:r>
      <w:r w:rsidR="00783318">
        <w:t>0 beats per minute</w:t>
      </w:r>
    </w:p>
    <w:p w14:paraId="028D39A8" w14:textId="319A5AF2" w:rsidR="00783318" w:rsidRDefault="00783318" w:rsidP="00367E23">
      <w:pPr>
        <w:spacing w:line="480" w:lineRule="auto"/>
      </w:pPr>
      <w:proofErr w:type="spellStart"/>
      <w:r>
        <w:t>Bradycardia</w:t>
      </w:r>
      <w:proofErr w:type="spellEnd"/>
      <w:r>
        <w:t xml:space="preserve"> – A pulse rate less than 60 beats per minute</w:t>
      </w:r>
    </w:p>
    <w:p w14:paraId="52E0B18F" w14:textId="59C2E204" w:rsidR="00783318" w:rsidRDefault="00783318" w:rsidP="00367E23">
      <w:pPr>
        <w:spacing w:line="480" w:lineRule="auto"/>
      </w:pPr>
      <w:r>
        <w:t>Hypotension – A blood pressure less than 90/60 mmHg</w:t>
      </w:r>
    </w:p>
    <w:p w14:paraId="24659323" w14:textId="0EF774B7" w:rsidR="00783318" w:rsidRDefault="00783318" w:rsidP="00367E23">
      <w:pPr>
        <w:spacing w:line="480" w:lineRule="auto"/>
      </w:pPr>
      <w:r>
        <w:t>Hypertension – A blood pressure greater than 140/90 mmHg</w:t>
      </w:r>
    </w:p>
    <w:p w14:paraId="49FE03C7" w14:textId="157489D4" w:rsidR="00D6318E" w:rsidRDefault="00D6318E" w:rsidP="00367E23">
      <w:pPr>
        <w:spacing w:line="480" w:lineRule="auto"/>
      </w:pPr>
      <w:r>
        <w:t>Tachypnea</w:t>
      </w:r>
      <w:r w:rsidR="000440EB">
        <w:t xml:space="preserve"> – A respiratory rate of more than 20</w:t>
      </w:r>
      <w:r w:rsidR="00AF3161">
        <w:t xml:space="preserve"> – 40 cycles per minute.</w:t>
      </w:r>
      <w:r w:rsidR="000440EB">
        <w:t xml:space="preserve"> </w:t>
      </w:r>
    </w:p>
    <w:p w14:paraId="7A51DD0E" w14:textId="77777777" w:rsidR="00783318" w:rsidRDefault="00783318" w:rsidP="00367E23">
      <w:pPr>
        <w:spacing w:line="480" w:lineRule="auto"/>
      </w:pPr>
    </w:p>
    <w:p w14:paraId="6FCF5517" w14:textId="77777777" w:rsidR="00257960" w:rsidRDefault="00257960" w:rsidP="00367E23">
      <w:pPr>
        <w:spacing w:line="480" w:lineRule="auto"/>
      </w:pPr>
    </w:p>
    <w:p w14:paraId="76FFB8BD" w14:textId="77777777" w:rsidR="00257960" w:rsidRDefault="00257960" w:rsidP="00257960">
      <w:r>
        <w:lastRenderedPageBreak/>
        <w:t>Table 1: A summary of definitions adopted and used from the SHOT classification of adverse events of transfusion.</w:t>
      </w:r>
    </w:p>
    <w:p w14:paraId="4B5F20BF" w14:textId="77777777" w:rsidR="00257960" w:rsidRDefault="00257960" w:rsidP="00257960"/>
    <w:tbl>
      <w:tblPr>
        <w:tblW w:w="84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201"/>
      </w:tblGrid>
      <w:tr w:rsidR="00257960" w:rsidRPr="0054345D" w14:paraId="1B6E6E8C" w14:textId="77777777" w:rsidTr="009767AD">
        <w:trPr>
          <w:trHeight w:val="403"/>
        </w:trPr>
        <w:tc>
          <w:tcPr>
            <w:tcW w:w="2235" w:type="dxa"/>
          </w:tcPr>
          <w:p w14:paraId="1B78236B" w14:textId="77777777" w:rsidR="00257960" w:rsidRPr="0054345D" w:rsidRDefault="00257960" w:rsidP="009767AD">
            <w:pPr>
              <w:tabs>
                <w:tab w:val="center" w:pos="4320"/>
                <w:tab w:val="right" w:pos="8640"/>
              </w:tabs>
              <w:jc w:val="center"/>
              <w:rPr>
                <w:rFonts w:ascii="Times New Roman" w:hAnsi="Times New Roman"/>
                <w:b/>
                <w:bCs/>
              </w:rPr>
            </w:pPr>
            <w:r w:rsidRPr="0054345D">
              <w:rPr>
                <w:rFonts w:ascii="Times New Roman" w:hAnsi="Times New Roman"/>
                <w:b/>
                <w:bCs/>
              </w:rPr>
              <w:t>CATEGORY</w:t>
            </w:r>
          </w:p>
        </w:tc>
        <w:tc>
          <w:tcPr>
            <w:tcW w:w="6201" w:type="dxa"/>
          </w:tcPr>
          <w:p w14:paraId="6AF38627" w14:textId="77777777" w:rsidR="00257960" w:rsidRPr="0054345D" w:rsidRDefault="00257960" w:rsidP="009767AD">
            <w:pPr>
              <w:tabs>
                <w:tab w:val="center" w:pos="4320"/>
                <w:tab w:val="right" w:pos="8640"/>
              </w:tabs>
              <w:jc w:val="center"/>
              <w:rPr>
                <w:rFonts w:ascii="Times New Roman" w:hAnsi="Times New Roman"/>
                <w:b/>
                <w:bCs/>
              </w:rPr>
            </w:pPr>
            <w:r w:rsidRPr="0054345D">
              <w:rPr>
                <w:rFonts w:ascii="Times New Roman" w:hAnsi="Times New Roman"/>
                <w:b/>
                <w:bCs/>
              </w:rPr>
              <w:t>DEFINITION*</w:t>
            </w:r>
          </w:p>
        </w:tc>
      </w:tr>
      <w:tr w:rsidR="00257960" w:rsidRPr="0054345D" w14:paraId="29FFD153" w14:textId="77777777" w:rsidTr="009767AD">
        <w:tc>
          <w:tcPr>
            <w:tcW w:w="2235" w:type="dxa"/>
          </w:tcPr>
          <w:p w14:paraId="7693A562" w14:textId="77777777" w:rsidR="00257960" w:rsidRPr="0054345D" w:rsidRDefault="00257960" w:rsidP="009767AD">
            <w:pPr>
              <w:tabs>
                <w:tab w:val="center" w:pos="4320"/>
                <w:tab w:val="right" w:pos="8640"/>
              </w:tabs>
              <w:autoSpaceDE w:val="0"/>
              <w:autoSpaceDN w:val="0"/>
              <w:adjustRightInd w:val="0"/>
              <w:rPr>
                <w:rFonts w:ascii="Times New Roman" w:hAnsi="Times New Roman"/>
                <w:b/>
                <w:bCs/>
                <w:color w:val="000000"/>
              </w:rPr>
            </w:pPr>
            <w:r w:rsidRPr="0054345D">
              <w:rPr>
                <w:rFonts w:ascii="Times New Roman" w:hAnsi="Times New Roman"/>
                <w:b/>
                <w:bCs/>
                <w:color w:val="000000"/>
              </w:rPr>
              <w:t>Acute transfusion reaction (ATR)</w:t>
            </w:r>
          </w:p>
          <w:p w14:paraId="193C871B" w14:textId="77777777" w:rsidR="00257960" w:rsidRPr="0054345D" w:rsidRDefault="00257960" w:rsidP="009767AD">
            <w:pPr>
              <w:tabs>
                <w:tab w:val="center" w:pos="4320"/>
                <w:tab w:val="right" w:pos="8640"/>
              </w:tabs>
              <w:rPr>
                <w:rFonts w:ascii="Times New Roman" w:hAnsi="Times New Roman"/>
              </w:rPr>
            </w:pPr>
          </w:p>
        </w:tc>
        <w:tc>
          <w:tcPr>
            <w:tcW w:w="6201" w:type="dxa"/>
          </w:tcPr>
          <w:p w14:paraId="4217DCDE"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color w:val="000000"/>
              </w:rPr>
              <w:t xml:space="preserve">Reactions occurring at any time up to 24 hours following a transfusion of blood or components, </w:t>
            </w:r>
            <w:r w:rsidRPr="0054345D">
              <w:rPr>
                <w:rFonts w:ascii="Times New Roman" w:hAnsi="Times New Roman"/>
                <w:b/>
                <w:bCs/>
                <w:i/>
                <w:iCs/>
                <w:color w:val="000000"/>
              </w:rPr>
              <w:t xml:space="preserve">excluding </w:t>
            </w:r>
            <w:r w:rsidRPr="0054345D">
              <w:rPr>
                <w:rFonts w:ascii="Times New Roman" w:hAnsi="Times New Roman"/>
                <w:color w:val="000000"/>
              </w:rPr>
              <w:t xml:space="preserve">cases of acute reactions due to incorrect component being transfused, </w:t>
            </w:r>
            <w:proofErr w:type="spellStart"/>
            <w:r w:rsidRPr="0054345D">
              <w:rPr>
                <w:rFonts w:ascii="Times New Roman" w:hAnsi="Times New Roman"/>
                <w:color w:val="000000"/>
              </w:rPr>
              <w:t>haemolytic</w:t>
            </w:r>
            <w:proofErr w:type="spellEnd"/>
            <w:r w:rsidRPr="0054345D">
              <w:rPr>
                <w:rFonts w:ascii="Times New Roman" w:hAnsi="Times New Roman"/>
                <w:color w:val="000000"/>
              </w:rPr>
              <w:t xml:space="preserve"> reactions, transfusion-related acute lung injury (TRALI), transfusion-related circulatory overload (TACO) or those due to bacterial contamination of the component. Examples of ATR are:</w:t>
            </w:r>
          </w:p>
          <w:p w14:paraId="2881041F" w14:textId="77777777" w:rsidR="00257960" w:rsidRPr="0054345D" w:rsidRDefault="00257960" w:rsidP="009767AD">
            <w:pPr>
              <w:tabs>
                <w:tab w:val="center" w:pos="4320"/>
                <w:tab w:val="right" w:pos="8640"/>
              </w:tabs>
              <w:autoSpaceDE w:val="0"/>
              <w:autoSpaceDN w:val="0"/>
              <w:adjustRightInd w:val="0"/>
              <w:rPr>
                <w:rFonts w:ascii="Times New Roman" w:hAnsi="Times New Roman"/>
                <w:i/>
                <w:iCs/>
                <w:color w:val="000000"/>
              </w:rPr>
            </w:pPr>
            <w:r w:rsidRPr="0054345D">
              <w:rPr>
                <w:rFonts w:ascii="Times New Roman" w:hAnsi="Times New Roman"/>
                <w:b/>
                <w:bCs/>
                <w:color w:val="000000"/>
              </w:rPr>
              <w:t xml:space="preserve">Isolated febrile </w:t>
            </w:r>
            <w:r w:rsidRPr="0054345D">
              <w:rPr>
                <w:rFonts w:ascii="Times New Roman" w:hAnsi="Times New Roman"/>
                <w:color w:val="000000"/>
              </w:rPr>
              <w:t xml:space="preserve">– a rise in temperature of &gt; 1oC +/- minor rigors and chills. </w:t>
            </w:r>
          </w:p>
          <w:p w14:paraId="7887DA12" w14:textId="77777777" w:rsidR="00257960" w:rsidRPr="0054345D" w:rsidRDefault="00257960" w:rsidP="009767AD">
            <w:pPr>
              <w:tabs>
                <w:tab w:val="center" w:pos="4320"/>
                <w:tab w:val="right" w:pos="8640"/>
              </w:tabs>
              <w:autoSpaceDE w:val="0"/>
              <w:autoSpaceDN w:val="0"/>
              <w:adjustRightInd w:val="0"/>
              <w:rPr>
                <w:rFonts w:ascii="Times New Roman" w:hAnsi="Times New Roman"/>
                <w:i/>
                <w:iCs/>
                <w:color w:val="000000"/>
              </w:rPr>
            </w:pPr>
            <w:r w:rsidRPr="0054345D">
              <w:rPr>
                <w:rFonts w:ascii="Times New Roman" w:hAnsi="Times New Roman"/>
                <w:b/>
                <w:bCs/>
                <w:color w:val="000000"/>
              </w:rPr>
              <w:t xml:space="preserve">Minor allergic </w:t>
            </w:r>
            <w:r w:rsidRPr="0054345D">
              <w:rPr>
                <w:rFonts w:ascii="Times New Roman" w:hAnsi="Times New Roman"/>
                <w:color w:val="000000"/>
              </w:rPr>
              <w:t>– skin +/- rash</w:t>
            </w:r>
          </w:p>
          <w:p w14:paraId="0EC5E951"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b/>
                <w:bCs/>
                <w:color w:val="000000"/>
              </w:rPr>
              <w:t xml:space="preserve">Anaphylactic </w:t>
            </w:r>
            <w:r w:rsidRPr="0054345D">
              <w:rPr>
                <w:rFonts w:ascii="Times New Roman" w:hAnsi="Times New Roman"/>
                <w:color w:val="000000"/>
              </w:rPr>
              <w:t xml:space="preserve">– hypotension with one or more of: </w:t>
            </w:r>
            <w:proofErr w:type="spellStart"/>
            <w:r w:rsidRPr="0054345D">
              <w:rPr>
                <w:rFonts w:ascii="Times New Roman" w:hAnsi="Times New Roman"/>
                <w:color w:val="000000"/>
              </w:rPr>
              <w:t>urticaria</w:t>
            </w:r>
            <w:proofErr w:type="spellEnd"/>
            <w:r w:rsidRPr="0054345D">
              <w:rPr>
                <w:rFonts w:ascii="Times New Roman" w:hAnsi="Times New Roman"/>
                <w:color w:val="000000"/>
              </w:rPr>
              <w:t xml:space="preserve">, rash, </w:t>
            </w:r>
            <w:proofErr w:type="spellStart"/>
            <w:r w:rsidRPr="0054345D">
              <w:rPr>
                <w:rFonts w:ascii="Times New Roman" w:hAnsi="Times New Roman"/>
                <w:color w:val="000000"/>
              </w:rPr>
              <w:t>dyspnoea</w:t>
            </w:r>
            <w:proofErr w:type="spellEnd"/>
            <w:r w:rsidRPr="0054345D">
              <w:rPr>
                <w:rFonts w:ascii="Times New Roman" w:hAnsi="Times New Roman"/>
                <w:color w:val="000000"/>
              </w:rPr>
              <w:t xml:space="preserve">, angioedema, stridor, wheeze, </w:t>
            </w:r>
            <w:proofErr w:type="gramStart"/>
            <w:r w:rsidRPr="0054345D">
              <w:rPr>
                <w:rFonts w:ascii="Times New Roman" w:hAnsi="Times New Roman"/>
                <w:color w:val="000000"/>
              </w:rPr>
              <w:t>pruritus</w:t>
            </w:r>
            <w:proofErr w:type="gramEnd"/>
            <w:r w:rsidRPr="0054345D">
              <w:rPr>
                <w:rFonts w:ascii="Times New Roman" w:hAnsi="Times New Roman"/>
                <w:color w:val="000000"/>
              </w:rPr>
              <w:t>, within 24 hours of transfusion.</w:t>
            </w:r>
          </w:p>
          <w:p w14:paraId="599476CE"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b/>
                <w:bCs/>
                <w:color w:val="000000"/>
              </w:rPr>
              <w:t xml:space="preserve">Severe allergic reaction </w:t>
            </w:r>
            <w:r w:rsidRPr="0054345D">
              <w:rPr>
                <w:rFonts w:ascii="Times New Roman" w:hAnsi="Times New Roman"/>
                <w:color w:val="000000"/>
              </w:rPr>
              <w:t xml:space="preserve">– Severe allergic reaction with risk to life occurring within 24 hours of </w:t>
            </w:r>
            <w:proofErr w:type="gramStart"/>
            <w:r w:rsidRPr="0054345D">
              <w:rPr>
                <w:rFonts w:ascii="Times New Roman" w:hAnsi="Times New Roman"/>
                <w:color w:val="000000"/>
              </w:rPr>
              <w:t>transfusion,</w:t>
            </w:r>
            <w:proofErr w:type="gramEnd"/>
            <w:r w:rsidRPr="0054345D">
              <w:rPr>
                <w:rFonts w:ascii="Times New Roman" w:hAnsi="Times New Roman"/>
                <w:color w:val="000000"/>
              </w:rPr>
              <w:t xml:space="preserve"> </w:t>
            </w:r>
            <w:proofErr w:type="spellStart"/>
            <w:r w:rsidRPr="0054345D">
              <w:rPr>
                <w:rFonts w:ascii="Times New Roman" w:hAnsi="Times New Roman"/>
                <w:color w:val="000000"/>
              </w:rPr>
              <w:t>characterised</w:t>
            </w:r>
            <w:proofErr w:type="spellEnd"/>
            <w:r w:rsidRPr="0054345D">
              <w:rPr>
                <w:rFonts w:ascii="Times New Roman" w:hAnsi="Times New Roman"/>
                <w:color w:val="000000"/>
              </w:rPr>
              <w:t xml:space="preserve"> by bronchospasm causing hypoxia, or angioedema causing respiratory distress.</w:t>
            </w:r>
          </w:p>
          <w:p w14:paraId="2F9EA763"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b/>
                <w:bCs/>
                <w:color w:val="000000"/>
              </w:rPr>
              <w:t xml:space="preserve">Hypotension </w:t>
            </w:r>
            <w:r w:rsidRPr="0054345D">
              <w:rPr>
                <w:rFonts w:ascii="Times New Roman" w:hAnsi="Times New Roman"/>
                <w:color w:val="000000"/>
              </w:rPr>
              <w:t>– a drop in systolic and/or diastolic pressure of &gt;30mm Hg occurring within one hour of completing transfusion, provided all other adverse reactions have been excluded together with underlying conditions that could explain hypotension.</w:t>
            </w:r>
          </w:p>
          <w:p w14:paraId="74883FAD" w14:textId="77777777" w:rsidR="00257960" w:rsidRPr="0054345D" w:rsidRDefault="00257960" w:rsidP="009767AD">
            <w:pPr>
              <w:tabs>
                <w:tab w:val="center" w:pos="4320"/>
                <w:tab w:val="right" w:pos="8640"/>
              </w:tabs>
              <w:autoSpaceDE w:val="0"/>
              <w:autoSpaceDN w:val="0"/>
              <w:adjustRightInd w:val="0"/>
              <w:rPr>
                <w:rFonts w:ascii="Times New Roman" w:hAnsi="Times New Roman"/>
              </w:rPr>
            </w:pPr>
            <w:r w:rsidRPr="0054345D">
              <w:rPr>
                <w:rFonts w:ascii="Times New Roman" w:hAnsi="Times New Roman"/>
                <w:b/>
                <w:bCs/>
                <w:color w:val="000000"/>
              </w:rPr>
              <w:t xml:space="preserve">Febrile with other symptoms/signs </w:t>
            </w:r>
            <w:r w:rsidRPr="0054345D">
              <w:rPr>
                <w:rFonts w:ascii="Times New Roman" w:hAnsi="Times New Roman"/>
                <w:color w:val="000000"/>
              </w:rPr>
              <w:t>– rise in temperature of &gt;1oC, with no features of an allergic reaction, but with one or more of myalgia, nausea, change in blood pressure or hypoxia.</w:t>
            </w:r>
          </w:p>
        </w:tc>
      </w:tr>
      <w:tr w:rsidR="00257960" w:rsidRPr="0054345D" w14:paraId="517EC74D" w14:textId="77777777" w:rsidTr="009767AD">
        <w:tc>
          <w:tcPr>
            <w:tcW w:w="2235" w:type="dxa"/>
          </w:tcPr>
          <w:p w14:paraId="560E3232" w14:textId="77777777" w:rsidR="00257960" w:rsidRPr="0054345D" w:rsidRDefault="00257960" w:rsidP="009767AD">
            <w:pPr>
              <w:tabs>
                <w:tab w:val="center" w:pos="4320"/>
                <w:tab w:val="right" w:pos="8640"/>
              </w:tabs>
              <w:rPr>
                <w:rFonts w:ascii="Times New Roman" w:hAnsi="Times New Roman"/>
              </w:rPr>
            </w:pPr>
            <w:r w:rsidRPr="0054345D">
              <w:rPr>
                <w:rFonts w:ascii="Times New Roman" w:hAnsi="Times New Roman"/>
                <w:b/>
                <w:bCs/>
                <w:color w:val="000000"/>
              </w:rPr>
              <w:t xml:space="preserve">Acute </w:t>
            </w:r>
            <w:proofErr w:type="spellStart"/>
            <w:r w:rsidRPr="0054345D">
              <w:rPr>
                <w:rFonts w:ascii="Times New Roman" w:hAnsi="Times New Roman"/>
                <w:b/>
                <w:bCs/>
                <w:color w:val="000000"/>
              </w:rPr>
              <w:t>Haemolytic</w:t>
            </w:r>
            <w:proofErr w:type="spellEnd"/>
            <w:r w:rsidRPr="0054345D">
              <w:rPr>
                <w:rFonts w:ascii="Times New Roman" w:hAnsi="Times New Roman"/>
                <w:b/>
                <w:bCs/>
                <w:color w:val="000000"/>
              </w:rPr>
              <w:t xml:space="preserve"> transfusion reaction (HTR)</w:t>
            </w:r>
          </w:p>
        </w:tc>
        <w:tc>
          <w:tcPr>
            <w:tcW w:w="6201" w:type="dxa"/>
          </w:tcPr>
          <w:p w14:paraId="79A88838" w14:textId="77777777" w:rsidR="00257960" w:rsidRPr="0054345D" w:rsidRDefault="00257960" w:rsidP="009767AD">
            <w:pPr>
              <w:tabs>
                <w:tab w:val="center" w:pos="4320"/>
                <w:tab w:val="right" w:pos="8640"/>
              </w:tabs>
              <w:autoSpaceDE w:val="0"/>
              <w:autoSpaceDN w:val="0"/>
              <w:adjustRightInd w:val="0"/>
              <w:rPr>
                <w:rFonts w:ascii="Times New Roman" w:hAnsi="Times New Roman"/>
              </w:rPr>
            </w:pPr>
            <w:r w:rsidRPr="0054345D">
              <w:rPr>
                <w:rFonts w:ascii="Times New Roman" w:hAnsi="Times New Roman"/>
                <w:b/>
                <w:bCs/>
                <w:color w:val="000000"/>
              </w:rPr>
              <w:t xml:space="preserve">Acute </w:t>
            </w:r>
            <w:r w:rsidRPr="0054345D">
              <w:rPr>
                <w:rFonts w:ascii="Times New Roman" w:hAnsi="Times New Roman"/>
                <w:color w:val="000000"/>
              </w:rPr>
              <w:t xml:space="preserve">HTRs are defined as fever and other symptoms / signs of </w:t>
            </w:r>
            <w:proofErr w:type="spellStart"/>
            <w:r w:rsidRPr="0054345D">
              <w:rPr>
                <w:rFonts w:ascii="Times New Roman" w:hAnsi="Times New Roman"/>
                <w:color w:val="000000"/>
              </w:rPr>
              <w:t>haemolysis</w:t>
            </w:r>
            <w:proofErr w:type="spellEnd"/>
            <w:r w:rsidRPr="0054345D">
              <w:rPr>
                <w:rFonts w:ascii="Times New Roman" w:hAnsi="Times New Roman"/>
                <w:color w:val="000000"/>
              </w:rPr>
              <w:t xml:space="preserve"> within 24 hours of transfusion; confirmed by a fall in </w:t>
            </w:r>
            <w:proofErr w:type="spellStart"/>
            <w:r w:rsidRPr="0054345D">
              <w:rPr>
                <w:rFonts w:ascii="Times New Roman" w:hAnsi="Times New Roman"/>
                <w:color w:val="000000"/>
              </w:rPr>
              <w:t>Hb</w:t>
            </w:r>
            <w:proofErr w:type="spellEnd"/>
            <w:r w:rsidRPr="0054345D">
              <w:rPr>
                <w:rFonts w:ascii="Times New Roman" w:hAnsi="Times New Roman"/>
                <w:color w:val="000000"/>
              </w:rPr>
              <w:t>, rise in LDH, positive DAT and positive cross match.</w:t>
            </w:r>
          </w:p>
        </w:tc>
      </w:tr>
      <w:tr w:rsidR="00257960" w:rsidRPr="0054345D" w14:paraId="1CDC7A04" w14:textId="77777777" w:rsidTr="009767AD">
        <w:trPr>
          <w:trHeight w:val="1550"/>
        </w:trPr>
        <w:tc>
          <w:tcPr>
            <w:tcW w:w="2235" w:type="dxa"/>
          </w:tcPr>
          <w:p w14:paraId="07B0B1AA" w14:textId="77777777" w:rsidR="00257960" w:rsidRPr="0054345D" w:rsidRDefault="00257960" w:rsidP="009767AD">
            <w:pPr>
              <w:tabs>
                <w:tab w:val="center" w:pos="4320"/>
                <w:tab w:val="right" w:pos="8640"/>
              </w:tabs>
              <w:rPr>
                <w:rFonts w:ascii="Times New Roman" w:hAnsi="Times New Roman"/>
              </w:rPr>
            </w:pPr>
            <w:r w:rsidRPr="0054345D">
              <w:rPr>
                <w:rFonts w:ascii="Times New Roman" w:hAnsi="Times New Roman"/>
                <w:b/>
                <w:bCs/>
                <w:color w:val="000000"/>
              </w:rPr>
              <w:t xml:space="preserve">Delayed </w:t>
            </w:r>
            <w:proofErr w:type="spellStart"/>
            <w:r w:rsidRPr="0054345D">
              <w:rPr>
                <w:rFonts w:ascii="Times New Roman" w:hAnsi="Times New Roman"/>
                <w:b/>
                <w:bCs/>
                <w:color w:val="000000"/>
              </w:rPr>
              <w:t>Haemolytic</w:t>
            </w:r>
            <w:proofErr w:type="spellEnd"/>
            <w:r w:rsidRPr="0054345D">
              <w:rPr>
                <w:rFonts w:ascii="Times New Roman" w:hAnsi="Times New Roman"/>
                <w:b/>
                <w:bCs/>
                <w:color w:val="000000"/>
              </w:rPr>
              <w:t xml:space="preserve"> transfusion reaction (HTR)</w:t>
            </w:r>
          </w:p>
        </w:tc>
        <w:tc>
          <w:tcPr>
            <w:tcW w:w="6201" w:type="dxa"/>
          </w:tcPr>
          <w:p w14:paraId="209C6E52"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b/>
                <w:bCs/>
                <w:color w:val="000000"/>
              </w:rPr>
              <w:t xml:space="preserve">Delayed </w:t>
            </w:r>
            <w:r w:rsidRPr="0054345D">
              <w:rPr>
                <w:rFonts w:ascii="Times New Roman" w:hAnsi="Times New Roman"/>
                <w:color w:val="000000"/>
              </w:rPr>
              <w:t xml:space="preserve">HTRs are defined as fever and other symptoms / signs of </w:t>
            </w:r>
            <w:proofErr w:type="spellStart"/>
            <w:r w:rsidRPr="0054345D">
              <w:rPr>
                <w:rFonts w:ascii="Times New Roman" w:hAnsi="Times New Roman"/>
                <w:color w:val="000000"/>
              </w:rPr>
              <w:t>haemolysis</w:t>
            </w:r>
            <w:proofErr w:type="spellEnd"/>
            <w:r w:rsidRPr="0054345D">
              <w:rPr>
                <w:rFonts w:ascii="Times New Roman" w:hAnsi="Times New Roman"/>
                <w:color w:val="000000"/>
              </w:rPr>
              <w:t xml:space="preserve"> more than 24 hours after transfusion; confirmed by one or more of: a fall in </w:t>
            </w:r>
            <w:proofErr w:type="spellStart"/>
            <w:r w:rsidRPr="0054345D">
              <w:rPr>
                <w:rFonts w:ascii="Times New Roman" w:hAnsi="Times New Roman"/>
                <w:color w:val="000000"/>
              </w:rPr>
              <w:t>Hb</w:t>
            </w:r>
            <w:proofErr w:type="spellEnd"/>
            <w:r w:rsidRPr="0054345D">
              <w:rPr>
                <w:rFonts w:ascii="Times New Roman" w:hAnsi="Times New Roman"/>
                <w:color w:val="000000"/>
              </w:rPr>
              <w:t xml:space="preserve"> or failure of increment, rise in bilirubin, positive DAT and positive cross match not detectable </w:t>
            </w:r>
            <w:proofErr w:type="spellStart"/>
            <w:r w:rsidRPr="0054345D">
              <w:rPr>
                <w:rFonts w:ascii="Times New Roman" w:hAnsi="Times New Roman"/>
                <w:color w:val="000000"/>
              </w:rPr>
              <w:t>pretransfusion</w:t>
            </w:r>
            <w:proofErr w:type="spellEnd"/>
            <w:r w:rsidRPr="0054345D">
              <w:rPr>
                <w:rFonts w:ascii="Times New Roman" w:hAnsi="Times New Roman"/>
                <w:color w:val="000000"/>
              </w:rPr>
              <w:t xml:space="preserve">. </w:t>
            </w:r>
          </w:p>
          <w:p w14:paraId="2C411608"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color w:val="000000"/>
              </w:rPr>
              <w:lastRenderedPageBreak/>
              <w:t xml:space="preserve">Simple serological reactions (development of antibody without positive DAT or development of </w:t>
            </w:r>
            <w:proofErr w:type="spellStart"/>
            <w:r w:rsidRPr="0054345D">
              <w:rPr>
                <w:rFonts w:ascii="Times New Roman" w:hAnsi="Times New Roman"/>
                <w:color w:val="000000"/>
              </w:rPr>
              <w:t>haemolysis</w:t>
            </w:r>
            <w:proofErr w:type="spellEnd"/>
            <w:r w:rsidRPr="0054345D">
              <w:rPr>
                <w:rFonts w:ascii="Times New Roman" w:hAnsi="Times New Roman"/>
                <w:color w:val="000000"/>
              </w:rPr>
              <w:t>) are excluded.</w:t>
            </w:r>
          </w:p>
          <w:p w14:paraId="57F70D5E"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color w:val="000000"/>
              </w:rPr>
              <w:t>Cases with relevant features should be reported together with results of all laboratory investigations and antibody identification results if available.</w:t>
            </w:r>
          </w:p>
          <w:p w14:paraId="3BC8AE88"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color w:val="000000"/>
              </w:rPr>
              <w:t>Cases will be included with no clinical or laboratory features as long as DAT is positive.</w:t>
            </w:r>
          </w:p>
        </w:tc>
      </w:tr>
      <w:tr w:rsidR="00257960" w:rsidRPr="0054345D" w14:paraId="6BC2518D" w14:textId="77777777" w:rsidTr="009767AD">
        <w:tc>
          <w:tcPr>
            <w:tcW w:w="2235" w:type="dxa"/>
          </w:tcPr>
          <w:p w14:paraId="5141A06D" w14:textId="77777777" w:rsidR="00257960" w:rsidRPr="0054345D" w:rsidRDefault="00257960" w:rsidP="009767AD">
            <w:pPr>
              <w:tabs>
                <w:tab w:val="center" w:pos="4320"/>
                <w:tab w:val="right" w:pos="8640"/>
              </w:tabs>
              <w:rPr>
                <w:rFonts w:ascii="Times New Roman" w:hAnsi="Times New Roman"/>
              </w:rPr>
            </w:pPr>
            <w:r w:rsidRPr="0054345D">
              <w:rPr>
                <w:rFonts w:ascii="Times New Roman" w:hAnsi="Times New Roman"/>
                <w:b/>
                <w:bCs/>
                <w:color w:val="000000"/>
              </w:rPr>
              <w:lastRenderedPageBreak/>
              <w:t>Transfusion related acute lung injury (TRALI)</w:t>
            </w:r>
          </w:p>
        </w:tc>
        <w:tc>
          <w:tcPr>
            <w:tcW w:w="6201" w:type="dxa"/>
          </w:tcPr>
          <w:p w14:paraId="5DB45F8B"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color w:val="000000"/>
              </w:rPr>
              <w:t xml:space="preserve">Acute </w:t>
            </w:r>
            <w:proofErr w:type="spellStart"/>
            <w:r w:rsidRPr="0054345D">
              <w:rPr>
                <w:rFonts w:ascii="Times New Roman" w:hAnsi="Times New Roman"/>
                <w:color w:val="000000"/>
              </w:rPr>
              <w:t>dyspnoea</w:t>
            </w:r>
            <w:proofErr w:type="spellEnd"/>
            <w:r w:rsidRPr="0054345D">
              <w:rPr>
                <w:rFonts w:ascii="Times New Roman" w:hAnsi="Times New Roman"/>
                <w:color w:val="000000"/>
              </w:rPr>
              <w:t xml:space="preserve"> with hypoxia and bilateral pulmonary infiltrates during or within six hours of transfusion, not due to circulatory overload or other likely cause. (Suspected cases should be discussed with a Blood Service Consultant, and reported if there is a high index of suspicion, even if serological investigation is inconclusive).</w:t>
            </w:r>
          </w:p>
        </w:tc>
      </w:tr>
      <w:tr w:rsidR="00257960" w:rsidRPr="0054345D" w14:paraId="63941978" w14:textId="77777777" w:rsidTr="009767AD">
        <w:tc>
          <w:tcPr>
            <w:tcW w:w="2235" w:type="dxa"/>
          </w:tcPr>
          <w:p w14:paraId="18BF8A4E" w14:textId="77777777" w:rsidR="00257960" w:rsidRPr="0054345D" w:rsidRDefault="00257960" w:rsidP="009767AD">
            <w:pPr>
              <w:tabs>
                <w:tab w:val="center" w:pos="4320"/>
                <w:tab w:val="right" w:pos="8640"/>
              </w:tabs>
              <w:rPr>
                <w:rFonts w:ascii="Times New Roman" w:hAnsi="Times New Roman"/>
              </w:rPr>
            </w:pPr>
            <w:r w:rsidRPr="0054345D">
              <w:rPr>
                <w:rFonts w:ascii="Times New Roman" w:hAnsi="Times New Roman"/>
                <w:b/>
                <w:bCs/>
                <w:color w:val="000000"/>
              </w:rPr>
              <w:t xml:space="preserve">Post transfusion </w:t>
            </w:r>
            <w:proofErr w:type="spellStart"/>
            <w:r w:rsidRPr="0054345D">
              <w:rPr>
                <w:rFonts w:ascii="Times New Roman" w:hAnsi="Times New Roman"/>
                <w:b/>
                <w:bCs/>
                <w:color w:val="000000"/>
              </w:rPr>
              <w:t>purpura</w:t>
            </w:r>
            <w:proofErr w:type="spellEnd"/>
            <w:r w:rsidRPr="0054345D">
              <w:rPr>
                <w:rFonts w:ascii="Times New Roman" w:hAnsi="Times New Roman"/>
                <w:b/>
                <w:bCs/>
                <w:color w:val="000000"/>
              </w:rPr>
              <w:t xml:space="preserve"> (PTP)</w:t>
            </w:r>
          </w:p>
        </w:tc>
        <w:tc>
          <w:tcPr>
            <w:tcW w:w="6201" w:type="dxa"/>
          </w:tcPr>
          <w:p w14:paraId="0729A463"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color w:val="000000"/>
              </w:rPr>
              <w:t>Thrombocytopenia arising 5 – 12 days following transfusion of red cells, associated with the presence in the patient of alloantibodies directed against the HPA (Human Platelet Antigen) systems. (Cases where the platelet count drops more than 50% following transfusion should be investigated and reported if complete or partial serological evidence is available).</w:t>
            </w:r>
          </w:p>
        </w:tc>
      </w:tr>
      <w:tr w:rsidR="00257960" w:rsidRPr="0054345D" w14:paraId="60687C0F" w14:textId="77777777" w:rsidTr="009767AD">
        <w:tc>
          <w:tcPr>
            <w:tcW w:w="2235" w:type="dxa"/>
          </w:tcPr>
          <w:p w14:paraId="43A1F094" w14:textId="77777777" w:rsidR="00257960" w:rsidRPr="0054345D" w:rsidRDefault="00257960" w:rsidP="009767AD">
            <w:pPr>
              <w:tabs>
                <w:tab w:val="center" w:pos="4320"/>
                <w:tab w:val="right" w:pos="8640"/>
              </w:tabs>
              <w:autoSpaceDE w:val="0"/>
              <w:autoSpaceDN w:val="0"/>
              <w:adjustRightInd w:val="0"/>
              <w:rPr>
                <w:rFonts w:ascii="Times New Roman" w:hAnsi="Times New Roman"/>
                <w:b/>
                <w:bCs/>
                <w:color w:val="000000"/>
              </w:rPr>
            </w:pPr>
            <w:r w:rsidRPr="0054345D">
              <w:rPr>
                <w:rFonts w:ascii="Times New Roman" w:hAnsi="Times New Roman"/>
                <w:b/>
                <w:bCs/>
                <w:color w:val="000000"/>
              </w:rPr>
              <w:t>Transfusion associated graft versus-host disease (TA-</w:t>
            </w:r>
            <w:proofErr w:type="spellStart"/>
            <w:r w:rsidRPr="0054345D">
              <w:rPr>
                <w:rFonts w:ascii="Times New Roman" w:hAnsi="Times New Roman"/>
                <w:b/>
                <w:bCs/>
                <w:color w:val="000000"/>
              </w:rPr>
              <w:t>GvHD</w:t>
            </w:r>
            <w:proofErr w:type="spellEnd"/>
            <w:r w:rsidRPr="0054345D">
              <w:rPr>
                <w:rFonts w:ascii="Times New Roman" w:hAnsi="Times New Roman"/>
                <w:b/>
                <w:bCs/>
                <w:color w:val="000000"/>
              </w:rPr>
              <w:t>)</w:t>
            </w:r>
          </w:p>
        </w:tc>
        <w:tc>
          <w:tcPr>
            <w:tcW w:w="6201" w:type="dxa"/>
          </w:tcPr>
          <w:p w14:paraId="36972B64" w14:textId="77777777" w:rsidR="00257960" w:rsidRPr="0054345D" w:rsidRDefault="00257960" w:rsidP="009767AD">
            <w:pPr>
              <w:tabs>
                <w:tab w:val="center" w:pos="4320"/>
                <w:tab w:val="right" w:pos="8640"/>
              </w:tabs>
              <w:autoSpaceDE w:val="0"/>
              <w:autoSpaceDN w:val="0"/>
              <w:adjustRightInd w:val="0"/>
              <w:rPr>
                <w:rFonts w:ascii="Times New Roman" w:hAnsi="Times New Roman"/>
              </w:rPr>
            </w:pPr>
            <w:proofErr w:type="spellStart"/>
            <w:r w:rsidRPr="0054345D">
              <w:rPr>
                <w:rFonts w:ascii="Times New Roman" w:hAnsi="Times New Roman"/>
                <w:color w:val="000000"/>
              </w:rPr>
              <w:t>Characterised</w:t>
            </w:r>
            <w:proofErr w:type="spellEnd"/>
            <w:r w:rsidRPr="0054345D">
              <w:rPr>
                <w:rFonts w:ascii="Times New Roman" w:hAnsi="Times New Roman"/>
                <w:color w:val="000000"/>
              </w:rPr>
              <w:t xml:space="preserve"> by fever, rash, liver dysfunction, </w:t>
            </w:r>
            <w:proofErr w:type="spellStart"/>
            <w:r w:rsidRPr="0054345D">
              <w:rPr>
                <w:rFonts w:ascii="Times New Roman" w:hAnsi="Times New Roman"/>
                <w:color w:val="000000"/>
              </w:rPr>
              <w:t>diarrhoea</w:t>
            </w:r>
            <w:proofErr w:type="spellEnd"/>
            <w:r w:rsidRPr="0054345D">
              <w:rPr>
                <w:rFonts w:ascii="Times New Roman" w:hAnsi="Times New Roman"/>
                <w:color w:val="000000"/>
              </w:rPr>
              <w:t xml:space="preserve">, pancytopenia and bone marrow hypoplasia occurring less than 30 days after transfusion. The condition is due to engraftment and clonal expansion of viable donor lymphocytes in a susceptible host. </w:t>
            </w:r>
          </w:p>
        </w:tc>
      </w:tr>
      <w:tr w:rsidR="00257960" w:rsidRPr="0054345D" w14:paraId="540577A8" w14:textId="77777777" w:rsidTr="009767AD">
        <w:tc>
          <w:tcPr>
            <w:tcW w:w="2235" w:type="dxa"/>
          </w:tcPr>
          <w:p w14:paraId="236C3866" w14:textId="77777777" w:rsidR="00257960" w:rsidRPr="0054345D" w:rsidRDefault="00257960" w:rsidP="009767AD">
            <w:pPr>
              <w:tabs>
                <w:tab w:val="center" w:pos="4320"/>
                <w:tab w:val="right" w:pos="8640"/>
              </w:tabs>
              <w:autoSpaceDE w:val="0"/>
              <w:autoSpaceDN w:val="0"/>
              <w:adjustRightInd w:val="0"/>
              <w:rPr>
                <w:rFonts w:ascii="Times New Roman" w:hAnsi="Times New Roman"/>
                <w:b/>
                <w:bCs/>
                <w:color w:val="000000"/>
              </w:rPr>
            </w:pPr>
            <w:r w:rsidRPr="0054345D">
              <w:rPr>
                <w:rFonts w:ascii="Times New Roman" w:hAnsi="Times New Roman"/>
                <w:b/>
                <w:bCs/>
                <w:color w:val="000000"/>
              </w:rPr>
              <w:t>Transfusion transmitted infections (TTI)</w:t>
            </w:r>
          </w:p>
          <w:p w14:paraId="09BC5895" w14:textId="77777777" w:rsidR="00257960" w:rsidRPr="0054345D" w:rsidRDefault="00257960" w:rsidP="009767AD">
            <w:pPr>
              <w:tabs>
                <w:tab w:val="center" w:pos="4320"/>
                <w:tab w:val="right" w:pos="8640"/>
              </w:tabs>
              <w:rPr>
                <w:rFonts w:ascii="Times New Roman" w:hAnsi="Times New Roman"/>
              </w:rPr>
            </w:pPr>
          </w:p>
        </w:tc>
        <w:tc>
          <w:tcPr>
            <w:tcW w:w="6201" w:type="dxa"/>
          </w:tcPr>
          <w:p w14:paraId="199EF019"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color w:val="000000"/>
              </w:rPr>
              <w:t>Include as a TTI if, following investigation, the recipient had evidence of infection post transfusion, and there was no evidence of infection prior to transfusion and no evidence of an alternative source of infection.</w:t>
            </w:r>
          </w:p>
          <w:p w14:paraId="016DA9C1"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color w:val="000000"/>
              </w:rPr>
              <w:t>Plus</w:t>
            </w:r>
            <w:proofErr w:type="gramStart"/>
            <w:r w:rsidRPr="0054345D">
              <w:rPr>
                <w:rFonts w:ascii="Times New Roman" w:hAnsi="Times New Roman"/>
                <w:color w:val="000000"/>
              </w:rPr>
              <w:t>;</w:t>
            </w:r>
            <w:proofErr w:type="gramEnd"/>
            <w:r w:rsidRPr="0054345D">
              <w:rPr>
                <w:rFonts w:ascii="Times New Roman" w:hAnsi="Times New Roman"/>
                <w:color w:val="000000"/>
              </w:rPr>
              <w:t xml:space="preserve"> </w:t>
            </w:r>
            <w:r w:rsidRPr="0054345D">
              <w:rPr>
                <w:rFonts w:ascii="Times New Roman" w:hAnsi="Times New Roman"/>
                <w:b/>
                <w:bCs/>
                <w:color w:val="000000"/>
              </w:rPr>
              <w:t xml:space="preserve">Either </w:t>
            </w:r>
            <w:r w:rsidRPr="0054345D">
              <w:rPr>
                <w:rFonts w:ascii="Times New Roman" w:hAnsi="Times New Roman"/>
                <w:color w:val="000000"/>
              </w:rPr>
              <w:t>at least one component received by the infected recipient was donated by a donor who had evidence of the same transmissible infection.</w:t>
            </w:r>
          </w:p>
          <w:p w14:paraId="67160D34"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b/>
                <w:bCs/>
                <w:color w:val="000000"/>
              </w:rPr>
              <w:t xml:space="preserve">Or </w:t>
            </w:r>
            <w:r w:rsidRPr="0054345D">
              <w:rPr>
                <w:rFonts w:ascii="Times New Roman" w:hAnsi="Times New Roman"/>
                <w:color w:val="000000"/>
              </w:rPr>
              <w:t>at least one component received by the infected recipient was shown to contain the agent of infection.</w:t>
            </w:r>
          </w:p>
        </w:tc>
      </w:tr>
      <w:tr w:rsidR="00257960" w:rsidRPr="0054345D" w14:paraId="649124BF" w14:textId="77777777" w:rsidTr="009767AD">
        <w:trPr>
          <w:trHeight w:val="2826"/>
        </w:trPr>
        <w:tc>
          <w:tcPr>
            <w:tcW w:w="2235" w:type="dxa"/>
          </w:tcPr>
          <w:p w14:paraId="70CC3F52" w14:textId="77777777" w:rsidR="00257960" w:rsidRPr="0054345D" w:rsidRDefault="00257960" w:rsidP="009767AD">
            <w:pPr>
              <w:tabs>
                <w:tab w:val="center" w:pos="4320"/>
                <w:tab w:val="right" w:pos="8640"/>
              </w:tabs>
              <w:autoSpaceDE w:val="0"/>
              <w:autoSpaceDN w:val="0"/>
              <w:adjustRightInd w:val="0"/>
              <w:rPr>
                <w:rFonts w:ascii="Times New Roman" w:hAnsi="Times New Roman"/>
                <w:b/>
                <w:bCs/>
                <w:color w:val="000000"/>
              </w:rPr>
            </w:pPr>
            <w:r w:rsidRPr="0054345D">
              <w:rPr>
                <w:rFonts w:ascii="Times New Roman" w:hAnsi="Times New Roman"/>
                <w:b/>
                <w:bCs/>
                <w:color w:val="000000"/>
              </w:rPr>
              <w:lastRenderedPageBreak/>
              <w:t>Transfusion associated circulatory overload (TACO)</w:t>
            </w:r>
          </w:p>
          <w:p w14:paraId="66A61E14" w14:textId="77777777" w:rsidR="00257960" w:rsidRPr="0054345D" w:rsidRDefault="00257960" w:rsidP="009767AD">
            <w:pPr>
              <w:tabs>
                <w:tab w:val="center" w:pos="4320"/>
                <w:tab w:val="right" w:pos="8640"/>
              </w:tabs>
              <w:rPr>
                <w:rFonts w:ascii="Times New Roman" w:hAnsi="Times New Roman"/>
              </w:rPr>
            </w:pPr>
          </w:p>
        </w:tc>
        <w:tc>
          <w:tcPr>
            <w:tcW w:w="6201" w:type="dxa"/>
          </w:tcPr>
          <w:p w14:paraId="0DDCD7AF"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color w:val="000000"/>
              </w:rPr>
              <w:t>Any four of the following occurring within six hours of transfusion:</w:t>
            </w:r>
          </w:p>
          <w:p w14:paraId="6C4B160F"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color w:val="000000"/>
              </w:rPr>
              <w:t>° Acute respiratory distress.</w:t>
            </w:r>
          </w:p>
          <w:p w14:paraId="179A3437"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color w:val="000000"/>
              </w:rPr>
              <w:t>° Tachycardia.</w:t>
            </w:r>
          </w:p>
          <w:p w14:paraId="11D1D1B7"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color w:val="000000"/>
              </w:rPr>
              <w:t>° Increased blood pressure.</w:t>
            </w:r>
          </w:p>
          <w:p w14:paraId="396701A5"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color w:val="000000"/>
              </w:rPr>
              <w:t xml:space="preserve">° Acute or worsening pulmonary </w:t>
            </w:r>
            <w:proofErr w:type="spellStart"/>
            <w:r w:rsidRPr="0054345D">
              <w:rPr>
                <w:rFonts w:ascii="Times New Roman" w:hAnsi="Times New Roman"/>
                <w:color w:val="000000"/>
              </w:rPr>
              <w:t>oedema</w:t>
            </w:r>
            <w:proofErr w:type="spellEnd"/>
            <w:r w:rsidRPr="0054345D">
              <w:rPr>
                <w:rFonts w:ascii="Times New Roman" w:hAnsi="Times New Roman"/>
                <w:color w:val="000000"/>
              </w:rPr>
              <w:t>.</w:t>
            </w:r>
          </w:p>
          <w:p w14:paraId="3FB6D834"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sidRPr="0054345D">
              <w:rPr>
                <w:rFonts w:ascii="Times New Roman" w:hAnsi="Times New Roman"/>
                <w:color w:val="000000"/>
              </w:rPr>
              <w:t>° Evidence of positive fluid balance.</w:t>
            </w:r>
          </w:p>
        </w:tc>
      </w:tr>
      <w:tr w:rsidR="00257960" w:rsidRPr="0054345D" w14:paraId="7E7B68F2" w14:textId="77777777" w:rsidTr="009767AD">
        <w:trPr>
          <w:trHeight w:val="2826"/>
        </w:trPr>
        <w:tc>
          <w:tcPr>
            <w:tcW w:w="2235" w:type="dxa"/>
          </w:tcPr>
          <w:p w14:paraId="2F3B95C5" w14:textId="77777777" w:rsidR="00257960" w:rsidRPr="0054345D" w:rsidRDefault="00257960" w:rsidP="009767AD">
            <w:pPr>
              <w:tabs>
                <w:tab w:val="center" w:pos="4320"/>
                <w:tab w:val="right" w:pos="8640"/>
              </w:tabs>
              <w:autoSpaceDE w:val="0"/>
              <w:autoSpaceDN w:val="0"/>
              <w:adjustRightInd w:val="0"/>
              <w:rPr>
                <w:rFonts w:ascii="Times New Roman" w:hAnsi="Times New Roman"/>
                <w:b/>
                <w:bCs/>
                <w:color w:val="000000"/>
              </w:rPr>
            </w:pPr>
            <w:r>
              <w:rPr>
                <w:rFonts w:ascii="Times New Roman" w:hAnsi="Times New Roman"/>
                <w:b/>
                <w:bCs/>
                <w:color w:val="000000"/>
              </w:rPr>
              <w:t>Transfusion Associated Dyspnea (TAD)</w:t>
            </w:r>
          </w:p>
        </w:tc>
        <w:tc>
          <w:tcPr>
            <w:tcW w:w="6201" w:type="dxa"/>
          </w:tcPr>
          <w:p w14:paraId="1BED6D00" w14:textId="77777777" w:rsidR="00257960" w:rsidRPr="0054345D" w:rsidRDefault="00257960" w:rsidP="009767AD">
            <w:pPr>
              <w:tabs>
                <w:tab w:val="center" w:pos="4320"/>
                <w:tab w:val="right" w:pos="8640"/>
              </w:tabs>
              <w:autoSpaceDE w:val="0"/>
              <w:autoSpaceDN w:val="0"/>
              <w:adjustRightInd w:val="0"/>
              <w:rPr>
                <w:rFonts w:ascii="Times New Roman" w:hAnsi="Times New Roman"/>
                <w:color w:val="000000"/>
              </w:rPr>
            </w:pPr>
            <w:r>
              <w:rPr>
                <w:rFonts w:ascii="Times New Roman" w:hAnsi="Times New Roman"/>
                <w:color w:val="000000"/>
              </w:rPr>
              <w:t xml:space="preserve">TAD is </w:t>
            </w:r>
            <w:proofErr w:type="spellStart"/>
            <w:r>
              <w:rPr>
                <w:rFonts w:ascii="Times New Roman" w:hAnsi="Times New Roman"/>
                <w:color w:val="000000"/>
              </w:rPr>
              <w:t>characterised</w:t>
            </w:r>
            <w:proofErr w:type="spellEnd"/>
            <w:r>
              <w:rPr>
                <w:rFonts w:ascii="Times New Roman" w:hAnsi="Times New Roman"/>
                <w:color w:val="000000"/>
              </w:rPr>
              <w:t xml:space="preserve"> by respiratory distress within 24 hours of transfusion that does not meet the criteria of TRALI, TACO or allergic reaction. Respiratory distress should not be explained by the patient’s underlying condition.</w:t>
            </w:r>
          </w:p>
        </w:tc>
      </w:tr>
    </w:tbl>
    <w:p w14:paraId="5F7604D9" w14:textId="77777777" w:rsidR="00257960" w:rsidRDefault="00257960" w:rsidP="00257960"/>
    <w:p w14:paraId="4DA4D944" w14:textId="77777777" w:rsidR="00257960" w:rsidRDefault="00257960" w:rsidP="00257960"/>
    <w:p w14:paraId="000043AD" w14:textId="77777777" w:rsidR="00257960" w:rsidRDefault="00257960" w:rsidP="00367E23">
      <w:pPr>
        <w:spacing w:line="480" w:lineRule="auto"/>
      </w:pPr>
    </w:p>
    <w:p w14:paraId="682B712A" w14:textId="77777777" w:rsidR="00257960" w:rsidRDefault="00257960" w:rsidP="00367E23">
      <w:pPr>
        <w:spacing w:line="480" w:lineRule="auto"/>
      </w:pPr>
    </w:p>
    <w:p w14:paraId="65A145CD" w14:textId="77777777" w:rsidR="00257960" w:rsidRDefault="00257960" w:rsidP="00367E23">
      <w:pPr>
        <w:spacing w:line="480" w:lineRule="auto"/>
      </w:pPr>
    </w:p>
    <w:p w14:paraId="5D67A215" w14:textId="77777777" w:rsidR="00257960" w:rsidRDefault="00257960" w:rsidP="00257960">
      <w:pPr>
        <w:spacing w:line="480" w:lineRule="auto"/>
      </w:pPr>
    </w:p>
    <w:p w14:paraId="482FD6C6" w14:textId="77777777" w:rsidR="00257960" w:rsidRDefault="00257960" w:rsidP="00257960">
      <w:pPr>
        <w:spacing w:line="480" w:lineRule="auto"/>
      </w:pPr>
    </w:p>
    <w:p w14:paraId="6E4F584C" w14:textId="77777777" w:rsidR="00257960" w:rsidRDefault="00257960" w:rsidP="00257960">
      <w:pPr>
        <w:spacing w:line="480" w:lineRule="auto"/>
      </w:pPr>
    </w:p>
    <w:p w14:paraId="74FB4ACD" w14:textId="77777777" w:rsidR="00257960" w:rsidRDefault="00257960" w:rsidP="00257960">
      <w:pPr>
        <w:spacing w:line="480" w:lineRule="auto"/>
      </w:pPr>
    </w:p>
    <w:p w14:paraId="67718997" w14:textId="77777777" w:rsidR="00257960" w:rsidRDefault="00257960" w:rsidP="00257960">
      <w:pPr>
        <w:spacing w:line="480" w:lineRule="auto"/>
      </w:pPr>
    </w:p>
    <w:p w14:paraId="09B84E16" w14:textId="77777777" w:rsidR="00257960" w:rsidRDefault="00257960" w:rsidP="00257960">
      <w:pPr>
        <w:spacing w:line="480" w:lineRule="auto"/>
      </w:pPr>
      <w:bookmarkStart w:id="0" w:name="_GoBack"/>
      <w:bookmarkEnd w:id="0"/>
    </w:p>
    <w:p w14:paraId="6BC1ED9F" w14:textId="77777777" w:rsidR="00257960" w:rsidRDefault="00257960" w:rsidP="00257960">
      <w:pPr>
        <w:spacing w:line="480" w:lineRule="auto"/>
      </w:pPr>
      <w:r>
        <w:t>Table 2:  Types of Acute Transfusion Reactions observed</w:t>
      </w:r>
    </w:p>
    <w:tbl>
      <w:tblPr>
        <w:tblStyle w:val="TableGrid"/>
        <w:tblW w:w="0" w:type="auto"/>
        <w:tblLook w:val="04A0" w:firstRow="1" w:lastRow="0" w:firstColumn="1" w:lastColumn="0" w:noHBand="0" w:noVBand="1"/>
      </w:tblPr>
      <w:tblGrid>
        <w:gridCol w:w="1951"/>
        <w:gridCol w:w="2268"/>
        <w:gridCol w:w="3359"/>
      </w:tblGrid>
      <w:tr w:rsidR="00257960" w14:paraId="285ED9D2" w14:textId="77777777" w:rsidTr="009767AD">
        <w:tc>
          <w:tcPr>
            <w:tcW w:w="1951" w:type="dxa"/>
          </w:tcPr>
          <w:p w14:paraId="09C5DF7B" w14:textId="77777777" w:rsidR="00257960" w:rsidRPr="00BE0719" w:rsidRDefault="00257960" w:rsidP="009767AD">
            <w:pPr>
              <w:spacing w:line="480" w:lineRule="auto"/>
              <w:rPr>
                <w:b/>
              </w:rPr>
            </w:pPr>
            <w:r w:rsidRPr="00BE0719">
              <w:rPr>
                <w:b/>
              </w:rPr>
              <w:t>Category</w:t>
            </w:r>
          </w:p>
        </w:tc>
        <w:tc>
          <w:tcPr>
            <w:tcW w:w="2268" w:type="dxa"/>
          </w:tcPr>
          <w:p w14:paraId="071B28C2" w14:textId="77777777" w:rsidR="00257960" w:rsidRPr="00BE0719" w:rsidRDefault="00257960" w:rsidP="009767AD">
            <w:pPr>
              <w:spacing w:line="480" w:lineRule="auto"/>
              <w:jc w:val="center"/>
              <w:rPr>
                <w:b/>
              </w:rPr>
            </w:pPr>
            <w:r>
              <w:rPr>
                <w:b/>
              </w:rPr>
              <w:t>N</w:t>
            </w:r>
            <w:r w:rsidRPr="00BE0719">
              <w:rPr>
                <w:b/>
              </w:rPr>
              <w:t xml:space="preserve"> (%)</w:t>
            </w:r>
          </w:p>
        </w:tc>
        <w:tc>
          <w:tcPr>
            <w:tcW w:w="3359" w:type="dxa"/>
          </w:tcPr>
          <w:p w14:paraId="37F7615C" w14:textId="77777777" w:rsidR="00257960" w:rsidRPr="00BE0719" w:rsidRDefault="00257960" w:rsidP="009767AD">
            <w:pPr>
              <w:spacing w:line="480" w:lineRule="auto"/>
              <w:rPr>
                <w:b/>
              </w:rPr>
            </w:pPr>
            <w:r>
              <w:rPr>
                <w:b/>
              </w:rPr>
              <w:t xml:space="preserve"> </w:t>
            </w:r>
            <w:r w:rsidRPr="00BE0719">
              <w:rPr>
                <w:b/>
              </w:rPr>
              <w:t>Incidence/1000 transfusions</w:t>
            </w:r>
          </w:p>
        </w:tc>
      </w:tr>
      <w:tr w:rsidR="00257960" w14:paraId="79DC00A9" w14:textId="77777777" w:rsidTr="009767AD">
        <w:tc>
          <w:tcPr>
            <w:tcW w:w="1951" w:type="dxa"/>
          </w:tcPr>
          <w:p w14:paraId="59D70722" w14:textId="77777777" w:rsidR="00257960" w:rsidRDefault="00257960" w:rsidP="009767AD">
            <w:pPr>
              <w:spacing w:line="480" w:lineRule="auto"/>
            </w:pPr>
            <w:r>
              <w:t>Allergic</w:t>
            </w:r>
          </w:p>
        </w:tc>
        <w:tc>
          <w:tcPr>
            <w:tcW w:w="2268" w:type="dxa"/>
          </w:tcPr>
          <w:p w14:paraId="293985E2" w14:textId="77777777" w:rsidR="00257960" w:rsidRDefault="00257960" w:rsidP="009767AD">
            <w:pPr>
              <w:spacing w:line="480" w:lineRule="auto"/>
              <w:jc w:val="center"/>
            </w:pPr>
            <w:r>
              <w:t>43 (49.0)</w:t>
            </w:r>
          </w:p>
        </w:tc>
        <w:tc>
          <w:tcPr>
            <w:tcW w:w="3359" w:type="dxa"/>
          </w:tcPr>
          <w:p w14:paraId="1ED20379" w14:textId="77777777" w:rsidR="00257960" w:rsidRDefault="00257960" w:rsidP="009767AD">
            <w:pPr>
              <w:spacing w:line="480" w:lineRule="auto"/>
              <w:jc w:val="center"/>
            </w:pPr>
            <w:r>
              <w:t>99.5</w:t>
            </w:r>
          </w:p>
        </w:tc>
      </w:tr>
      <w:tr w:rsidR="00257960" w14:paraId="440423F3" w14:textId="77777777" w:rsidTr="009767AD">
        <w:tc>
          <w:tcPr>
            <w:tcW w:w="1951" w:type="dxa"/>
          </w:tcPr>
          <w:p w14:paraId="08124D15" w14:textId="77777777" w:rsidR="00257960" w:rsidRDefault="00257960" w:rsidP="009767AD">
            <w:pPr>
              <w:spacing w:line="480" w:lineRule="auto"/>
            </w:pPr>
            <w:r>
              <w:t>Febrile</w:t>
            </w:r>
          </w:p>
        </w:tc>
        <w:tc>
          <w:tcPr>
            <w:tcW w:w="2268" w:type="dxa"/>
          </w:tcPr>
          <w:p w14:paraId="4123D181" w14:textId="77777777" w:rsidR="00257960" w:rsidRDefault="00257960" w:rsidP="009767AD">
            <w:pPr>
              <w:spacing w:line="480" w:lineRule="auto"/>
              <w:jc w:val="center"/>
            </w:pPr>
            <w:r>
              <w:t>26 (29.5)</w:t>
            </w:r>
          </w:p>
        </w:tc>
        <w:tc>
          <w:tcPr>
            <w:tcW w:w="3359" w:type="dxa"/>
          </w:tcPr>
          <w:p w14:paraId="16292885" w14:textId="77777777" w:rsidR="00257960" w:rsidRDefault="00257960" w:rsidP="009767AD">
            <w:pPr>
              <w:spacing w:line="480" w:lineRule="auto"/>
              <w:jc w:val="center"/>
            </w:pPr>
            <w:r>
              <w:t>60.2</w:t>
            </w:r>
          </w:p>
        </w:tc>
      </w:tr>
      <w:tr w:rsidR="00257960" w14:paraId="766C5B84" w14:textId="77777777" w:rsidTr="009767AD">
        <w:tc>
          <w:tcPr>
            <w:tcW w:w="1951" w:type="dxa"/>
          </w:tcPr>
          <w:p w14:paraId="6DE3EC81" w14:textId="77777777" w:rsidR="00257960" w:rsidRDefault="00257960" w:rsidP="009767AD">
            <w:pPr>
              <w:spacing w:line="480" w:lineRule="auto"/>
            </w:pPr>
            <w:r>
              <w:t>Hemolytic</w:t>
            </w:r>
          </w:p>
        </w:tc>
        <w:tc>
          <w:tcPr>
            <w:tcW w:w="2268" w:type="dxa"/>
          </w:tcPr>
          <w:p w14:paraId="5BF4F8CA" w14:textId="77777777" w:rsidR="00257960" w:rsidRDefault="00257960" w:rsidP="009767AD">
            <w:pPr>
              <w:spacing w:line="480" w:lineRule="auto"/>
              <w:jc w:val="center"/>
            </w:pPr>
            <w:r>
              <w:t>4 (4.5)</w:t>
            </w:r>
          </w:p>
        </w:tc>
        <w:tc>
          <w:tcPr>
            <w:tcW w:w="3359" w:type="dxa"/>
          </w:tcPr>
          <w:p w14:paraId="5FF934D3" w14:textId="77777777" w:rsidR="00257960" w:rsidRDefault="00257960" w:rsidP="009767AD">
            <w:pPr>
              <w:spacing w:line="480" w:lineRule="auto"/>
              <w:jc w:val="center"/>
            </w:pPr>
            <w:r>
              <w:t>9.3</w:t>
            </w:r>
          </w:p>
        </w:tc>
      </w:tr>
      <w:tr w:rsidR="00257960" w14:paraId="1EDDFDA9" w14:textId="77777777" w:rsidTr="009767AD">
        <w:tc>
          <w:tcPr>
            <w:tcW w:w="1951" w:type="dxa"/>
          </w:tcPr>
          <w:p w14:paraId="35FFC121" w14:textId="77777777" w:rsidR="00257960" w:rsidRDefault="00257960" w:rsidP="009767AD">
            <w:pPr>
              <w:spacing w:line="480" w:lineRule="auto"/>
            </w:pPr>
            <w:r>
              <w:t>TACO</w:t>
            </w:r>
          </w:p>
        </w:tc>
        <w:tc>
          <w:tcPr>
            <w:tcW w:w="2268" w:type="dxa"/>
          </w:tcPr>
          <w:p w14:paraId="2FA0D14D" w14:textId="77777777" w:rsidR="00257960" w:rsidRDefault="00257960" w:rsidP="009767AD">
            <w:pPr>
              <w:spacing w:line="480" w:lineRule="auto"/>
              <w:jc w:val="center"/>
            </w:pPr>
            <w:r>
              <w:t>2 (2.3)</w:t>
            </w:r>
          </w:p>
        </w:tc>
        <w:tc>
          <w:tcPr>
            <w:tcW w:w="3359" w:type="dxa"/>
          </w:tcPr>
          <w:p w14:paraId="478A474C" w14:textId="77777777" w:rsidR="00257960" w:rsidRDefault="00257960" w:rsidP="009767AD">
            <w:pPr>
              <w:spacing w:line="480" w:lineRule="auto"/>
              <w:jc w:val="center"/>
            </w:pPr>
            <w:r>
              <w:t>4.6</w:t>
            </w:r>
          </w:p>
        </w:tc>
      </w:tr>
      <w:tr w:rsidR="00257960" w14:paraId="7E665472" w14:textId="77777777" w:rsidTr="009767AD">
        <w:tc>
          <w:tcPr>
            <w:tcW w:w="1951" w:type="dxa"/>
          </w:tcPr>
          <w:p w14:paraId="45590812" w14:textId="77777777" w:rsidR="00257960" w:rsidRDefault="00257960" w:rsidP="009767AD">
            <w:pPr>
              <w:spacing w:line="480" w:lineRule="auto"/>
            </w:pPr>
            <w:r>
              <w:t>TAD</w:t>
            </w:r>
          </w:p>
        </w:tc>
        <w:tc>
          <w:tcPr>
            <w:tcW w:w="2268" w:type="dxa"/>
          </w:tcPr>
          <w:p w14:paraId="039785EA" w14:textId="77777777" w:rsidR="00257960" w:rsidRDefault="00257960" w:rsidP="009767AD">
            <w:pPr>
              <w:spacing w:line="480" w:lineRule="auto"/>
              <w:jc w:val="center"/>
            </w:pPr>
            <w:r>
              <w:t>1 (1.1)</w:t>
            </w:r>
          </w:p>
        </w:tc>
        <w:tc>
          <w:tcPr>
            <w:tcW w:w="3359" w:type="dxa"/>
          </w:tcPr>
          <w:p w14:paraId="66F920A5" w14:textId="77777777" w:rsidR="00257960" w:rsidRDefault="00257960" w:rsidP="009767AD">
            <w:pPr>
              <w:spacing w:line="480" w:lineRule="auto"/>
              <w:jc w:val="center"/>
            </w:pPr>
            <w:r>
              <w:t>2.3</w:t>
            </w:r>
          </w:p>
        </w:tc>
      </w:tr>
      <w:tr w:rsidR="00257960" w14:paraId="3415ADA5" w14:textId="77777777" w:rsidTr="009767AD">
        <w:tc>
          <w:tcPr>
            <w:tcW w:w="1951" w:type="dxa"/>
          </w:tcPr>
          <w:p w14:paraId="36C298F1" w14:textId="77777777" w:rsidR="00257960" w:rsidRDefault="00257960" w:rsidP="009767AD">
            <w:pPr>
              <w:spacing w:line="480" w:lineRule="auto"/>
            </w:pPr>
            <w:r>
              <w:t>Death</w:t>
            </w:r>
          </w:p>
        </w:tc>
        <w:tc>
          <w:tcPr>
            <w:tcW w:w="2268" w:type="dxa"/>
          </w:tcPr>
          <w:p w14:paraId="62723562" w14:textId="77777777" w:rsidR="00257960" w:rsidRDefault="00257960" w:rsidP="009767AD">
            <w:pPr>
              <w:spacing w:line="480" w:lineRule="auto"/>
              <w:jc w:val="center"/>
            </w:pPr>
            <w:r>
              <w:t>1 (1.1)</w:t>
            </w:r>
          </w:p>
        </w:tc>
        <w:tc>
          <w:tcPr>
            <w:tcW w:w="3359" w:type="dxa"/>
          </w:tcPr>
          <w:p w14:paraId="5276D6A7" w14:textId="77777777" w:rsidR="00257960" w:rsidRDefault="00257960" w:rsidP="009767AD">
            <w:pPr>
              <w:spacing w:line="480" w:lineRule="auto"/>
              <w:jc w:val="center"/>
            </w:pPr>
            <w:r>
              <w:t>2.3</w:t>
            </w:r>
          </w:p>
        </w:tc>
      </w:tr>
      <w:tr w:rsidR="00257960" w14:paraId="54EAF55E" w14:textId="77777777" w:rsidTr="009767AD">
        <w:tc>
          <w:tcPr>
            <w:tcW w:w="1951" w:type="dxa"/>
          </w:tcPr>
          <w:p w14:paraId="3EB358C6" w14:textId="77777777" w:rsidR="00257960" w:rsidRDefault="00257960" w:rsidP="009767AD">
            <w:pPr>
              <w:spacing w:line="480" w:lineRule="auto"/>
            </w:pPr>
            <w:r>
              <w:t>Unclassified</w:t>
            </w:r>
          </w:p>
        </w:tc>
        <w:tc>
          <w:tcPr>
            <w:tcW w:w="2268" w:type="dxa"/>
          </w:tcPr>
          <w:p w14:paraId="016188DD" w14:textId="77777777" w:rsidR="00257960" w:rsidRDefault="00257960" w:rsidP="009767AD">
            <w:pPr>
              <w:spacing w:line="480" w:lineRule="auto"/>
              <w:jc w:val="center"/>
            </w:pPr>
            <w:r>
              <w:t>11 (12.5)</w:t>
            </w:r>
          </w:p>
        </w:tc>
        <w:tc>
          <w:tcPr>
            <w:tcW w:w="3359" w:type="dxa"/>
          </w:tcPr>
          <w:p w14:paraId="15CC2D1A" w14:textId="77777777" w:rsidR="00257960" w:rsidRDefault="00257960" w:rsidP="009767AD">
            <w:pPr>
              <w:spacing w:line="480" w:lineRule="auto"/>
              <w:jc w:val="center"/>
            </w:pPr>
            <w:r>
              <w:t>25.4</w:t>
            </w:r>
          </w:p>
        </w:tc>
      </w:tr>
      <w:tr w:rsidR="00257960" w14:paraId="02FF5987" w14:textId="77777777" w:rsidTr="009767AD">
        <w:tc>
          <w:tcPr>
            <w:tcW w:w="1951" w:type="dxa"/>
          </w:tcPr>
          <w:p w14:paraId="54D401F5" w14:textId="77777777" w:rsidR="00257960" w:rsidRDefault="00257960" w:rsidP="009767AD">
            <w:pPr>
              <w:spacing w:line="480" w:lineRule="auto"/>
            </w:pPr>
            <w:r>
              <w:t>Total</w:t>
            </w:r>
          </w:p>
        </w:tc>
        <w:tc>
          <w:tcPr>
            <w:tcW w:w="2268" w:type="dxa"/>
          </w:tcPr>
          <w:p w14:paraId="645BFE40" w14:textId="77777777" w:rsidR="00257960" w:rsidRDefault="00257960" w:rsidP="009767AD">
            <w:pPr>
              <w:spacing w:line="480" w:lineRule="auto"/>
              <w:jc w:val="center"/>
            </w:pPr>
            <w:r>
              <w:t>88 (100)</w:t>
            </w:r>
          </w:p>
        </w:tc>
        <w:tc>
          <w:tcPr>
            <w:tcW w:w="3359" w:type="dxa"/>
          </w:tcPr>
          <w:p w14:paraId="3835CCD2" w14:textId="77777777" w:rsidR="00257960" w:rsidRDefault="00257960" w:rsidP="009767AD">
            <w:pPr>
              <w:spacing w:line="480" w:lineRule="auto"/>
              <w:jc w:val="center"/>
            </w:pPr>
            <w:r>
              <w:t>203.7</w:t>
            </w:r>
          </w:p>
        </w:tc>
      </w:tr>
    </w:tbl>
    <w:p w14:paraId="191A3D3A" w14:textId="77777777" w:rsidR="00257960" w:rsidRDefault="00257960" w:rsidP="00257960">
      <w:pPr>
        <w:spacing w:line="480" w:lineRule="auto"/>
      </w:pPr>
    </w:p>
    <w:p w14:paraId="1EABA1DB" w14:textId="77777777" w:rsidR="00257960" w:rsidRDefault="00257960" w:rsidP="00257960">
      <w:pPr>
        <w:spacing w:line="480" w:lineRule="auto"/>
      </w:pPr>
      <w:r>
        <w:t>TACO = Transfusion Associated Circulatory Overload; TAD = Transfusion Associated Dyspnea</w:t>
      </w:r>
    </w:p>
    <w:p w14:paraId="396D197D" w14:textId="77777777" w:rsidR="00257960" w:rsidRDefault="00257960" w:rsidP="00257960">
      <w:pPr>
        <w:spacing w:line="480" w:lineRule="auto"/>
      </w:pPr>
    </w:p>
    <w:p w14:paraId="642AEA33" w14:textId="77777777" w:rsidR="00257960" w:rsidRDefault="00257960" w:rsidP="00367E23">
      <w:pPr>
        <w:spacing w:line="480" w:lineRule="auto"/>
      </w:pPr>
    </w:p>
    <w:p w14:paraId="2F41BD78" w14:textId="77777777" w:rsidR="00257960" w:rsidRDefault="00257960" w:rsidP="00367E23">
      <w:pPr>
        <w:spacing w:line="480" w:lineRule="auto"/>
      </w:pPr>
    </w:p>
    <w:p w14:paraId="080E6BEE" w14:textId="77777777" w:rsidR="00257960" w:rsidRDefault="00257960" w:rsidP="00367E23">
      <w:pPr>
        <w:spacing w:line="480" w:lineRule="auto"/>
      </w:pPr>
    </w:p>
    <w:p w14:paraId="2C4F39F1" w14:textId="77777777" w:rsidR="00257960" w:rsidRDefault="00257960" w:rsidP="00367E23">
      <w:pPr>
        <w:spacing w:line="480" w:lineRule="auto"/>
      </w:pPr>
    </w:p>
    <w:p w14:paraId="766E9A08" w14:textId="77777777" w:rsidR="00257960" w:rsidRDefault="00257960" w:rsidP="00367E23">
      <w:pPr>
        <w:spacing w:line="480" w:lineRule="auto"/>
      </w:pPr>
    </w:p>
    <w:p w14:paraId="3B6AD7BF" w14:textId="77777777" w:rsidR="00257960" w:rsidRDefault="00257960" w:rsidP="00257960">
      <w:pPr>
        <w:spacing w:line="480" w:lineRule="auto"/>
      </w:pPr>
    </w:p>
    <w:p w14:paraId="0CE394D4" w14:textId="77777777" w:rsidR="00257960" w:rsidRDefault="00257960" w:rsidP="00257960">
      <w:pPr>
        <w:spacing w:line="480" w:lineRule="auto"/>
      </w:pPr>
      <w:r>
        <w:lastRenderedPageBreak/>
        <w:t>Table 3:  Events for which the blood transfusion was discontinued.</w:t>
      </w:r>
    </w:p>
    <w:tbl>
      <w:tblPr>
        <w:tblStyle w:val="MediumList1-Accent11"/>
        <w:tblW w:w="0" w:type="auto"/>
        <w:tblLook w:val="04A0" w:firstRow="1" w:lastRow="0" w:firstColumn="1" w:lastColumn="0" w:noHBand="0" w:noVBand="1"/>
      </w:tblPr>
      <w:tblGrid>
        <w:gridCol w:w="3936"/>
        <w:gridCol w:w="2835"/>
      </w:tblGrid>
      <w:tr w:rsidR="00257960" w14:paraId="609CF25A" w14:textId="77777777" w:rsidTr="009767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11D145B6" w14:textId="77777777" w:rsidR="00257960" w:rsidRDefault="00257960" w:rsidP="009767AD">
            <w:pPr>
              <w:spacing w:line="480" w:lineRule="auto"/>
              <w:jc w:val="center"/>
            </w:pPr>
            <w:r>
              <w:t>Type of Transfusion event</w:t>
            </w:r>
          </w:p>
        </w:tc>
        <w:tc>
          <w:tcPr>
            <w:tcW w:w="2835" w:type="dxa"/>
            <w:shd w:val="clear" w:color="auto" w:fill="auto"/>
          </w:tcPr>
          <w:p w14:paraId="246C0F8A" w14:textId="77777777" w:rsidR="00257960" w:rsidRPr="00940616" w:rsidRDefault="00257960" w:rsidP="009767AD">
            <w:pPr>
              <w:spacing w:line="480" w:lineRule="auto"/>
              <w:jc w:val="center"/>
              <w:cnfStyle w:val="100000000000" w:firstRow="1" w:lastRow="0" w:firstColumn="0" w:lastColumn="0" w:oddVBand="0" w:evenVBand="0" w:oddHBand="0" w:evenHBand="0" w:firstRowFirstColumn="0" w:firstRowLastColumn="0" w:lastRowFirstColumn="0" w:lastRowLastColumn="0"/>
              <w:rPr>
                <w:b/>
              </w:rPr>
            </w:pPr>
            <w:r w:rsidRPr="00940616">
              <w:rPr>
                <w:b/>
              </w:rPr>
              <w:t>Number (Percentage)</w:t>
            </w:r>
          </w:p>
        </w:tc>
      </w:tr>
      <w:tr w:rsidR="00257960" w14:paraId="6943A325" w14:textId="77777777" w:rsidTr="00976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000A6301" w14:textId="77777777" w:rsidR="00257960" w:rsidRPr="00940616" w:rsidRDefault="00257960" w:rsidP="009767AD">
            <w:pPr>
              <w:spacing w:line="480" w:lineRule="auto"/>
              <w:rPr>
                <w:b w:val="0"/>
              </w:rPr>
            </w:pPr>
            <w:r w:rsidRPr="00940616">
              <w:rPr>
                <w:b w:val="0"/>
              </w:rPr>
              <w:t xml:space="preserve">Acute febrile transfusion reaction </w:t>
            </w:r>
          </w:p>
        </w:tc>
        <w:tc>
          <w:tcPr>
            <w:tcW w:w="2835" w:type="dxa"/>
            <w:shd w:val="clear" w:color="auto" w:fill="auto"/>
          </w:tcPr>
          <w:p w14:paraId="2984DDF4" w14:textId="77777777" w:rsidR="00257960" w:rsidRDefault="00257960" w:rsidP="009767AD">
            <w:pPr>
              <w:spacing w:line="480" w:lineRule="auto"/>
              <w:jc w:val="center"/>
              <w:cnfStyle w:val="000000100000" w:firstRow="0" w:lastRow="0" w:firstColumn="0" w:lastColumn="0" w:oddVBand="0" w:evenVBand="0" w:oddHBand="1" w:evenHBand="0" w:firstRowFirstColumn="0" w:firstRowLastColumn="0" w:lastRowFirstColumn="0" w:lastRowLastColumn="0"/>
            </w:pPr>
            <w:r>
              <w:t>7 (43.8)</w:t>
            </w:r>
          </w:p>
        </w:tc>
      </w:tr>
      <w:tr w:rsidR="00257960" w14:paraId="122BD0E7" w14:textId="77777777" w:rsidTr="009767AD">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62D6B12F" w14:textId="77777777" w:rsidR="00257960" w:rsidRPr="00940616" w:rsidRDefault="00257960" w:rsidP="009767AD">
            <w:pPr>
              <w:spacing w:line="480" w:lineRule="auto"/>
              <w:rPr>
                <w:b w:val="0"/>
              </w:rPr>
            </w:pPr>
            <w:r>
              <w:rPr>
                <w:b w:val="0"/>
              </w:rPr>
              <w:t>Acute allergic</w:t>
            </w:r>
            <w:r w:rsidRPr="00940616">
              <w:rPr>
                <w:b w:val="0"/>
              </w:rPr>
              <w:t xml:space="preserve"> transfusion reaction</w:t>
            </w:r>
          </w:p>
        </w:tc>
        <w:tc>
          <w:tcPr>
            <w:tcW w:w="2835" w:type="dxa"/>
            <w:shd w:val="clear" w:color="auto" w:fill="auto"/>
          </w:tcPr>
          <w:p w14:paraId="615843BF" w14:textId="77777777" w:rsidR="00257960" w:rsidRDefault="00257960" w:rsidP="009767AD">
            <w:pPr>
              <w:spacing w:line="480" w:lineRule="auto"/>
              <w:jc w:val="center"/>
              <w:cnfStyle w:val="000000000000" w:firstRow="0" w:lastRow="0" w:firstColumn="0" w:lastColumn="0" w:oddVBand="0" w:evenVBand="0" w:oddHBand="0" w:evenHBand="0" w:firstRowFirstColumn="0" w:firstRowLastColumn="0" w:lastRowFirstColumn="0" w:lastRowLastColumn="0"/>
            </w:pPr>
            <w:r>
              <w:t>5 (31.2)</w:t>
            </w:r>
          </w:p>
        </w:tc>
      </w:tr>
      <w:tr w:rsidR="00257960" w14:paraId="29DAACDC" w14:textId="77777777" w:rsidTr="00976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35F9F194" w14:textId="77777777" w:rsidR="00257960" w:rsidRDefault="00257960" w:rsidP="009767AD">
            <w:pPr>
              <w:spacing w:line="480" w:lineRule="auto"/>
              <w:rPr>
                <w:b w:val="0"/>
              </w:rPr>
            </w:pPr>
            <w:r>
              <w:rPr>
                <w:b w:val="0"/>
              </w:rPr>
              <w:t>Clots in blood bag</w:t>
            </w:r>
          </w:p>
          <w:p w14:paraId="50B5956E" w14:textId="77777777" w:rsidR="00257960" w:rsidRPr="00940616" w:rsidRDefault="00257960" w:rsidP="009767AD">
            <w:pPr>
              <w:spacing w:line="480" w:lineRule="auto"/>
              <w:rPr>
                <w:b w:val="0"/>
              </w:rPr>
            </w:pPr>
            <w:r w:rsidRPr="00940616">
              <w:rPr>
                <w:b w:val="0"/>
              </w:rPr>
              <w:t>TACO</w:t>
            </w:r>
          </w:p>
        </w:tc>
        <w:tc>
          <w:tcPr>
            <w:tcW w:w="2835" w:type="dxa"/>
            <w:shd w:val="clear" w:color="auto" w:fill="auto"/>
          </w:tcPr>
          <w:p w14:paraId="61326E8E" w14:textId="77777777" w:rsidR="00257960" w:rsidRDefault="00257960" w:rsidP="009767AD">
            <w:pPr>
              <w:spacing w:line="480" w:lineRule="auto"/>
              <w:jc w:val="center"/>
              <w:cnfStyle w:val="000000100000" w:firstRow="0" w:lastRow="0" w:firstColumn="0" w:lastColumn="0" w:oddVBand="0" w:evenVBand="0" w:oddHBand="1" w:evenHBand="0" w:firstRowFirstColumn="0" w:firstRowLastColumn="0" w:lastRowFirstColumn="0" w:lastRowLastColumn="0"/>
            </w:pPr>
            <w:r>
              <w:t>4 (20.0)</w:t>
            </w:r>
          </w:p>
          <w:p w14:paraId="66C8365E" w14:textId="77777777" w:rsidR="00257960" w:rsidRDefault="00257960" w:rsidP="009767AD">
            <w:pPr>
              <w:spacing w:line="480" w:lineRule="auto"/>
              <w:jc w:val="center"/>
              <w:cnfStyle w:val="000000100000" w:firstRow="0" w:lastRow="0" w:firstColumn="0" w:lastColumn="0" w:oddVBand="0" w:evenVBand="0" w:oddHBand="1" w:evenHBand="0" w:firstRowFirstColumn="0" w:firstRowLastColumn="0" w:lastRowFirstColumn="0" w:lastRowLastColumn="0"/>
            </w:pPr>
            <w:r>
              <w:t>2 (12.5)</w:t>
            </w:r>
          </w:p>
        </w:tc>
      </w:tr>
      <w:tr w:rsidR="00257960" w14:paraId="18B7BD16" w14:textId="77777777" w:rsidTr="009767AD">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45263F4D" w14:textId="77777777" w:rsidR="00257960" w:rsidRPr="00940616" w:rsidRDefault="00257960" w:rsidP="009767AD">
            <w:pPr>
              <w:spacing w:line="480" w:lineRule="auto"/>
              <w:rPr>
                <w:b w:val="0"/>
              </w:rPr>
            </w:pPr>
            <w:r w:rsidRPr="00940616">
              <w:rPr>
                <w:b w:val="0"/>
              </w:rPr>
              <w:t>Acute haemolytic reaction</w:t>
            </w:r>
          </w:p>
        </w:tc>
        <w:tc>
          <w:tcPr>
            <w:tcW w:w="2835" w:type="dxa"/>
            <w:shd w:val="clear" w:color="auto" w:fill="auto"/>
          </w:tcPr>
          <w:p w14:paraId="67573C78" w14:textId="77777777" w:rsidR="00257960" w:rsidRDefault="00257960" w:rsidP="009767AD">
            <w:pPr>
              <w:spacing w:line="480" w:lineRule="auto"/>
              <w:jc w:val="center"/>
              <w:cnfStyle w:val="000000000000" w:firstRow="0" w:lastRow="0" w:firstColumn="0" w:lastColumn="0" w:oddVBand="0" w:evenVBand="0" w:oddHBand="0" w:evenHBand="0" w:firstRowFirstColumn="0" w:firstRowLastColumn="0" w:lastRowFirstColumn="0" w:lastRowLastColumn="0"/>
            </w:pPr>
            <w:r>
              <w:t>1 (6.3)</w:t>
            </w:r>
          </w:p>
        </w:tc>
      </w:tr>
      <w:tr w:rsidR="00257960" w14:paraId="4B5EB597" w14:textId="77777777" w:rsidTr="00976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5BDDA146" w14:textId="77777777" w:rsidR="00257960" w:rsidRPr="00940616" w:rsidRDefault="00257960" w:rsidP="009767AD">
            <w:pPr>
              <w:spacing w:line="480" w:lineRule="auto"/>
              <w:rPr>
                <w:b w:val="0"/>
              </w:rPr>
            </w:pPr>
            <w:r w:rsidRPr="00940616">
              <w:rPr>
                <w:b w:val="0"/>
              </w:rPr>
              <w:t xml:space="preserve">Death </w:t>
            </w:r>
          </w:p>
        </w:tc>
        <w:tc>
          <w:tcPr>
            <w:tcW w:w="2835" w:type="dxa"/>
            <w:shd w:val="clear" w:color="auto" w:fill="auto"/>
          </w:tcPr>
          <w:p w14:paraId="6080E1AE" w14:textId="77777777" w:rsidR="00257960" w:rsidRDefault="00257960" w:rsidP="009767AD">
            <w:pPr>
              <w:spacing w:line="480" w:lineRule="auto"/>
              <w:jc w:val="center"/>
              <w:cnfStyle w:val="000000100000" w:firstRow="0" w:lastRow="0" w:firstColumn="0" w:lastColumn="0" w:oddVBand="0" w:evenVBand="0" w:oddHBand="1" w:evenHBand="0" w:firstRowFirstColumn="0" w:firstRowLastColumn="0" w:lastRowFirstColumn="0" w:lastRowLastColumn="0"/>
            </w:pPr>
            <w:r>
              <w:t>1 (6.3)</w:t>
            </w:r>
          </w:p>
        </w:tc>
      </w:tr>
      <w:tr w:rsidR="00257960" w14:paraId="047FF516" w14:textId="77777777" w:rsidTr="009767AD">
        <w:tc>
          <w:tcPr>
            <w:cnfStyle w:val="001000000000" w:firstRow="0" w:lastRow="0" w:firstColumn="1" w:lastColumn="0" w:oddVBand="0" w:evenVBand="0" w:oddHBand="0" w:evenHBand="0" w:firstRowFirstColumn="0" w:firstRowLastColumn="0" w:lastRowFirstColumn="0" w:lastRowLastColumn="0"/>
            <w:tcW w:w="3936" w:type="dxa"/>
            <w:tcBorders>
              <w:bottom w:val="single" w:sz="8" w:space="0" w:color="4F81BD" w:themeColor="accent1"/>
            </w:tcBorders>
            <w:shd w:val="clear" w:color="auto" w:fill="auto"/>
          </w:tcPr>
          <w:p w14:paraId="0B69327B" w14:textId="77777777" w:rsidR="00257960" w:rsidRDefault="00257960" w:rsidP="009767AD">
            <w:pPr>
              <w:spacing w:line="480" w:lineRule="auto"/>
            </w:pPr>
          </w:p>
        </w:tc>
        <w:tc>
          <w:tcPr>
            <w:tcW w:w="2835" w:type="dxa"/>
            <w:tcBorders>
              <w:bottom w:val="single" w:sz="8" w:space="0" w:color="4F81BD" w:themeColor="accent1"/>
            </w:tcBorders>
            <w:shd w:val="clear" w:color="auto" w:fill="auto"/>
          </w:tcPr>
          <w:p w14:paraId="5DC25D3E" w14:textId="77777777" w:rsidR="00257960" w:rsidRPr="0043429F" w:rsidRDefault="00257960" w:rsidP="009767AD">
            <w:pPr>
              <w:spacing w:line="480" w:lineRule="auto"/>
              <w:jc w:val="center"/>
              <w:cnfStyle w:val="000000000000" w:firstRow="0" w:lastRow="0" w:firstColumn="0" w:lastColumn="0" w:oddVBand="0" w:evenVBand="0" w:oddHBand="0" w:evenHBand="0" w:firstRowFirstColumn="0" w:firstRowLastColumn="0" w:lastRowFirstColumn="0" w:lastRowLastColumn="0"/>
              <w:rPr>
                <w:b/>
              </w:rPr>
            </w:pPr>
            <w:r w:rsidRPr="0043429F">
              <w:rPr>
                <w:b/>
              </w:rPr>
              <w:t>20 (100)</w:t>
            </w:r>
          </w:p>
        </w:tc>
      </w:tr>
    </w:tbl>
    <w:p w14:paraId="3BE9ED23" w14:textId="77777777" w:rsidR="00257960" w:rsidRDefault="00257960" w:rsidP="00257960">
      <w:pPr>
        <w:spacing w:line="480" w:lineRule="auto"/>
      </w:pPr>
      <w:r>
        <w:t>TACO = Transfusion Associated Circulatory Overload</w:t>
      </w:r>
    </w:p>
    <w:p w14:paraId="183B2EA2" w14:textId="77777777" w:rsidR="00257960" w:rsidRPr="00D56EA3" w:rsidRDefault="00257960" w:rsidP="00257960">
      <w:pPr>
        <w:spacing w:line="480" w:lineRule="auto"/>
      </w:pPr>
    </w:p>
    <w:p w14:paraId="3178CB4D" w14:textId="77777777" w:rsidR="00257960" w:rsidRDefault="00257960" w:rsidP="00257960">
      <w:pPr>
        <w:spacing w:line="480" w:lineRule="auto"/>
      </w:pPr>
    </w:p>
    <w:p w14:paraId="021C29A2" w14:textId="77777777" w:rsidR="00257960" w:rsidRDefault="00257960" w:rsidP="00257960">
      <w:pPr>
        <w:spacing w:line="480" w:lineRule="auto"/>
      </w:pPr>
    </w:p>
    <w:p w14:paraId="0D75EB78" w14:textId="77777777" w:rsidR="00257960" w:rsidRDefault="00257960" w:rsidP="00257960">
      <w:pPr>
        <w:spacing w:line="480" w:lineRule="auto"/>
      </w:pPr>
    </w:p>
    <w:p w14:paraId="0C1809B0" w14:textId="77777777" w:rsidR="00257960" w:rsidRDefault="00257960" w:rsidP="00367E23">
      <w:pPr>
        <w:spacing w:line="480" w:lineRule="auto"/>
      </w:pPr>
    </w:p>
    <w:p w14:paraId="11386441" w14:textId="77777777" w:rsidR="00257960" w:rsidRDefault="00257960" w:rsidP="00367E23">
      <w:pPr>
        <w:spacing w:line="480" w:lineRule="auto"/>
      </w:pPr>
    </w:p>
    <w:sectPr w:rsidR="00257960" w:rsidSect="00160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50zewxe8rf2s4ew09txrd58t5vpew9awvx2&quot;&gt;Alex endnote lib&lt;record-ids&gt;&lt;item&gt;667&lt;/item&gt;&lt;/record-ids&gt;&lt;/item&gt;&lt;/Libraries&gt;"/>
  </w:docVars>
  <w:rsids>
    <w:rsidRoot w:val="002572BF"/>
    <w:rsid w:val="000440EB"/>
    <w:rsid w:val="000675C3"/>
    <w:rsid w:val="00077876"/>
    <w:rsid w:val="000842F8"/>
    <w:rsid w:val="00116C5C"/>
    <w:rsid w:val="00123480"/>
    <w:rsid w:val="001307C9"/>
    <w:rsid w:val="001601BC"/>
    <w:rsid w:val="00163A2C"/>
    <w:rsid w:val="001C363B"/>
    <w:rsid w:val="001C6143"/>
    <w:rsid w:val="002479E0"/>
    <w:rsid w:val="002572BF"/>
    <w:rsid w:val="00257960"/>
    <w:rsid w:val="002B34D1"/>
    <w:rsid w:val="002D3ADC"/>
    <w:rsid w:val="002F4E12"/>
    <w:rsid w:val="00314ABE"/>
    <w:rsid w:val="00326844"/>
    <w:rsid w:val="00335552"/>
    <w:rsid w:val="00340DDA"/>
    <w:rsid w:val="00367E23"/>
    <w:rsid w:val="0043429F"/>
    <w:rsid w:val="0045629A"/>
    <w:rsid w:val="004B4593"/>
    <w:rsid w:val="0054332B"/>
    <w:rsid w:val="005715D8"/>
    <w:rsid w:val="00584BCF"/>
    <w:rsid w:val="005E0204"/>
    <w:rsid w:val="006016BD"/>
    <w:rsid w:val="00637B49"/>
    <w:rsid w:val="006E276A"/>
    <w:rsid w:val="00783318"/>
    <w:rsid w:val="007A2FF8"/>
    <w:rsid w:val="007E668E"/>
    <w:rsid w:val="00847E04"/>
    <w:rsid w:val="008D5F07"/>
    <w:rsid w:val="009F0A48"/>
    <w:rsid w:val="009F688A"/>
    <w:rsid w:val="00A3036E"/>
    <w:rsid w:val="00A42B29"/>
    <w:rsid w:val="00A770EB"/>
    <w:rsid w:val="00AF3161"/>
    <w:rsid w:val="00B533F7"/>
    <w:rsid w:val="00B56E65"/>
    <w:rsid w:val="00BE0719"/>
    <w:rsid w:val="00BE6162"/>
    <w:rsid w:val="00C401C6"/>
    <w:rsid w:val="00C40760"/>
    <w:rsid w:val="00C77088"/>
    <w:rsid w:val="00CC2191"/>
    <w:rsid w:val="00D12E3F"/>
    <w:rsid w:val="00D56EA3"/>
    <w:rsid w:val="00D6318E"/>
    <w:rsid w:val="00DA2B4C"/>
    <w:rsid w:val="00DD1E67"/>
    <w:rsid w:val="00DF2E49"/>
    <w:rsid w:val="00E20A72"/>
    <w:rsid w:val="00E25F7C"/>
    <w:rsid w:val="00E321AE"/>
    <w:rsid w:val="00E413AD"/>
    <w:rsid w:val="00E41457"/>
    <w:rsid w:val="00E50631"/>
    <w:rsid w:val="00E71EDE"/>
    <w:rsid w:val="00E73996"/>
    <w:rsid w:val="00EE1C7E"/>
    <w:rsid w:val="00F00847"/>
    <w:rsid w:val="00F229DF"/>
    <w:rsid w:val="00F9711D"/>
    <w:rsid w:val="00FB1002"/>
    <w:rsid w:val="00FC12AB"/>
    <w:rsid w:val="00FD5E6C"/>
    <w:rsid w:val="00FD7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FD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11">
    <w:name w:val="Medium List 1 - Accent 11"/>
    <w:basedOn w:val="TableNormal"/>
    <w:uiPriority w:val="65"/>
    <w:rsid w:val="00BE6162"/>
    <w:pPr>
      <w:spacing w:after="0" w:line="240" w:lineRule="auto"/>
    </w:pPr>
    <w:rPr>
      <w:color w:val="000000" w:themeColor="text1"/>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DecimalAligned">
    <w:name w:val="Decimal Aligned"/>
    <w:basedOn w:val="Normal"/>
    <w:uiPriority w:val="40"/>
    <w:qFormat/>
    <w:rsid w:val="00BE6162"/>
    <w:pPr>
      <w:tabs>
        <w:tab w:val="decimal" w:pos="360"/>
      </w:tabs>
    </w:pPr>
    <w:rPr>
      <w:rFonts w:eastAsiaTheme="minorEastAsia"/>
    </w:rPr>
  </w:style>
  <w:style w:type="paragraph" w:styleId="FootnoteText">
    <w:name w:val="footnote text"/>
    <w:basedOn w:val="Normal"/>
    <w:link w:val="FootnoteTextChar"/>
    <w:uiPriority w:val="99"/>
    <w:unhideWhenUsed/>
    <w:rsid w:val="00BE616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E6162"/>
    <w:rPr>
      <w:rFonts w:eastAsiaTheme="minorEastAsia"/>
      <w:sz w:val="20"/>
      <w:szCs w:val="20"/>
    </w:rPr>
  </w:style>
  <w:style w:type="character" w:styleId="SubtleEmphasis">
    <w:name w:val="Subtle Emphasis"/>
    <w:basedOn w:val="DefaultParagraphFont"/>
    <w:uiPriority w:val="19"/>
    <w:qFormat/>
    <w:rsid w:val="00BE6162"/>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BE6162"/>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8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2F8"/>
    <w:rPr>
      <w:rFonts w:ascii="Tahoma" w:hAnsi="Tahoma" w:cs="Tahoma"/>
      <w:sz w:val="16"/>
      <w:szCs w:val="16"/>
    </w:rPr>
  </w:style>
  <w:style w:type="table" w:customStyle="1" w:styleId="LightShading1">
    <w:name w:val="Light Shading1"/>
    <w:basedOn w:val="TableNormal"/>
    <w:uiPriority w:val="60"/>
    <w:rsid w:val="00C401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479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11">
    <w:name w:val="Medium List 1 - Accent 11"/>
    <w:basedOn w:val="TableNormal"/>
    <w:uiPriority w:val="65"/>
    <w:rsid w:val="00BE6162"/>
    <w:pPr>
      <w:spacing w:after="0" w:line="240" w:lineRule="auto"/>
    </w:pPr>
    <w:rPr>
      <w:color w:val="000000" w:themeColor="text1"/>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DecimalAligned">
    <w:name w:val="Decimal Aligned"/>
    <w:basedOn w:val="Normal"/>
    <w:uiPriority w:val="40"/>
    <w:qFormat/>
    <w:rsid w:val="00BE6162"/>
    <w:pPr>
      <w:tabs>
        <w:tab w:val="decimal" w:pos="360"/>
      </w:tabs>
    </w:pPr>
    <w:rPr>
      <w:rFonts w:eastAsiaTheme="minorEastAsia"/>
    </w:rPr>
  </w:style>
  <w:style w:type="paragraph" w:styleId="FootnoteText">
    <w:name w:val="footnote text"/>
    <w:basedOn w:val="Normal"/>
    <w:link w:val="FootnoteTextChar"/>
    <w:uiPriority w:val="99"/>
    <w:unhideWhenUsed/>
    <w:rsid w:val="00BE616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E6162"/>
    <w:rPr>
      <w:rFonts w:eastAsiaTheme="minorEastAsia"/>
      <w:sz w:val="20"/>
      <w:szCs w:val="20"/>
    </w:rPr>
  </w:style>
  <w:style w:type="character" w:styleId="SubtleEmphasis">
    <w:name w:val="Subtle Emphasis"/>
    <w:basedOn w:val="DefaultParagraphFont"/>
    <w:uiPriority w:val="19"/>
    <w:qFormat/>
    <w:rsid w:val="00BE6162"/>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BE6162"/>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8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2F8"/>
    <w:rPr>
      <w:rFonts w:ascii="Tahoma" w:hAnsi="Tahoma" w:cs="Tahoma"/>
      <w:sz w:val="16"/>
      <w:szCs w:val="16"/>
    </w:rPr>
  </w:style>
  <w:style w:type="table" w:customStyle="1" w:styleId="LightShading1">
    <w:name w:val="Light Shading1"/>
    <w:basedOn w:val="TableNormal"/>
    <w:uiPriority w:val="60"/>
    <w:rsid w:val="00C401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47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Adverse%20events\haemovigilance_writeup\paper%20writing\graphs%20for%20haemovigila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Fever</c:v>
                </c:pt>
              </c:strCache>
            </c:strRef>
          </c:tx>
          <c:cat>
            <c:strRef>
              <c:f>Sheet1!$B$1:$G$1</c:f>
              <c:strCache>
                <c:ptCount val="6"/>
                <c:pt idx="0">
                  <c:v>Pre-transfusion</c:v>
                </c:pt>
                <c:pt idx="1">
                  <c:v>15 min into transfusion</c:v>
                </c:pt>
                <c:pt idx="2">
                  <c:v>30 min into transfusion</c:v>
                </c:pt>
                <c:pt idx="3">
                  <c:v>1 hr into transfusion</c:v>
                </c:pt>
                <c:pt idx="4">
                  <c:v>2 hrs into transfusion</c:v>
                </c:pt>
                <c:pt idx="5">
                  <c:v>3 hrs into transfusion</c:v>
                </c:pt>
              </c:strCache>
            </c:strRef>
          </c:cat>
          <c:val>
            <c:numRef>
              <c:f>Sheet1!$B$2:$G$2</c:f>
              <c:numCache>
                <c:formatCode>General</c:formatCode>
                <c:ptCount val="6"/>
                <c:pt idx="0">
                  <c:v>12.5</c:v>
                </c:pt>
                <c:pt idx="1">
                  <c:v>12.3</c:v>
                </c:pt>
                <c:pt idx="2">
                  <c:v>8.8</c:v>
                </c:pt>
                <c:pt idx="3">
                  <c:v>10.4</c:v>
                </c:pt>
                <c:pt idx="4">
                  <c:v>5.6</c:v>
                </c:pt>
                <c:pt idx="5">
                  <c:v>2.3</c:v>
                </c:pt>
              </c:numCache>
            </c:numRef>
          </c:val>
          <c:smooth val="0"/>
        </c:ser>
        <c:ser>
          <c:idx val="1"/>
          <c:order val="1"/>
          <c:tx>
            <c:strRef>
              <c:f>Sheet1!$A$4</c:f>
              <c:strCache>
                <c:ptCount val="1"/>
                <c:pt idx="0">
                  <c:v>Tachypnea</c:v>
                </c:pt>
              </c:strCache>
            </c:strRef>
          </c:tx>
          <c:cat>
            <c:strRef>
              <c:f>Sheet1!$B$1:$G$1</c:f>
              <c:strCache>
                <c:ptCount val="6"/>
                <c:pt idx="0">
                  <c:v>Pre-transfusion</c:v>
                </c:pt>
                <c:pt idx="1">
                  <c:v>15 min into transfusion</c:v>
                </c:pt>
                <c:pt idx="2">
                  <c:v>30 min into transfusion</c:v>
                </c:pt>
                <c:pt idx="3">
                  <c:v>1 hr into transfusion</c:v>
                </c:pt>
                <c:pt idx="4">
                  <c:v>2 hrs into transfusion</c:v>
                </c:pt>
                <c:pt idx="5">
                  <c:v>3 hrs into transfusion</c:v>
                </c:pt>
              </c:strCache>
            </c:strRef>
          </c:cat>
          <c:val>
            <c:numRef>
              <c:f>Sheet1!$B$4:$G$4</c:f>
              <c:numCache>
                <c:formatCode>General</c:formatCode>
                <c:ptCount val="6"/>
                <c:pt idx="0">
                  <c:v>12.0</c:v>
                </c:pt>
                <c:pt idx="1">
                  <c:v>10.0</c:v>
                </c:pt>
                <c:pt idx="2">
                  <c:v>8.1</c:v>
                </c:pt>
                <c:pt idx="3">
                  <c:v>7.2</c:v>
                </c:pt>
                <c:pt idx="4">
                  <c:v>4.2</c:v>
                </c:pt>
                <c:pt idx="5">
                  <c:v>1.9</c:v>
                </c:pt>
              </c:numCache>
            </c:numRef>
          </c:val>
          <c:smooth val="0"/>
        </c:ser>
        <c:ser>
          <c:idx val="2"/>
          <c:order val="2"/>
          <c:tx>
            <c:strRef>
              <c:f>Sheet1!$A$5</c:f>
              <c:strCache>
                <c:ptCount val="1"/>
                <c:pt idx="0">
                  <c:v>Tachycardia</c:v>
                </c:pt>
              </c:strCache>
            </c:strRef>
          </c:tx>
          <c:cat>
            <c:strRef>
              <c:f>Sheet1!$B$1:$G$1</c:f>
              <c:strCache>
                <c:ptCount val="6"/>
                <c:pt idx="0">
                  <c:v>Pre-transfusion</c:v>
                </c:pt>
                <c:pt idx="1">
                  <c:v>15 min into transfusion</c:v>
                </c:pt>
                <c:pt idx="2">
                  <c:v>30 min into transfusion</c:v>
                </c:pt>
                <c:pt idx="3">
                  <c:v>1 hr into transfusion</c:v>
                </c:pt>
                <c:pt idx="4">
                  <c:v>2 hrs into transfusion</c:v>
                </c:pt>
                <c:pt idx="5">
                  <c:v>3 hrs into transfusion</c:v>
                </c:pt>
              </c:strCache>
            </c:strRef>
          </c:cat>
          <c:val>
            <c:numRef>
              <c:f>Sheet1!$B$5:$G$5</c:f>
              <c:numCache>
                <c:formatCode>General</c:formatCode>
                <c:ptCount val="6"/>
                <c:pt idx="0">
                  <c:v>21.1</c:v>
                </c:pt>
                <c:pt idx="1">
                  <c:v>17.4</c:v>
                </c:pt>
                <c:pt idx="2">
                  <c:v>14.1</c:v>
                </c:pt>
                <c:pt idx="3">
                  <c:v>14.1</c:v>
                </c:pt>
                <c:pt idx="4">
                  <c:v>9.3</c:v>
                </c:pt>
                <c:pt idx="5">
                  <c:v>2.5</c:v>
                </c:pt>
              </c:numCache>
            </c:numRef>
          </c:val>
          <c:smooth val="0"/>
        </c:ser>
        <c:ser>
          <c:idx val="3"/>
          <c:order val="3"/>
          <c:tx>
            <c:strRef>
              <c:f>Sheet1!$A$6</c:f>
              <c:strCache>
                <c:ptCount val="1"/>
                <c:pt idx="0">
                  <c:v>Bradycardia</c:v>
                </c:pt>
              </c:strCache>
            </c:strRef>
          </c:tx>
          <c:cat>
            <c:strRef>
              <c:f>Sheet1!$B$1:$G$1</c:f>
              <c:strCache>
                <c:ptCount val="6"/>
                <c:pt idx="0">
                  <c:v>Pre-transfusion</c:v>
                </c:pt>
                <c:pt idx="1">
                  <c:v>15 min into transfusion</c:v>
                </c:pt>
                <c:pt idx="2">
                  <c:v>30 min into transfusion</c:v>
                </c:pt>
                <c:pt idx="3">
                  <c:v>1 hr into transfusion</c:v>
                </c:pt>
                <c:pt idx="4">
                  <c:v>2 hrs into transfusion</c:v>
                </c:pt>
                <c:pt idx="5">
                  <c:v>3 hrs into transfusion</c:v>
                </c:pt>
              </c:strCache>
            </c:strRef>
          </c:cat>
          <c:val>
            <c:numRef>
              <c:f>Sheet1!$B$6:$G$6</c:f>
              <c:numCache>
                <c:formatCode>General</c:formatCode>
                <c:ptCount val="6"/>
                <c:pt idx="0">
                  <c:v>2.3</c:v>
                </c:pt>
                <c:pt idx="1">
                  <c:v>2.5</c:v>
                </c:pt>
                <c:pt idx="2">
                  <c:v>1.6</c:v>
                </c:pt>
                <c:pt idx="3">
                  <c:v>1.6</c:v>
                </c:pt>
                <c:pt idx="4">
                  <c:v>0.9</c:v>
                </c:pt>
                <c:pt idx="5">
                  <c:v>0.5</c:v>
                </c:pt>
              </c:numCache>
            </c:numRef>
          </c:val>
          <c:smooth val="0"/>
        </c:ser>
        <c:ser>
          <c:idx val="4"/>
          <c:order val="4"/>
          <c:tx>
            <c:strRef>
              <c:f>Sheet1!$A$7</c:f>
              <c:strCache>
                <c:ptCount val="1"/>
                <c:pt idx="0">
                  <c:v>Hypertension</c:v>
                </c:pt>
              </c:strCache>
            </c:strRef>
          </c:tx>
          <c:cat>
            <c:strRef>
              <c:f>Sheet1!$B$1:$G$1</c:f>
              <c:strCache>
                <c:ptCount val="6"/>
                <c:pt idx="0">
                  <c:v>Pre-transfusion</c:v>
                </c:pt>
                <c:pt idx="1">
                  <c:v>15 min into transfusion</c:v>
                </c:pt>
                <c:pt idx="2">
                  <c:v>30 min into transfusion</c:v>
                </c:pt>
                <c:pt idx="3">
                  <c:v>1 hr into transfusion</c:v>
                </c:pt>
                <c:pt idx="4">
                  <c:v>2 hrs into transfusion</c:v>
                </c:pt>
                <c:pt idx="5">
                  <c:v>3 hrs into transfusion</c:v>
                </c:pt>
              </c:strCache>
            </c:strRef>
          </c:cat>
          <c:val>
            <c:numRef>
              <c:f>Sheet1!$B$7:$G$7</c:f>
              <c:numCache>
                <c:formatCode>General</c:formatCode>
                <c:ptCount val="6"/>
                <c:pt idx="0">
                  <c:v>9.3</c:v>
                </c:pt>
                <c:pt idx="1">
                  <c:v>6.5</c:v>
                </c:pt>
                <c:pt idx="2">
                  <c:v>8.8</c:v>
                </c:pt>
                <c:pt idx="3">
                  <c:v>8.8</c:v>
                </c:pt>
                <c:pt idx="4">
                  <c:v>2.8</c:v>
                </c:pt>
                <c:pt idx="5">
                  <c:v>0.2</c:v>
                </c:pt>
              </c:numCache>
            </c:numRef>
          </c:val>
          <c:smooth val="0"/>
        </c:ser>
        <c:ser>
          <c:idx val="5"/>
          <c:order val="5"/>
          <c:tx>
            <c:strRef>
              <c:f>Sheet1!$A$8</c:f>
              <c:strCache>
                <c:ptCount val="1"/>
                <c:pt idx="0">
                  <c:v>Hypotension</c:v>
                </c:pt>
              </c:strCache>
            </c:strRef>
          </c:tx>
          <c:cat>
            <c:strRef>
              <c:f>Sheet1!$B$1:$G$1</c:f>
              <c:strCache>
                <c:ptCount val="6"/>
                <c:pt idx="0">
                  <c:v>Pre-transfusion</c:v>
                </c:pt>
                <c:pt idx="1">
                  <c:v>15 min into transfusion</c:v>
                </c:pt>
                <c:pt idx="2">
                  <c:v>30 min into transfusion</c:v>
                </c:pt>
                <c:pt idx="3">
                  <c:v>1 hr into transfusion</c:v>
                </c:pt>
                <c:pt idx="4">
                  <c:v>2 hrs into transfusion</c:v>
                </c:pt>
                <c:pt idx="5">
                  <c:v>3 hrs into transfusion</c:v>
                </c:pt>
              </c:strCache>
            </c:strRef>
          </c:cat>
          <c:val>
            <c:numRef>
              <c:f>Sheet1!$B$8:$G$8</c:f>
              <c:numCache>
                <c:formatCode>General</c:formatCode>
                <c:ptCount val="6"/>
                <c:pt idx="0">
                  <c:v>6.0</c:v>
                </c:pt>
                <c:pt idx="1">
                  <c:v>4.6</c:v>
                </c:pt>
                <c:pt idx="2">
                  <c:v>1.6</c:v>
                </c:pt>
                <c:pt idx="3">
                  <c:v>1.6</c:v>
                </c:pt>
                <c:pt idx="4">
                  <c:v>2.1</c:v>
                </c:pt>
                <c:pt idx="5">
                  <c:v>0.0</c:v>
                </c:pt>
              </c:numCache>
            </c:numRef>
          </c:val>
          <c:smooth val="0"/>
        </c:ser>
        <c:dLbls>
          <c:showLegendKey val="0"/>
          <c:showVal val="0"/>
          <c:showCatName val="0"/>
          <c:showSerName val="0"/>
          <c:showPercent val="0"/>
          <c:showBubbleSize val="0"/>
        </c:dLbls>
        <c:marker val="1"/>
        <c:smooth val="0"/>
        <c:axId val="2073921032"/>
        <c:axId val="2073343336"/>
      </c:lineChart>
      <c:catAx>
        <c:axId val="2073921032"/>
        <c:scaling>
          <c:orientation val="minMax"/>
        </c:scaling>
        <c:delete val="0"/>
        <c:axPos val="b"/>
        <c:majorTickMark val="out"/>
        <c:minorTickMark val="none"/>
        <c:tickLblPos val="nextTo"/>
        <c:crossAx val="2073343336"/>
        <c:crosses val="autoZero"/>
        <c:auto val="1"/>
        <c:lblAlgn val="ctr"/>
        <c:lblOffset val="100"/>
        <c:noMultiLvlLbl val="0"/>
      </c:catAx>
      <c:valAx>
        <c:axId val="2073343336"/>
        <c:scaling>
          <c:orientation val="minMax"/>
        </c:scaling>
        <c:delete val="0"/>
        <c:axPos val="l"/>
        <c:majorGridlines/>
        <c:title>
          <c:tx>
            <c:rich>
              <a:bodyPr rot="-5400000" vert="horz"/>
              <a:lstStyle/>
              <a:p>
                <a:pPr>
                  <a:defRPr/>
                </a:pPr>
                <a:r>
                  <a:rPr lang="en-GB"/>
                  <a:t>Percentage</a:t>
                </a:r>
              </a:p>
            </c:rich>
          </c:tx>
          <c:layout/>
          <c:overlay val="0"/>
        </c:title>
        <c:numFmt formatCode="General" sourceLinked="1"/>
        <c:majorTickMark val="out"/>
        <c:minorTickMark val="none"/>
        <c:tickLblPos val="nextTo"/>
        <c:crossAx val="207392103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868</Words>
  <Characters>4954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  Owusu Ofori</cp:lastModifiedBy>
  <cp:revision>2</cp:revision>
  <dcterms:created xsi:type="dcterms:W3CDTF">2017-01-21T17:23:00Z</dcterms:created>
  <dcterms:modified xsi:type="dcterms:W3CDTF">2017-01-21T17:23:00Z</dcterms:modified>
</cp:coreProperties>
</file>