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D9FF" w14:textId="3A1BA777" w:rsidR="002B21AA" w:rsidRPr="00687637" w:rsidRDefault="002B21AA" w:rsidP="002B21AA">
      <w:pPr>
        <w:pStyle w:val="Title"/>
        <w:rPr>
          <w:rFonts w:ascii="Times New Roman" w:hAnsi="Times New Roman" w:cs="Times New Roman"/>
        </w:rPr>
      </w:pPr>
      <w:bookmarkStart w:id="0" w:name="_GoBack"/>
      <w:bookmarkEnd w:id="0"/>
      <w:r w:rsidRPr="00687637">
        <w:rPr>
          <w:rFonts w:ascii="Times New Roman" w:hAnsi="Times New Roman" w:cs="Times New Roman"/>
        </w:rPr>
        <w:t>Publication request – Liverpool School of Tropical Medicine</w:t>
      </w:r>
    </w:p>
    <w:p w14:paraId="51F46169" w14:textId="59EEDDE2" w:rsidR="002B21AA" w:rsidRPr="00687637" w:rsidRDefault="008F532D" w:rsidP="008F532D">
      <w:pPr>
        <w:tabs>
          <w:tab w:val="left" w:pos="2415"/>
        </w:tabs>
        <w:jc w:val="both"/>
        <w:rPr>
          <w:sz w:val="22"/>
          <w:szCs w:val="22"/>
        </w:rPr>
      </w:pPr>
      <w:r w:rsidRPr="00687637">
        <w:rPr>
          <w:sz w:val="22"/>
          <w:szCs w:val="22"/>
        </w:rPr>
        <w:tab/>
      </w:r>
    </w:p>
    <w:p w14:paraId="5DE1878E" w14:textId="77777777" w:rsidR="002B21AA" w:rsidRPr="00687637" w:rsidRDefault="002B21AA" w:rsidP="002B21AA">
      <w:pPr>
        <w:jc w:val="both"/>
        <w:rPr>
          <w:sz w:val="22"/>
          <w:szCs w:val="22"/>
        </w:rPr>
      </w:pPr>
    </w:p>
    <w:p w14:paraId="772A0323" w14:textId="77777777" w:rsidR="002B21AA" w:rsidRPr="00687637" w:rsidRDefault="002B21AA" w:rsidP="002B21AA">
      <w:pPr>
        <w:jc w:val="both"/>
        <w:rPr>
          <w:sz w:val="22"/>
          <w:szCs w:val="22"/>
        </w:rPr>
      </w:pPr>
    </w:p>
    <w:sdt>
      <w:sdtPr>
        <w:rPr>
          <w:rFonts w:ascii="Times New Roman" w:eastAsia="Times New Roman" w:hAnsi="Times New Roman" w:cs="Times New Roman"/>
          <w:color w:val="auto"/>
          <w:sz w:val="24"/>
          <w:szCs w:val="24"/>
          <w:lang w:val="en-GB" w:eastAsia="ar-SA"/>
        </w:rPr>
        <w:id w:val="-1496491894"/>
        <w:docPartObj>
          <w:docPartGallery w:val="Table of Contents"/>
          <w:docPartUnique/>
        </w:docPartObj>
      </w:sdtPr>
      <w:sdtEndPr>
        <w:rPr>
          <w:b/>
          <w:bCs/>
          <w:noProof/>
        </w:rPr>
      </w:sdtEndPr>
      <w:sdtContent>
        <w:p w14:paraId="3168848B" w14:textId="015BD246" w:rsidR="002B21AA" w:rsidRPr="00687637" w:rsidRDefault="002B21AA">
          <w:pPr>
            <w:pStyle w:val="TOCHeading"/>
            <w:rPr>
              <w:rFonts w:ascii="Times New Roman" w:hAnsi="Times New Roman" w:cs="Times New Roman"/>
            </w:rPr>
          </w:pPr>
          <w:r w:rsidRPr="00687637">
            <w:rPr>
              <w:rFonts w:ascii="Times New Roman" w:hAnsi="Times New Roman" w:cs="Times New Roman"/>
            </w:rPr>
            <w:t>Contents</w:t>
          </w:r>
        </w:p>
        <w:p w14:paraId="1E5CA17D" w14:textId="77777777" w:rsidR="00BA6DA1" w:rsidRDefault="002B21AA">
          <w:pPr>
            <w:pStyle w:val="TOC1"/>
            <w:tabs>
              <w:tab w:val="right" w:leader="dot" w:pos="10456"/>
            </w:tabs>
            <w:rPr>
              <w:rFonts w:asciiTheme="minorHAnsi" w:eastAsiaTheme="minorEastAsia" w:hAnsiTheme="minorHAnsi" w:cstheme="minorBidi"/>
              <w:noProof/>
              <w:sz w:val="22"/>
              <w:szCs w:val="22"/>
              <w:lang w:eastAsia="en-GB"/>
            </w:rPr>
          </w:pPr>
          <w:r w:rsidRPr="00687637">
            <w:fldChar w:fldCharType="begin"/>
          </w:r>
          <w:r w:rsidRPr="00687637">
            <w:instrText xml:space="preserve"> TOC \o "1-3" \h \z \u </w:instrText>
          </w:r>
          <w:r w:rsidRPr="00687637">
            <w:fldChar w:fldCharType="separate"/>
          </w:r>
          <w:hyperlink w:anchor="_Toc504483935" w:history="1">
            <w:r w:rsidR="00BA6DA1" w:rsidRPr="00DF1724">
              <w:rPr>
                <w:rStyle w:val="Hyperlink"/>
                <w:noProof/>
              </w:rPr>
              <w:t xml:space="preserve">Petersen, J., Simons, H., Patel, D., (2018) Amplification of Perceived Risk among Users of a National Travel Health Website during the 2013-2016 West African Ebola Virus Outbreak. </w:t>
            </w:r>
            <w:r w:rsidR="00BA6DA1" w:rsidRPr="00DF1724">
              <w:rPr>
                <w:rStyle w:val="Hyperlink"/>
                <w:i/>
                <w:noProof/>
              </w:rPr>
              <w:t>American Journal of Infection Control</w:t>
            </w:r>
            <w:r w:rsidR="00BA6DA1" w:rsidRPr="00DF1724">
              <w:rPr>
                <w:rStyle w:val="Hyperlink"/>
                <w:noProof/>
              </w:rPr>
              <w:t xml:space="preserve"> (2018): http://dx.doi.org/10.1016/j.ajic.2017.11.012</w:t>
            </w:r>
            <w:r w:rsidR="00BA6DA1">
              <w:rPr>
                <w:noProof/>
                <w:webHidden/>
              </w:rPr>
              <w:tab/>
            </w:r>
            <w:r w:rsidR="00BA6DA1">
              <w:rPr>
                <w:noProof/>
                <w:webHidden/>
              </w:rPr>
              <w:fldChar w:fldCharType="begin"/>
            </w:r>
            <w:r w:rsidR="00BA6DA1">
              <w:rPr>
                <w:noProof/>
                <w:webHidden/>
              </w:rPr>
              <w:instrText xml:space="preserve"> PAGEREF _Toc504483935 \h </w:instrText>
            </w:r>
            <w:r w:rsidR="00BA6DA1">
              <w:rPr>
                <w:noProof/>
                <w:webHidden/>
              </w:rPr>
            </w:r>
            <w:r w:rsidR="00BA6DA1">
              <w:rPr>
                <w:noProof/>
                <w:webHidden/>
              </w:rPr>
              <w:fldChar w:fldCharType="separate"/>
            </w:r>
            <w:r w:rsidR="00BA6DA1">
              <w:rPr>
                <w:noProof/>
                <w:webHidden/>
              </w:rPr>
              <w:t>1</w:t>
            </w:r>
            <w:r w:rsidR="00BA6DA1">
              <w:rPr>
                <w:noProof/>
                <w:webHidden/>
              </w:rPr>
              <w:fldChar w:fldCharType="end"/>
            </w:r>
          </w:hyperlink>
        </w:p>
        <w:p w14:paraId="62AC0582" w14:textId="77777777" w:rsidR="00BA6DA1" w:rsidRDefault="00964C75">
          <w:pPr>
            <w:pStyle w:val="TOC1"/>
            <w:tabs>
              <w:tab w:val="right" w:leader="dot" w:pos="10456"/>
            </w:tabs>
            <w:rPr>
              <w:rFonts w:asciiTheme="minorHAnsi" w:eastAsiaTheme="minorEastAsia" w:hAnsiTheme="minorHAnsi" w:cstheme="minorBidi"/>
              <w:noProof/>
              <w:sz w:val="22"/>
              <w:szCs w:val="22"/>
              <w:lang w:eastAsia="en-GB"/>
            </w:rPr>
          </w:pPr>
          <w:hyperlink w:anchor="_Toc504483936" w:history="1">
            <w:r w:rsidR="00BA6DA1" w:rsidRPr="00DF1724">
              <w:rPr>
                <w:rStyle w:val="Hyperlink"/>
                <w:noProof/>
              </w:rPr>
              <w:t xml:space="preserve">Petersen, J., Simons, H., Patel, D., Freedman, J. (2017) Early detection of perceived risk among users of a UK travel health website compared with internet search activity and media coverage during the 2015–2016 Zika virus outbreak: an observational study. </w:t>
            </w:r>
            <w:r w:rsidR="00BA6DA1" w:rsidRPr="00DF1724">
              <w:rPr>
                <w:rStyle w:val="Hyperlink"/>
                <w:i/>
                <w:noProof/>
              </w:rPr>
              <w:t>BMJ Open</w:t>
            </w:r>
            <w:r w:rsidR="00BA6DA1" w:rsidRPr="00DF1724">
              <w:rPr>
                <w:rStyle w:val="Hyperlink"/>
                <w:noProof/>
              </w:rPr>
              <w:t xml:space="preserve"> 7: e015831</w:t>
            </w:r>
            <w:r w:rsidR="00BA6DA1">
              <w:rPr>
                <w:noProof/>
                <w:webHidden/>
              </w:rPr>
              <w:tab/>
            </w:r>
            <w:r w:rsidR="00BA6DA1">
              <w:rPr>
                <w:noProof/>
                <w:webHidden/>
              </w:rPr>
              <w:fldChar w:fldCharType="begin"/>
            </w:r>
            <w:r w:rsidR="00BA6DA1">
              <w:rPr>
                <w:noProof/>
                <w:webHidden/>
              </w:rPr>
              <w:instrText xml:space="preserve"> PAGEREF _Toc504483936 \h </w:instrText>
            </w:r>
            <w:r w:rsidR="00BA6DA1">
              <w:rPr>
                <w:noProof/>
                <w:webHidden/>
              </w:rPr>
            </w:r>
            <w:r w:rsidR="00BA6DA1">
              <w:rPr>
                <w:noProof/>
                <w:webHidden/>
              </w:rPr>
              <w:fldChar w:fldCharType="separate"/>
            </w:r>
            <w:r w:rsidR="00BA6DA1">
              <w:rPr>
                <w:noProof/>
                <w:webHidden/>
              </w:rPr>
              <w:t>5</w:t>
            </w:r>
            <w:r w:rsidR="00BA6DA1">
              <w:rPr>
                <w:noProof/>
                <w:webHidden/>
              </w:rPr>
              <w:fldChar w:fldCharType="end"/>
            </w:r>
          </w:hyperlink>
        </w:p>
        <w:p w14:paraId="7C5C48E7" w14:textId="77777777" w:rsidR="00BA6DA1" w:rsidRDefault="00964C75">
          <w:pPr>
            <w:pStyle w:val="TOC1"/>
            <w:tabs>
              <w:tab w:val="right" w:leader="dot" w:pos="10456"/>
            </w:tabs>
            <w:rPr>
              <w:rFonts w:asciiTheme="minorHAnsi" w:eastAsiaTheme="minorEastAsia" w:hAnsiTheme="minorHAnsi" w:cstheme="minorBidi"/>
              <w:noProof/>
              <w:sz w:val="22"/>
              <w:szCs w:val="22"/>
              <w:lang w:eastAsia="en-GB"/>
            </w:rPr>
          </w:pPr>
          <w:hyperlink w:anchor="_Toc504483937" w:history="1">
            <w:r w:rsidR="00BA6DA1" w:rsidRPr="00DF1724">
              <w:rPr>
                <w:rStyle w:val="Hyperlink"/>
                <w:noProof/>
              </w:rPr>
              <w:t xml:space="preserve">Petersen, J., Simons, H., Patel, D. (2017) Access to yellow fever travel vaccination centres in England, Wales, and Northern Ireland: A geographical study. </w:t>
            </w:r>
            <w:r w:rsidR="00BA6DA1" w:rsidRPr="00DF1724">
              <w:rPr>
                <w:rStyle w:val="Hyperlink"/>
                <w:i/>
                <w:noProof/>
              </w:rPr>
              <w:t xml:space="preserve">Travel Health and Infectious Diseases </w:t>
            </w:r>
            <w:r w:rsidR="00BA6DA1" w:rsidRPr="00DF1724">
              <w:rPr>
                <w:rStyle w:val="Hyperlink"/>
                <w:noProof/>
              </w:rPr>
              <w:t>18: 24e29</w:t>
            </w:r>
            <w:r w:rsidR="00BA6DA1">
              <w:rPr>
                <w:noProof/>
                <w:webHidden/>
              </w:rPr>
              <w:tab/>
            </w:r>
            <w:r w:rsidR="00BA6DA1">
              <w:rPr>
                <w:noProof/>
                <w:webHidden/>
              </w:rPr>
              <w:fldChar w:fldCharType="begin"/>
            </w:r>
            <w:r w:rsidR="00BA6DA1">
              <w:rPr>
                <w:noProof/>
                <w:webHidden/>
              </w:rPr>
              <w:instrText xml:space="preserve"> PAGEREF _Toc504483937 \h </w:instrText>
            </w:r>
            <w:r w:rsidR="00BA6DA1">
              <w:rPr>
                <w:noProof/>
                <w:webHidden/>
              </w:rPr>
            </w:r>
            <w:r w:rsidR="00BA6DA1">
              <w:rPr>
                <w:noProof/>
                <w:webHidden/>
              </w:rPr>
              <w:fldChar w:fldCharType="separate"/>
            </w:r>
            <w:r w:rsidR="00BA6DA1">
              <w:rPr>
                <w:noProof/>
                <w:webHidden/>
              </w:rPr>
              <w:t>11</w:t>
            </w:r>
            <w:r w:rsidR="00BA6DA1">
              <w:rPr>
                <w:noProof/>
                <w:webHidden/>
              </w:rPr>
              <w:fldChar w:fldCharType="end"/>
            </w:r>
          </w:hyperlink>
        </w:p>
        <w:p w14:paraId="7B65CFB5" w14:textId="77777777" w:rsidR="00BA6DA1" w:rsidRDefault="00964C75">
          <w:pPr>
            <w:pStyle w:val="TOC1"/>
            <w:tabs>
              <w:tab w:val="right" w:leader="dot" w:pos="10456"/>
            </w:tabs>
            <w:rPr>
              <w:rFonts w:asciiTheme="minorHAnsi" w:eastAsiaTheme="minorEastAsia" w:hAnsiTheme="minorHAnsi" w:cstheme="minorBidi"/>
              <w:noProof/>
              <w:sz w:val="22"/>
              <w:szCs w:val="22"/>
              <w:lang w:eastAsia="en-GB"/>
            </w:rPr>
          </w:pPr>
          <w:hyperlink w:anchor="_Toc504483938" w:history="1">
            <w:r w:rsidR="00BA6DA1" w:rsidRPr="00DF1724">
              <w:rPr>
                <w:rStyle w:val="Hyperlink"/>
                <w:noProof/>
              </w:rPr>
              <w:t xml:space="preserve">Petersen, J., Simons, H., Patel, D. (2016) TravelHealthPro – a new online resource for the travel health sector </w:t>
            </w:r>
            <w:r w:rsidR="00BA6DA1" w:rsidRPr="00DF1724">
              <w:rPr>
                <w:rStyle w:val="Hyperlink"/>
                <w:i/>
                <w:noProof/>
              </w:rPr>
              <w:t>Journal of British Global and Travel Health Association</w:t>
            </w:r>
            <w:r w:rsidR="00BA6DA1" w:rsidRPr="00DF1724">
              <w:rPr>
                <w:rStyle w:val="Hyperlink"/>
                <w:noProof/>
              </w:rPr>
              <w:t xml:space="preserve"> 18</w:t>
            </w:r>
            <w:r w:rsidR="00BA6DA1">
              <w:rPr>
                <w:noProof/>
                <w:webHidden/>
              </w:rPr>
              <w:tab/>
            </w:r>
            <w:r w:rsidR="00BA6DA1">
              <w:rPr>
                <w:noProof/>
                <w:webHidden/>
              </w:rPr>
              <w:fldChar w:fldCharType="begin"/>
            </w:r>
            <w:r w:rsidR="00BA6DA1">
              <w:rPr>
                <w:noProof/>
                <w:webHidden/>
              </w:rPr>
              <w:instrText xml:space="preserve"> PAGEREF _Toc504483938 \h </w:instrText>
            </w:r>
            <w:r w:rsidR="00BA6DA1">
              <w:rPr>
                <w:noProof/>
                <w:webHidden/>
              </w:rPr>
            </w:r>
            <w:r w:rsidR="00BA6DA1">
              <w:rPr>
                <w:noProof/>
                <w:webHidden/>
              </w:rPr>
              <w:fldChar w:fldCharType="separate"/>
            </w:r>
            <w:r w:rsidR="00BA6DA1">
              <w:rPr>
                <w:noProof/>
                <w:webHidden/>
              </w:rPr>
              <w:t>22</w:t>
            </w:r>
            <w:r w:rsidR="00BA6DA1">
              <w:rPr>
                <w:noProof/>
                <w:webHidden/>
              </w:rPr>
              <w:fldChar w:fldCharType="end"/>
            </w:r>
          </w:hyperlink>
        </w:p>
        <w:p w14:paraId="11B1918E" w14:textId="728DC8DE" w:rsidR="002B21AA" w:rsidRPr="00687637" w:rsidRDefault="002B21AA">
          <w:r w:rsidRPr="00687637">
            <w:rPr>
              <w:b/>
              <w:bCs/>
              <w:noProof/>
            </w:rPr>
            <w:fldChar w:fldCharType="end"/>
          </w:r>
        </w:p>
      </w:sdtContent>
    </w:sdt>
    <w:p w14:paraId="76889214" w14:textId="77777777" w:rsidR="002B21AA" w:rsidRPr="00687637" w:rsidRDefault="002B21AA" w:rsidP="002B21AA">
      <w:pPr>
        <w:jc w:val="both"/>
        <w:rPr>
          <w:sz w:val="22"/>
          <w:szCs w:val="22"/>
        </w:rPr>
      </w:pPr>
    </w:p>
    <w:p w14:paraId="52BEFE38" w14:textId="32C1A624" w:rsidR="002B21AA" w:rsidRPr="00687637" w:rsidRDefault="002B21AA" w:rsidP="002B21AA">
      <w:pPr>
        <w:pStyle w:val="Heading1"/>
        <w:rPr>
          <w:rFonts w:ascii="Times New Roman" w:hAnsi="Times New Roman" w:cs="Times New Roman"/>
        </w:rPr>
      </w:pPr>
      <w:bookmarkStart w:id="1" w:name="_Toc504483935"/>
      <w:r w:rsidRPr="00687637">
        <w:rPr>
          <w:rFonts w:ascii="Times New Roman" w:hAnsi="Times New Roman" w:cs="Times New Roman"/>
        </w:rPr>
        <w:t xml:space="preserve">Petersen, J., Simons, H., Patel, D., (2018) Amplification of Perceived Risk among Users of a National Travel Health Website during the 2013-2016 West African Ebola Virus Outbreak. </w:t>
      </w:r>
      <w:r w:rsidRPr="00687637">
        <w:rPr>
          <w:rFonts w:ascii="Times New Roman" w:hAnsi="Times New Roman" w:cs="Times New Roman"/>
          <w:i/>
        </w:rPr>
        <w:t>American Journal of Infection Control</w:t>
      </w:r>
      <w:r w:rsidRPr="00687637">
        <w:rPr>
          <w:rFonts w:ascii="Times New Roman" w:hAnsi="Times New Roman" w:cs="Times New Roman"/>
        </w:rPr>
        <w:t xml:space="preserve"> (</w:t>
      </w:r>
      <w:r w:rsidR="00924B64">
        <w:rPr>
          <w:rFonts w:ascii="Times New Roman" w:hAnsi="Times New Roman" w:cs="Times New Roman"/>
        </w:rPr>
        <w:t>2018</w:t>
      </w:r>
      <w:r w:rsidRPr="00687637">
        <w:rPr>
          <w:rFonts w:ascii="Times New Roman" w:hAnsi="Times New Roman" w:cs="Times New Roman"/>
        </w:rPr>
        <w:t>): http://dx.doi.org/10.1016/j.ajic.2017.11.012</w:t>
      </w:r>
      <w:bookmarkEnd w:id="1"/>
    </w:p>
    <w:p w14:paraId="042B8649" w14:textId="6408507D" w:rsidR="002B21AA" w:rsidRPr="00687637" w:rsidRDefault="002B21AA" w:rsidP="00C55F20"/>
    <w:p w14:paraId="5A3A29EA" w14:textId="77777777" w:rsidR="00687637" w:rsidRPr="00687637" w:rsidRDefault="00687637" w:rsidP="00687637">
      <w:pPr>
        <w:pStyle w:val="NoSpacing"/>
        <w:spacing w:line="240" w:lineRule="auto"/>
        <w:rPr>
          <w:rFonts w:cs="Times New Roman"/>
          <w:b/>
          <w:sz w:val="22"/>
        </w:rPr>
      </w:pPr>
      <w:r w:rsidRPr="00687637">
        <w:rPr>
          <w:rFonts w:cs="Times New Roman"/>
          <w:b/>
          <w:sz w:val="22"/>
        </w:rPr>
        <w:t>Title</w:t>
      </w:r>
    </w:p>
    <w:p w14:paraId="0466EE1F" w14:textId="77777777" w:rsidR="00687637" w:rsidRPr="00687637" w:rsidRDefault="00687637" w:rsidP="00687637">
      <w:pPr>
        <w:pStyle w:val="NoSpacing"/>
        <w:spacing w:line="240" w:lineRule="auto"/>
        <w:rPr>
          <w:rFonts w:cs="Times New Roman"/>
          <w:sz w:val="22"/>
        </w:rPr>
      </w:pPr>
      <w:r w:rsidRPr="00687637">
        <w:rPr>
          <w:rFonts w:cs="Times New Roman"/>
          <w:sz w:val="22"/>
        </w:rPr>
        <w:t>Amplification of Perceived Risk among Users of a National Travel Health Website during the 2013-2016 West African Ebola Virus Outbreak</w:t>
      </w:r>
    </w:p>
    <w:p w14:paraId="7BC9D541" w14:textId="77777777" w:rsidR="00687637" w:rsidRPr="00687637" w:rsidRDefault="00687637" w:rsidP="00687637">
      <w:pPr>
        <w:pStyle w:val="NoSpacing"/>
        <w:spacing w:line="240" w:lineRule="auto"/>
        <w:rPr>
          <w:rFonts w:cs="Times New Roman"/>
          <w:sz w:val="22"/>
        </w:rPr>
      </w:pPr>
    </w:p>
    <w:p w14:paraId="09070F16" w14:textId="77777777" w:rsidR="00687637" w:rsidRPr="00687637" w:rsidRDefault="00687637" w:rsidP="00687637">
      <w:pPr>
        <w:rPr>
          <w:b/>
          <w:sz w:val="22"/>
        </w:rPr>
      </w:pPr>
      <w:r w:rsidRPr="00687637">
        <w:rPr>
          <w:b/>
          <w:sz w:val="22"/>
        </w:rPr>
        <w:t>Abstract</w:t>
      </w:r>
    </w:p>
    <w:p w14:paraId="6EDA64D4" w14:textId="77777777" w:rsidR="00687637" w:rsidRPr="00687637" w:rsidRDefault="00687637" w:rsidP="00687637">
      <w:pPr>
        <w:rPr>
          <w:sz w:val="22"/>
        </w:rPr>
      </w:pPr>
      <w:r w:rsidRPr="00687637">
        <w:rPr>
          <w:sz w:val="22"/>
        </w:rPr>
        <w:t xml:space="preserve">Timely outbreak information was paramount to public health bodies issuing travel advisories during the 2013-2016 West Africa Ebola virus (EBV) outbreak. </w:t>
      </w:r>
    </w:p>
    <w:p w14:paraId="4B5B0ECD" w14:textId="77777777" w:rsidR="00687637" w:rsidRPr="00687637" w:rsidRDefault="00687637" w:rsidP="00687637">
      <w:pPr>
        <w:rPr>
          <w:sz w:val="22"/>
        </w:rPr>
      </w:pPr>
      <w:r w:rsidRPr="00687637">
        <w:rPr>
          <w:sz w:val="22"/>
        </w:rPr>
        <w:t xml:space="preserve">This paper explores the potential for a syndromic system/Shewhart control chart based on the online interaction with a national travel health website in comparison to searches on the Google UK search engine. </w:t>
      </w:r>
    </w:p>
    <w:p w14:paraId="7F53BCFD" w14:textId="77777777" w:rsidR="00687637" w:rsidRPr="00687637" w:rsidRDefault="00687637" w:rsidP="00687637">
      <w:pPr>
        <w:rPr>
          <w:sz w:val="22"/>
        </w:rPr>
      </w:pPr>
      <w:r w:rsidRPr="00687637">
        <w:rPr>
          <w:sz w:val="22"/>
        </w:rPr>
        <w:t xml:space="preserve">The study showed an amplification of perceived risk among users of a national travel health website months before the World Health Organization declared the outbreak a Public Health Emergency of International Concern (PHEIC) and the initial surge in public interest on Google UK in August 2014. </w:t>
      </w:r>
    </w:p>
    <w:p w14:paraId="4A86330A" w14:textId="77777777" w:rsidR="00687637" w:rsidRPr="00687637" w:rsidRDefault="00687637" w:rsidP="00687637">
      <w:pPr>
        <w:rPr>
          <w:sz w:val="22"/>
        </w:rPr>
      </w:pPr>
    </w:p>
    <w:p w14:paraId="1960ED83" w14:textId="77777777" w:rsidR="00687637" w:rsidRPr="00687637" w:rsidRDefault="00687637" w:rsidP="00687637">
      <w:pPr>
        <w:rPr>
          <w:b/>
          <w:sz w:val="22"/>
        </w:rPr>
      </w:pPr>
      <w:r w:rsidRPr="00687637">
        <w:rPr>
          <w:b/>
          <w:sz w:val="22"/>
        </w:rPr>
        <w:t>Keywords</w:t>
      </w:r>
    </w:p>
    <w:p w14:paraId="36847D21" w14:textId="77777777" w:rsidR="00687637" w:rsidRPr="00687637" w:rsidRDefault="00687637" w:rsidP="00687637">
      <w:pPr>
        <w:rPr>
          <w:sz w:val="22"/>
        </w:rPr>
      </w:pPr>
      <w:r w:rsidRPr="00687637">
        <w:rPr>
          <w:sz w:val="22"/>
        </w:rPr>
        <w:t>Infections, Epidemiology, Surveillance, Prevention, Health services</w:t>
      </w:r>
    </w:p>
    <w:p w14:paraId="13C119DB" w14:textId="77777777" w:rsidR="00687637" w:rsidRPr="00687637" w:rsidRDefault="00687637" w:rsidP="00687637">
      <w:pPr>
        <w:rPr>
          <w:b/>
          <w:sz w:val="22"/>
        </w:rPr>
      </w:pPr>
    </w:p>
    <w:p w14:paraId="7209A93E" w14:textId="77777777" w:rsidR="00687637" w:rsidRPr="00687637" w:rsidRDefault="00687637" w:rsidP="00687637">
      <w:pPr>
        <w:rPr>
          <w:b/>
          <w:sz w:val="22"/>
        </w:rPr>
      </w:pPr>
      <w:r w:rsidRPr="00687637">
        <w:rPr>
          <w:b/>
          <w:sz w:val="22"/>
        </w:rPr>
        <w:t>Highlights</w:t>
      </w:r>
    </w:p>
    <w:p w14:paraId="77AEA2AF" w14:textId="77777777" w:rsidR="00687637" w:rsidRPr="00687637" w:rsidRDefault="00687637" w:rsidP="00687637">
      <w:pPr>
        <w:pStyle w:val="ListParagraph"/>
        <w:numPr>
          <w:ilvl w:val="0"/>
          <w:numId w:val="7"/>
        </w:numPr>
        <w:spacing w:line="240" w:lineRule="auto"/>
        <w:rPr>
          <w:rFonts w:cs="Times New Roman"/>
          <w:sz w:val="22"/>
        </w:rPr>
      </w:pPr>
      <w:r w:rsidRPr="00687637">
        <w:rPr>
          <w:rFonts w:cs="Times New Roman"/>
          <w:sz w:val="22"/>
        </w:rPr>
        <w:t xml:space="preserve">Timely information was key to the travel health sector during the EBV outbreak </w:t>
      </w:r>
    </w:p>
    <w:p w14:paraId="01A41AD3" w14:textId="77777777" w:rsidR="00687637" w:rsidRPr="00687637" w:rsidRDefault="00687637" w:rsidP="00687637">
      <w:pPr>
        <w:pStyle w:val="ListParagraph"/>
        <w:numPr>
          <w:ilvl w:val="0"/>
          <w:numId w:val="7"/>
        </w:numPr>
        <w:spacing w:line="240" w:lineRule="auto"/>
        <w:rPr>
          <w:rFonts w:cs="Times New Roman"/>
          <w:sz w:val="22"/>
        </w:rPr>
      </w:pPr>
      <w:r w:rsidRPr="00687637">
        <w:rPr>
          <w:rFonts w:cs="Times New Roman"/>
          <w:sz w:val="22"/>
        </w:rPr>
        <w:t>Data on information seeking behaviours carry potential for surveillance</w:t>
      </w:r>
    </w:p>
    <w:p w14:paraId="0FA5BEE3" w14:textId="77777777" w:rsidR="00687637" w:rsidRPr="00687637" w:rsidRDefault="00687637" w:rsidP="00687637">
      <w:pPr>
        <w:pStyle w:val="ListParagraph"/>
        <w:numPr>
          <w:ilvl w:val="0"/>
          <w:numId w:val="7"/>
        </w:numPr>
        <w:spacing w:line="240" w:lineRule="auto"/>
        <w:rPr>
          <w:rFonts w:cs="Times New Roman"/>
          <w:sz w:val="22"/>
        </w:rPr>
      </w:pPr>
      <w:r w:rsidRPr="00687637">
        <w:rPr>
          <w:rFonts w:cs="Times New Roman"/>
          <w:sz w:val="22"/>
        </w:rPr>
        <w:t>Traffic to a travel health website showed early/sustained interest in the outbreak</w:t>
      </w:r>
    </w:p>
    <w:p w14:paraId="2E04AE51" w14:textId="782E1E35" w:rsidR="00687637" w:rsidRPr="00687637" w:rsidRDefault="00687637" w:rsidP="00C55F20">
      <w:pPr>
        <w:pStyle w:val="ListParagraph"/>
        <w:numPr>
          <w:ilvl w:val="0"/>
          <w:numId w:val="7"/>
        </w:numPr>
        <w:spacing w:line="240" w:lineRule="auto"/>
        <w:rPr>
          <w:rFonts w:cs="Times New Roman"/>
          <w:sz w:val="22"/>
        </w:rPr>
      </w:pPr>
      <w:r w:rsidRPr="00687637">
        <w:rPr>
          <w:rFonts w:cs="Times New Roman"/>
          <w:sz w:val="22"/>
        </w:rPr>
        <w:t>This suggests a potential for a syndromic surveillance system</w:t>
      </w:r>
    </w:p>
    <w:p w14:paraId="0D4E131D" w14:textId="77777777" w:rsidR="00687637" w:rsidRPr="00687637" w:rsidRDefault="00687637" w:rsidP="00687637">
      <w:pPr>
        <w:rPr>
          <w:b/>
        </w:rPr>
      </w:pPr>
      <w:r w:rsidRPr="00687637">
        <w:rPr>
          <w:b/>
        </w:rPr>
        <w:t>Introduction</w:t>
      </w:r>
    </w:p>
    <w:p w14:paraId="073FF33D" w14:textId="77777777" w:rsidR="00687637" w:rsidRPr="00687637" w:rsidRDefault="00687637" w:rsidP="00687637">
      <w:r w:rsidRPr="00687637">
        <w:lastRenderedPageBreak/>
        <w:t xml:space="preserve">The 2013-2016 West African Ebola virus (EBV) disease outbreak was unprecedented in terms of the sheer numbers of cases and deaths, the countries affected, the spread between neighbouring countries and further afield through air traffic, the time scale to contain the disease and the intensity of human-human transmission in urban environments where only smaller and more confined outbreaks in rural environments had been observed previously </w:t>
      </w:r>
      <w:r w:rsidRPr="00687637">
        <w:fldChar w:fldCharType="begin"/>
      </w:r>
      <w:r w:rsidRPr="00687637">
        <w:instrText xml:space="preserve"> ADDIN ZOTERO_ITEM CSL_CITATION {"citationID":"2g9hrifcqb","properties":{"formattedCitation":"(1)","plainCitation":"(1)"},"citationItems":[{"id":1413,"uris":["http://zotero.org/users/714468/items/RN79S86R"],"uri":["http://zotero.org/users/714468/items/RN79S86R"],"itemData":{"id":1413,"type":"article-journal","title":"Distinguishing epidemiological features of the 2013–2016 West Africa Ebola virus disease outbreak","container-title":"Disaster Health","page":"78-88","volume":"3","issue":"3","source":"Taylor and Francis+NEJM","abstract":"The 2013–2016 West Africa Ebola virus disease epidemic was notable for its scope, scale, and complexity. This briefing presents a series of distinguishing epidemiological features that set this outbreak apart.Compared to one concurrent and 23 previous outbreaks of the disease over 40 years, this was the only occurrence of Ebola virus disease involving multiple nations and qualifying as a pandemic. Across multiple measures of magnitude, the 2013–2016 outbreak was accurately described using superlatives: largest and deadliest in terms of numbers of cases and fatalities; longest in duration; and most widely dispersed geographically, with outbreak-associated cases occurring in 10 nations.In contrast, the case-fatality rate was much lower for the 2013–2016 outbreak compared to the other 24 outbreaks. A population of particular interest for ongoing monitoring and public health surveillance is comprised of more than 17,000 “survivors,” Ebola patients who successfully recovered from their illness.The daunting challenges posed by this outbreak were met by an intensive international public health response. The near-exponential rate of increase of incident Ebola cases during mid-2014 was successfully slowed, reversed, and finally halted through the application of multiple disease containment and intervention strategies.","DOI":"10.1080/21665044.2016.1228326","ISSN":"2166-5044","author":[{"family":"Shultz","given":"James M."},{"family":"Espinel","given":"Zelde"},{"family":"Espinola","given":"Maria"},{"family":"Rechkemmer","given":"Andreas"}],"issued":{"date-parts":[["2016",7,2]]}}}],"schema":"https://github.com/citation-style-language/schema/raw/master/csl-citation.json"} </w:instrText>
      </w:r>
      <w:r w:rsidRPr="00687637">
        <w:fldChar w:fldCharType="separate"/>
      </w:r>
      <w:r w:rsidRPr="00687637">
        <w:t>(1)</w:t>
      </w:r>
      <w:r w:rsidRPr="00687637">
        <w:fldChar w:fldCharType="end"/>
      </w:r>
      <w:r w:rsidRPr="00687637">
        <w:t xml:space="preserve">. </w:t>
      </w:r>
    </w:p>
    <w:p w14:paraId="3B632B60" w14:textId="77777777" w:rsidR="00687637" w:rsidRPr="00687637" w:rsidRDefault="00687637" w:rsidP="00687637">
      <w:r w:rsidRPr="00687637">
        <w:t xml:space="preserve">Authoritative, accurate, and timely information about the spread of EBV was key to the work of public health bodies issuing travel advisories during the outbreak. This was important, to reduce international spread, avoid harm in travellers, to provide optimal support for travel health services, and to disseminate appropriate public health messages while media attention was high </w:t>
      </w:r>
      <w:r w:rsidRPr="00687637">
        <w:fldChar w:fldCharType="begin"/>
      </w:r>
      <w:r w:rsidRPr="00687637">
        <w:instrText xml:space="preserve"> ADDIN ZOTERO_ITEM CSL_CITATION {"citationID":"b0oe7rpb7","properties":{"formattedCitation":"(2)","plainCitation":"(2)"},"citationItems":[{"id":1109,"uris":["http://zotero.org/users/714468/items/EDKZ8KS7"],"uri":["http://zotero.org/users/714468/items/EDKZ8KS7"],"itemData":{"id":1109,"type":"article-journal","title":"\"Pandemic Public Health Paradox\": Time Series Analysis of the 2009/10 Influenza A / H1N1 Epidemiology, Media Attention, Risk Perception and Public Reactions in 5 European Countries","container-title":"PloS One","page":"e0151258","volume":"11","issue":"3","source":"PubMed","abstract":"In 2009, influenza A H1N1 caused the first pandemic of the 21st century. Although a vaccine against this influenza subtype was offered before or at the onset of the second epidemic wave that caused most of the fatal cases in Europe, vaccination rates for that season were lower than expected. We propose that the contradiction between high risk of infection and low use of available prevention measures represents a pandemic public health paradox. This research aims for a better understanding of this paradox by exploring the time-dependent interplay among changing influenza epidemiology, media attention, pandemic control measures, risk perception and public health behavior among five European countries (Czech Republic, Denmark, Germany, Spain and the UK). Findings suggest that asynchronicity between media curves and epidemiological curves may potentially explain the pandemic public health paradox; media attention for influenza A H1N1 in Europe declined long before the epidemic reached its peak, and public risk perceptions and behaviors may have followed media logic, rather than epidemiological logic.","DOI":"10.1371/journal.pone.0151258","ISSN":"1932-6203","note":"PMID: 26982071\nPMCID: PMC4794201","shortTitle":"Pandemic Public Health Paradox","journalAbbreviation":"PLoS ONE","language":"eng","author":[{"family":"Reintjes","given":"Ralf"},{"family":"Das","given":"Enny"},{"family":"Klemm","given":"Celine"},{"family":"Richardus","given":"Jan Hendrik"},{"family":"Keßler","given":"Verena"},{"family":"Ahmad","given":"Amena"}],"issued":{"date-parts":[["2016"]]}}}],"schema":"https://github.com/citation-style-language/schema/raw/master/csl-citation.json"} </w:instrText>
      </w:r>
      <w:r w:rsidRPr="00687637">
        <w:fldChar w:fldCharType="separate"/>
      </w:r>
      <w:r w:rsidRPr="00687637">
        <w:t>(2)</w:t>
      </w:r>
      <w:r w:rsidRPr="00687637">
        <w:fldChar w:fldCharType="end"/>
      </w:r>
      <w:r w:rsidRPr="00687637">
        <w:t xml:space="preserve">. </w:t>
      </w:r>
    </w:p>
    <w:p w14:paraId="6683CEE6" w14:textId="77777777" w:rsidR="00687637" w:rsidRPr="00687637" w:rsidRDefault="00687637" w:rsidP="00687637">
      <w:r w:rsidRPr="00687637">
        <w:t xml:space="preserve">Data on online behaviours carry rich potentials for surveillance in the field of infodemiology, i.e. the science of distribution and determinants of online information with the aim of informing public health and public policy </w:t>
      </w:r>
      <w:r w:rsidRPr="00687637">
        <w:fldChar w:fldCharType="begin"/>
      </w:r>
      <w:r w:rsidRPr="00687637">
        <w:instrText xml:space="preserve"> ADDIN ZOTERO_ITEM CSL_CITATION {"citationID":"5cSmJmq3","properties":{"formattedCitation":"{\\rtf (3\\uc0\\u8211{}6)}","plainCitation":"(3–6)"},"citationItems":[{"id":1133,"uris":["http://zotero.org/users/714468/items/KX4U83TM"],"uri":["http://zotero.org/users/714468/items/KX4U83TM"],"itemData":{"id":1133,"type":"article-journal","title":"Using Social Media for Actionable Disease Surveillance and Outbreak Management: A Systematic Literature Review","container-title":"PloS One","page":"e0139701","volume":"10","issue":"10","source":"PubMed","abstract":"OBJECTIVE: Research studies show that social media may be valuable tools in the disease surveillance toolkit used for improving public health professionals' ability to detect disease outbreaks faster than traditional methods and to enhance outbreak response. A social media work group, consisting of surveillance practitioners, academic researchers, and other subject matter experts convened by the International Society for Disease Surveillance, conducted a systematic primary literature review using the PRISMA framework to identify research, published through February 2013, answering either of the following questions: Can social media be integrated into disease surveillance practice and outbreak management to support and improve public health?Can social media be used to effectively target populations, specifically vulnerable populations, to test an intervention and interact with a community to improve health outcomes?Examples of social media included are Facebook, MySpace, microblogs (e.g., Twitter), blogs, and discussion forums. For Question 1, 33 manuscripts were identified, starting in 2009 with topics on Influenza-like Illnesses (n = 15), Infectious Diseases (n = 6), Non-infectious Diseases (n = 4), Medication and Vaccines (n = 3), and Other (n = 5). For Question 2, 32 manuscripts were identified, the first in 2000 with topics on Health Risk Behaviors (n = 10), Infectious Diseases (n = 3), Non-infectious Diseases (n = 9), and Other (n = 10).\nCONCLUSIONS: The literature on the use of social media to support public health practice has identified many gaps and biases in current knowledge. Despite the potential for success identified in exploratory studies, there are limited studies on interventions and little use of social media in practice. However, information gleaned from the articles demonstrates the effectiveness of social media in supporting and improving public health and in identifying target populations for intervention. A primary recommendation resulting from the review is to identify opportunities that enable public health professionals to integrate social media analytics into disease surveillance and outbreak management practice.","DOI":"10.1371/journal.pone.0139701","ISSN":"1932-6203","note":"PMID: 26437454\nPMCID: PMC4593536","shortTitle":"Using Social Media for Actionable Disease Surveillance and Outbreak Management","journalAbbreviation":"PLoS ONE","language":"eng","author":[{"family":"Charles-Smith","given":"Lauren E."},{"family":"Reynolds","given":"Tera L."},{"family":"Cameron","given":"Mark A."},{"family":"Conway","given":"Mike"},{"family":"Lau","given":"Eric H. Y."},{"family":"Olsen","given":"Jennifer M."},{"family":"Pavlin","given":"Julie A."},{"family":"Shigematsu","given":"Mika"},{"family":"Streichert","given":"Laura C."},{"family":"Suda","given":"Katie J."},{"family":"Corley","given":"Courtney D."}],"issued":{"date-parts":[["2015"]]}}},{"id":1097,"uris":["http://zotero.org/users/714468/items/HFW6S86W"],"uri":["http://zotero.org/users/714468/items/HFW6S86W"],"itemData":{"id":1097,"type":"article-journal","title":"Infodemiology and infoveillance tracking online health information and cyberbehavior for public health","container-title":"American Journal of Preventive Medicine","page":"S154-158","volume":"40","issue":"5 Suppl 2","source":"PubMed","DOI":"10.1016/j.amepre.2011.02.006","ISSN":"1873-2607","note":"PMID: 21521589","journalAbbreviation":"Am J Prev Med","language":"eng","author":[{"family":"Eysenbach","given":"Gunther"}],"issued":{"date-parts":[["2011",5]]}}},{"id":1108,"uris":["http://zotero.org/users/714468/items/BPWF3WIC"],"uri":["http://zotero.org/users/714468/items/BPWF3WIC"],"itemData":{"id":1108,"type":"article-journal","title":"Infodemiology: the epidemiology of (mis)information","container-title":"The American Journal of Medicine","page":"763-765","volume":"113","issue":"9","source":"www.amjmed.com","DOI":"10.1016/S0002-9343(02)01473-0","ISSN":"0002-9343, 1555-7162","shortTitle":"Infodemiology","journalAbbreviation":"The American Journal of Medicine","language":"English","author":[{"family":"Eysenbach","given":"Gunther"}],"issued":{"date-parts":[["2002",12,15]]}}},{"id":1135,"uris":["http://zotero.org/users/714468/items/H3GTCIET"],"uri":["http://zotero.org/users/714468/items/H3GTCIET"],"itemData":{"id":1135,"type":"article-journal","title":"The use of google trends in health care research: a systematic review","container-title":"PloS One","page":"e109583","volume":"9","issue":"10","source":"PubMed","abstract":"BACKGROUND: Google Trends is a novel, freely accessible tool that allows users to interact with Internet search data, which may provide deep insights into population behavior and health-related phenomena. However, there is limited knowledge about its potential uses and limitations. We therefore systematically reviewed health care literature using Google Trends to classify articles by topic and study aim; evaluate the methodology and validation of the tool; and address limitations for its use in research.\nMETHODS AND FINDINGS: PRISMA guidelines were followed. Two independent reviewers systematically identified studies utilizing Google Trends for health care research from MEDLINE and PubMed. Seventy studies met our inclusion criteria. Google Trends publications increased seven-fold from 2009 to 2013. Studies were classified into four topic domains: infectious disease (27% of articles), mental health and substance use (24%), other non-communicable diseases (16%), and general population behavior (33%). By use, 27% of articles utilized Google Trends for casual inference, 39% for description, and 34% for surveillance. Among surveillance studies, 92% were validated against a reference standard data source, and 80% of studies using correlation had a correlation statistic ≥0.70. Overall, 67% of articles provided a rationale for their search input. However, only 7% of articles were reproducible based on complete documentation of search strategy. We present a checklist to facilitate appropriate methodological documentation for future studies. A limitation of the study is the challenge of classifying heterogeneous studies utilizing a novel data source.\nCONCLUSION: Google Trends is being used to study health phenomena in a variety of topic domains in myriad ways. However, poor documentation of methods precludes the reproducibility of the findings. Such documentation would enable other researchers to determine the consistency of results provided by Google Trends for a well-specified query over time. Furthermore, greater transparency can improve its reliability as a research tool.","DOI":"10.1371/journal.pone.0109583","ISSN":"1932-6203","note":"PMID: 25337815\nPMCID: PMC4215636","shortTitle":"The use of google trends in health care research","journalAbbreviation":"PLoS ONE","language":"eng","author":[{"family":"Nuti","given":"Sudhakar V."},{"family":"Wayda","given":"Brian"},{"family":"Ranasinghe","given":"Isuru"},{"family":"Wang","given":"Sisi"},{"family":"Dreyer","given":"Rachel P."},{"family":"Chen","given":"Serene I."},{"family":"Murugiah","given":"Karthik"}],"issued":{"date-parts":[["2014"]]}}}],"schema":"https://github.com/citation-style-language/schema/raw/master/csl-citation.json"} </w:instrText>
      </w:r>
      <w:r w:rsidRPr="00687637">
        <w:fldChar w:fldCharType="separate"/>
      </w:r>
      <w:r w:rsidRPr="00687637">
        <w:t>(3–6)</w:t>
      </w:r>
      <w:r w:rsidRPr="00687637">
        <w:fldChar w:fldCharType="end"/>
      </w:r>
      <w:r w:rsidRPr="00687637">
        <w:t xml:space="preserve">. </w:t>
      </w:r>
    </w:p>
    <w:p w14:paraId="69A54344" w14:textId="77777777" w:rsidR="00687637" w:rsidRPr="00687637" w:rsidRDefault="00687637" w:rsidP="00687637">
      <w:r w:rsidRPr="00687637">
        <w:t>The aim of this paper is to explore the potential value of a syndromic surveillance system for early identification of incidents, allowing timely preparation of public and travel health messages to prevent under capacity when there is a sudden surge in demand.</w:t>
      </w:r>
    </w:p>
    <w:p w14:paraId="04126F42" w14:textId="77777777" w:rsidR="00687637" w:rsidRPr="00687637" w:rsidRDefault="00687637" w:rsidP="00687637">
      <w:pPr>
        <w:rPr>
          <w:b/>
        </w:rPr>
      </w:pPr>
      <w:r w:rsidRPr="00687637">
        <w:rPr>
          <w:b/>
        </w:rPr>
        <w:t>Methods</w:t>
      </w:r>
    </w:p>
    <w:p w14:paraId="5242EB80" w14:textId="77777777" w:rsidR="00687637" w:rsidRPr="00687637" w:rsidRDefault="00687637" w:rsidP="00687637">
      <w:r w:rsidRPr="00687637">
        <w:t xml:space="preserve">The National Travel Health Network and Centre (NaTHNaC) is a government body supporting travel health services in England, Wales, and Northern Ireland. The main information channel is its website, TravelHealthPro.org.uk </w:t>
      </w:r>
      <w:r w:rsidRPr="00687637">
        <w:fldChar w:fldCharType="begin"/>
      </w:r>
      <w:r w:rsidRPr="00687637">
        <w:instrText xml:space="preserve"> ADDIN ZOTERO_ITEM CSL_CITATION {"citationID":"2bt3etur81","properties":{"formattedCitation":"(7)","plainCitation":"(7)"},"citationItems":[{"id":1411,"uris":["http://zotero.org/users/714468/items/SI25PNCG"],"uri":["http://zotero.org/users/714468/items/SI25PNCG"],"itemData":{"id":1411,"type":"article-journal","title":"TravelHealthPro - a new online resource for the travel health sector","container-title":"British Global and Travel Health Association","volume":"18","author":[{"family":"Petersen","given":"Jakob"},{"family":"Simons","given":"Hilary"},{"family":"Patel","given":"Dipti"}],"issued":{"date-parts":[["2016"]]}}}],"schema":"https://github.com/citation-style-language/schema/raw/master/csl-citation.json"} </w:instrText>
      </w:r>
      <w:r w:rsidRPr="00687637">
        <w:fldChar w:fldCharType="separate"/>
      </w:r>
      <w:r w:rsidRPr="00687637">
        <w:t>(7)</w:t>
      </w:r>
      <w:r w:rsidRPr="00687637">
        <w:fldChar w:fldCharType="end"/>
      </w:r>
      <w:r w:rsidRPr="00687637">
        <w:t xml:space="preserve">. </w:t>
      </w:r>
    </w:p>
    <w:p w14:paraId="6C517400" w14:textId="77777777" w:rsidR="00687637" w:rsidRPr="00687637" w:rsidRDefault="00687637" w:rsidP="00687637">
      <w:r w:rsidRPr="00687637">
        <w:t xml:space="preserve">In total, NaTHNaC issued 28 EBV-related travel advisories between 24 March 2014 and 9 January 2015. </w:t>
      </w:r>
    </w:p>
    <w:p w14:paraId="0BDC106D" w14:textId="77777777" w:rsidR="00687637" w:rsidRPr="00687637" w:rsidRDefault="00687637" w:rsidP="00687637">
      <w:r w:rsidRPr="00687637">
        <w:t>Weekly counts of unique pageviews (‘views’ from here on) of EBV-related pages versus all pages were extracted from Google Analytics March 2013 through December 2014. The relative search volumes for “Ebola” were obtained from Google Trends UK (https://</w:t>
      </w:r>
      <w:hyperlink r:id="rId8" w:history="1">
        <w:r w:rsidRPr="00687637">
          <w:t>www.google.co.uk/trends; country</w:t>
        </w:r>
      </w:hyperlink>
      <w:r w:rsidRPr="00687637">
        <w:t xml:space="preserve">: UK) as a measure of interest from the public. </w:t>
      </w:r>
    </w:p>
    <w:p w14:paraId="146ED2C8" w14:textId="77777777" w:rsidR="00687637" w:rsidRPr="00687637" w:rsidRDefault="00687637" w:rsidP="00687637">
      <w:r w:rsidRPr="00687637">
        <w:t xml:space="preserve">A Shewhart control chart was created for the proportion of EBV-related views relative to total views </w:t>
      </w:r>
      <w:r w:rsidRPr="00687637">
        <w:fldChar w:fldCharType="begin"/>
      </w:r>
      <w:r w:rsidRPr="00687637">
        <w:instrText xml:space="preserve"> ADDIN ZOTERO_ITEM CSL_CITATION {"citationID":"12bs8umj53","properties":{"formattedCitation":"(8)","plainCitation":"(8)"},"citationItems":[{"id":1565,"uris":["http://zotero.org/users/714468/items/WWIVD2F9"],"uri":["http://zotero.org/users/714468/items/WWIVD2F9"],"itemData":{"id":1565,"type":"article-journal","title":"Plotting basic control charts: tutorial notes for healthcare practitioners","container-title":"Quality &amp; Safety in Health Care","page":"137-145","volume":"17","issue":"2","source":"PubMed","abstract":"There is considerable interest in the use of statistical process control (SPC) in healthcare. Although SPC is part of an overall philosophy of continual improvement, the implementation of SPC usually requires the production of control charts. However, as SPC is relatively new to healthcare practitioners and is not routinely featured in medical statistics texts/courses, there is a need to explain the issues involved in the selection and construction of control charts in practice. Following a brief overview of SPC in healthcare and preliminary issues, we use a tutorial-based approach to illustrate the selection and construction of four commonly used control charts (xmr-chart, p-chart, u-chart, c-chart) using examples from healthcare. For each control chart, the raw data, the relevant formulae and their use and interpretation of the final SPC chart are provided together with a notes section highlighting important issues for the SPC practitioner. Some more advanced topics are also mentioned with suggestions for further reading.","DOI":"10.1136/qshc.2004.012047","ISSN":"1475-3901","note":"PMID: 18385409","shortTitle":"Plotting basic control charts","journalAbbreviation":"Qual Saf Health Care","language":"eng","author":[{"family":"Mohammed","given":"M. A."},{"family":"Worthington","given":"P."},{"family":"Woodall","given":"W. H."}],"issued":{"date-parts":[["2008",4]]}}}],"schema":"https://github.com/citation-style-language/schema/raw/master/csl-citation.json"} </w:instrText>
      </w:r>
      <w:r w:rsidRPr="00687637">
        <w:fldChar w:fldCharType="separate"/>
      </w:r>
      <w:r w:rsidRPr="00687637">
        <w:t>(8)</w:t>
      </w:r>
      <w:r w:rsidRPr="00687637">
        <w:fldChar w:fldCharType="end"/>
      </w:r>
      <w:r w:rsidRPr="00687637">
        <w:t xml:space="preserve">. The same time period in the previous year was used as a baseline (mean +/- 3 standard deviations). Both numerators and denominators were logarithmically transformed. </w:t>
      </w:r>
    </w:p>
    <w:p w14:paraId="7A990A6F" w14:textId="77777777" w:rsidR="00687637" w:rsidRPr="00687637" w:rsidRDefault="00687637" w:rsidP="00687637">
      <w:pPr>
        <w:rPr>
          <w:b/>
        </w:rPr>
      </w:pPr>
      <w:r w:rsidRPr="00687637">
        <w:rPr>
          <w:b/>
        </w:rPr>
        <w:t>Results</w:t>
      </w:r>
    </w:p>
    <w:p w14:paraId="5C3244FA" w14:textId="77777777" w:rsidR="00687637" w:rsidRPr="00687637" w:rsidRDefault="00687637" w:rsidP="00687637">
      <w:r w:rsidRPr="00687637">
        <w:t>The time trend of EBV-related searches showed an earlier interest on the professional website compared to Google UK (Figure 1). The Shewhart chart showed all weeks from 30 March to 31 December 2014 as “out-of-control” relative to the baseline (Figure 2).</w:t>
      </w:r>
    </w:p>
    <w:p w14:paraId="0F8D0004" w14:textId="77777777" w:rsidR="00687637" w:rsidRPr="00687637" w:rsidRDefault="00687637" w:rsidP="00687637"/>
    <w:p w14:paraId="2F466116" w14:textId="77777777" w:rsidR="00687637" w:rsidRPr="00687637" w:rsidRDefault="00687637" w:rsidP="00687637">
      <w:pPr>
        <w:pStyle w:val="Caption"/>
        <w:spacing w:line="480" w:lineRule="auto"/>
        <w:rPr>
          <w:rFonts w:ascii="Times New Roman" w:hAnsi="Times New Roman" w:cs="Times New Roman"/>
          <w:i w:val="0"/>
          <w:color w:val="auto"/>
          <w:sz w:val="24"/>
          <w:szCs w:val="24"/>
        </w:rPr>
      </w:pPr>
      <w:r w:rsidRPr="00687637">
        <w:rPr>
          <w:rFonts w:ascii="Times New Roman" w:hAnsi="Times New Roman" w:cs="Times New Roman"/>
          <w:b/>
          <w:i w:val="0"/>
          <w:color w:val="auto"/>
          <w:sz w:val="24"/>
          <w:szCs w:val="24"/>
        </w:rPr>
        <w:t xml:space="preserve">Figure </w:t>
      </w:r>
      <w:r w:rsidRPr="00687637">
        <w:rPr>
          <w:rFonts w:ascii="Times New Roman" w:hAnsi="Times New Roman" w:cs="Times New Roman"/>
          <w:b/>
          <w:i w:val="0"/>
          <w:color w:val="auto"/>
          <w:sz w:val="24"/>
          <w:szCs w:val="24"/>
        </w:rPr>
        <w:fldChar w:fldCharType="begin"/>
      </w:r>
      <w:r w:rsidRPr="00687637">
        <w:rPr>
          <w:rFonts w:ascii="Times New Roman" w:hAnsi="Times New Roman" w:cs="Times New Roman"/>
          <w:b/>
          <w:i w:val="0"/>
          <w:color w:val="auto"/>
          <w:sz w:val="24"/>
          <w:szCs w:val="24"/>
        </w:rPr>
        <w:instrText xml:space="preserve"> SEQ Figure \* ARABIC </w:instrText>
      </w:r>
      <w:r w:rsidRPr="00687637">
        <w:rPr>
          <w:rFonts w:ascii="Times New Roman" w:hAnsi="Times New Roman" w:cs="Times New Roman"/>
          <w:b/>
          <w:i w:val="0"/>
          <w:color w:val="auto"/>
          <w:sz w:val="24"/>
          <w:szCs w:val="24"/>
        </w:rPr>
        <w:fldChar w:fldCharType="separate"/>
      </w:r>
      <w:r w:rsidRPr="00687637">
        <w:rPr>
          <w:rFonts w:ascii="Times New Roman" w:hAnsi="Times New Roman" w:cs="Times New Roman"/>
          <w:b/>
          <w:i w:val="0"/>
          <w:noProof/>
          <w:color w:val="auto"/>
          <w:sz w:val="24"/>
          <w:szCs w:val="24"/>
        </w:rPr>
        <w:t>1</w:t>
      </w:r>
      <w:r w:rsidRPr="00687637">
        <w:rPr>
          <w:rFonts w:ascii="Times New Roman" w:hAnsi="Times New Roman" w:cs="Times New Roman"/>
          <w:b/>
          <w:i w:val="0"/>
          <w:noProof/>
          <w:color w:val="auto"/>
          <w:sz w:val="24"/>
          <w:szCs w:val="24"/>
        </w:rPr>
        <w:fldChar w:fldCharType="end"/>
      </w:r>
      <w:r w:rsidRPr="00687637">
        <w:rPr>
          <w:rFonts w:ascii="Times New Roman" w:hAnsi="Times New Roman" w:cs="Times New Roman"/>
          <w:i w:val="0"/>
          <w:color w:val="auto"/>
          <w:sz w:val="24"/>
          <w:szCs w:val="24"/>
        </w:rPr>
        <w:t xml:space="preserve">   Ebola virus-related searches on a professional travel health website, www.TravelHealthPro.uk, and searches on Google UK, 23 March to 31 December 2014. Vertical line: week of WHO PHEIC on 8 August 2014.</w:t>
      </w:r>
    </w:p>
    <w:p w14:paraId="3A075558" w14:textId="77777777" w:rsidR="00687637" w:rsidRPr="00687637" w:rsidRDefault="00687637" w:rsidP="00687637"/>
    <w:p w14:paraId="4661EE54" w14:textId="77777777" w:rsidR="00687637" w:rsidRPr="00687637" w:rsidRDefault="00687637" w:rsidP="00687637">
      <w:pPr>
        <w:pStyle w:val="Caption"/>
        <w:spacing w:line="480" w:lineRule="auto"/>
        <w:rPr>
          <w:rFonts w:ascii="Times New Roman" w:hAnsi="Times New Roman" w:cs="Times New Roman"/>
          <w:i w:val="0"/>
          <w:color w:val="auto"/>
          <w:sz w:val="24"/>
          <w:szCs w:val="24"/>
        </w:rPr>
      </w:pPr>
      <w:bookmarkStart w:id="2" w:name="_Ref479673985"/>
      <w:r w:rsidRPr="00687637">
        <w:rPr>
          <w:rFonts w:ascii="Times New Roman" w:hAnsi="Times New Roman" w:cs="Times New Roman"/>
          <w:b/>
          <w:i w:val="0"/>
          <w:color w:val="auto"/>
          <w:sz w:val="24"/>
          <w:szCs w:val="24"/>
        </w:rPr>
        <w:t xml:space="preserve">Figure </w:t>
      </w:r>
      <w:r w:rsidRPr="00687637">
        <w:rPr>
          <w:rFonts w:ascii="Times New Roman" w:hAnsi="Times New Roman" w:cs="Times New Roman"/>
          <w:b/>
          <w:i w:val="0"/>
          <w:color w:val="auto"/>
          <w:sz w:val="24"/>
          <w:szCs w:val="24"/>
        </w:rPr>
        <w:fldChar w:fldCharType="begin"/>
      </w:r>
      <w:r w:rsidRPr="00687637">
        <w:rPr>
          <w:rFonts w:ascii="Times New Roman" w:hAnsi="Times New Roman" w:cs="Times New Roman"/>
          <w:b/>
          <w:i w:val="0"/>
          <w:color w:val="auto"/>
          <w:sz w:val="24"/>
          <w:szCs w:val="24"/>
        </w:rPr>
        <w:instrText xml:space="preserve"> SEQ Figure \* ARABIC </w:instrText>
      </w:r>
      <w:r w:rsidRPr="00687637">
        <w:rPr>
          <w:rFonts w:ascii="Times New Roman" w:hAnsi="Times New Roman" w:cs="Times New Roman"/>
          <w:b/>
          <w:i w:val="0"/>
          <w:color w:val="auto"/>
          <w:sz w:val="24"/>
          <w:szCs w:val="24"/>
        </w:rPr>
        <w:fldChar w:fldCharType="separate"/>
      </w:r>
      <w:r w:rsidRPr="00687637">
        <w:rPr>
          <w:rFonts w:ascii="Times New Roman" w:hAnsi="Times New Roman" w:cs="Times New Roman"/>
          <w:b/>
          <w:i w:val="0"/>
          <w:noProof/>
          <w:color w:val="auto"/>
          <w:sz w:val="24"/>
          <w:szCs w:val="24"/>
        </w:rPr>
        <w:t>2</w:t>
      </w:r>
      <w:r w:rsidRPr="00687637">
        <w:rPr>
          <w:rFonts w:ascii="Times New Roman" w:hAnsi="Times New Roman" w:cs="Times New Roman"/>
          <w:b/>
          <w:i w:val="0"/>
          <w:noProof/>
          <w:color w:val="auto"/>
          <w:sz w:val="24"/>
          <w:szCs w:val="24"/>
        </w:rPr>
        <w:fldChar w:fldCharType="end"/>
      </w:r>
      <w:bookmarkEnd w:id="2"/>
      <w:r w:rsidRPr="00687637">
        <w:rPr>
          <w:rFonts w:ascii="Times New Roman" w:hAnsi="Times New Roman" w:cs="Times New Roman"/>
          <w:i w:val="0"/>
          <w:color w:val="auto"/>
          <w:sz w:val="24"/>
          <w:szCs w:val="24"/>
        </w:rPr>
        <w:t xml:space="preserve">   Shewhart control chart of weekly Ebola-related page views relative to total views with end of March to end of December 2013 as baseline. Out-of-control data points were defined as being three standard deviations above the baseline mean. Vertical line: week of WHO PHEIC on 8 August 2014.</w:t>
      </w:r>
    </w:p>
    <w:p w14:paraId="3600F2CB" w14:textId="77777777" w:rsidR="00687637" w:rsidRPr="00687637" w:rsidRDefault="00687637" w:rsidP="00687637">
      <w:pPr>
        <w:rPr>
          <w:b/>
        </w:rPr>
      </w:pPr>
      <w:r w:rsidRPr="00687637">
        <w:rPr>
          <w:b/>
        </w:rPr>
        <w:t>Discussion</w:t>
      </w:r>
    </w:p>
    <w:p w14:paraId="5D6F2D43" w14:textId="77777777" w:rsidR="00687637" w:rsidRPr="00687637" w:rsidRDefault="00687637" w:rsidP="00687637">
      <w:r w:rsidRPr="00687637">
        <w:t xml:space="preserve">Online information seeking activity has been shown to wax and wane as new information on threats becomes available and satisfy gaps in knowledge. The mechanism behind the initial bursts of information seeking has been termed the social amplification of risk (SAR) </w:t>
      </w:r>
      <w:r w:rsidRPr="00687637">
        <w:fldChar w:fldCharType="begin"/>
      </w:r>
      <w:r w:rsidRPr="00687637">
        <w:instrText xml:space="preserve"> ADDIN ZOTERO_ITEM CSL_CITATION {"citationID":"avdfrtf88n","properties":{"formattedCitation":"(2)","plainCitation":"(2)"},"citationItems":[{"id":1109,"uris":["http://zotero.org/users/714468/items/EDKZ8KS7"],"uri":["http://zotero.org/users/714468/items/EDKZ8KS7"],"itemData":{"id":1109,"type":"article-journal","title":"\"Pandemic Public Health Paradox\": Time Series Analysis of the 2009/10 Influenza A / H1N1 Epidemiology, Media Attention, Risk Perception and Public Reactions in 5 European Countries","container-title":"PloS One","page":"e0151258","volume":"11","issue":"3","source":"PubMed","abstract":"In 2009, influenza A H1N1 caused the first pandemic of the 21st century. Although a vaccine against this influenza subtype was offered before or at the onset of the second epidemic wave that caused most of the fatal cases in Europe, vaccination rates for that season were lower than expected. We propose that the contradiction between high risk of infection and low use of available prevention measures represents a pandemic public health paradox. This research aims for a better understanding of this paradox by exploring the time-dependent interplay among changing influenza epidemiology, media attention, pandemic control measures, risk perception and public health behavior among five European countries (Czech Republic, Denmark, Germany, Spain and the UK). Findings suggest that asynchronicity between media curves and epidemiological curves may potentially explain the pandemic public health paradox; media attention for influenza A H1N1 in Europe declined long before the epidemic reached its peak, and public risk perceptions and behaviors may have followed media logic, rather than epidemiological logic.","DOI":"10.1371/journal.pone.0151258","ISSN":"1932-6203","note":"PMID: 26982071\nPMCID: PMC4794201","shortTitle":"Pandemic Public Health Paradox","journalAbbreviation":"PLoS ONE","language":"eng","author":[{"family":"Reintjes","given":"Ralf"},{"family":"Das","given":"Enny"},{"family":"Klemm","given":"Celine"},{"family":"Richardus","given":"Jan Hendrik"},{"family":"Keßler","given":"Verena"},{"family":"Ahmad","given":"Amena"}],"issued":{"date-parts":[["2016"]]}}}],"schema":"https://github.com/citation-style-language/schema/raw/master/csl-citation.json"} </w:instrText>
      </w:r>
      <w:r w:rsidRPr="00687637">
        <w:fldChar w:fldCharType="separate"/>
      </w:r>
      <w:r w:rsidRPr="00687637">
        <w:t>(2)</w:t>
      </w:r>
      <w:r w:rsidRPr="00687637">
        <w:fldChar w:fldCharType="end"/>
      </w:r>
      <w:r w:rsidRPr="00687637">
        <w:t xml:space="preserve">. Several studies have explored the SAR mechanism for early detection of disease outbreaks using online information sources including search </w:t>
      </w:r>
      <w:r w:rsidRPr="00687637">
        <w:lastRenderedPageBreak/>
        <w:t xml:space="preserve">engines </w:t>
      </w:r>
      <w:r w:rsidRPr="00687637">
        <w:fldChar w:fldCharType="begin"/>
      </w:r>
      <w:r w:rsidRPr="00687637">
        <w:instrText xml:space="preserve"> ADDIN ZOTERO_ITEM CSL_CITATION {"citationID":"2eslphe5rr","properties":{"formattedCitation":"{\\rtf (9\\uc0\\u8211{}13)}","plainCitation":"(9–13)"},"citationItems":[{"id":1152,"uris":["http://zotero.org/users/714468/items/PP8TJCP7"],"uri":["http://zotero.org/users/714468/items/PP8TJCP7"],"itemData":{"id":1152,"type":"article-journal","title":"Automatically quantifying the scientific quality and sensationalism of news records mentioning pandemics: validating a maximum entropy machine-learning model","container-title":"Journal of Clinical Epidemiology","page":"47-55","volume":"75","source":"PubMed","abstract":"OBJECTIVE: To develop and validate a method for automatically quantifying the scientific quality and sensationalism of individual news records.\nSTUDY DESIGN: After retrieving 163,433 news records mentioning the Severe Acute Respiratory Syndrome (SARS) and H1N1 pandemics, a maximum entropy model for inductive machine learning was used to identify relationships among 500 randomly sampled news records that correlated with systematic human assessments of their scientific quality and sensationalism. These relationships were then computationally applied to automatically classify 10,000 additional randomly sampled news records. The model was validated by randomly sampling 200 records and comparing human assessments of them to the computer assessments.\nRESULTS: The computer model correctly assessed the relevance of 86% of news records, the quality of 65% of records, and the sensationalism of 73% of records, as compared to human assessments. Overall, the scientific quality of SARS and H1N1 news media coverage had potentially important shortcomings, but coverage was not too sensationalizing. Coverage slightly improved between the two pandemics.\nCONCLUSION: Automated methods can evaluate news records faster, cheaper, and possibly better than humans. The specific procedure implemented in this study can at the very least identify subsets of news records that are far more likely to have particular scientific and discursive qualities.","DOI":"10.1016/j.jclinepi.2015.12.010","ISSN":"1878-5921","note":"PMID: 26854419","shortTitle":"Automatically quantifying the scientific quality and sensationalism of news records mentioning pandemics","journalAbbreviation":"J Clin Epidemiol","language":"eng","author":[{"family":"Hoffman","given":"Steven J."},{"family":"Justicz","given":"Victoria"}],"issued":{"date-parts":[["2016",7]]}}},{"id":1117,"uris":["http://zotero.org/users/714468/items/VWEW25BB"],"uri":["http://zotero.org/users/714468/items/VWEW25BB"],"itemData":{"id":1117,"type":"article-journal","title":"Mass Media and the Contagion of Fear: The Case of Ebola in America","container-title":"PloS One","page":"e0129179","volume":"10","issue":"6","source":"PubMed","abstract":"BACKGROUND: In the weeks following the first imported case of Ebola in the U. S. on September 29, 2014, coverage of the very limited outbreak dominated the news media, in a manner quite disproportionate to the actual threat to national public health; by the end of October, 2014, there were only four laboratory confirmed cases of Ebola in the entire nation. Public interest in these events was high, as reflected in the millions of Ebola-related Internet searches and tweets performed in the month following the first confirmed case. Use of trending Internet searches and tweets has been proposed in the past for real-time prediction of outbreaks (a field referred to as \"digital epidemiology\"), but accounting for the biases of public panic has been problematic. In the case of the limited U. S. Ebola outbreak, we know that the Ebola-related searches and tweets originating the U. S. during the outbreak were due only to public interest or panic, providing an unprecedented means to determine how these dynamics affect such data, and how news media may be driving these trends.\nMETHODOLOGY: We examine daily Ebola-related Internet search and Twitter data in the U. S. during the six week period ending Oct 31, 2014. TV news coverage data were obtained from the daily number of Ebola-related news videos appearing on two major news networks. We fit the parameters of a mathematical contagion model to the data to determine if the news coverage was a significant factor in the temporal patterns in Ebola-related Internet and Twitter data.\nCONCLUSIONS: We find significant evidence of contagion, with each Ebola-related news video inspiring tens of thousands of Ebola-related tweets and Internet searches. Between 65% to 76% of the variance in all samples is described by the news media contagion model.","DOI":"10.1371/journal.pone.0129179","ISSN":"1932-6203","note":"PMID: 26067433\nPMCID: PMC4465830","shortTitle":"Mass Media and the Contagion of Fear","journalAbbreviation":"PLoS ONE","language":"eng","author":[{"family":"Towers","given":"Sherry"},{"family":"Afzal","given":"Shehzad"},{"family":"Bernal","given":"Gilbert"},{"family":"Bliss","given":"Nadya"},{"family":"Brown","given":"Shala"},{"family":"Espinoza","given":"Baltazar"},{"family":"Jackson","given":"Jasmine"},{"family":"Judson-Garcia","given":"Julia"},{"family":"Khan","given":"Maryam"},{"family":"Lin","given":"Michael"},{"family":"Mamada","given":"Robert"},{"family":"Moreno","given":"Victor M."},{"family":"Nazari","given":"Fereshteh"},{"family":"Okuneye","given":"Kamaldeen"},{"family":"Ross","given":"Mary L."},{"family":"Rodriguez","given":"Claudia"},{"family":"Medlock","given":"Jan"},{"family":"Ebert","given":"David"},{"family":"Castillo-Chavez","given":"Carlos"}],"issued":{"date-parts":[["2015"]]}}},{"id":1101,"uris":["http://zotero.org/users/714468/items/MXKUZK6G"],"uri":["http://zotero.org/users/714468/items/MXKUZK6G"],"itemData":{"id":1101,"type":"article-journal","title":"Zika Virus-Related News Coverage and Online Behavior, United States, Guatemala, and Brazil","container-title":"Emerging Infectious Diseases","page":"1320-1321","volume":"22","issue":"7","source":"PubMed","DOI":"10.3201/eid2207.160415","ISSN":"1080-6059","note":"PMID: 27100826\nPMCID: PMC4918164","journalAbbreviation":"Emerging Infect. Dis.","language":"eng","author":[{"family":"Southwell","given":"Brian G."},{"family":"Dolina","given":"Suzanne"},{"family":"Jimenez-Magdaleno","given":"Karla"},{"family":"Squiers","given":"Linda B."},{"family":"Kelly","given":"Bridget J."}],"issued":{"date-parts":[["2016",7]]}}},{"id":1145,"uris":["http://zotero.org/users/714468/items/2EHDW4RS"],"uri":["http://zotero.org/users/714468/items/2EHDW4RS"],"itemData":{"id":1145,"type":"article-journal","title":"Using web search query data to monitor dengue epidemics: a new model for neglected tropical disease surveillance","container-title":"PLoS neglected tropical diseases","page":"e1206","volume":"5","issue":"5","source":"PubMed","abstract":"BACKGROUND: A variety of obstacles including bureaucracy and lack of resources have interfered with timely detection and reporting of dengue cases in many endemic countries. Surveillance efforts have turned to modern data sources, such as Internet search queries, which have been shown to be effective for monitoring influenza-like illnesses. However, few have evaluated the utility of web search query data for other diseases, especially those of high morbidity and mortality or where a vaccine may not exist. In this study, we aimed to assess whether web search queries are a viable data source for the early detection and monitoring of dengue epidemics.\nMETHODOLOGY/PRINCIPAL FINDINGS: Bolivia, Brazil, India, Indonesia and Singapore were chosen for analysis based on available data and adequate search volume. For each country, a univariate linear model was then built by fitting a time series of the fraction of Google search query volume for specific dengue-related queries from that country against a time series of official dengue case counts for a time-frame within 2003-2010. The specific combination of queries used was chosen to maximize model fit. Spurious spikes in the data were also removed prior to model fitting. The final models, fit using a training subset of the data, were cross-validated against both the overall dataset and a holdout subset of the data. All models were found to fit the data quite well, with validation correlations ranging from 0.82 to 0.99.\nCONCLUSIONS/SIGNIFICANCE: Web search query data were found to be capable of tracking dengue activity in Bolivia, Brazil, India, Indonesia and Singapore. Whereas traditional dengue data from official sources are often not available until after some substantial delay, web search query data are available in near real-time. These data represent valuable complement to assist with traditional dengue surveillance.","DOI":"10.1371/journal.pntd.0001206","ISSN":"1935-2735","note":"PMID: 21647308\nPMCID: PMC3104029","shortTitle":"Using web search query data to monitor dengue epidemics","journalAbbreviation":"PLoS Negl Trop Dis","language":"eng","author":[{"family":"Chan","given":"Emily H."},{"family":"Sahai","given":"Vikram"},{"family":"Conrad","given":"Corrie"},{"family":"Brownstein","given":"John S."}],"issued":{"date-parts":[["2011",5]]}}},{"id":1162,"uris":["http://zotero.org/users/714468/items/E39RCFX8"],"uri":["http://zotero.org/users/714468/items/E39RCFX8"],"itemData":{"id":1162,"type":"article-journal","title":"Assessing Ebola-related web search behaviour: insights and implications from an analytical study of Google Trends-based query volumes","container-title":"Infectious Diseases of Poverty","page":"54","volume":"4","source":"PubMed","abstract":"BACKGROUND: The 2014 Ebola epidemic in West Africa has attracted public interest worldwide, leading to millions of Ebola-related Internet searches being performed during the period of the epidemic. This study aimed to evaluate and interpret Google search queries for terms related to the Ebola outbreak both at the global level and in all countries where primary cases of Ebola occurred. The study also endeavoured to look at the correlation between the number of overall and weekly web searches and the number of overall and weekly new cases of Ebola.\nMETHODS: Google Trends (GT) was used to explore Internet activity related to Ebola. The study period was from 29 December 2013 to 14 June 2015. Pearson's correlation was performed to correlate Ebola-related relative search volumes (RSVs) with the number of weekly and overall Ebola cases. Multivariate regression was performed using Ebola-related RSV as a dependent variable, and the overall number of Ebola cases and the Human Development Index were used as predictor variables.\nRESULTS: The greatest RSV was registered in the three West African countries mainly affected by the Ebola epidemic. The queries varied in the different countries. Both quantitative and qualitative differences between the affected African countries and other Western countries with primary cases were noted, in relation to the different flux volumes and different time courses. In the affected African countries, web query search volumes were mostly concentrated in the capital areas. However, in Western countries, web queries were uniformly distributed over the national territory. In terms of the three countries mainly affected by the Ebola epidemic, the correlation between the number of new weekly cases of Ebola and the weekly GT index varied from weak to moderate. The correlation between the number of Ebola cases registered in all countries during the study period and the GT index was very high.\nCONCLUSION: Google Trends showed a coarse-grained nature, strongly correlating with global epidemiological data, but was weaker at country level, as it was prone to distortions induced by unbalanced media coverage and the digital divide. Global and local health agencies could usefully exploit GT data to identify disease-related information needs and plan proper communication strategies, particularly in the case of health-threatening events.","DOI":"10.1186/s40249-015-0090-9","ISSN":"2049-9957","note":"PMID: 26654247\nPMCID: PMC4674955","shortTitle":"Assessing Ebola-related web search behaviour","journalAbbreviation":"Infect Dis Poverty","language":"eng","author":[{"family":"Alicino","given":"Cristiano"},{"family":"Bragazzi","given":"Nicola Luigi"},{"family":"Faccio","given":"Valeria"},{"family":"Amicizia","given":"Daniela"},{"family":"Panatto","given":"Donatella"},{"family":"Gasparini","given":"Roberto"},{"family":"Icardi","given":"Giancarlo"},{"family":"Orsi","given":"Andrea"}],"issued":{"date-parts":[["2015"]]}}}],"schema":"https://github.com/citation-style-language/schema/raw/master/csl-citation.json"} </w:instrText>
      </w:r>
      <w:r w:rsidRPr="00687637">
        <w:fldChar w:fldCharType="separate"/>
      </w:r>
      <w:r w:rsidRPr="00687637">
        <w:t>(9–13)</w:t>
      </w:r>
      <w:r w:rsidRPr="00687637">
        <w:fldChar w:fldCharType="end"/>
      </w:r>
      <w:r w:rsidRPr="00687637">
        <w:t xml:space="preserve">, social media networks such as Twitter </w:t>
      </w:r>
      <w:r w:rsidRPr="00687637">
        <w:fldChar w:fldCharType="begin"/>
      </w:r>
      <w:r w:rsidRPr="00687637">
        <w:instrText xml:space="preserve"> ADDIN ZOTERO_ITEM CSL_CITATION {"citationID":"296nuhd67r","properties":{"formattedCitation":"(10,11,14,15)","plainCitation":"(10,11,14,15)"},"citationItems":[{"id":1117,"uris":["http://zotero.org/users/714468/items/VWEW25BB"],"uri":["http://zotero.org/users/714468/items/VWEW25BB"],"itemData":{"id":1117,"type":"article-journal","title":"Mass Media and the Contagion of Fear: The Case of Ebola in America","container-title":"PloS One","page":"e0129179","volume":"10","issue":"6","source":"PubMed","abstract":"BACKGROUND: In the weeks following the first imported case of Ebola in the U. S. on September 29, 2014, coverage of the very limited outbreak dominated the news media, in a manner quite disproportionate to the actual threat to national public health; by the end of October, 2014, there were only four laboratory confirmed cases of Ebola in the entire nation. Public interest in these events was high, as reflected in the millions of Ebola-related Internet searches and tweets performed in the month following the first confirmed case. Use of trending Internet searches and tweets has been proposed in the past for real-time prediction of outbreaks (a field referred to as \"digital epidemiology\"), but accounting for the biases of public panic has been problematic. In the case of the limited U. S. Ebola outbreak, we know that the Ebola-related searches and tweets originating the U. S. during the outbreak were due only to public interest or panic, providing an unprecedented means to determine how these dynamics affect such data, and how news media may be driving these trends.\nMETHODOLOGY: We examine daily Ebola-related Internet search and Twitter data in the U. S. during the six week period ending Oct 31, 2014. TV news coverage data were obtained from the daily number of Ebola-related news videos appearing on two major news networks. We fit the parameters of a mathematical contagion model to the data to determine if the news coverage was a significant factor in the temporal patterns in Ebola-related Internet and Twitter data.\nCONCLUSIONS: We find significant evidence of contagion, with each Ebola-related news video inspiring tens of thousands of Ebola-related tweets and Internet searches. Between 65% to 76% of the variance in all samples is described by the news media contagion model.","DOI":"10.1371/journal.pone.0129179","ISSN":"1932-6203","note":"PMID: 26067433\nPMCID: PMC4465830","shortTitle":"Mass Media and the Contagion of Fear","journalAbbreviation":"PLoS ONE","language":"eng","author":[{"family":"Towers","given":"Sherry"},{"family":"Afzal","given":"Shehzad"},{"family":"Bernal","given":"Gilbert"},{"family":"Bliss","given":"Nadya"},{"family":"Brown","given":"Shala"},{"family":"Espinoza","given":"Baltazar"},{"family":"Jackson","given":"Jasmine"},{"family":"Judson-Garcia","given":"Julia"},{"family":"Khan","given":"Maryam"},{"family":"Lin","given":"Michael"},{"family":"Mamada","given":"Robert"},{"family":"Moreno","given":"Victor M."},{"family":"Nazari","given":"Fereshteh"},{"family":"Okuneye","given":"Kamaldeen"},{"family":"Ross","given":"Mary L."},{"family":"Rodriguez","given":"Claudia"},{"family":"Medlock","given":"Jan"},{"family":"Ebert","given":"David"},{"family":"Castillo-Chavez","given":"Carlos"}],"issued":{"date-parts":[["2015"]]}}},{"id":1101,"uris":["http://zotero.org/users/714468/items/MXKUZK6G"],"uri":["http://zotero.org/users/714468/items/MXKUZK6G"],"itemData":{"id":1101,"type":"article-journal","title":"Zika Virus-Related News Coverage and Online Behavior, United States, Guatemala, and Brazil","container-title":"Emerging Infectious Diseases","page":"1320-1321","volume":"22","issue":"7","source":"PubMed","DOI":"10.3201/eid2207.160415","ISSN":"1080-6059","note":"PMID: 27100826\nPMCID: PMC4918164","journalAbbreviation":"Emerging Infect. Dis.","language":"eng","author":[{"family":"Southwell","given":"Brian G."},{"family":"Dolina","given":"Suzanne"},{"family":"Jimenez-Magdaleno","given":"Karla"},{"family":"Squiers","given":"Linda B."},{"family":"Kelly","given":"Bridget J."}],"issued":{"date-parts":[["2016",7]]}}},{"id":1103,"uris":["http://zotero.org/users/714468/items/ZX8ANXWG"],"uri":["http://zotero.org/users/714468/items/ZX8ANXWG"],"itemData":{"id":1103,"type":"article-journal","title":"How people react to Zika virus outbreaks on Twitter? A computational content analysis","container-title":"American Journal of Infection Control","source":"PubMed","abstract":"Zika-related Twitter incidence peaked after the World Health Organization declared an emergency. Five themes were identified from Zika-related Twitter content: (1) societal impact of the outbreak; (2) government, public and private sector, and general public responses to the outbreak; (3) pregnancy and microcephaly: negative health consequences related to pregnant women and babies; (4) transmission routes; and (5) case reports. User-generated contents sites were preferred direct information channels rather than those of the government authorities.","DOI":"10.1016/j.ajic.2016.04.253","ISSN":"1527-3296","note":"PMID: 27566874","shortTitle":"How people react to Zika virus outbreaks on Twitter?","journalAbbreviation":"Am J Infect Control","language":"ENG","author":[{"family":"Fu","given":"King-Wa"},{"family":"Liang","given":"Hai"},{"family":"Saroha","given":"Nitin"},{"family":"Tse","given":"Zion Tsz Ho"},{"family":"Ip","given":"Patrick"},{"family":"Fung","given":"Isaac Chun-Hai"}],"issued":{"date-parts":[["2016",8,24]]}}},{"id":1156,"uris":["http://zotero.org/users/714468/items/AJNF3WRF"],"uri":["http://zotero.org/users/714468/items/AJNF3WRF"],"itemData":{"id":1156,"type":"article-journal","title":"Understanding Citizen Reactions and Ebola-Related Information Propagation on Social Media","container-title":"arXiv:1607.04318 [cs]","source":"arXiv.org","abstract":"In severe outbreaks such as Ebola, bird flu and SARS, people share news, and their thoughts and responses regarding the outbreaks on social media. Understanding how people perceive the severe outbreaks, what their responses are, and what factors affect these responses become important. In this paper, we conduct a comprehensive study of understanding and mining the spread of Ebola-related information on social media. In particular, we (i) conduct a large-scale data-driven analysis of geotagged social media messages to understand citizen reactions regarding Ebola; (ii) build information propagation models which measure locality of information; and (iii) analyze spatial, temporal and social properties of Ebola-related information. Our work provides new insights into Ebola outbreak by understanding citizen reactions and topic-based information propagation, as well as providing a foundation for analysis and response of future public health crises.","URL":"http://arxiv.org/abs/1607.04318","note":"arXiv: 1607.04318","author":[{"family":"Tran","given":"Thanh"},{"family":"Lee","given":"Kyumin"}],"issued":{"date-parts":[["2016",7,14]]},"accessed":{"date-parts":[["2016",9,17]]}}}],"schema":"https://github.com/citation-style-language/schema/raw/master/csl-citation.json"} </w:instrText>
      </w:r>
      <w:r w:rsidRPr="00687637">
        <w:fldChar w:fldCharType="separate"/>
      </w:r>
      <w:r w:rsidRPr="00687637">
        <w:t>(10,11,14,15)</w:t>
      </w:r>
      <w:r w:rsidRPr="00687637">
        <w:fldChar w:fldCharType="end"/>
      </w:r>
      <w:r w:rsidRPr="00687637">
        <w:t xml:space="preserve">, the online encyclopaedia, Wikipedia </w:t>
      </w:r>
      <w:r w:rsidRPr="00687637">
        <w:fldChar w:fldCharType="begin"/>
      </w:r>
      <w:r w:rsidRPr="00687637">
        <w:instrText xml:space="preserve"> ADDIN ZOTERO_ITEM CSL_CITATION {"citationID":"2gom3bjv47","properties":{"formattedCitation":"(16)","plainCitation":"(16)"},"citationItems":[{"id":1164,"uris":["http://zotero.org/users/714468/items/BI7DP5BD"],"uri":["http://zotero.org/users/714468/items/BI7DP5BD"],"itemData":{"id":1164,"type":"article-journal","title":"Public anxiety and information seeking following the H1N1 outbreak: blogs, newspaper articles, and Wikipedia visits","container-title":"Health Communication","page":"179-185","volume":"27","issue":"2","source":"PubMed","abstract":"Web-based methodologies may provide a new and unique insight into public response to an infectious disease outbreak. This naturalistic study investigates the effectiveness of new web-based methodologies in assessing anxiety and information seeking in response to the 2009 H1N1 outbreak by examining language use in weblogs (\"blogs\"), newspaper articles, and web-based information seeking. Language use in blogs and newspaper articles was assessed using Linguistic Inquiry and Word Count, and information seeking was examined using the number of daily visits to H1N1-relevant Wikipedia articles. The results show that blogs mentioning \"swine flu\" used significantly higher levels of anxiety, health, and death words and lower levels of positive emotion words than control blogs. Change in language use on blogs was strongly related to change in language use in newspaper coverage for the same day. Both the measure of anxiety in blogs mentioning \"swine flu\" and the number of Wikipedia visits followed similar trajectories, peaking shortly after the announcement of H1N1 and then declining rapidly. Anxiety measured in blogs preceded information seeking on Wikipedia. These results show that the public reaction to H1N1 was rapid and short-lived. This research suggests that analysis of web behavior can provide a source of naturalistic data on the level and changing pattern of public anxiety and information seeking following the outbreak of a public health emergency.","DOI":"10.1080/10410236.2011.571759","ISSN":"1532-7027","note":"PMID: 21827326","shortTitle":"Public anxiety and information seeking following the H1N1 outbreak","journalAbbreviation":"Health Commun","language":"eng","author":[{"family":"Tausczik","given":"Yla"},{"family":"Faasse","given":"Kate"},{"family":"Pennebaker","given":"James W."},{"family":"Petrie","given":"Keith J."}],"issued":{"date-parts":[["2012"]]}}}],"schema":"https://github.com/citation-style-language/schema/raw/master/csl-citation.json"} </w:instrText>
      </w:r>
      <w:r w:rsidRPr="00687637">
        <w:fldChar w:fldCharType="separate"/>
      </w:r>
      <w:r w:rsidRPr="00687637">
        <w:t>(16)</w:t>
      </w:r>
      <w:r w:rsidRPr="00687637">
        <w:fldChar w:fldCharType="end"/>
      </w:r>
      <w:r w:rsidRPr="00687637">
        <w:t xml:space="preserve">, media newsrooms and news aggregators </w:t>
      </w:r>
      <w:r w:rsidRPr="00687637">
        <w:fldChar w:fldCharType="begin"/>
      </w:r>
      <w:r w:rsidRPr="00687637">
        <w:instrText xml:space="preserve"> ADDIN ZOTERO_ITEM CSL_CITATION {"citationID":"hoos5dibc","properties":{"formattedCitation":"(2,9,17,18)","plainCitation":"(2,9,17,18)"},"citationItems":[{"id":1152,"uris":["http://zotero.org/users/714468/items/PP8TJCP7"],"uri":["http://zotero.org/users/714468/items/PP8TJCP7"],"itemData":{"id":1152,"type":"article-journal","title":"Automatically quantifying the scientific quality and sensationalism of news records mentioning pandemics: validating a maximum entropy machine-learning model","container-title":"Journal of Clinical Epidemiology","page":"47-55","volume":"75","source":"PubMed","abstract":"OBJECTIVE: To develop and validate a method for automatically quantifying the scientific quality and sensationalism of individual news records.\nSTUDY DESIGN: After retrieving 163,433 news records mentioning the Severe Acute Respiratory Syndrome (SARS) and H1N1 pandemics, a maximum entropy model for inductive machine learning was used to identify relationships among 500 randomly sampled news records that correlated with systematic human assessments of their scientific quality and sensationalism. These relationships were then computationally applied to automatically classify 10,000 additional randomly sampled news records. The model was validated by randomly sampling 200 records and comparing human assessments of them to the computer assessments.\nRESULTS: The computer model correctly assessed the relevance of 86% of news records, the quality of 65% of records, and the sensationalism of 73% of records, as compared to human assessments. Overall, the scientific quality of SARS and H1N1 news media coverage had potentially important shortcomings, but coverage was not too sensationalizing. Coverage slightly improved between the two pandemics.\nCONCLUSION: Automated methods can evaluate news records faster, cheaper, and possibly better than humans. The specific procedure implemented in this study can at the very least identify subsets of news records that are far more likely to have particular scientific and discursive qualities.","DOI":"10.1016/j.jclinepi.2015.12.010","ISSN":"1878-5921","note":"PMID: 26854419","shortTitle":"Automatically quantifying the scientific quality and sensationalism of news records mentioning pandemics","journalAbbreviation":"J Clin Epidemiol","language":"eng","author":[{"family":"Hoffman","given":"Steven J."},{"family":"Justicz","given":"Victoria"}],"issued":{"date-parts":[["2016",7]]}}},{"id":1154,"uris":["http://zotero.org/users/714468/items/5QUEFT4V"],"uri":["http://zotero.org/users/714468/items/5QUEFT4V"],"itemData":{"id":1154,"type":"article-journal","title":"Media Coverage of a Global Pandemic in Japan: Content Analysis of A/ H1N1 Influenza Newspaper Articles","container-title":"Journal of Mass Communication &amp; Journalism","volume":"06","issue":"01","source":"CrossRef","URL":"http://www.omicsgroup.org/journals/media-coverage-of-a-global-pandemic-in-japan-content-analysis-of-ah1n1-influenza-newspaper-articles-2165-7912-1000293.php?aid=72456","DOI":"10.4172/2165-7912.1000293","ISSN":"21657912","shortTitle":"Media Coverage of a Global Pandemic in Japan","author":[{"family":"Kato","given":"Mio"},{"family":"Ishikawa","given":"Hirono"}],"issued":{"date-parts":[["2016"]]},"accessed":{"date-parts":[["2016",9,17]]}}},{"id":1109,"uris":["http://zotero.org/users/714468/items/EDKZ8KS7"],"uri":["http://zotero.org/users/714468/items/EDKZ8KS7"],"itemData":{"id":1109,"type":"article-journal","title":"\"Pandemic Public Health Paradox\": Time Series Analysis of the 2009/10 Influenza A / H1N1 Epidemiology, Media Attention, Risk Perception and Public Reactions in 5 European Countries","container-title":"PloS One","page":"e0151258","volume":"11","issue":"3","source":"PubMed","abstract":"In 2009, influenza A H1N1 caused the first pandemic of the 21st century. Although a vaccine against this influenza subtype was offered before or at the onset of the second epidemic wave that caused most of the fatal cases in Europe, vaccination rates for that season were lower than expected. We propose that the contradiction between high risk of infection and low use of available prevention measures represents a pandemic public health paradox. This research aims for a better understanding of this paradox by exploring the time-dependent interplay among changing influenza epidemiology, media attention, pandemic control measures, risk perception and public health behavior among five European countries (Czech Republic, Denmark, Germany, Spain and the UK). Findings suggest that asynchronicity between media curves and epidemiological curves may potentially explain the pandemic public health paradox; media attention for influenza A H1N1 in Europe declined long before the epidemic reached its peak, and public risk perceptions and behaviors may have followed media logic, rather than epidemiological logic.","DOI":"10.1371/journal.pone.0151258","ISSN":"1932-6203","note":"PMID: 26982071\nPMCID: PMC4794201","shortTitle":"Pandemic Public Health Paradox","journalAbbreviation":"PLoS ONE","language":"eng","author":[{"family":"Reintjes","given":"Ralf"},{"family":"Das","given":"Enny"},{"family":"Klemm","given":"Celine"},{"family":"Richardus","given":"Jan Hendrik"},{"family":"Keßler","given":"Verena"},{"family":"Ahmad","given":"Amena"}],"issued":{"date-parts":[["2016"]]}}},{"id":1155,"uris":["http://zotero.org/users/714468/items/5E46RFHD"],"uri":["http://zotero.org/users/714468/items/5E46RFHD"],"itemData":{"id":1155,"type":"article-journal","title":"UK newspapers' representations of the 2009-10 outbreak of swine flu: one health scare not over-hyped by the media?","container-title":"Journal of Epidemiology &amp; Community Health","page":"941-946","volume":"65","issue":"10","source":"CrossRef","DOI":"10.1136/jech.2010.119875","ISSN":"0143-005X","shortTitle":"UK newspapers' representations of the 2009-10 outbreak of swine flu","language":"en","author":[{"family":"Hilton","given":"S."},{"family":"Hunt","given":"K."}],"issued":{"date-parts":[["2011",10,1]]}}}],"schema":"https://github.com/citation-style-language/schema/raw/master/csl-citation.json"} </w:instrText>
      </w:r>
      <w:r w:rsidRPr="00687637">
        <w:fldChar w:fldCharType="separate"/>
      </w:r>
      <w:r w:rsidRPr="00687637">
        <w:t>(2,9,17,18)</w:t>
      </w:r>
      <w:r w:rsidRPr="00687637">
        <w:fldChar w:fldCharType="end"/>
      </w:r>
      <w:r w:rsidRPr="00687637">
        <w:t xml:space="preserve">, professional networks such as Program for Monitoring Emerging Diseases (ProMED) </w:t>
      </w:r>
      <w:r w:rsidRPr="00687637">
        <w:fldChar w:fldCharType="begin"/>
      </w:r>
      <w:r w:rsidRPr="00687637">
        <w:instrText xml:space="preserve"> ADDIN ZOTERO_ITEM CSL_CITATION {"citationID":"1e7jf6ircr","properties":{"formattedCitation":"(19)","plainCitation":"(19)"},"citationItems":[{"id":1169,"uris":["http://zotero.org/users/714468/items/H3QDW7W4"],"uri":["http://zotero.org/users/714468/items/H3QDW7W4"],"itemData":{"id":1169,"type":"article-journal","title":"Social media in Ebola outbreak","container-title":"Epidemiology and Infection","page":"2136-2143","volume":"144","issue":"10","source":"PubMed","abstract":"The West African 2014 Ebola outbreak has highlighted the need for a better information network. Hybrid information networks, an integration of both hierarchical and formalized command control-driven and community-based, or ad hoc emerging networks, could assist in improving public health responses. By filling the missing gaps with social media use, the public health response could be more proactive rather than reactive in responding to such an outbreak of global concern. This article provides a review of the current social media use specifically in this outbreak by systematically collecting data from ProQuest Newsstand, Dow Jones Factiva, Program for Monitoring Emerging Diseases (ProMED) as well as Google Trends. The period studied is from 19 March 2014 (first request for information on ProMED) to 15 October 2014, a total of 31 weeks. The term 'Ebola' was used in the search for media reports. The outcome of the review shows positive results for social media use in effective surveillance response mechanisms - for improving the detection, preparedness and response of the outbreak - as a complement to traditional, filed, work-based surveillance approach.","DOI":"10.1017/S095026881600039X","ISSN":"1469-4409","note":"PMID: 26939535","journalAbbreviation":"Epidemiol. Infect.","language":"eng","author":[{"family":"Hossain","given":"L."},{"family":"Kam","given":"D."},{"family":"Kong","given":"F."},{"family":"Wigand","given":"R. T."},{"family":"Bossomaier","given":"T."}],"issued":{"date-parts":[["2016",7]]}}}],"schema":"https://github.com/citation-style-language/schema/raw/master/csl-citation.json"} </w:instrText>
      </w:r>
      <w:r w:rsidRPr="00687637">
        <w:fldChar w:fldCharType="separate"/>
      </w:r>
      <w:r w:rsidRPr="00687637">
        <w:t>(19)</w:t>
      </w:r>
      <w:r w:rsidRPr="00687637">
        <w:fldChar w:fldCharType="end"/>
      </w:r>
      <w:r w:rsidRPr="00687637">
        <w:t xml:space="preserve">, and traffic to professional travel health websites </w:t>
      </w:r>
      <w:r w:rsidRPr="00687637">
        <w:fldChar w:fldCharType="begin"/>
      </w:r>
      <w:r w:rsidRPr="00687637">
        <w:instrText xml:space="preserve"> ADDIN ZOTERO_ITEM CSL_CITATION {"citationID":"a2fapluin0v","properties":{"formattedCitation":"(20)","plainCitation":"(20)"},"citationItems":[{"id":1748,"uris":["http://zotero.org/users/714468/items/UFC66PGF"],"uri":["http://zotero.org/users/714468/items/UFC66PGF"],"itemData":{"id":1748,"type":"article-journal","title":"Early detection of perceived risk among users of a UK travel health website compared with internet search activity and media coverage during the 2015-2016 Zika virus outbreak: an observational study","container-title":"BMJ open","page":"e015831","volume":"7","issue":"8","source":"PubMed","abstract":"OBJECTIVES: The Zika virus (ZIKV) outbreak in the Americas in 2015-2016 posed a novel global threat due to the association with congenital malformations and its rapid spread. Timely information about the spread of the disease was paramount to public health bodies issuing travel advisories. This paper looks at the online interaction with a national travel health website during the outbreak and compares this to trends in internet searches and news media output.\nMETHODS: Time trends were created for weekly views of ZIKV-related pages on a UK travel health website, relative search volumes for 'Zika' on Google UK, ZIKV-related items aggregated by Google UK News and rank of ZIKV travel advisories among all other pages between 15 November 2015 and 20 August 2016.\nRESULTS: Time trends in traffic to the travel health website corresponded with Google searches, but less so with media items due to intense coverage of the Rio Olympics. Travel advisories for pregnant women were issued from 7 December 2015 and began to increase in popularity (rank) from early January 2016, weeks before a surge in interest as measured by Google searches/news items at the end of January 2016.\nCONCLUSIONS: The study showed an amplification of perceived risk among users of a national travel health website weeks before the initial surge in public interest. This suggests a potential value for tools to detect changes in online information seeking behaviours for predicting periods of high demand where the routine capability of travel health services could be exceeded.","DOI":"10.1136/bmjopen-2017-015831","ISSN":"2044-6055","note":"PMID: 28860226","shortTitle":"Early detection of perceived risk among users of a UK travel health website compared with internet search activity and media coverage during the 2015-2016 Zika virus outbreak","journalAbbreviation":"BMJ Open","language":"eng","author":[{"family":"Petersen","given":"Jakob"},{"family":"Simons","given":"Hilary"},{"family":"Patel","given":"Dipti"},{"family":"Freedman","given":"Joanne"}],"issued":{"date-parts":[["2017",8,31]]}}}],"schema":"https://github.com/citation-style-language/schema/raw/master/csl-citation.json"} </w:instrText>
      </w:r>
      <w:r w:rsidRPr="00687637">
        <w:fldChar w:fldCharType="separate"/>
      </w:r>
      <w:r w:rsidRPr="00687637">
        <w:t>(20)</w:t>
      </w:r>
      <w:r w:rsidRPr="00687637">
        <w:fldChar w:fldCharType="end"/>
      </w:r>
      <w:r w:rsidRPr="00687637">
        <w:t xml:space="preserve">. Particular diseases of interest have been swine / seasonal flu </w:t>
      </w:r>
      <w:r w:rsidRPr="00687637">
        <w:fldChar w:fldCharType="begin"/>
      </w:r>
      <w:r w:rsidRPr="00687637">
        <w:instrText xml:space="preserve"> ADDIN ZOTERO_ITEM CSL_CITATION {"citationID":"2p80rr67cp","properties":{"formattedCitation":"(2,17,18)","plainCitation":"(2,17,18)"},"citationItems":[{"id":1154,"uris":["http://zotero.org/users/714468/items/5QUEFT4V"],"uri":["http://zotero.org/users/714468/items/5QUEFT4V"],"itemData":{"id":1154,"type":"article-journal","title":"Media Coverage of a Global Pandemic in Japan: Content Analysis of A/ H1N1 Influenza Newspaper Articles","container-title":"Journal of Mass Communication &amp; Journalism","volume":"06","issue":"01","source":"CrossRef","URL":"http://www.omicsgroup.org/journals/media-coverage-of-a-global-pandemic-in-japan-content-analysis-of-ah1n1-influenza-newspaper-articles-2165-7912-1000293.php?aid=72456","DOI":"10.4172/2165-7912.1000293","ISSN":"21657912","shortTitle":"Media Coverage of a Global Pandemic in Japan","author":[{"family":"Kato","given":"Mio"},{"family":"Ishikawa","given":"Hirono"}],"issued":{"date-parts":[["2016"]]},"accessed":{"date-parts":[["2016",9,17]]}}},{"id":1109,"uris":["http://zotero.org/users/714468/items/EDKZ8KS7"],"uri":["http://zotero.org/users/714468/items/EDKZ8KS7"],"itemData":{"id":1109,"type":"article-journal","title":"\"Pandemic Public Health Paradox\": Time Series Analysis of the 2009/10 Influenza A / H1N1 Epidemiology, Media Attention, Risk Perception and Public Reactions in 5 European Countries","container-title":"PloS One","page":"e0151258","volume":"11","issue":"3","source":"PubMed","abstract":"In 2009, influenza A H1N1 caused the first pandemic of the 21st century. Although a vaccine against this influenza subtype was offered before or at the onset of the second epidemic wave that caused most of the fatal cases in Europe, vaccination rates for that season were lower than expected. We propose that the contradiction between high risk of infection and low use of available prevention measures represents a pandemic public health paradox. This research aims for a better understanding of this paradox by exploring the time-dependent interplay among changing influenza epidemiology, media attention, pandemic control measures, risk perception and public health behavior among five European countries (Czech Republic, Denmark, Germany, Spain and the UK). Findings suggest that asynchronicity between media curves and epidemiological curves may potentially explain the pandemic public health paradox; media attention for influenza A H1N1 in Europe declined long before the epidemic reached its peak, and public risk perceptions and behaviors may have followed media logic, rather than epidemiological logic.","DOI":"10.1371/journal.pone.0151258","ISSN":"1932-6203","note":"PMID: 26982071\nPMCID: PMC4794201","shortTitle":"Pandemic Public Health Paradox","journalAbbreviation":"PLoS ONE","language":"eng","author":[{"family":"Reintjes","given":"Ralf"},{"family":"Das","given":"Enny"},{"family":"Klemm","given":"Celine"},{"family":"Richardus","given":"Jan Hendrik"},{"family":"Keßler","given":"Verena"},{"family":"Ahmad","given":"Amena"}],"issued":{"date-parts":[["2016"]]}}},{"id":1155,"uris":["http://zotero.org/users/714468/items/5E46RFHD"],"uri":["http://zotero.org/users/714468/items/5E46RFHD"],"itemData":{"id":1155,"type":"article-journal","title":"UK newspapers' representations of the 2009-10 outbreak of swine flu: one health scare not over-hyped by the media?","container-title":"Journal of Epidemiology &amp; Community Health","page":"941-946","volume":"65","issue":"10","source":"CrossRef","DOI":"10.1136/jech.2010.119875","ISSN":"0143-005X","shortTitle":"UK newspapers' representations of the 2009-10 outbreak of swine flu","language":"en","author":[{"family":"Hilton","given":"S."},{"family":"Hunt","given":"K."}],"issued":{"date-parts":[["2011",10,1]]}}}],"schema":"https://github.com/citation-style-language/schema/raw/master/csl-citation.json"} </w:instrText>
      </w:r>
      <w:r w:rsidRPr="00687637">
        <w:fldChar w:fldCharType="separate"/>
      </w:r>
      <w:r w:rsidRPr="00687637">
        <w:t>(2,17,18)</w:t>
      </w:r>
      <w:r w:rsidRPr="00687637">
        <w:fldChar w:fldCharType="end"/>
      </w:r>
      <w:r w:rsidRPr="00687637">
        <w:t xml:space="preserve">, Ebola virus disease </w:t>
      </w:r>
      <w:r w:rsidRPr="00687637">
        <w:fldChar w:fldCharType="begin"/>
      </w:r>
      <w:r w:rsidRPr="00687637">
        <w:instrText xml:space="preserve"> ADDIN ZOTERO_ITEM CSL_CITATION {"citationID":"DAmL5s3U","properties":{"formattedCitation":"(9,10,13,15,19)","plainCitation":"(9,10,13,15,19)"},"citationItems":[{"id":1152,"uris":["http://zotero.org/users/714468/items/PP8TJCP7"],"uri":["http://zotero.org/users/714468/items/PP8TJCP7"],"itemData":{"id":1152,"type":"article-journal","title":"Automatically quantifying the scientific quality and sensationalism of news records mentioning pandemics: validating a maximum entropy machine-learning model","container-title":"Journal of Clinical Epidemiology","page":"47-55","volume":"75","source":"PubMed","abstract":"OBJECTIVE: To develop and validate a method for automatically quantifying the scientific quality and sensationalism of individual news records.\nSTUDY DESIGN: After retrieving 163,433 news records mentioning the Severe Acute Respiratory Syndrome (SARS) and H1N1 pandemics, a maximum entropy model for inductive machine learning was used to identify relationships among 500 randomly sampled news records that correlated with systematic human assessments of their scientific quality and sensationalism. These relationships were then computationally applied to automatically classify 10,000 additional randomly sampled news records. The model was validated by randomly sampling 200 records and comparing human assessments of them to the computer assessments.\nRESULTS: The computer model correctly assessed the relevance of 86% of news records, the quality of 65% of records, and the sensationalism of 73% of records, as compared to human assessments. Overall, the scientific quality of SARS and H1N1 news media coverage had potentially important shortcomings, but coverage was not too sensationalizing. Coverage slightly improved between the two pandemics.\nCONCLUSION: Automated methods can evaluate news records faster, cheaper, and possibly better than humans. The specific procedure implemented in this study can at the very least identify subsets of news records that are far more likely to have particular scientific and discursive qualities.","DOI":"10.1016/j.jclinepi.2015.12.010","ISSN":"1878-5921","note":"PMID: 26854419","shortTitle":"Automatically quantifying the scientific quality and sensationalism of news records mentioning pandemics","journalAbbreviation":"J Clin Epidemiol","language":"eng","author":[{"family":"Hoffman","given":"Steven J."},{"family":"Justicz","given":"Victoria"}],"issued":{"date-parts":[["2016",7]]}}},{"id":1117,"uris":["http://zotero.org/users/714468/items/VWEW25BB"],"uri":["http://zotero.org/users/714468/items/VWEW25BB"],"itemData":{"id":1117,"type":"article-journal","title":"Mass Media and the Contagion of Fear: The Case of Ebola in America","container-title":"PloS One","page":"e0129179","volume":"10","issue":"6","source":"PubMed","abstract":"BACKGROUND: In the weeks following the first imported case of Ebola in the U. S. on September 29, 2014, coverage of the very limited outbreak dominated the news media, in a manner quite disproportionate to the actual threat to national public health; by the end of October, 2014, there were only four laboratory confirmed cases of Ebola in the entire nation. Public interest in these events was high, as reflected in the millions of Ebola-related Internet searches and tweets performed in the month following the first confirmed case. Use of trending Internet searches and tweets has been proposed in the past for real-time prediction of outbreaks (a field referred to as \"digital epidemiology\"), but accounting for the biases of public panic has been problematic. In the case of the limited U. S. Ebola outbreak, we know that the Ebola-related searches and tweets originating the U. S. during the outbreak were due only to public interest or panic, providing an unprecedented means to determine how these dynamics affect such data, and how news media may be driving these trends.\nMETHODOLOGY: We examine daily Ebola-related Internet search and Twitter data in the U. S. during the six week period ending Oct 31, 2014. TV news coverage data were obtained from the daily number of Ebola-related news videos appearing on two major news networks. We fit the parameters of a mathematical contagion model to the data to determine if the news coverage was a significant factor in the temporal patterns in Ebola-related Internet and Twitter data.\nCONCLUSIONS: We find significant evidence of contagion, with each Ebola-related news video inspiring tens of thousands of Ebola-related tweets and Internet searches. Between 65% to 76% of the variance in all samples is described by the news media contagion model.","DOI":"10.1371/journal.pone.0129179","ISSN":"1932-6203","note":"PMID: 26067433\nPMCID: PMC4465830","shortTitle":"Mass Media and the Contagion of Fear","journalAbbreviation":"PLoS ONE","language":"eng","author":[{"family":"Towers","given":"Sherry"},{"family":"Afzal","given":"Shehzad"},{"family":"Bernal","given":"Gilbert"},{"family":"Bliss","given":"Nadya"},{"family":"Brown","given":"Shala"},{"family":"Espinoza","given":"Baltazar"},{"family":"Jackson","given":"Jasmine"},{"family":"Judson-Garcia","given":"Julia"},{"family":"Khan","given":"Maryam"},{"family":"Lin","given":"Michael"},{"family":"Mamada","given":"Robert"},{"family":"Moreno","given":"Victor M."},{"family":"Nazari","given":"Fereshteh"},{"family":"Okuneye","given":"Kamaldeen"},{"family":"Ross","given":"Mary L."},{"family":"Rodriguez","given":"Claudia"},{"family":"Medlock","given":"Jan"},{"family":"Ebert","given":"David"},{"family":"Castillo-Chavez","given":"Carlos"}],"issued":{"date-parts":[["2015"]]}}},{"id":1162,"uris":["http://zotero.org/users/714468/items/E39RCFX8"],"uri":["http://zotero.org/users/714468/items/E39RCFX8"],"itemData":{"id":1162,"type":"article-journal","title":"Assessing Ebola-related web search behaviour: insights and implications from an analytical study of Google Trends-based query volumes","container-title":"Infectious Diseases of Poverty","page":"54","volume":"4","source":"PubMed","abstract":"BACKGROUND: The 2014 Ebola epidemic in West Africa has attracted public interest worldwide, leading to millions of Ebola-related Internet searches being performed during the period of the epidemic. This study aimed to evaluate and interpret Google search queries for terms related to the Ebola outbreak both at the global level and in all countries where primary cases of Ebola occurred. The study also endeavoured to look at the correlation between the number of overall and weekly web searches and the number of overall and weekly new cases of Ebola.\nMETHODS: Google Trends (GT) was used to explore Internet activity related to Ebola. The study period was from 29 December 2013 to 14 June 2015. Pearson's correlation was performed to correlate Ebola-related relative search volumes (RSVs) with the number of weekly and overall Ebola cases. Multivariate regression was performed using Ebola-related RSV as a dependent variable, and the overall number of Ebola cases and the Human Development Index were used as predictor variables.\nRESULTS: The greatest RSV was registered in the three West African countries mainly affected by the Ebola epidemic. The queries varied in the different countries. Both quantitative and qualitative differences between the affected African countries and other Western countries with primary cases were noted, in relation to the different flux volumes and different time courses. In the affected African countries, web query search volumes were mostly concentrated in the capital areas. However, in Western countries, web queries were uniformly distributed over the national territory. In terms of the three countries mainly affected by the Ebola epidemic, the correlation between the number of new weekly cases of Ebola and the weekly GT index varied from weak to moderate. The correlation between the number of Ebola cases registered in all countries during the study period and the GT index was very high.\nCONCLUSION: Google Trends showed a coarse-grained nature, strongly correlating with global epidemiological data, but was weaker at country level, as it was prone to distortions induced by unbalanced media coverage and the digital divide. Global and local health agencies could usefully exploit GT data to identify disease-related information needs and plan proper communication strategies, particularly in the case of health-threatening events.","DOI":"10.1186/s40249-015-0090-9","ISSN":"2049-9957","note":"PMID: 26654247\nPMCID: PMC4674955","shortTitle":"Assessing Ebola-related web search behaviour","journalAbbreviation":"Infect Dis Poverty","language":"eng","author":[{"family":"Alicino","given":"Cristiano"},{"family":"Bragazzi","given":"Nicola Luigi"},{"family":"Faccio","given":"Valeria"},{"family":"Amicizia","given":"Daniela"},{"family":"Panatto","given":"Donatella"},{"family":"Gasparini","given":"Roberto"},{"family":"Icardi","given":"Giancarlo"},{"family":"Orsi","given":"Andrea"}],"issued":{"date-parts":[["2015"]]}}},{"id":1156,"uris":["http://zotero.org/users/714468/items/AJNF3WRF"],"uri":["http://zotero.org/users/714468/items/AJNF3WRF"],"itemData":{"id":1156,"type":"article-journal","title":"Understanding Citizen Reactions and Ebola-Related Information Propagation on Social Media","container-title":"arXiv:1607.04318 [cs]","source":"arXiv.org","abstract":"In severe outbreaks such as Ebola, bird flu and SARS, people share news, and their thoughts and responses regarding the outbreaks on social media. Understanding how people perceive the severe outbreaks, what their responses are, and what factors affect these responses become important. In this paper, we conduct a comprehensive study of understanding and mining the spread of Ebola-related information on social media. In particular, we (i) conduct a large-scale data-driven analysis of geotagged social media messages to understand citizen reactions regarding Ebola; (ii) build information propagation models which measure locality of information; and (iii) analyze spatial, temporal and social properties of Ebola-related information. Our work provides new insights into Ebola outbreak by understanding citizen reactions and topic-based information propagation, as well as providing a foundation for analysis and response of future public health crises.","URL":"http://arxiv.org/abs/1607.04318","note":"arXiv: 1607.04318","author":[{"family":"Tran","given":"Thanh"},{"family":"Lee","given":"Kyumin"}],"issued":{"date-parts":[["2016",7,14]]},"accessed":{"date-parts":[["2016",9,17]]}}},{"id":1169,"uris":["http://zotero.org/users/714468/items/H3QDW7W4"],"uri":["http://zotero.org/users/714468/items/H3QDW7W4"],"itemData":{"id":1169,"type":"article-journal","title":"Social media in Ebola outbreak","container-title":"Epidemiology and Infection","page":"2136-2143","volume":"144","issue":"10","source":"PubMed","abstract":"The West African 2014 Ebola outbreak has highlighted the need for a better information network. Hybrid information networks, an integration of both hierarchical and formalized command control-driven and community-based, or ad hoc emerging networks, could assist in improving public health responses. By filling the missing gaps with social media use, the public health response could be more proactive rather than reactive in responding to such an outbreak of global concern. This article provides a review of the current social media use specifically in this outbreak by systematically collecting data from ProQuest Newsstand, Dow Jones Factiva, Program for Monitoring Emerging Diseases (ProMED) as well as Google Trends. The period studied is from 19 March 2014 (first request for information on ProMED) to 15 October 2014, a total of 31 weeks. The term 'Ebola' was used in the search for media reports. The outcome of the review shows positive results for social media use in effective surveillance response mechanisms - for improving the detection, preparedness and response of the outbreak - as a complement to traditional, filed, work-based surveillance approach.","DOI":"10.1017/S095026881600039X","ISSN":"1469-4409","note":"PMID: 26939535","journalAbbreviation":"Epidemiol. Infect.","language":"eng","author":[{"family":"Hossain","given":"L."},{"family":"Kam","given":"D."},{"family":"Kong","given":"F."},{"family":"Wigand","given":"R. T."},{"family":"Bossomaier","given":"T."}],"issued":{"date-parts":[["2016",7]]}}}],"schema":"https://github.com/citation-style-language/schema/raw/master/csl-citation.json"} </w:instrText>
      </w:r>
      <w:r w:rsidRPr="00687637">
        <w:fldChar w:fldCharType="separate"/>
      </w:r>
      <w:r w:rsidRPr="00687637">
        <w:t>(9,10,13,15,19)</w:t>
      </w:r>
      <w:r w:rsidRPr="00687637">
        <w:fldChar w:fldCharType="end"/>
      </w:r>
      <w:r w:rsidRPr="00687637">
        <w:t xml:space="preserve">, dengue </w:t>
      </w:r>
      <w:r w:rsidRPr="00687637">
        <w:fldChar w:fldCharType="begin"/>
      </w:r>
      <w:r w:rsidRPr="00687637">
        <w:instrText xml:space="preserve"> ADDIN ZOTERO_ITEM CSL_CITATION {"citationID":"27o8ljdqoc","properties":{"formattedCitation":"(12)","plainCitation":"(12)"},"citationItems":[{"id":1145,"uris":["http://zotero.org/users/714468/items/2EHDW4RS"],"uri":["http://zotero.org/users/714468/items/2EHDW4RS"],"itemData":{"id":1145,"type":"article-journal","title":"Using web search query data to monitor dengue epidemics: a new model for neglected tropical disease surveillance","container-title":"PLoS neglected tropical diseases","page":"e1206","volume":"5","issue":"5","source":"PubMed","abstract":"BACKGROUND: A variety of obstacles including bureaucracy and lack of resources have interfered with timely detection and reporting of dengue cases in many endemic countries. Surveillance efforts have turned to modern data sources, such as Internet search queries, which have been shown to be effective for monitoring influenza-like illnesses. However, few have evaluated the utility of web search query data for other diseases, especially those of high morbidity and mortality or where a vaccine may not exist. In this study, we aimed to assess whether web search queries are a viable data source for the early detection and monitoring of dengue epidemics.\nMETHODOLOGY/PRINCIPAL FINDINGS: Bolivia, Brazil, India, Indonesia and Singapore were chosen for analysis based on available data and adequate search volume. For each country, a univariate linear model was then built by fitting a time series of the fraction of Google search query volume for specific dengue-related queries from that country against a time series of official dengue case counts for a time-frame within 2003-2010. The specific combination of queries used was chosen to maximize model fit. Spurious spikes in the data were also removed prior to model fitting. The final models, fit using a training subset of the data, were cross-validated against both the overall dataset and a holdout subset of the data. All models were found to fit the data quite well, with validation correlations ranging from 0.82 to 0.99.\nCONCLUSIONS/SIGNIFICANCE: Web search query data were found to be capable of tracking dengue activity in Bolivia, Brazil, India, Indonesia and Singapore. Whereas traditional dengue data from official sources are often not available until after some substantial delay, web search query data are available in near real-time. These data represent valuable complement to assist with traditional dengue surveillance.","DOI":"10.1371/journal.pntd.0001206","ISSN":"1935-2735","note":"PMID: 21647308\nPMCID: PMC3104029","shortTitle":"Using web search query data to monitor dengue epidemics","journalAbbreviation":"PLoS Negl Trop Dis","language":"eng","author":[{"family":"Chan","given":"Emily H."},{"family":"Sahai","given":"Vikram"},{"family":"Conrad","given":"Corrie"},{"family":"Brownstein","given":"John S."}],"issued":{"date-parts":[["2011",5]]}}}],"schema":"https://github.com/citation-style-language/schema/raw/master/csl-citation.json"} </w:instrText>
      </w:r>
      <w:r w:rsidRPr="00687637">
        <w:fldChar w:fldCharType="separate"/>
      </w:r>
      <w:r w:rsidRPr="00687637">
        <w:t>(12)</w:t>
      </w:r>
      <w:r w:rsidRPr="00687637">
        <w:fldChar w:fldCharType="end"/>
      </w:r>
      <w:r w:rsidRPr="00687637">
        <w:t xml:space="preserve">, and most recently, Zika virus  </w:t>
      </w:r>
      <w:r w:rsidRPr="00687637">
        <w:fldChar w:fldCharType="begin"/>
      </w:r>
      <w:r w:rsidRPr="00687637">
        <w:instrText xml:space="preserve"> ADDIN ZOTERO_ITEM CSL_CITATION {"citationID":"P1tmTmLE","properties":{"formattedCitation":"(11,14,20)","plainCitation":"(11,14,20)"},"citationItems":[{"id":1101,"uris":["http://zotero.org/users/714468/items/MXKUZK6G"],"uri":["http://zotero.org/users/714468/items/MXKUZK6G"],"itemData":{"id":1101,"type":"article-journal","title":"Zika Virus-Related News Coverage and Online Behavior, United States, Guatemala, and Brazil","container-title":"Emerging Infectious Diseases","page":"1320-1321","volume":"22","issue":"7","source":"PubMed","DOI":"10.3201/eid2207.160415","ISSN":"1080-6059","note":"PMID: 27100826\nPMCID: PMC4918164","journalAbbreviation":"Emerging Infect. Dis.","language":"eng","author":[{"family":"Southwell","given":"Brian G."},{"family":"Dolina","given":"Suzanne"},{"family":"Jimenez-Magdaleno","given":"Karla"},{"family":"Squiers","given":"Linda B."},{"family":"Kelly","given":"Bridget J."}],"issued":{"date-parts":[["2016",7]]}}},{"id":1103,"uris":["http://zotero.org/users/714468/items/ZX8ANXWG"],"uri":["http://zotero.org/users/714468/items/ZX8ANXWG"],"itemData":{"id":1103,"type":"article-journal","title":"How people react to Zika virus outbreaks on Twitter? A computational content analysis","container-title":"American Journal of Infection Control","source":"PubMed","abstract":"Zika-related Twitter incidence peaked after the World Health Organization declared an emergency. Five themes were identified from Zika-related Twitter content: (1) societal impact of the outbreak; (2) government, public and private sector, and general public responses to the outbreak; (3) pregnancy and microcephaly: negative health consequences related to pregnant women and babies; (4) transmission routes; and (5) case reports. User-generated contents sites were preferred direct information channels rather than those of the government authorities.","DOI":"10.1016/j.ajic.2016.04.253","ISSN":"1527-3296","note":"PMID: 27566874","shortTitle":"How people react to Zika virus outbreaks on Twitter?","journalAbbreviation":"Am J Infect Control","language":"ENG","author":[{"family":"Fu","given":"King-Wa"},{"family":"Liang","given":"Hai"},{"family":"Saroha","given":"Nitin"},{"family":"Tse","given":"Zion Tsz Ho"},{"family":"Ip","given":"Patrick"},{"family":"Fung","given":"Isaac Chun-Hai"}],"issued":{"date-parts":[["2016",8,24]]}}},{"id":1748,"uris":["http://zotero.org/users/714468/items/UFC66PGF"],"uri":["http://zotero.org/users/714468/items/UFC66PGF"],"itemData":{"id":1748,"type":"article-journal","title":"Early detection of perceived risk among users of a UK travel health website compared with internet search activity and media coverage during the 2015-2016 Zika virus outbreak: an observational study","container-title":"BMJ open","page":"e015831","volume":"7","issue":"8","source":"PubMed","abstract":"OBJECTIVES: The Zika virus (ZIKV) outbreak in the Americas in 2015-2016 posed a novel global threat due to the association with congenital malformations and its rapid spread. Timely information about the spread of the disease was paramount to public health bodies issuing travel advisories. This paper looks at the online interaction with a national travel health website during the outbreak and compares this to trends in internet searches and news media output.\nMETHODS: Time trends were created for weekly views of ZIKV-related pages on a UK travel health website, relative search volumes for 'Zika' on Google UK, ZIKV-related items aggregated by Google UK News and rank of ZIKV travel advisories among all other pages between 15 November 2015 and 20 August 2016.\nRESULTS: Time trends in traffic to the travel health website corresponded with Google searches, but less so with media items due to intense coverage of the Rio Olympics. Travel advisories for pregnant women were issued from 7 December 2015 and began to increase in popularity (rank) from early January 2016, weeks before a surge in interest as measured by Google searches/news items at the end of January 2016.\nCONCLUSIONS: The study showed an amplification of perceived risk among users of a national travel health website weeks before the initial surge in public interest. This suggests a potential value for tools to detect changes in online information seeking behaviours for predicting periods of high demand where the routine capability of travel health services could be exceeded.","DOI":"10.1136/bmjopen-2017-015831","ISSN":"2044-6055","note":"PMID: 28860226","shortTitle":"Early detection of perceived risk among users of a UK travel health website compared with internet search activity and media coverage during the 2015-2016 Zika virus outbreak","journalAbbreviation":"BMJ Open","language":"eng","author":[{"family":"Petersen","given":"Jakob"},{"family":"Simons","given":"Hilary"},{"family":"Patel","given":"Dipti"},{"family":"Freedman","given":"Joanne"}],"issued":{"date-parts":[["2017",8,31]]}}}],"schema":"https://github.com/citation-style-language/schema/raw/master/csl-citation.json"} </w:instrText>
      </w:r>
      <w:r w:rsidRPr="00687637">
        <w:fldChar w:fldCharType="separate"/>
      </w:r>
      <w:r w:rsidRPr="00687637">
        <w:t>(11,14,20)</w:t>
      </w:r>
      <w:r w:rsidRPr="00687637">
        <w:fldChar w:fldCharType="end"/>
      </w:r>
      <w:r w:rsidRPr="00687637">
        <w:t xml:space="preserve">. </w:t>
      </w:r>
    </w:p>
    <w:p w14:paraId="0D28432D" w14:textId="77777777" w:rsidR="00687637" w:rsidRPr="00687637" w:rsidRDefault="00687637" w:rsidP="00687637">
      <w:r w:rsidRPr="00687637">
        <w:t xml:space="preserve">The time trend of EBV-related searches on Google UK was characterised by three distinct spikes (Figure 1). The first spike in late July/early August 2014 coincided with the WHO PHEIC. The second and largest spike coincided with news on 30 September 2014 of the first US EBV case in a Liberian resident, who travelled to Texas and infected two healthcare workers before being diagnosed </w:t>
      </w:r>
      <w:r w:rsidRPr="00687637">
        <w:fldChar w:fldCharType="begin"/>
      </w:r>
      <w:r w:rsidRPr="00687637">
        <w:instrText xml:space="preserve"> ADDIN ZOTERO_ITEM CSL_CITATION {"citationID":"n5j62b7fd","properties":{"formattedCitation":"(1)","plainCitation":"(1)"},"citationItems":[{"id":1413,"uris":["http://zotero.org/users/714468/items/RN79S86R"],"uri":["http://zotero.org/users/714468/items/RN79S86R"],"itemData":{"id":1413,"type":"article-journal","title":"Distinguishing epidemiological features of the 2013–2016 West Africa Ebola virus disease outbreak","container-title":"Disaster Health","page":"78-88","volume":"3","issue":"3","source":"Taylor and Francis+NEJM","abstract":"The 2013–2016 West Africa Ebola virus disease epidemic was notable for its scope, scale, and complexity. This briefing presents a series of distinguishing epidemiological features that set this outbreak apart.Compared to one concurrent and 23 previous outbreaks of the disease over 40 years, this was the only occurrence of Ebola virus disease involving multiple nations and qualifying as a pandemic. Across multiple measures of magnitude, the 2013–2016 outbreak was accurately described using superlatives: largest and deadliest in terms of numbers of cases and fatalities; longest in duration; and most widely dispersed geographically, with outbreak-associated cases occurring in 10 nations.In contrast, the case-fatality rate was much lower for the 2013–2016 outbreak compared to the other 24 outbreaks. A population of particular interest for ongoing monitoring and public health surveillance is comprised of more than 17,000 “survivors,” Ebola patients who successfully recovered from their illness.The daunting challenges posed by this outbreak were met by an intensive international public health response. The near-exponential rate of increase of incident Ebola cases during mid-2014 was successfully slowed, reversed, and finally halted through the application of multiple disease containment and intervention strategies.","DOI":"10.1080/21665044.2016.1228326","ISSN":"2166-5044","author":[{"family":"Shultz","given":"James M."},{"family":"Espinel","given":"Zelde"},{"family":"Espinola","given":"Maria"},{"family":"Rechkemmer","given":"Andreas"}],"issued":{"date-parts":[["2016",7,2]]}}}],"schema":"https://github.com/citation-style-language/schema/raw/master/csl-citation.json"} </w:instrText>
      </w:r>
      <w:r w:rsidRPr="00687637">
        <w:fldChar w:fldCharType="separate"/>
      </w:r>
      <w:r w:rsidRPr="00687637">
        <w:t>(1)</w:t>
      </w:r>
      <w:r w:rsidRPr="00687637">
        <w:fldChar w:fldCharType="end"/>
      </w:r>
      <w:r w:rsidRPr="00687637">
        <w:t xml:space="preserve">. The third spike at the end of December 2014 coincided with the EBV diagnosis of a British aid worker on 29 December 2014. In comparison, the activity on the professional website also showed an early interest at the end of March and in the lead up to the PHEIC four months later (Figure 1). Compared to the baseline of the Shewhart chart, this represented a clear and significant change. This study thus demonstrates a potential for early detection of, not the outbreak itself, but the interest among users of a national travel health website. </w:t>
      </w:r>
    </w:p>
    <w:p w14:paraId="5CA5D509" w14:textId="77777777" w:rsidR="00687637" w:rsidRPr="00687637" w:rsidRDefault="00687637" w:rsidP="00687637">
      <w:r w:rsidRPr="00687637">
        <w:t xml:space="preserve">A syndromic surveillance system as outlined in this study could have benefits in terms of alerting public health organisations about outbreaks early. As with any surveillance system it would by design have to qualify on a number of auditable criteria such as acceptability, cost-effectiveness, data quality, flexibility, positive predictive value, representativeness, security, sensitivity, simplicity, stability, standards use, and timeliness </w:t>
      </w:r>
      <w:r w:rsidRPr="00687637">
        <w:fldChar w:fldCharType="begin"/>
      </w:r>
      <w:r w:rsidRPr="00687637">
        <w:instrText xml:space="preserve"> ADDIN ZOTERO_ITEM CSL_CITATION {"citationID":"zAIx0rit","properties":{"formattedCitation":"(21,22)","plainCitation":"(21,22)"},"citationItems":[{"id":1450,"uris":["http://zotero.org/users/714468/items/5HZHKU6Z"],"uri":["http://zotero.org/users/714468/items/5HZHKU6Z"],"itemData":{"id":1450,"type":"article-journal","title":"Public Health Surveillance Systems: Recent Advances in Their Use and Evaluation","container-title":"Annual Review of Public Health","source":"PubMed","abstract":"Surveillance is critical for improving population health. Public health surveillance systems generate information that drives action, and the data must be of sufficient quality and with a resolution and timeliness that matches objectives. In the context of scientific advances in public health surveillance, changing health care and public health environments, and rapidly evolving technologies, the aim of this article is to review public health surveillance systems. We consider their current use to increase the efficiency and effectiveness of the public health system, the role of system stakeholders, the analysis and interpretation of surveillance data, approaches to system monitoring and evaluation, and opportunities for future advances in terms of increased scientific rigor, outcomes-focused research, and health informatics. Expected final online publication date for the Annual Review of Public Health Volume 38 is March 20, 2017. Please see http://www.annualreviews.org/page/journal/pubdates for revised estimates.","DOI":"10.1146/annurev-publhealth-031816-044348","ISSN":"1545-2093","note":"PMID: 27992726","shortTitle":"Public Health Surveillance Systems","journalAbbreviation":"Annu Rev Public Health","language":"eng","author":[{"family":"Groseclose","given":"Samuel L."},{"family":"Buckeridge","given":"David L."}],"issued":{"date-parts":[["2016",12,15]]}}},{"id":1454,"uris":["http://zotero.org/users/714468/items/P437S46M"],"uri":["http://zotero.org/users/714468/items/P437S46M"],"itemData":{"id":1454,"type":"article-journal","title":"Practical usage of computer-supported outbreak detection in five European countries","container-title":"Euro Surveillance: Bulletin Europeen Sur Les Maladies Transmissibles = European Communicable Disease Bulletin","volume":"15","issue":"36","source":"PubMed","abstract":"This paper discusses computer-supported outbreak detection using routine surveillance data, as implemented at six institutes for infectious disease control in five European countries. We give an overview of the systems used at the Statens Serum Institut (Denmark), Health Protection Agency (England, Wales and Northern Ireland), Robert Koch Institute (Germany), Governmental Institute of Public Health of Lower Saxony (Germany), National Institute for Public Health and the Environment (the Netherlands) and Swedish Institute for Infectious Disease Control (Sweden). Despite the usefulness of the algorithms or the outbreak detection procedure itself, all institutes have experienced certain limitations of the systems. The paper therefore concludes with a list of recommendations for institutes planning to introduce computer-supported outbreak detection, based on experiences on the practical usage of the systems. This list--which concerns usability, standard operating procedures and evaluation--might also inspire improvements of systems in use today.","ISSN":"1560-7917","note":"PMID: 20843470","journalAbbreviation":"Euro Surveill.","language":"eng","author":[{"family":"Hulth","given":"A."},{"family":"Andrews","given":"N."},{"family":"Ethelberg","given":"S."},{"family":"Dreesman","given":"J."},{"family":"Faensen","given":"D."},{"family":"Pelt","given":"W.","non-dropping-particle":"van"},{"family":"Schnitzler","given":"J."}],"issued":{"date-parts":[["2010",9,9]]}}}],"schema":"https://github.com/citation-style-language/schema/raw/master/csl-citation.json"} </w:instrText>
      </w:r>
      <w:r w:rsidRPr="00687637">
        <w:fldChar w:fldCharType="separate"/>
      </w:r>
      <w:r w:rsidRPr="00687637">
        <w:t>(21,22)</w:t>
      </w:r>
      <w:r w:rsidRPr="00687637">
        <w:fldChar w:fldCharType="end"/>
      </w:r>
      <w:r w:rsidRPr="00687637">
        <w:t xml:space="preserve">. The crux of the system would be its predictive value and specificity, which can easily be evaluated against the timing of reports from WHO and other leading public health agencies as well as surges in interest in social media and on internet search engines as provisionally demonstrated in this study. Another clear strength of such a system would be that the data are naturally occurring and the costs of setting and running it would be minimal. There are known limitations to systems based on online activity, e.g. not all searches are performed by humans with genuine concerns about diseases and it has not been possible to rule out whether some searches could have been carried out by robots designed to boost traffic to other websites for commercial gains </w:t>
      </w:r>
      <w:r w:rsidRPr="00687637">
        <w:fldChar w:fldCharType="begin"/>
      </w:r>
      <w:r w:rsidRPr="00687637">
        <w:instrText xml:space="preserve"> ADDIN ZOTERO_ITEM CSL_CITATION {"citationID":"oikk7bp74","properties":{"formattedCitation":"(23)","plainCitation":"(23)"},"citationItems":[{"id":1186,"uris":["http://zotero.org/users/714468/items/7BCIERPQ"],"uri":["http://zotero.org/users/714468/items/7BCIERPQ"],"itemData":{"id":1186,"type":"article-journal","title":"Utilizing big data analytics for information systems research: challenges, promises and guidelines","container-title":"European Journal of Information Systems","page":"289-302","volume":"25","issue":"4","source":"link.springer.com","abstract":"This essay discusses the use of big data analytics (BDA) as a strategy of enquiry for advancing information systems (IS) research. In broad terms, we understand BDA as the statistical modelling of large, diverse, and dynamic data sets of user-generated content and digital traces. BDA, as a new paradigm for utilising big data sources and advanced analytics, has already found its way into some social science disciplines. Sociology and economics are two examples that have successfully harnessed BDA for scientific enquiry. Often, BDA draws on methodologies and tools that are unfamiliar for some IS researchers (e.g., predictive modelling, natural language processing). Following the phases of a typical research process, this article is set out to dissect BDA’s challenges and promises for IS research, and illustrates them by means of an exemplary study about predicting the helpfulness of 1.3 million online customer reviews. In order to assist IS researchers in planning, executing, and interpreting their own studies, and evaluating the studies of others, we propose an initial set of guidelines for conducting rigorous BDA studies in IS.","DOI":"10.1057/ejis.2016.2","ISSN":"0960-085X, 1476-9344","shortTitle":"Utilizing big data analytics for information systems research","journalAbbreviation":"Eur J Inf Syst","language":"en","author":[{"family":"Müller","given":"Oliver"},{"family":"Junglas","given":"Iris"},{"family":"Brocke","given":"Jan","dropping-particle":"vom"},{"family":"Debortoli","given":"Stefan"}],"issued":{"date-parts":[["2016",2,9]]}}}],"schema":"https://github.com/citation-style-language/schema/raw/master/csl-citation.json"} </w:instrText>
      </w:r>
      <w:r w:rsidRPr="00687637">
        <w:fldChar w:fldCharType="separate"/>
      </w:r>
      <w:r w:rsidRPr="00687637">
        <w:t>(23)</w:t>
      </w:r>
      <w:r w:rsidRPr="00687637">
        <w:fldChar w:fldCharType="end"/>
      </w:r>
      <w:r w:rsidRPr="00687637">
        <w:t xml:space="preserve">. The fact that the NaTHNaC website, TravelHealthPro.org.uk, is specialised and has a relatively small following </w:t>
      </w:r>
      <w:r w:rsidRPr="00687637">
        <w:fldChar w:fldCharType="begin"/>
      </w:r>
      <w:r w:rsidRPr="00687637">
        <w:instrText xml:space="preserve"> ADDIN ZOTERO_ITEM CSL_CITATION {"citationID":"5ue0pcqh2","properties":{"formattedCitation":"(7)","plainCitation":"(7)"},"citationItems":[{"id":1411,"uris":["http://zotero.org/users/714468/items/SI25PNCG"],"uri":["http://zotero.org/users/714468/items/SI25PNCG"],"itemData":{"id":1411,"type":"article-journal","title":"TravelHealthPro - a new online resource for the travel health sector","container-title":"British Global and Travel Health Association","volume":"18","author":[{"family":"Petersen","given":"Jakob"},{"family":"Simons","given":"Hilary"},{"family":"Patel","given":"Dipti"}],"issued":{"date-parts":[["2016"]]}}}],"schema":"https://github.com/citation-style-language/schema/raw/master/csl-citation.json"} </w:instrText>
      </w:r>
      <w:r w:rsidRPr="00687637">
        <w:fldChar w:fldCharType="separate"/>
      </w:r>
      <w:r w:rsidRPr="00687637">
        <w:t>(7)</w:t>
      </w:r>
      <w:r w:rsidRPr="00687637">
        <w:fldChar w:fldCharType="end"/>
      </w:r>
      <w:r w:rsidRPr="00687637">
        <w:t xml:space="preserve">, however, make this less likely to be an issue.  </w:t>
      </w:r>
    </w:p>
    <w:p w14:paraId="60EAA33E" w14:textId="77777777" w:rsidR="00687637" w:rsidRPr="00687637" w:rsidRDefault="00687637" w:rsidP="00687637">
      <w:pPr>
        <w:rPr>
          <w:b/>
        </w:rPr>
      </w:pPr>
      <w:r w:rsidRPr="00687637">
        <w:rPr>
          <w:b/>
        </w:rPr>
        <w:t>Conclusions</w:t>
      </w:r>
    </w:p>
    <w:p w14:paraId="24856DB9" w14:textId="77777777" w:rsidR="00687637" w:rsidRPr="00687637" w:rsidRDefault="00687637" w:rsidP="00687637">
      <w:bookmarkStart w:id="3" w:name="_Hlk480489186"/>
      <w:r w:rsidRPr="00687637">
        <w:t xml:space="preserve">The study showed an amplification of perceived risk among users of a national travel health website months before the PHEIC and the initial surge in public interest on Google UK in August. This suggests a potential for tools predicting periods of high demand on travel health services by detecting changes in online information seeking behaviours. Such tools may facilitate early identification of incidents, allowing the timely preparation of appropriate public and travel health messages to prevent under capacity when there is a sudden surge in demand. </w:t>
      </w:r>
      <w:bookmarkEnd w:id="3"/>
    </w:p>
    <w:p w14:paraId="2DCF10C6" w14:textId="77777777" w:rsidR="00687637" w:rsidRPr="00687637" w:rsidRDefault="00687637" w:rsidP="00687637"/>
    <w:p w14:paraId="7BC3491A" w14:textId="77777777" w:rsidR="00687637" w:rsidRPr="00687637" w:rsidRDefault="00687637" w:rsidP="00687637">
      <w:pPr>
        <w:rPr>
          <w:b/>
        </w:rPr>
      </w:pPr>
      <w:r w:rsidRPr="00687637">
        <w:rPr>
          <w:b/>
        </w:rPr>
        <w:t>Author contributions</w:t>
      </w:r>
    </w:p>
    <w:p w14:paraId="0DD86E19" w14:textId="77777777" w:rsidR="00687637" w:rsidRPr="00687637" w:rsidRDefault="00687637" w:rsidP="00687637">
      <w:r w:rsidRPr="00687637">
        <w:t>JP, HS, and DP were closely involved with the design, conduct, analysis, presentation, and interpretation of the study findings.</w:t>
      </w:r>
    </w:p>
    <w:p w14:paraId="43046E1A" w14:textId="77777777" w:rsidR="00687637" w:rsidRPr="00687637" w:rsidRDefault="00687637" w:rsidP="00687637">
      <w:pPr>
        <w:rPr>
          <w:b/>
        </w:rPr>
      </w:pPr>
      <w:r w:rsidRPr="00687637">
        <w:rPr>
          <w:b/>
        </w:rPr>
        <w:t>Sources of funding</w:t>
      </w:r>
    </w:p>
    <w:p w14:paraId="1C00BE0E" w14:textId="77777777" w:rsidR="00687637" w:rsidRPr="00687637" w:rsidRDefault="00687637" w:rsidP="00687637">
      <w:r w:rsidRPr="00687637">
        <w:t>This research did not receive any specific grant from funding agencies in the public, commercial, or not-for-profit sectors.</w:t>
      </w:r>
    </w:p>
    <w:p w14:paraId="6387D40F" w14:textId="77777777" w:rsidR="00687637" w:rsidRPr="00687637" w:rsidRDefault="00687637" w:rsidP="00687637">
      <w:pPr>
        <w:rPr>
          <w:b/>
        </w:rPr>
      </w:pPr>
      <w:r w:rsidRPr="00687637">
        <w:rPr>
          <w:b/>
        </w:rPr>
        <w:t>Competing interests</w:t>
      </w:r>
    </w:p>
    <w:p w14:paraId="6CDF2D65" w14:textId="77777777" w:rsidR="00687637" w:rsidRPr="00687637" w:rsidRDefault="00687637" w:rsidP="00687637">
      <w:r w:rsidRPr="00687637">
        <w:t>None of the authors have any competing interests in the manuscript.</w:t>
      </w:r>
    </w:p>
    <w:p w14:paraId="48DD75C0" w14:textId="77777777" w:rsidR="00687637" w:rsidRPr="00687637" w:rsidRDefault="00687637" w:rsidP="00687637">
      <w:pPr>
        <w:rPr>
          <w:b/>
        </w:rPr>
      </w:pPr>
      <w:r w:rsidRPr="00687637">
        <w:rPr>
          <w:b/>
        </w:rPr>
        <w:t>References</w:t>
      </w:r>
    </w:p>
    <w:p w14:paraId="72FB1C8A" w14:textId="77777777" w:rsidR="00687637" w:rsidRPr="00687637" w:rsidRDefault="00687637" w:rsidP="00687637">
      <w:pPr>
        <w:pStyle w:val="Bibliography"/>
      </w:pPr>
      <w:r w:rsidRPr="00687637">
        <w:fldChar w:fldCharType="begin"/>
      </w:r>
      <w:r w:rsidRPr="00687637">
        <w:instrText xml:space="preserve"> ADDIN ZOTERO_BIBL {"custom":[]} CSL_BIBLIOGRAPHY </w:instrText>
      </w:r>
      <w:r w:rsidRPr="00687637">
        <w:fldChar w:fldCharType="separate"/>
      </w:r>
      <w:r w:rsidRPr="00687637">
        <w:t xml:space="preserve">1. </w:t>
      </w:r>
      <w:r w:rsidRPr="00687637">
        <w:tab/>
        <w:t xml:space="preserve">Shultz JM, Espinel Z, Espinola M, Rechkemmer A. Distinguishing epidemiological features of the 2013–2016 West Africa Ebola virus disease outbreak. Disaster Health. 2016 Jul 2;3(3):78–88. </w:t>
      </w:r>
    </w:p>
    <w:p w14:paraId="2682D983" w14:textId="77777777" w:rsidR="00687637" w:rsidRPr="00687637" w:rsidRDefault="00687637" w:rsidP="00687637">
      <w:pPr>
        <w:pStyle w:val="Bibliography"/>
        <w:rPr>
          <w:lang w:val="es-ES"/>
        </w:rPr>
      </w:pPr>
      <w:r w:rsidRPr="00687637">
        <w:t xml:space="preserve">2. </w:t>
      </w:r>
      <w:r w:rsidRPr="00687637">
        <w:tab/>
        <w:t xml:space="preserve">Reintjes R, Das E, Klemm C, Richardus JH, Keßler V, Ahmad A. “Pandemic Public Health Paradox”: Time Series Analysis of the 2009/10 Influenza A / H1N1 Epidemiology, Media Attention, Risk Perception and Public Reactions in 5 European Countries. </w:t>
      </w:r>
      <w:r w:rsidRPr="00687637">
        <w:rPr>
          <w:lang w:val="es-ES"/>
        </w:rPr>
        <w:t xml:space="preserve">PloS One. 2016;11(3):e0151258. </w:t>
      </w:r>
    </w:p>
    <w:p w14:paraId="04DF4857" w14:textId="77777777" w:rsidR="00687637" w:rsidRPr="00687637" w:rsidRDefault="00687637" w:rsidP="00687637">
      <w:pPr>
        <w:pStyle w:val="Bibliography"/>
      </w:pPr>
      <w:r w:rsidRPr="00687637">
        <w:rPr>
          <w:lang w:val="es-ES"/>
        </w:rPr>
        <w:lastRenderedPageBreak/>
        <w:t xml:space="preserve">3. </w:t>
      </w:r>
      <w:r w:rsidRPr="00687637">
        <w:rPr>
          <w:lang w:val="es-ES"/>
        </w:rPr>
        <w:tab/>
        <w:t xml:space="preserve">Charles-Smith LE, Reynolds TL, Cameron MA, Conway M, Lau EHY, Olsen JM, et al. </w:t>
      </w:r>
      <w:r w:rsidRPr="00687637">
        <w:t xml:space="preserve">Using Social Media for Actionable Disease Surveillance and Outbreak Management: A Systematic Literature Review. PloS One. 2015;10(10):e0139701. </w:t>
      </w:r>
    </w:p>
    <w:p w14:paraId="04E6EB9B" w14:textId="77777777" w:rsidR="00687637" w:rsidRPr="00687637" w:rsidRDefault="00687637" w:rsidP="00687637">
      <w:pPr>
        <w:pStyle w:val="Bibliography"/>
      </w:pPr>
      <w:r w:rsidRPr="00687637">
        <w:t xml:space="preserve">4. </w:t>
      </w:r>
      <w:r w:rsidRPr="00687637">
        <w:tab/>
        <w:t xml:space="preserve">Eysenbach G. Infodemiology and infoveillance tracking online health information and cyberbehavior for public health. Am J Prev Med. 2011 May;40(5 Suppl 2):S154-158. </w:t>
      </w:r>
    </w:p>
    <w:p w14:paraId="29E93D0D" w14:textId="77777777" w:rsidR="00687637" w:rsidRPr="00687637" w:rsidRDefault="00687637" w:rsidP="00687637">
      <w:pPr>
        <w:pStyle w:val="Bibliography"/>
        <w:rPr>
          <w:lang w:val="da-DK"/>
        </w:rPr>
      </w:pPr>
      <w:r w:rsidRPr="00687637">
        <w:t xml:space="preserve">5. </w:t>
      </w:r>
      <w:r w:rsidRPr="00687637">
        <w:tab/>
        <w:t xml:space="preserve">Eysenbach G. Infodemiology: the epidemiology of (mis)information. </w:t>
      </w:r>
      <w:r w:rsidRPr="00687637">
        <w:rPr>
          <w:lang w:val="da-DK"/>
        </w:rPr>
        <w:t xml:space="preserve">Am J Med. 2002 Dec 15;113(9):763–5. </w:t>
      </w:r>
    </w:p>
    <w:p w14:paraId="73D7E7D9" w14:textId="77777777" w:rsidR="00687637" w:rsidRPr="00687637" w:rsidRDefault="00687637" w:rsidP="00687637">
      <w:pPr>
        <w:pStyle w:val="Bibliography"/>
      </w:pPr>
      <w:r w:rsidRPr="00687637">
        <w:rPr>
          <w:lang w:val="da-DK"/>
        </w:rPr>
        <w:t xml:space="preserve">6. </w:t>
      </w:r>
      <w:r w:rsidRPr="00687637">
        <w:rPr>
          <w:lang w:val="da-DK"/>
        </w:rPr>
        <w:tab/>
        <w:t xml:space="preserve">Nuti SV, Wayda B, Ranasinghe I, Wang S, Dreyer RP, Chen SI, et al. </w:t>
      </w:r>
      <w:r w:rsidRPr="00687637">
        <w:t xml:space="preserve">The use of google trends in health care research: a systematic review. PloS One. 2014;9(10):e109583. </w:t>
      </w:r>
    </w:p>
    <w:p w14:paraId="3CE65EA7" w14:textId="77777777" w:rsidR="00687637" w:rsidRPr="00687637" w:rsidRDefault="00687637" w:rsidP="00687637">
      <w:pPr>
        <w:pStyle w:val="Bibliography"/>
      </w:pPr>
      <w:r w:rsidRPr="00687637">
        <w:t xml:space="preserve">7. </w:t>
      </w:r>
      <w:r w:rsidRPr="00687637">
        <w:tab/>
        <w:t xml:space="preserve">Petersen J, Simons H, Patel D. TravelHealthPro - a new online resource for the travel health sector. Br Glob Travel Health Assoc. 2016;18. </w:t>
      </w:r>
    </w:p>
    <w:p w14:paraId="6CC9F904" w14:textId="77777777" w:rsidR="00687637" w:rsidRPr="00687637" w:rsidRDefault="00687637" w:rsidP="00687637">
      <w:pPr>
        <w:pStyle w:val="Bibliography"/>
      </w:pPr>
      <w:r w:rsidRPr="00687637">
        <w:t xml:space="preserve">8. </w:t>
      </w:r>
      <w:r w:rsidRPr="00687637">
        <w:tab/>
        <w:t xml:space="preserve">Mohammed MA, Worthington P, Woodall WH. Plotting basic control charts: tutorial notes for healthcare practitioners. Qual Saf Health Care. 2008 Apr;17(2):137–45. </w:t>
      </w:r>
    </w:p>
    <w:p w14:paraId="1B63122E" w14:textId="77777777" w:rsidR="00687637" w:rsidRPr="00687637" w:rsidRDefault="00687637" w:rsidP="00687637">
      <w:pPr>
        <w:pStyle w:val="Bibliography"/>
      </w:pPr>
      <w:r w:rsidRPr="00687637">
        <w:t xml:space="preserve">9. </w:t>
      </w:r>
      <w:r w:rsidRPr="00687637">
        <w:tab/>
        <w:t xml:space="preserve">Hoffman SJ, Justicz V. Automatically quantifying the scientific quality and sensationalism of news records mentioning pandemics: validating a maximum entropy machine-learning model. J Clin Epidemiol. 2016 Jul;75:47–55. </w:t>
      </w:r>
    </w:p>
    <w:p w14:paraId="42BD2EA0" w14:textId="77777777" w:rsidR="00687637" w:rsidRPr="00687637" w:rsidRDefault="00687637" w:rsidP="00687637">
      <w:pPr>
        <w:pStyle w:val="Bibliography"/>
      </w:pPr>
      <w:r w:rsidRPr="00687637">
        <w:t xml:space="preserve">10. </w:t>
      </w:r>
      <w:r w:rsidRPr="00687637">
        <w:tab/>
        <w:t xml:space="preserve">Towers S, Afzal S, Bernal G, Bliss N, Brown S, Espinoza B, et al. Mass Media and the Contagion of Fear: The Case of Ebola in America. PloS One. 2015;10(6):e0129179. </w:t>
      </w:r>
    </w:p>
    <w:p w14:paraId="6EB287A4" w14:textId="77777777" w:rsidR="00687637" w:rsidRPr="00687637" w:rsidRDefault="00687637" w:rsidP="00687637">
      <w:pPr>
        <w:pStyle w:val="Bibliography"/>
      </w:pPr>
      <w:r w:rsidRPr="00687637">
        <w:t xml:space="preserve">11. </w:t>
      </w:r>
      <w:r w:rsidRPr="00687637">
        <w:tab/>
        <w:t xml:space="preserve">Southwell BG, Dolina S, Jimenez-Magdaleno K, Squiers LB, Kelly BJ. Zika Virus-Related News Coverage and Online Behavior, United States, Guatemala, and Brazil. Emerg Infect Dis. 2016 Jul;22(7):1320–1. </w:t>
      </w:r>
    </w:p>
    <w:p w14:paraId="520A7E69" w14:textId="77777777" w:rsidR="00687637" w:rsidRPr="00687637" w:rsidRDefault="00687637" w:rsidP="00687637">
      <w:pPr>
        <w:pStyle w:val="Bibliography"/>
        <w:rPr>
          <w:lang w:val="es-ES"/>
        </w:rPr>
      </w:pPr>
      <w:r w:rsidRPr="00687637">
        <w:t xml:space="preserve">12. </w:t>
      </w:r>
      <w:r w:rsidRPr="00687637">
        <w:tab/>
        <w:t xml:space="preserve">Chan EH, Sahai V, Conrad C, Brownstein JS. Using web search query data to monitor dengue epidemics: a new model for neglected tropical disease surveillance. </w:t>
      </w:r>
      <w:r w:rsidRPr="00687637">
        <w:rPr>
          <w:lang w:val="es-ES"/>
        </w:rPr>
        <w:t xml:space="preserve">PLoS Negl Trop Dis. 2011 May;5(5):e1206. </w:t>
      </w:r>
    </w:p>
    <w:p w14:paraId="77A06845" w14:textId="77777777" w:rsidR="00687637" w:rsidRPr="00687637" w:rsidRDefault="00687637" w:rsidP="00687637">
      <w:pPr>
        <w:pStyle w:val="Bibliography"/>
      </w:pPr>
      <w:r w:rsidRPr="00687637">
        <w:rPr>
          <w:lang w:val="es-ES"/>
        </w:rPr>
        <w:t xml:space="preserve">13. </w:t>
      </w:r>
      <w:r w:rsidRPr="00687637">
        <w:rPr>
          <w:lang w:val="es-ES"/>
        </w:rPr>
        <w:tab/>
        <w:t xml:space="preserve">Alicino C, Bragazzi NL, Faccio V, Amicizia D, Panatto D, Gasparini R, et al. </w:t>
      </w:r>
      <w:r w:rsidRPr="00687637">
        <w:t xml:space="preserve">Assessing Ebola-related web search behaviour: insights and implications from an analytical study of Google Trends-based query volumes. Infect Dis Poverty. 2015;4:54. </w:t>
      </w:r>
    </w:p>
    <w:p w14:paraId="5FCD0F02" w14:textId="77777777" w:rsidR="00687637" w:rsidRPr="00687637" w:rsidRDefault="00687637" w:rsidP="00687637">
      <w:pPr>
        <w:pStyle w:val="Bibliography"/>
      </w:pPr>
      <w:r w:rsidRPr="00687637">
        <w:t xml:space="preserve">14. </w:t>
      </w:r>
      <w:r w:rsidRPr="00687637">
        <w:tab/>
        <w:t xml:space="preserve">Fu K-W, Liang H, Saroha N, Tse ZTH, Ip P, Fung IC-H. How people react to Zika virus outbreaks on Twitter? A computational content analysis. Am J Infect Control. 2016 Aug 24; </w:t>
      </w:r>
    </w:p>
    <w:p w14:paraId="58C5A7CD" w14:textId="77777777" w:rsidR="00687637" w:rsidRPr="00687637" w:rsidRDefault="00687637" w:rsidP="00687637">
      <w:pPr>
        <w:pStyle w:val="Bibliography"/>
      </w:pPr>
      <w:r w:rsidRPr="00687637">
        <w:t xml:space="preserve">15. </w:t>
      </w:r>
      <w:r w:rsidRPr="00687637">
        <w:tab/>
        <w:t>Tran T, Lee K. Understanding Citizen Reactions and Ebola-Related Information Propagation on Social Media. ArXiv160704318 Cs [Internet]. 2016 Jul 14 [cited 2016 Sep 17]; Available from: http://arxiv.org/abs/1607.04318</w:t>
      </w:r>
    </w:p>
    <w:p w14:paraId="31C348C7" w14:textId="77777777" w:rsidR="00687637" w:rsidRPr="00687637" w:rsidRDefault="00687637" w:rsidP="00687637">
      <w:pPr>
        <w:pStyle w:val="Bibliography"/>
      </w:pPr>
      <w:r w:rsidRPr="00687637">
        <w:t xml:space="preserve">16. </w:t>
      </w:r>
      <w:r w:rsidRPr="00687637">
        <w:tab/>
        <w:t xml:space="preserve">Tausczik Y, Faasse K, Pennebaker JW, Petrie KJ. Public anxiety and information seeking following the H1N1 outbreak: blogs, newspaper articles, and Wikipedia visits. Health Commun. 2012;27(2):179–85. </w:t>
      </w:r>
    </w:p>
    <w:p w14:paraId="2BCBC3F3" w14:textId="77777777" w:rsidR="00687637" w:rsidRPr="00687637" w:rsidRDefault="00687637" w:rsidP="00687637">
      <w:pPr>
        <w:pStyle w:val="Bibliography"/>
      </w:pPr>
      <w:r w:rsidRPr="00687637">
        <w:t xml:space="preserve">17. </w:t>
      </w:r>
      <w:r w:rsidRPr="00687637">
        <w:tab/>
        <w:t>Kato M, Ishikawa H. Media Coverage of a Global Pandemic in Japan: Content Analysis of A/ H1N1 Influenza Newspaper Articles. J Mass Commun Journal [Internet]. 2016 [cited 2016 Sep 17];06(01). Available from: http://www.omicsgroup.org/journals/media-coverage-of-a-global-pandemic-in-japan-content-analysis-of-ah1n1-influenza-newspaper-articles-2165-7912-1000293.php?aid=72456</w:t>
      </w:r>
    </w:p>
    <w:p w14:paraId="432909F5" w14:textId="77777777" w:rsidR="00687637" w:rsidRPr="00687637" w:rsidRDefault="00687637" w:rsidP="00687637">
      <w:pPr>
        <w:pStyle w:val="Bibliography"/>
      </w:pPr>
      <w:r w:rsidRPr="00687637">
        <w:t xml:space="preserve">18. </w:t>
      </w:r>
      <w:r w:rsidRPr="00687637">
        <w:tab/>
        <w:t xml:space="preserve">Hilton S, Hunt K. UK newspapers’ representations of the 2009-10 outbreak of swine flu: one health scare not over-hyped by the media? J Epidemiol Community Health. 2011 Oct 1;65(10):941–6. </w:t>
      </w:r>
    </w:p>
    <w:p w14:paraId="186FDD30" w14:textId="77777777" w:rsidR="00687637" w:rsidRPr="00687637" w:rsidRDefault="00687637" w:rsidP="00687637">
      <w:pPr>
        <w:pStyle w:val="Bibliography"/>
      </w:pPr>
      <w:r w:rsidRPr="00687637">
        <w:t xml:space="preserve">19. </w:t>
      </w:r>
      <w:r w:rsidRPr="00687637">
        <w:tab/>
        <w:t xml:space="preserve">Hossain L, Kam D, Kong F, Wigand RT, Bossomaier T. Social media in Ebola outbreak. Epidemiol Infect. 2016 Jul;144(10):2136–43. </w:t>
      </w:r>
    </w:p>
    <w:p w14:paraId="16854478" w14:textId="77777777" w:rsidR="00687637" w:rsidRPr="00687637" w:rsidRDefault="00687637" w:rsidP="00687637">
      <w:pPr>
        <w:pStyle w:val="Bibliography"/>
      </w:pPr>
      <w:r w:rsidRPr="00687637">
        <w:t xml:space="preserve">20. </w:t>
      </w:r>
      <w:r w:rsidRPr="00687637">
        <w:tab/>
        <w:t xml:space="preserve">Petersen J, Simons H, Patel D, Freedman J. Early detection of perceived risk among users of a UK travel health website compared with internet search activity and media coverage during the 2015-2016 Zika virus outbreak: an observational study. BMJ Open. 2017 Aug 31;7(8):e015831. </w:t>
      </w:r>
    </w:p>
    <w:p w14:paraId="11A074C1" w14:textId="77777777" w:rsidR="00687637" w:rsidRPr="00687637" w:rsidRDefault="00687637" w:rsidP="00687637">
      <w:pPr>
        <w:pStyle w:val="Bibliography"/>
      </w:pPr>
      <w:r w:rsidRPr="00687637">
        <w:t xml:space="preserve">21. </w:t>
      </w:r>
      <w:r w:rsidRPr="00687637">
        <w:tab/>
        <w:t xml:space="preserve">Groseclose SL, Buckeridge DL. Public Health Surveillance Systems: Recent Advances in Their Use and Evaluation. Annu Rev Public Health. 2016 Dec 15; </w:t>
      </w:r>
    </w:p>
    <w:p w14:paraId="53ABDCB0" w14:textId="77777777" w:rsidR="00687637" w:rsidRPr="00687637" w:rsidRDefault="00687637" w:rsidP="00687637">
      <w:pPr>
        <w:pStyle w:val="Bibliography"/>
      </w:pPr>
      <w:r w:rsidRPr="00687637">
        <w:t xml:space="preserve">22. </w:t>
      </w:r>
      <w:r w:rsidRPr="00687637">
        <w:tab/>
        <w:t xml:space="preserve">Hulth A, Andrews N, Ethelberg S, Dreesman J, Faensen D, van Pelt W, et al. Practical usage of computer-supported outbreak detection in five European countries. Euro Surveill Bull Eur Sur Mal Transm Eur Commun Dis Bull. 2010 Sep 9;15(36). </w:t>
      </w:r>
    </w:p>
    <w:p w14:paraId="033E3E35" w14:textId="77777777" w:rsidR="00687637" w:rsidRPr="00687637" w:rsidRDefault="00687637" w:rsidP="00687637">
      <w:pPr>
        <w:pStyle w:val="Bibliography"/>
      </w:pPr>
      <w:r w:rsidRPr="00687637">
        <w:lastRenderedPageBreak/>
        <w:t xml:space="preserve">23. </w:t>
      </w:r>
      <w:r w:rsidRPr="00687637">
        <w:tab/>
        <w:t xml:space="preserve">Müller O, Junglas I, Brocke J vom, Debortoli S. Utilizing big data analytics for information systems research: challenges, promises and guidelines. Eur J Inf Syst. 2016 Feb 9;25(4):289–302. </w:t>
      </w:r>
    </w:p>
    <w:p w14:paraId="05E52ACF" w14:textId="77777777" w:rsidR="00687637" w:rsidRPr="00687637" w:rsidRDefault="00687637" w:rsidP="00687637">
      <w:r w:rsidRPr="00687637">
        <w:fldChar w:fldCharType="end"/>
      </w:r>
      <w:bookmarkStart w:id="4" w:name="_Ref464570230"/>
      <w:bookmarkEnd w:id="4"/>
    </w:p>
    <w:p w14:paraId="37871AFC" w14:textId="77777777" w:rsidR="00C55F20" w:rsidRPr="00687637" w:rsidRDefault="00C55F20" w:rsidP="00C55F20"/>
    <w:p w14:paraId="14CB4D21" w14:textId="77777777" w:rsidR="002B21AA" w:rsidRPr="00687637" w:rsidRDefault="002B21AA" w:rsidP="002B21AA">
      <w:pPr>
        <w:pStyle w:val="Heading1"/>
        <w:rPr>
          <w:rFonts w:ascii="Times New Roman" w:hAnsi="Times New Roman" w:cs="Times New Roman"/>
        </w:rPr>
      </w:pPr>
      <w:bookmarkStart w:id="5" w:name="_Toc504483936"/>
      <w:r w:rsidRPr="00687637">
        <w:rPr>
          <w:rFonts w:ascii="Times New Roman" w:hAnsi="Times New Roman" w:cs="Times New Roman"/>
        </w:rPr>
        <w:t xml:space="preserve">Petersen, J., Simons, H., Patel, D., Freedman, J. (2017) Early detection of perceived risk among users of a UK travel health website compared with internet search activity and media coverage during the 2015–2016 Zika virus outbreak: an observational study. </w:t>
      </w:r>
      <w:r w:rsidRPr="00687637">
        <w:rPr>
          <w:rFonts w:ascii="Times New Roman" w:hAnsi="Times New Roman" w:cs="Times New Roman"/>
          <w:i/>
        </w:rPr>
        <w:t>BMJ Open</w:t>
      </w:r>
      <w:r w:rsidRPr="00687637">
        <w:rPr>
          <w:rFonts w:ascii="Times New Roman" w:hAnsi="Times New Roman" w:cs="Times New Roman"/>
        </w:rPr>
        <w:t xml:space="preserve"> 7: e015831</w:t>
      </w:r>
      <w:bookmarkEnd w:id="5"/>
    </w:p>
    <w:p w14:paraId="3D8EA90F" w14:textId="77777777" w:rsidR="00BB59CC" w:rsidRPr="00687637" w:rsidRDefault="00BB59CC" w:rsidP="00C55F20">
      <w:pPr>
        <w:pStyle w:val="NoSpacing"/>
        <w:spacing w:line="240" w:lineRule="auto"/>
        <w:rPr>
          <w:rFonts w:cs="Times New Roman"/>
          <w:b/>
          <w:sz w:val="22"/>
        </w:rPr>
      </w:pPr>
    </w:p>
    <w:p w14:paraId="0D7271CC" w14:textId="28A42E3D" w:rsidR="00C55F20" w:rsidRPr="00687637" w:rsidRDefault="00C55F20" w:rsidP="00C55F20">
      <w:pPr>
        <w:pStyle w:val="NoSpacing"/>
        <w:spacing w:line="240" w:lineRule="auto"/>
        <w:rPr>
          <w:rFonts w:cs="Times New Roman"/>
          <w:b/>
          <w:sz w:val="22"/>
        </w:rPr>
      </w:pPr>
      <w:r w:rsidRPr="00687637">
        <w:rPr>
          <w:rFonts w:cs="Times New Roman"/>
          <w:b/>
          <w:sz w:val="22"/>
        </w:rPr>
        <w:t>Title</w:t>
      </w:r>
    </w:p>
    <w:p w14:paraId="7A844CE3" w14:textId="77777777" w:rsidR="00C55F20" w:rsidRPr="00687637" w:rsidRDefault="00C55F20" w:rsidP="00C55F20">
      <w:pPr>
        <w:pStyle w:val="NoSpacing"/>
        <w:spacing w:line="240" w:lineRule="auto"/>
        <w:rPr>
          <w:rFonts w:cs="Times New Roman"/>
          <w:sz w:val="22"/>
        </w:rPr>
      </w:pPr>
      <w:r w:rsidRPr="00687637">
        <w:rPr>
          <w:rFonts w:cs="Times New Roman"/>
          <w:sz w:val="22"/>
        </w:rPr>
        <w:t>Early detection of perceived risk among users of a UK travel health website compared with internet search activity and media coverage during the 2015-2016 Zika virus outbreak – an observational study</w:t>
      </w:r>
    </w:p>
    <w:p w14:paraId="40869FFE" w14:textId="77777777" w:rsidR="00C55F20" w:rsidRPr="00687637" w:rsidRDefault="00C55F20" w:rsidP="00C55F20">
      <w:pPr>
        <w:pStyle w:val="NoSpacing"/>
        <w:spacing w:line="240" w:lineRule="auto"/>
        <w:rPr>
          <w:rFonts w:cs="Times New Roman"/>
          <w:sz w:val="22"/>
        </w:rPr>
      </w:pPr>
    </w:p>
    <w:p w14:paraId="07B4B31C" w14:textId="77777777" w:rsidR="00C55F20" w:rsidRPr="00687637" w:rsidRDefault="00C55F20" w:rsidP="00C55F20">
      <w:pPr>
        <w:pStyle w:val="NoSpacing"/>
        <w:spacing w:line="240" w:lineRule="auto"/>
        <w:rPr>
          <w:rFonts w:cs="Times New Roman"/>
          <w:sz w:val="22"/>
        </w:rPr>
      </w:pPr>
      <w:r w:rsidRPr="00687637">
        <w:rPr>
          <w:rFonts w:cs="Times New Roman"/>
          <w:b/>
          <w:sz w:val="22"/>
        </w:rPr>
        <w:t>Authors</w:t>
      </w:r>
      <w:r w:rsidRPr="00687637">
        <w:rPr>
          <w:rFonts w:cs="Times New Roman"/>
          <w:sz w:val="22"/>
        </w:rPr>
        <w:t xml:space="preserve"> (* corresponding)</w:t>
      </w:r>
    </w:p>
    <w:p w14:paraId="3A47F8DD" w14:textId="77777777" w:rsidR="00C55F20" w:rsidRPr="00687637" w:rsidRDefault="00C55F20" w:rsidP="00C55F20">
      <w:pPr>
        <w:pStyle w:val="NoSpacing"/>
        <w:spacing w:line="240" w:lineRule="auto"/>
        <w:ind w:left="288" w:hanging="288"/>
        <w:rPr>
          <w:rFonts w:cs="Times New Roman"/>
          <w:sz w:val="22"/>
        </w:rPr>
      </w:pPr>
      <w:r w:rsidRPr="00687637">
        <w:rPr>
          <w:rFonts w:cs="Times New Roman"/>
          <w:sz w:val="22"/>
        </w:rPr>
        <w:t xml:space="preserve">Jakob Petersen*, PhD, National Travel Health Network and Centre (NaTHNaC), University College London Hospital NHS Foundation Trust, London, UK, Telephone +44(0)2034475992, </w:t>
      </w:r>
      <w:hyperlink r:id="rId9" w:history="1">
        <w:r w:rsidRPr="00687637">
          <w:rPr>
            <w:rStyle w:val="Hyperlink"/>
            <w:rFonts w:cs="Times New Roman"/>
            <w:sz w:val="22"/>
          </w:rPr>
          <w:t>Jakob.petersen@uclh.nhs.uk</w:t>
        </w:r>
      </w:hyperlink>
      <w:r w:rsidRPr="00687637">
        <w:rPr>
          <w:rFonts w:cs="Times New Roman"/>
          <w:sz w:val="22"/>
        </w:rPr>
        <w:t>.</w:t>
      </w:r>
    </w:p>
    <w:p w14:paraId="7622F8E5" w14:textId="77777777" w:rsidR="00C55F20" w:rsidRPr="00687637" w:rsidRDefault="00C55F20" w:rsidP="00C55F20">
      <w:pPr>
        <w:pStyle w:val="NoSpacing"/>
        <w:spacing w:line="240" w:lineRule="auto"/>
        <w:ind w:left="288" w:hanging="288"/>
        <w:rPr>
          <w:rFonts w:cs="Times New Roman"/>
          <w:sz w:val="22"/>
        </w:rPr>
      </w:pPr>
      <w:r w:rsidRPr="00687637">
        <w:rPr>
          <w:rFonts w:cs="Times New Roman"/>
          <w:sz w:val="22"/>
        </w:rPr>
        <w:t>Hilary Simons, MSc, RGN, National Travel Health Network and Centre (NaTHNaC), Liverpool School of Tropical Medicine, Liverpool, UK.</w:t>
      </w:r>
    </w:p>
    <w:p w14:paraId="36B35564" w14:textId="77777777" w:rsidR="00C55F20" w:rsidRPr="00687637" w:rsidRDefault="00C55F20" w:rsidP="00C55F20">
      <w:pPr>
        <w:pStyle w:val="NoSpacing"/>
        <w:spacing w:line="240" w:lineRule="auto"/>
        <w:ind w:left="288" w:hanging="288"/>
        <w:rPr>
          <w:rFonts w:cs="Times New Roman"/>
          <w:sz w:val="22"/>
        </w:rPr>
      </w:pPr>
      <w:r w:rsidRPr="00687637">
        <w:rPr>
          <w:rFonts w:cs="Times New Roman"/>
          <w:sz w:val="22"/>
        </w:rPr>
        <w:t>Dipti Patel, FRCP, National Travel Health Network and Centre (NaTHNaC), University College London Hospital NHS Foundation Trust, London, UK.</w:t>
      </w:r>
    </w:p>
    <w:p w14:paraId="18DF9BE5" w14:textId="77777777" w:rsidR="00C55F20" w:rsidRPr="00687637" w:rsidRDefault="00C55F20" w:rsidP="00C55F20">
      <w:pPr>
        <w:pStyle w:val="NoSpacing"/>
        <w:spacing w:line="240" w:lineRule="auto"/>
        <w:ind w:left="288" w:hanging="288"/>
        <w:rPr>
          <w:rFonts w:cs="Times New Roman"/>
          <w:sz w:val="22"/>
        </w:rPr>
      </w:pPr>
      <w:r w:rsidRPr="00687637">
        <w:rPr>
          <w:rFonts w:cs="Times New Roman"/>
          <w:sz w:val="22"/>
        </w:rPr>
        <w:t>Joanne Freedman, MPh, Travel and Migrant Health, Public Health England, London, UK.</w:t>
      </w:r>
    </w:p>
    <w:p w14:paraId="556C6D5E" w14:textId="77777777" w:rsidR="00C55F20" w:rsidRPr="00687637" w:rsidRDefault="00C55F20" w:rsidP="00C55F20">
      <w:pPr>
        <w:pStyle w:val="NoSpacing"/>
        <w:spacing w:line="240" w:lineRule="auto"/>
        <w:rPr>
          <w:rFonts w:cs="Times New Roman"/>
          <w:sz w:val="22"/>
        </w:rPr>
      </w:pPr>
    </w:p>
    <w:p w14:paraId="3BAC8C6F" w14:textId="77777777" w:rsidR="00C55F20" w:rsidRPr="00687637" w:rsidRDefault="00C55F20" w:rsidP="00C55F20">
      <w:pPr>
        <w:spacing w:line="259" w:lineRule="auto"/>
        <w:rPr>
          <w:b/>
          <w:sz w:val="22"/>
        </w:rPr>
      </w:pPr>
      <w:r w:rsidRPr="00687637">
        <w:rPr>
          <w:b/>
          <w:sz w:val="22"/>
        </w:rPr>
        <w:t>Word count</w:t>
      </w:r>
    </w:p>
    <w:p w14:paraId="4021A316" w14:textId="77777777" w:rsidR="00BB59CC" w:rsidRPr="00687637" w:rsidRDefault="00C55F20" w:rsidP="00C55F20">
      <w:pPr>
        <w:spacing w:line="259" w:lineRule="auto"/>
        <w:rPr>
          <w:sz w:val="22"/>
        </w:rPr>
      </w:pPr>
      <w:r w:rsidRPr="00687637">
        <w:rPr>
          <w:sz w:val="22"/>
        </w:rPr>
        <w:t>2,316 words</w:t>
      </w:r>
    </w:p>
    <w:p w14:paraId="65945DA2" w14:textId="573F4DD8" w:rsidR="00C55F20" w:rsidRPr="00687637" w:rsidRDefault="00C55F20" w:rsidP="00C55F20">
      <w:pPr>
        <w:spacing w:line="259" w:lineRule="auto"/>
        <w:rPr>
          <w:sz w:val="22"/>
        </w:rPr>
      </w:pPr>
    </w:p>
    <w:p w14:paraId="07D8EB7E" w14:textId="77777777" w:rsidR="00C55F20" w:rsidRPr="00687637" w:rsidRDefault="00C55F20" w:rsidP="00C55F20">
      <w:pPr>
        <w:rPr>
          <w:b/>
          <w:sz w:val="22"/>
        </w:rPr>
      </w:pPr>
      <w:r w:rsidRPr="00687637">
        <w:rPr>
          <w:b/>
          <w:sz w:val="22"/>
        </w:rPr>
        <w:t>Abstract</w:t>
      </w:r>
    </w:p>
    <w:p w14:paraId="27CEF9DF" w14:textId="77777777" w:rsidR="00C55F20" w:rsidRPr="00687637" w:rsidRDefault="00C55F20" w:rsidP="00C55F20">
      <w:pPr>
        <w:rPr>
          <w:sz w:val="22"/>
        </w:rPr>
      </w:pPr>
      <w:r w:rsidRPr="00687637">
        <w:rPr>
          <w:i/>
          <w:sz w:val="22"/>
        </w:rPr>
        <w:t xml:space="preserve">Objectives   </w:t>
      </w:r>
      <w:r w:rsidRPr="00687637">
        <w:rPr>
          <w:sz w:val="22"/>
        </w:rPr>
        <w:t xml:space="preserve">The Zika virus (ZIKV) outbreak in the Americas in 2015-2016 posed a novel global threat due to the association with congenital malformations and its rapid spread. Timely information about the spread of the disease was paramount to public health bodies issuing travel advisories. This paper looks at the online interaction with a national travel health website during the outbreak and compares this to </w:t>
      </w:r>
      <w:r w:rsidRPr="00687637">
        <w:t>trends in internet searches and news media output.</w:t>
      </w:r>
      <w:r w:rsidRPr="00687637">
        <w:rPr>
          <w:sz w:val="22"/>
        </w:rPr>
        <w:t xml:space="preserve"> </w:t>
      </w:r>
    </w:p>
    <w:p w14:paraId="4A54A339" w14:textId="77777777" w:rsidR="00C55F20" w:rsidRPr="00687637" w:rsidRDefault="00C55F20" w:rsidP="00C55F20">
      <w:pPr>
        <w:rPr>
          <w:sz w:val="22"/>
        </w:rPr>
      </w:pPr>
      <w:r w:rsidRPr="00687637">
        <w:rPr>
          <w:i/>
          <w:sz w:val="22"/>
        </w:rPr>
        <w:t xml:space="preserve">Methods   </w:t>
      </w:r>
      <w:r w:rsidRPr="00687637">
        <w:rPr>
          <w:sz w:val="22"/>
        </w:rPr>
        <w:t xml:space="preserve">Time trends were created for weekly views of ZIKV-related pages on a UK travel health website, relative search volumes for “Zika” on Google UK, ZIKV-related items aggregated by Google UK News, and rank of ZIKV travel advisories among all other pages between 15 November 2015 and 20 August 2016. </w:t>
      </w:r>
    </w:p>
    <w:p w14:paraId="2C0698ED" w14:textId="77777777" w:rsidR="00C55F20" w:rsidRPr="00687637" w:rsidRDefault="00C55F20" w:rsidP="00C55F20">
      <w:pPr>
        <w:rPr>
          <w:sz w:val="22"/>
        </w:rPr>
      </w:pPr>
      <w:r w:rsidRPr="00687637">
        <w:rPr>
          <w:i/>
          <w:sz w:val="22"/>
        </w:rPr>
        <w:t xml:space="preserve">Results   </w:t>
      </w:r>
      <w:r w:rsidRPr="00687637">
        <w:rPr>
          <w:sz w:val="22"/>
        </w:rPr>
        <w:t xml:space="preserve">Time trends in traffic to the travel health website corresponded with Google searches, but less so with media items due to intense coverage of the Rio Olympics. Travel advisories for pregnant women were issued from 7 December 2015 and began to increase in popularity (rank) from early January 2016; weeks before a surge in interest as measured by Google searches/news items at the end of January 2016. </w:t>
      </w:r>
    </w:p>
    <w:p w14:paraId="14258010" w14:textId="77777777" w:rsidR="00C55F20" w:rsidRPr="00687637" w:rsidRDefault="00C55F20" w:rsidP="00C55F20">
      <w:pPr>
        <w:rPr>
          <w:sz w:val="22"/>
        </w:rPr>
      </w:pPr>
      <w:r w:rsidRPr="00687637">
        <w:rPr>
          <w:i/>
          <w:sz w:val="22"/>
        </w:rPr>
        <w:t xml:space="preserve">Conclusions   </w:t>
      </w:r>
      <w:r w:rsidRPr="00687637">
        <w:rPr>
          <w:sz w:val="22"/>
        </w:rPr>
        <w:t xml:space="preserve">The study showed an amplification of perceived risk among users of a national travel health website weeks before the initial surge in public interest. This suggests a potential value for tools to detect changes in online information seeking behaviours for predicting periods of high demand where the routine capability of travel health services could be exceeded. </w:t>
      </w:r>
    </w:p>
    <w:p w14:paraId="7DAE8F9E" w14:textId="77777777" w:rsidR="00C55F20" w:rsidRPr="00687637" w:rsidRDefault="00C55F20" w:rsidP="00C55F20">
      <w:pPr>
        <w:rPr>
          <w:b/>
          <w:sz w:val="22"/>
        </w:rPr>
      </w:pPr>
      <w:r w:rsidRPr="00687637">
        <w:rPr>
          <w:b/>
          <w:sz w:val="22"/>
        </w:rPr>
        <w:t>Keywords</w:t>
      </w:r>
    </w:p>
    <w:p w14:paraId="2CC8AE3D" w14:textId="77777777" w:rsidR="00C55F20" w:rsidRPr="00687637" w:rsidRDefault="00C55F20" w:rsidP="00C55F20">
      <w:pPr>
        <w:rPr>
          <w:sz w:val="22"/>
        </w:rPr>
      </w:pPr>
      <w:r w:rsidRPr="00687637">
        <w:rPr>
          <w:sz w:val="22"/>
        </w:rPr>
        <w:t>HEALTH SERVICES ADMINISTRATION &amp; MANAGEMENT, INFECTIOUS DISEASES,  PREVENTIVE MEDICINE, TROPICAL MEDICINE, EPIDEMIOLOGY</w:t>
      </w:r>
    </w:p>
    <w:p w14:paraId="29D12E28" w14:textId="77777777" w:rsidR="00C55F20" w:rsidRPr="00687637" w:rsidRDefault="00C55F20" w:rsidP="00C55F20">
      <w:pPr>
        <w:rPr>
          <w:b/>
          <w:sz w:val="22"/>
        </w:rPr>
      </w:pPr>
      <w:bookmarkStart w:id="6" w:name="_Hlk482439170"/>
      <w:r w:rsidRPr="00687637">
        <w:rPr>
          <w:b/>
          <w:sz w:val="22"/>
        </w:rPr>
        <w:t>Strengths and limitations of this study</w:t>
      </w:r>
    </w:p>
    <w:p w14:paraId="58E47FC2" w14:textId="77777777" w:rsidR="00C55F20" w:rsidRPr="00687637" w:rsidRDefault="00C55F20" w:rsidP="00C55F20">
      <w:pPr>
        <w:pStyle w:val="ListParagraph"/>
        <w:numPr>
          <w:ilvl w:val="0"/>
          <w:numId w:val="1"/>
        </w:numPr>
        <w:spacing w:line="256" w:lineRule="auto"/>
        <w:rPr>
          <w:rFonts w:cs="Times New Roman"/>
          <w:i/>
          <w:sz w:val="22"/>
        </w:rPr>
      </w:pPr>
      <w:r w:rsidRPr="00687637">
        <w:rPr>
          <w:rFonts w:cs="Times New Roman"/>
          <w:i/>
          <w:sz w:val="22"/>
        </w:rPr>
        <w:t xml:space="preserve">Infodemiological applications have to date primarily used online search engines or social media networks. This study is to our knowledge the first to use data on the online interactions with a professional online resource. </w:t>
      </w:r>
    </w:p>
    <w:p w14:paraId="51061D67" w14:textId="77777777" w:rsidR="00C55F20" w:rsidRPr="00687637" w:rsidRDefault="00C55F20" w:rsidP="00C55F20">
      <w:pPr>
        <w:pStyle w:val="ListParagraph"/>
        <w:numPr>
          <w:ilvl w:val="0"/>
          <w:numId w:val="1"/>
        </w:numPr>
        <w:spacing w:line="240" w:lineRule="auto"/>
        <w:rPr>
          <w:rFonts w:cs="Times New Roman"/>
          <w:i/>
          <w:sz w:val="22"/>
        </w:rPr>
      </w:pPr>
      <w:r w:rsidRPr="00687637">
        <w:rPr>
          <w:rFonts w:cs="Times New Roman"/>
          <w:i/>
          <w:sz w:val="22"/>
        </w:rPr>
        <w:t xml:space="preserve">The study used a large and broad range of online news sources, which assisted in making the results generalisable. </w:t>
      </w:r>
    </w:p>
    <w:p w14:paraId="72A2CFC8" w14:textId="77777777" w:rsidR="00C55F20" w:rsidRPr="00687637" w:rsidRDefault="00C55F20" w:rsidP="00C55F20">
      <w:pPr>
        <w:pStyle w:val="ListParagraph"/>
        <w:numPr>
          <w:ilvl w:val="0"/>
          <w:numId w:val="1"/>
        </w:numPr>
        <w:spacing w:line="240" w:lineRule="auto"/>
        <w:rPr>
          <w:rFonts w:cs="Times New Roman"/>
          <w:i/>
          <w:sz w:val="22"/>
        </w:rPr>
      </w:pPr>
      <w:r w:rsidRPr="00687637">
        <w:rPr>
          <w:rFonts w:cs="Times New Roman"/>
          <w:i/>
          <w:sz w:val="22"/>
        </w:rPr>
        <w:t>Formal validation of many Google tools is still pending on the disclosure of the underlying methodologies.</w:t>
      </w:r>
    </w:p>
    <w:p w14:paraId="6B0A23EA" w14:textId="77777777" w:rsidR="00C55F20" w:rsidRPr="00687637" w:rsidRDefault="00C55F20" w:rsidP="00C55F20">
      <w:pPr>
        <w:pStyle w:val="ListParagraph"/>
        <w:numPr>
          <w:ilvl w:val="0"/>
          <w:numId w:val="1"/>
        </w:numPr>
        <w:spacing w:line="256" w:lineRule="auto"/>
        <w:rPr>
          <w:rFonts w:cs="Times New Roman"/>
          <w:i/>
          <w:sz w:val="22"/>
        </w:rPr>
      </w:pPr>
      <w:r w:rsidRPr="00687637">
        <w:rPr>
          <w:rFonts w:cs="Times New Roman"/>
          <w:i/>
          <w:sz w:val="22"/>
        </w:rPr>
        <w:lastRenderedPageBreak/>
        <w:t xml:space="preserve">Any system based on online information seeking behaviours is open to new biases such as the activity of robots designed to boost traffic to other websites for commercial gains. </w:t>
      </w:r>
    </w:p>
    <w:p w14:paraId="7F10B660" w14:textId="202CFFBA" w:rsidR="00C55F20" w:rsidRPr="00687637" w:rsidRDefault="00C55F20" w:rsidP="00C55F20">
      <w:pPr>
        <w:spacing w:line="259" w:lineRule="auto"/>
        <w:rPr>
          <w:sz w:val="22"/>
        </w:rPr>
      </w:pPr>
    </w:p>
    <w:bookmarkEnd w:id="6"/>
    <w:p w14:paraId="3F317025" w14:textId="77777777" w:rsidR="00C55F20" w:rsidRPr="00687637" w:rsidRDefault="00C55F20" w:rsidP="00C55F20">
      <w:pPr>
        <w:spacing w:line="259" w:lineRule="auto"/>
        <w:rPr>
          <w:b/>
          <w:sz w:val="22"/>
        </w:rPr>
      </w:pPr>
      <w:r w:rsidRPr="00687637">
        <w:rPr>
          <w:b/>
          <w:sz w:val="22"/>
        </w:rPr>
        <w:t>OBJECTIVES</w:t>
      </w:r>
    </w:p>
    <w:p w14:paraId="66A80B3D" w14:textId="77777777" w:rsidR="00C55F20" w:rsidRPr="00687637" w:rsidRDefault="00C55F20" w:rsidP="00C55F20">
      <w:r w:rsidRPr="00687637">
        <w:t>The rapidly evolving Zika virus (ZIKV) outbreak associated with a cluster of congenital malformations in Brazil in 2015 led the World Health Organization (WHO) to declare the outbreak a public health emergency of international concern on 1 February 2016</w:t>
      </w:r>
      <w:r w:rsidRPr="00687637">
        <w:rPr>
          <w:sz w:val="22"/>
        </w:rPr>
        <w:t xml:space="preserve"> [1]</w:t>
      </w:r>
      <w:r w:rsidRPr="00687637">
        <w:t xml:space="preserve">. </w:t>
      </w:r>
    </w:p>
    <w:p w14:paraId="57C40E28" w14:textId="77777777" w:rsidR="00C55F20" w:rsidRPr="00687637" w:rsidRDefault="00C55F20" w:rsidP="00C55F20">
      <w:r w:rsidRPr="00687637">
        <w:t xml:space="preserve">Authoritative, accurate, and timely information about the spread of ZIKV was paramount to the work of public health bodies issuing travel advisories, especially to pregnant women, as the outbreak unfolded and spread across the Americas. This was important, firstly, to prevent harm in travellers at higher risk of complications from ZIKV, specifically pregnant women [2], secondly, to support travel health services at a time of high demand, and thirdly, to disseminate appropriate public health messages while media attention was high [3]. </w:t>
      </w:r>
    </w:p>
    <w:p w14:paraId="175FFD0F" w14:textId="77777777" w:rsidR="00C55F20" w:rsidRPr="00687637" w:rsidRDefault="00C55F20" w:rsidP="00C55F20">
      <w:r w:rsidRPr="00687637">
        <w:t xml:space="preserve">Repositories of data on online behaviours carry rich potentials for surveillance and have been termed infodemiology, i.e. the science of distribution and determinants of online information with the aim of informing public health and public policy [4–7]. Google Flu Trends represents an early example of an infodemiological system that has been used for both early detection and estimation of outbreak magnitude [8]. There have since been several applications in infectious disease surveillance (dengue, Ebola virus, swine flu, Zika virus), both in endemic and non-endemic settings, and exploiting a variety of data sources such as online search engines [9–14], social media networks [12,13,15,16], online encyclopaedias [17], media newsrooms and news aggregators [3,11,14,18,19], and mediated surveillance networks [20]. Some of the lessons from these early works have been that information seeking behaviours wax and wane as new information becomes available and satisfies gaps in knowledge, e.g. [11–13]. In some situation, especially in endemic settings, there may be an equilibrium between information seeking and case numbers, which is useful for predicting the pressure on frontline services or in countries with limited surveillance capability, e.g. [7,8,10,14,15]. In this study, we look at information seeking behaviours among users of a UK national travel health website during the 2015-2016 ZIKV outbreak and compare this to time trends in concurrent internet searches and output from news media rooms. The motivation being that </w:t>
      </w:r>
      <w:bookmarkStart w:id="7" w:name="_Hlk482439853"/>
      <w:r w:rsidRPr="00687637">
        <w:t xml:space="preserve">travel health services are staffed by healthcare professionals who routinely deal with traveller risk scenarios weeks and months ahead of departure. The paper in that way looks at the potential value of a professional network as a sentinel surveillance system for predicting periods of high demand on travel health services [8] over commonly used sources such as internet search engines and news media. </w:t>
      </w:r>
    </w:p>
    <w:p w14:paraId="587BEAD6" w14:textId="77777777" w:rsidR="00C55F20" w:rsidRPr="00687637" w:rsidRDefault="00C55F20" w:rsidP="00C55F20">
      <w:pPr>
        <w:rPr>
          <w:b/>
        </w:rPr>
      </w:pPr>
      <w:bookmarkStart w:id="8" w:name="_Toc461873070"/>
      <w:bookmarkEnd w:id="7"/>
      <w:r w:rsidRPr="00687637">
        <w:rPr>
          <w:b/>
        </w:rPr>
        <w:t>METHODS</w:t>
      </w:r>
      <w:bookmarkEnd w:id="8"/>
    </w:p>
    <w:p w14:paraId="24ECEB09" w14:textId="77777777" w:rsidR="00C55F20" w:rsidRPr="00687637" w:rsidRDefault="00C55F20" w:rsidP="00C55F20">
      <w:r w:rsidRPr="00687637">
        <w:t>The National Travel Health Network and Centre (NaTHNaC) is a government commissioned clinical advisory service supporting travel health services in England, Wales, and Northern Ireland in consultation with Public Health England’s Travel and Migrant Health unit. Its main information channel is a website, travelhealthpro.org.uk. Emerging threats such as ZIKV are covered in frequently updated news items and outbreak surveillance notices. Established threats are covered in factsheets with advice to travellers and health professionals. In the case of the ZIKV outbreak, the news items with travel advisories for pregnant women issued from 7 December 2015 onwards quickly became highly accessed. Various other news items on ZIKV and a factsheet (ZIKV risk assessment) were also available, but were much less visited. Data on the weekly number of unique pageviews (defined as number of sessions in which the page was viewed at least once and from hereon referred to as ‘views’) for each page were extracted using Google Analytics and the rank according to the weekly number of views was calculated. The access to the travelhealthpro.org.uk website was compared to Google searches (a measure of interest from the public) and news items aggregated by Google UK News (a measure of media output). The relative search volumes for “Zika” were obtained from Google Trends UK (https://</w:t>
      </w:r>
      <w:hyperlink r:id="rId10" w:history="1">
        <w:r w:rsidRPr="00687637">
          <w:rPr>
            <w:rStyle w:val="Hyperlink"/>
          </w:rPr>
          <w:t>www.google.co.uk/trends; country</w:t>
        </w:r>
      </w:hyperlink>
      <w:r w:rsidRPr="00687637">
        <w:t xml:space="preserve">: UK) and ZIKV-related news items on Google UK News (term: “zika”; </w:t>
      </w:r>
      <w:hyperlink r:id="rId11" w:history="1">
        <w:r w:rsidRPr="00687637">
          <w:rPr>
            <w:rStyle w:val="Hyperlink"/>
          </w:rPr>
          <w:t>https://news.google.co.uk/</w:t>
        </w:r>
      </w:hyperlink>
      <w:r w:rsidRPr="00687637">
        <w:t xml:space="preserve">; country: UK, date of extraction: 1 September 2016). The media news items were included if the headline and excerpt were ZIKV-related and each item was categorised by topic (General concerns/Rio de Janeiro Olympics 2016/Vector control/Vaccine development/Business news/First imported cases to a country/Sexual transmission news/Refund/cancellation </w:t>
      </w:r>
      <w:r w:rsidRPr="00687637">
        <w:lastRenderedPageBreak/>
        <w:t>practices of tourism industry/First deaths for a country/First Congenital Zika Syndrome cases for a country or region/First local transmission in a country/Other). It was not uncommon for news items to include information on multiple aspects of the outbreak, i.e. virus, disease, geographical spread, adverse outcomes, possible control measures, burden on society, etc. These items were grouped together under ‘general concerns’. The study period began on 15 November 2015, the week WHO first published news about a microcephaly cluster in northeast Brazil on 20 November 2015 [21] and ended on 20 August 2016, coinciding with the final week of the Rio Olympics 2016. Data for the entire period was extracted at weekly intervals (Sunday-Saturday weeks). Data analyses were carried out in Stata 14 [22].</w:t>
      </w:r>
    </w:p>
    <w:p w14:paraId="30018333" w14:textId="77777777" w:rsidR="00C55F20" w:rsidRPr="00687637" w:rsidRDefault="00C55F20" w:rsidP="00C55F20">
      <w:pPr>
        <w:rPr>
          <w:b/>
        </w:rPr>
      </w:pPr>
      <w:bookmarkStart w:id="9" w:name="_Toc461873071"/>
      <w:r w:rsidRPr="00687637">
        <w:rPr>
          <w:b/>
        </w:rPr>
        <w:t>RESULTS</w:t>
      </w:r>
      <w:bookmarkEnd w:id="9"/>
    </w:p>
    <w:p w14:paraId="45130794" w14:textId="77777777" w:rsidR="00C55F20" w:rsidRPr="00687637" w:rsidRDefault="00C55F20" w:rsidP="00C55F20">
      <w:r w:rsidRPr="00687637">
        <w:t>The analysis of ZIKV-related items from the Google UK news aggregator yielded a total of 1,750 items (</w:t>
      </w:r>
      <w:r w:rsidRPr="00687637">
        <w:fldChar w:fldCharType="begin"/>
      </w:r>
      <w:r w:rsidRPr="00687637">
        <w:instrText xml:space="preserve"> REF _Ref461027530 \h  \* MERGEFORMAT </w:instrText>
      </w:r>
      <w:r w:rsidRPr="00687637">
        <w:fldChar w:fldCharType="separate"/>
      </w:r>
      <w:r w:rsidRPr="00687637">
        <w:t xml:space="preserve">Table </w:t>
      </w:r>
      <w:r w:rsidRPr="00687637">
        <w:rPr>
          <w:noProof/>
        </w:rPr>
        <w:t>1</w:t>
      </w:r>
      <w:r w:rsidRPr="00687637">
        <w:fldChar w:fldCharType="end"/>
      </w:r>
      <w:r w:rsidRPr="00687637">
        <w:t xml:space="preserve">). The majority of items were categorised under general concerns (43.8%) or the Rio Olympics 2016 (37.9%). Other popular topics, although on a smaller scale, concerned control measures such as vector control (5.1%) and vaccine development (3%).  </w:t>
      </w:r>
    </w:p>
    <w:p w14:paraId="0616A09F" w14:textId="77777777" w:rsidR="00C55F20" w:rsidRPr="00687637" w:rsidRDefault="00C55F20" w:rsidP="00C55F20">
      <w:pPr>
        <w:rPr>
          <w:i/>
          <w:iCs/>
          <w:color w:val="44546A" w:themeColor="text2"/>
          <w:sz w:val="18"/>
          <w:szCs w:val="18"/>
        </w:rPr>
      </w:pPr>
      <w:bookmarkStart w:id="10" w:name="_Ref461027530"/>
      <w:bookmarkStart w:id="11" w:name="_Toc461517983"/>
      <w:r w:rsidRPr="00687637">
        <w:rPr>
          <w:i/>
          <w:iCs/>
          <w:color w:val="44546A" w:themeColor="text2"/>
          <w:sz w:val="18"/>
          <w:szCs w:val="18"/>
        </w:rPr>
        <w:t xml:space="preserve">Table </w:t>
      </w:r>
      <w:r w:rsidRPr="00687637">
        <w:rPr>
          <w:i/>
          <w:iCs/>
          <w:color w:val="44546A" w:themeColor="text2"/>
          <w:sz w:val="18"/>
          <w:szCs w:val="18"/>
        </w:rPr>
        <w:fldChar w:fldCharType="begin"/>
      </w:r>
      <w:r w:rsidRPr="00687637">
        <w:rPr>
          <w:i/>
          <w:iCs/>
          <w:color w:val="44546A" w:themeColor="text2"/>
          <w:sz w:val="18"/>
          <w:szCs w:val="18"/>
        </w:rPr>
        <w:instrText xml:space="preserve"> SEQ Table \* ARABIC </w:instrText>
      </w:r>
      <w:r w:rsidRPr="00687637">
        <w:rPr>
          <w:i/>
          <w:iCs/>
          <w:color w:val="44546A" w:themeColor="text2"/>
          <w:sz w:val="18"/>
          <w:szCs w:val="18"/>
        </w:rPr>
        <w:fldChar w:fldCharType="separate"/>
      </w:r>
      <w:r w:rsidRPr="00687637">
        <w:rPr>
          <w:i/>
          <w:iCs/>
          <w:noProof/>
          <w:color w:val="44546A" w:themeColor="text2"/>
          <w:sz w:val="18"/>
          <w:szCs w:val="18"/>
        </w:rPr>
        <w:t>1</w:t>
      </w:r>
      <w:r w:rsidRPr="00687637">
        <w:rPr>
          <w:i/>
          <w:iCs/>
          <w:color w:val="44546A" w:themeColor="text2"/>
          <w:sz w:val="18"/>
          <w:szCs w:val="18"/>
        </w:rPr>
        <w:fldChar w:fldCharType="end"/>
      </w:r>
      <w:bookmarkEnd w:id="10"/>
      <w:r w:rsidRPr="00687637">
        <w:rPr>
          <w:i/>
          <w:iCs/>
          <w:color w:val="44546A" w:themeColor="text2"/>
          <w:sz w:val="18"/>
          <w:szCs w:val="18"/>
        </w:rPr>
        <w:t xml:space="preserve">   Google UK news items by category.</w:t>
      </w:r>
      <w:bookmarkEnd w:id="11"/>
    </w:p>
    <w:tbl>
      <w:tblPr>
        <w:tblW w:w="5000" w:type="pct"/>
        <w:tblLook w:val="04A0" w:firstRow="1" w:lastRow="0" w:firstColumn="1" w:lastColumn="0" w:noHBand="0" w:noVBand="1"/>
      </w:tblPr>
      <w:tblGrid>
        <w:gridCol w:w="7298"/>
        <w:gridCol w:w="1692"/>
        <w:gridCol w:w="1692"/>
      </w:tblGrid>
      <w:tr w:rsidR="00C55F20" w:rsidRPr="00687637" w14:paraId="2E1BAE3F" w14:textId="77777777" w:rsidTr="00924B64">
        <w:trPr>
          <w:trHeight w:val="300"/>
        </w:trPr>
        <w:tc>
          <w:tcPr>
            <w:tcW w:w="3416" w:type="pct"/>
            <w:tcBorders>
              <w:top w:val="single" w:sz="4" w:space="0" w:color="auto"/>
              <w:left w:val="nil"/>
              <w:bottom w:val="single" w:sz="4" w:space="0" w:color="auto"/>
              <w:right w:val="nil"/>
            </w:tcBorders>
            <w:shd w:val="clear" w:color="auto" w:fill="auto"/>
            <w:noWrap/>
            <w:vAlign w:val="bottom"/>
            <w:hideMark/>
          </w:tcPr>
          <w:p w14:paraId="2D1C9DCC" w14:textId="77777777" w:rsidR="00C55F20" w:rsidRPr="00687637" w:rsidRDefault="00C55F20" w:rsidP="00924B64">
            <w:pPr>
              <w:rPr>
                <w:b/>
                <w:color w:val="000000"/>
                <w:sz w:val="20"/>
                <w:lang w:eastAsia="en-GB"/>
              </w:rPr>
            </w:pPr>
            <w:r w:rsidRPr="00687637">
              <w:rPr>
                <w:b/>
                <w:color w:val="000000"/>
                <w:sz w:val="20"/>
                <w:lang w:eastAsia="en-GB"/>
              </w:rPr>
              <w:t>Topics</w:t>
            </w:r>
          </w:p>
        </w:tc>
        <w:tc>
          <w:tcPr>
            <w:tcW w:w="792" w:type="pct"/>
            <w:tcBorders>
              <w:top w:val="single" w:sz="4" w:space="0" w:color="auto"/>
              <w:left w:val="nil"/>
              <w:bottom w:val="single" w:sz="4" w:space="0" w:color="auto"/>
              <w:right w:val="nil"/>
            </w:tcBorders>
            <w:shd w:val="clear" w:color="auto" w:fill="auto"/>
            <w:noWrap/>
            <w:vAlign w:val="bottom"/>
            <w:hideMark/>
          </w:tcPr>
          <w:p w14:paraId="3DDE7121" w14:textId="77777777" w:rsidR="00C55F20" w:rsidRPr="00687637" w:rsidRDefault="00C55F20" w:rsidP="00924B64">
            <w:pPr>
              <w:jc w:val="center"/>
              <w:rPr>
                <w:b/>
                <w:color w:val="000000"/>
                <w:sz w:val="20"/>
                <w:lang w:eastAsia="en-GB"/>
              </w:rPr>
            </w:pPr>
            <w:r w:rsidRPr="00687637">
              <w:rPr>
                <w:b/>
                <w:color w:val="000000"/>
                <w:sz w:val="20"/>
                <w:lang w:eastAsia="en-GB"/>
              </w:rPr>
              <w:t>Frequency</w:t>
            </w:r>
          </w:p>
        </w:tc>
        <w:tc>
          <w:tcPr>
            <w:tcW w:w="792" w:type="pct"/>
            <w:tcBorders>
              <w:top w:val="single" w:sz="4" w:space="0" w:color="auto"/>
              <w:left w:val="nil"/>
              <w:bottom w:val="single" w:sz="4" w:space="0" w:color="auto"/>
              <w:right w:val="nil"/>
            </w:tcBorders>
            <w:shd w:val="clear" w:color="auto" w:fill="auto"/>
            <w:noWrap/>
            <w:vAlign w:val="bottom"/>
            <w:hideMark/>
          </w:tcPr>
          <w:p w14:paraId="19A6C68C" w14:textId="77777777" w:rsidR="00C55F20" w:rsidRPr="00687637" w:rsidRDefault="00C55F20" w:rsidP="00924B64">
            <w:pPr>
              <w:jc w:val="center"/>
              <w:rPr>
                <w:b/>
                <w:color w:val="000000"/>
                <w:sz w:val="20"/>
                <w:lang w:eastAsia="en-GB"/>
              </w:rPr>
            </w:pPr>
            <w:r w:rsidRPr="00687637">
              <w:rPr>
                <w:b/>
                <w:color w:val="000000"/>
                <w:sz w:val="20"/>
                <w:lang w:eastAsia="en-GB"/>
              </w:rPr>
              <w:t>Percent</w:t>
            </w:r>
          </w:p>
        </w:tc>
      </w:tr>
      <w:tr w:rsidR="00C55F20" w:rsidRPr="00687637" w14:paraId="56AE9C19" w14:textId="77777777" w:rsidTr="00924B64">
        <w:trPr>
          <w:trHeight w:val="300"/>
        </w:trPr>
        <w:tc>
          <w:tcPr>
            <w:tcW w:w="3416" w:type="pct"/>
            <w:tcBorders>
              <w:top w:val="single" w:sz="4" w:space="0" w:color="auto"/>
              <w:left w:val="nil"/>
              <w:bottom w:val="nil"/>
              <w:right w:val="nil"/>
            </w:tcBorders>
            <w:shd w:val="clear" w:color="auto" w:fill="auto"/>
            <w:noWrap/>
            <w:vAlign w:val="bottom"/>
            <w:hideMark/>
          </w:tcPr>
          <w:p w14:paraId="76F86201" w14:textId="77777777" w:rsidR="00C55F20" w:rsidRPr="00687637" w:rsidRDefault="00C55F20" w:rsidP="00924B64">
            <w:pPr>
              <w:rPr>
                <w:color w:val="000000"/>
                <w:sz w:val="20"/>
                <w:lang w:eastAsia="en-GB"/>
              </w:rPr>
            </w:pPr>
            <w:r w:rsidRPr="00687637">
              <w:rPr>
                <w:color w:val="000000"/>
                <w:sz w:val="20"/>
                <w:lang w:eastAsia="en-GB"/>
              </w:rPr>
              <w:t>General concerns</w:t>
            </w:r>
          </w:p>
        </w:tc>
        <w:tc>
          <w:tcPr>
            <w:tcW w:w="792" w:type="pct"/>
            <w:tcBorders>
              <w:top w:val="single" w:sz="4" w:space="0" w:color="auto"/>
              <w:left w:val="nil"/>
              <w:bottom w:val="nil"/>
              <w:right w:val="nil"/>
            </w:tcBorders>
            <w:shd w:val="clear" w:color="auto" w:fill="auto"/>
            <w:noWrap/>
            <w:vAlign w:val="bottom"/>
            <w:hideMark/>
          </w:tcPr>
          <w:p w14:paraId="31D4A644" w14:textId="77777777" w:rsidR="00C55F20" w:rsidRPr="00687637" w:rsidRDefault="00C55F20" w:rsidP="00924B64">
            <w:pPr>
              <w:jc w:val="center"/>
              <w:rPr>
                <w:color w:val="000000"/>
                <w:sz w:val="20"/>
                <w:lang w:eastAsia="en-GB"/>
              </w:rPr>
            </w:pPr>
            <w:r w:rsidRPr="00687637">
              <w:rPr>
                <w:color w:val="000000"/>
                <w:sz w:val="20"/>
                <w:lang w:eastAsia="en-GB"/>
              </w:rPr>
              <w:t>766</w:t>
            </w:r>
          </w:p>
        </w:tc>
        <w:tc>
          <w:tcPr>
            <w:tcW w:w="792" w:type="pct"/>
            <w:tcBorders>
              <w:top w:val="single" w:sz="4" w:space="0" w:color="auto"/>
              <w:left w:val="nil"/>
              <w:bottom w:val="nil"/>
              <w:right w:val="nil"/>
            </w:tcBorders>
            <w:shd w:val="clear" w:color="auto" w:fill="auto"/>
            <w:noWrap/>
            <w:vAlign w:val="bottom"/>
            <w:hideMark/>
          </w:tcPr>
          <w:p w14:paraId="45FB59BE" w14:textId="77777777" w:rsidR="00C55F20" w:rsidRPr="00687637" w:rsidRDefault="00C55F20" w:rsidP="00924B64">
            <w:pPr>
              <w:jc w:val="center"/>
              <w:rPr>
                <w:color w:val="000000"/>
                <w:sz w:val="20"/>
                <w:lang w:eastAsia="en-GB"/>
              </w:rPr>
            </w:pPr>
            <w:r w:rsidRPr="00687637">
              <w:rPr>
                <w:color w:val="000000"/>
                <w:sz w:val="20"/>
                <w:lang w:eastAsia="en-GB"/>
              </w:rPr>
              <w:t>43.8</w:t>
            </w:r>
          </w:p>
        </w:tc>
      </w:tr>
      <w:tr w:rsidR="00C55F20" w:rsidRPr="00687637" w14:paraId="3BF13031" w14:textId="77777777" w:rsidTr="00924B64">
        <w:trPr>
          <w:trHeight w:val="300"/>
        </w:trPr>
        <w:tc>
          <w:tcPr>
            <w:tcW w:w="3416" w:type="pct"/>
            <w:tcBorders>
              <w:top w:val="nil"/>
              <w:left w:val="nil"/>
              <w:bottom w:val="nil"/>
              <w:right w:val="nil"/>
            </w:tcBorders>
            <w:shd w:val="clear" w:color="auto" w:fill="auto"/>
            <w:noWrap/>
            <w:vAlign w:val="bottom"/>
            <w:hideMark/>
          </w:tcPr>
          <w:p w14:paraId="03A74F44" w14:textId="77777777" w:rsidR="00C55F20" w:rsidRPr="00687637" w:rsidRDefault="00C55F20" w:rsidP="00924B64">
            <w:pPr>
              <w:rPr>
                <w:color w:val="000000"/>
                <w:sz w:val="20"/>
                <w:lang w:eastAsia="en-GB"/>
              </w:rPr>
            </w:pPr>
            <w:r w:rsidRPr="00687637">
              <w:rPr>
                <w:color w:val="000000"/>
                <w:sz w:val="20"/>
                <w:lang w:eastAsia="en-GB"/>
              </w:rPr>
              <w:t>Rio Olympics 2016</w:t>
            </w:r>
          </w:p>
        </w:tc>
        <w:tc>
          <w:tcPr>
            <w:tcW w:w="792" w:type="pct"/>
            <w:tcBorders>
              <w:top w:val="nil"/>
              <w:left w:val="nil"/>
              <w:bottom w:val="nil"/>
              <w:right w:val="nil"/>
            </w:tcBorders>
            <w:shd w:val="clear" w:color="auto" w:fill="auto"/>
            <w:noWrap/>
            <w:vAlign w:val="bottom"/>
            <w:hideMark/>
          </w:tcPr>
          <w:p w14:paraId="4498918F" w14:textId="77777777" w:rsidR="00C55F20" w:rsidRPr="00687637" w:rsidRDefault="00C55F20" w:rsidP="00924B64">
            <w:pPr>
              <w:jc w:val="center"/>
              <w:rPr>
                <w:color w:val="000000"/>
                <w:sz w:val="20"/>
                <w:lang w:eastAsia="en-GB"/>
              </w:rPr>
            </w:pPr>
            <w:r w:rsidRPr="00687637">
              <w:rPr>
                <w:color w:val="000000"/>
                <w:sz w:val="20"/>
                <w:lang w:eastAsia="en-GB"/>
              </w:rPr>
              <w:t>663</w:t>
            </w:r>
          </w:p>
        </w:tc>
        <w:tc>
          <w:tcPr>
            <w:tcW w:w="792" w:type="pct"/>
            <w:tcBorders>
              <w:top w:val="nil"/>
              <w:left w:val="nil"/>
              <w:bottom w:val="nil"/>
              <w:right w:val="nil"/>
            </w:tcBorders>
            <w:shd w:val="clear" w:color="auto" w:fill="auto"/>
            <w:noWrap/>
            <w:vAlign w:val="bottom"/>
            <w:hideMark/>
          </w:tcPr>
          <w:p w14:paraId="2C14FB15" w14:textId="77777777" w:rsidR="00C55F20" w:rsidRPr="00687637" w:rsidRDefault="00C55F20" w:rsidP="00924B64">
            <w:pPr>
              <w:jc w:val="center"/>
              <w:rPr>
                <w:color w:val="000000"/>
                <w:sz w:val="20"/>
                <w:lang w:eastAsia="en-GB"/>
              </w:rPr>
            </w:pPr>
            <w:r w:rsidRPr="00687637">
              <w:rPr>
                <w:color w:val="000000"/>
                <w:sz w:val="20"/>
                <w:lang w:eastAsia="en-GB"/>
              </w:rPr>
              <w:t>37.9</w:t>
            </w:r>
          </w:p>
        </w:tc>
      </w:tr>
      <w:tr w:rsidR="00C55F20" w:rsidRPr="00687637" w14:paraId="7D60E026" w14:textId="77777777" w:rsidTr="00924B64">
        <w:trPr>
          <w:trHeight w:val="300"/>
        </w:trPr>
        <w:tc>
          <w:tcPr>
            <w:tcW w:w="3416" w:type="pct"/>
            <w:tcBorders>
              <w:top w:val="nil"/>
              <w:left w:val="nil"/>
              <w:bottom w:val="nil"/>
              <w:right w:val="nil"/>
            </w:tcBorders>
            <w:shd w:val="clear" w:color="auto" w:fill="auto"/>
            <w:noWrap/>
            <w:vAlign w:val="bottom"/>
            <w:hideMark/>
          </w:tcPr>
          <w:p w14:paraId="2ED2A04B" w14:textId="77777777" w:rsidR="00C55F20" w:rsidRPr="00687637" w:rsidRDefault="00C55F20" w:rsidP="00924B64">
            <w:pPr>
              <w:rPr>
                <w:color w:val="000000"/>
                <w:sz w:val="20"/>
                <w:lang w:eastAsia="en-GB"/>
              </w:rPr>
            </w:pPr>
            <w:r w:rsidRPr="00687637">
              <w:rPr>
                <w:color w:val="000000"/>
                <w:sz w:val="20"/>
                <w:lang w:eastAsia="en-GB"/>
              </w:rPr>
              <w:t>Vector control</w:t>
            </w:r>
          </w:p>
        </w:tc>
        <w:tc>
          <w:tcPr>
            <w:tcW w:w="792" w:type="pct"/>
            <w:tcBorders>
              <w:top w:val="nil"/>
              <w:left w:val="nil"/>
              <w:bottom w:val="nil"/>
              <w:right w:val="nil"/>
            </w:tcBorders>
            <w:shd w:val="clear" w:color="auto" w:fill="auto"/>
            <w:noWrap/>
            <w:vAlign w:val="bottom"/>
            <w:hideMark/>
          </w:tcPr>
          <w:p w14:paraId="615C2493" w14:textId="77777777" w:rsidR="00C55F20" w:rsidRPr="00687637" w:rsidRDefault="00C55F20" w:rsidP="00924B64">
            <w:pPr>
              <w:jc w:val="center"/>
              <w:rPr>
                <w:color w:val="000000"/>
                <w:sz w:val="20"/>
                <w:lang w:eastAsia="en-GB"/>
              </w:rPr>
            </w:pPr>
            <w:r w:rsidRPr="00687637">
              <w:rPr>
                <w:color w:val="000000"/>
                <w:sz w:val="20"/>
                <w:lang w:eastAsia="en-GB"/>
              </w:rPr>
              <w:t>89</w:t>
            </w:r>
          </w:p>
        </w:tc>
        <w:tc>
          <w:tcPr>
            <w:tcW w:w="792" w:type="pct"/>
            <w:tcBorders>
              <w:top w:val="nil"/>
              <w:left w:val="nil"/>
              <w:bottom w:val="nil"/>
              <w:right w:val="nil"/>
            </w:tcBorders>
            <w:shd w:val="clear" w:color="auto" w:fill="auto"/>
            <w:noWrap/>
            <w:vAlign w:val="bottom"/>
            <w:hideMark/>
          </w:tcPr>
          <w:p w14:paraId="26F4189C" w14:textId="77777777" w:rsidR="00C55F20" w:rsidRPr="00687637" w:rsidRDefault="00C55F20" w:rsidP="00924B64">
            <w:pPr>
              <w:jc w:val="center"/>
              <w:rPr>
                <w:color w:val="000000"/>
                <w:sz w:val="20"/>
                <w:lang w:eastAsia="en-GB"/>
              </w:rPr>
            </w:pPr>
            <w:r w:rsidRPr="00687637">
              <w:rPr>
                <w:color w:val="000000"/>
                <w:sz w:val="20"/>
                <w:lang w:eastAsia="en-GB"/>
              </w:rPr>
              <w:t>5.1</w:t>
            </w:r>
          </w:p>
        </w:tc>
      </w:tr>
      <w:tr w:rsidR="00C55F20" w:rsidRPr="00687637" w14:paraId="6E454D22" w14:textId="77777777" w:rsidTr="00924B64">
        <w:trPr>
          <w:trHeight w:val="300"/>
        </w:trPr>
        <w:tc>
          <w:tcPr>
            <w:tcW w:w="3416" w:type="pct"/>
            <w:tcBorders>
              <w:top w:val="nil"/>
              <w:left w:val="nil"/>
              <w:bottom w:val="nil"/>
              <w:right w:val="nil"/>
            </w:tcBorders>
            <w:shd w:val="clear" w:color="auto" w:fill="auto"/>
            <w:noWrap/>
            <w:vAlign w:val="bottom"/>
            <w:hideMark/>
          </w:tcPr>
          <w:p w14:paraId="08841CF3" w14:textId="77777777" w:rsidR="00C55F20" w:rsidRPr="00687637" w:rsidRDefault="00C55F20" w:rsidP="00924B64">
            <w:pPr>
              <w:rPr>
                <w:color w:val="000000"/>
                <w:sz w:val="20"/>
                <w:lang w:eastAsia="en-GB"/>
              </w:rPr>
            </w:pPr>
            <w:r w:rsidRPr="00687637">
              <w:rPr>
                <w:color w:val="000000"/>
                <w:sz w:val="20"/>
                <w:lang w:eastAsia="en-GB"/>
              </w:rPr>
              <w:t>Vaccine development</w:t>
            </w:r>
          </w:p>
        </w:tc>
        <w:tc>
          <w:tcPr>
            <w:tcW w:w="792" w:type="pct"/>
            <w:tcBorders>
              <w:top w:val="nil"/>
              <w:left w:val="nil"/>
              <w:bottom w:val="nil"/>
              <w:right w:val="nil"/>
            </w:tcBorders>
            <w:shd w:val="clear" w:color="auto" w:fill="auto"/>
            <w:noWrap/>
            <w:vAlign w:val="bottom"/>
            <w:hideMark/>
          </w:tcPr>
          <w:p w14:paraId="4F575597" w14:textId="77777777" w:rsidR="00C55F20" w:rsidRPr="00687637" w:rsidRDefault="00C55F20" w:rsidP="00924B64">
            <w:pPr>
              <w:jc w:val="center"/>
              <w:rPr>
                <w:color w:val="000000"/>
                <w:sz w:val="20"/>
                <w:lang w:eastAsia="en-GB"/>
              </w:rPr>
            </w:pPr>
            <w:r w:rsidRPr="00687637">
              <w:rPr>
                <w:color w:val="000000"/>
                <w:sz w:val="20"/>
                <w:lang w:eastAsia="en-GB"/>
              </w:rPr>
              <w:t>53</w:t>
            </w:r>
          </w:p>
        </w:tc>
        <w:tc>
          <w:tcPr>
            <w:tcW w:w="792" w:type="pct"/>
            <w:tcBorders>
              <w:top w:val="nil"/>
              <w:left w:val="nil"/>
              <w:bottom w:val="nil"/>
              <w:right w:val="nil"/>
            </w:tcBorders>
            <w:shd w:val="clear" w:color="auto" w:fill="auto"/>
            <w:noWrap/>
            <w:vAlign w:val="bottom"/>
            <w:hideMark/>
          </w:tcPr>
          <w:p w14:paraId="647B6E5A" w14:textId="77777777" w:rsidR="00C55F20" w:rsidRPr="00687637" w:rsidRDefault="00C55F20" w:rsidP="00924B64">
            <w:pPr>
              <w:jc w:val="center"/>
              <w:rPr>
                <w:color w:val="000000"/>
                <w:sz w:val="20"/>
                <w:lang w:eastAsia="en-GB"/>
              </w:rPr>
            </w:pPr>
            <w:r w:rsidRPr="00687637">
              <w:rPr>
                <w:color w:val="000000"/>
                <w:sz w:val="20"/>
                <w:lang w:eastAsia="en-GB"/>
              </w:rPr>
              <w:t>3.0</w:t>
            </w:r>
          </w:p>
        </w:tc>
      </w:tr>
      <w:tr w:rsidR="00C55F20" w:rsidRPr="00687637" w14:paraId="47E95826" w14:textId="77777777" w:rsidTr="00924B64">
        <w:trPr>
          <w:trHeight w:val="300"/>
        </w:trPr>
        <w:tc>
          <w:tcPr>
            <w:tcW w:w="3416" w:type="pct"/>
            <w:tcBorders>
              <w:top w:val="nil"/>
              <w:left w:val="nil"/>
              <w:bottom w:val="nil"/>
              <w:right w:val="nil"/>
            </w:tcBorders>
            <w:shd w:val="clear" w:color="auto" w:fill="auto"/>
            <w:noWrap/>
            <w:vAlign w:val="bottom"/>
            <w:hideMark/>
          </w:tcPr>
          <w:p w14:paraId="73ACF467" w14:textId="77777777" w:rsidR="00C55F20" w:rsidRPr="00687637" w:rsidRDefault="00C55F20" w:rsidP="00924B64">
            <w:pPr>
              <w:rPr>
                <w:color w:val="000000"/>
                <w:sz w:val="20"/>
                <w:lang w:eastAsia="en-GB"/>
              </w:rPr>
            </w:pPr>
            <w:r w:rsidRPr="00687637">
              <w:rPr>
                <w:color w:val="000000"/>
                <w:sz w:val="20"/>
                <w:lang w:eastAsia="en-GB"/>
              </w:rPr>
              <w:t>Business news</w:t>
            </w:r>
          </w:p>
        </w:tc>
        <w:tc>
          <w:tcPr>
            <w:tcW w:w="792" w:type="pct"/>
            <w:tcBorders>
              <w:top w:val="nil"/>
              <w:left w:val="nil"/>
              <w:bottom w:val="nil"/>
              <w:right w:val="nil"/>
            </w:tcBorders>
            <w:shd w:val="clear" w:color="auto" w:fill="auto"/>
            <w:noWrap/>
            <w:vAlign w:val="bottom"/>
            <w:hideMark/>
          </w:tcPr>
          <w:p w14:paraId="4D2918B7" w14:textId="77777777" w:rsidR="00C55F20" w:rsidRPr="00687637" w:rsidRDefault="00C55F20" w:rsidP="00924B64">
            <w:pPr>
              <w:jc w:val="center"/>
              <w:rPr>
                <w:color w:val="000000"/>
                <w:sz w:val="20"/>
                <w:lang w:eastAsia="en-GB"/>
              </w:rPr>
            </w:pPr>
            <w:r w:rsidRPr="00687637">
              <w:rPr>
                <w:color w:val="000000"/>
                <w:sz w:val="20"/>
                <w:lang w:eastAsia="en-GB"/>
              </w:rPr>
              <w:t>42</w:t>
            </w:r>
          </w:p>
        </w:tc>
        <w:tc>
          <w:tcPr>
            <w:tcW w:w="792" w:type="pct"/>
            <w:tcBorders>
              <w:top w:val="nil"/>
              <w:left w:val="nil"/>
              <w:bottom w:val="nil"/>
              <w:right w:val="nil"/>
            </w:tcBorders>
            <w:shd w:val="clear" w:color="auto" w:fill="auto"/>
            <w:noWrap/>
            <w:vAlign w:val="bottom"/>
            <w:hideMark/>
          </w:tcPr>
          <w:p w14:paraId="3CA603B7" w14:textId="77777777" w:rsidR="00C55F20" w:rsidRPr="00687637" w:rsidRDefault="00C55F20" w:rsidP="00924B64">
            <w:pPr>
              <w:jc w:val="center"/>
              <w:rPr>
                <w:color w:val="000000"/>
                <w:sz w:val="20"/>
                <w:lang w:eastAsia="en-GB"/>
              </w:rPr>
            </w:pPr>
            <w:r w:rsidRPr="00687637">
              <w:rPr>
                <w:color w:val="000000"/>
                <w:sz w:val="20"/>
                <w:lang w:eastAsia="en-GB"/>
              </w:rPr>
              <w:t>2.4</w:t>
            </w:r>
          </w:p>
        </w:tc>
      </w:tr>
      <w:tr w:rsidR="00C55F20" w:rsidRPr="00687637" w14:paraId="744B702E" w14:textId="77777777" w:rsidTr="00924B64">
        <w:trPr>
          <w:trHeight w:val="300"/>
        </w:trPr>
        <w:tc>
          <w:tcPr>
            <w:tcW w:w="3416" w:type="pct"/>
            <w:tcBorders>
              <w:top w:val="nil"/>
              <w:left w:val="nil"/>
              <w:bottom w:val="nil"/>
              <w:right w:val="nil"/>
            </w:tcBorders>
            <w:shd w:val="clear" w:color="auto" w:fill="auto"/>
            <w:noWrap/>
            <w:vAlign w:val="bottom"/>
            <w:hideMark/>
          </w:tcPr>
          <w:p w14:paraId="5DE78D62" w14:textId="77777777" w:rsidR="00C55F20" w:rsidRPr="00687637" w:rsidRDefault="00C55F20" w:rsidP="00924B64">
            <w:pPr>
              <w:rPr>
                <w:color w:val="000000"/>
                <w:sz w:val="20"/>
                <w:lang w:eastAsia="en-GB"/>
              </w:rPr>
            </w:pPr>
            <w:r w:rsidRPr="00687637">
              <w:rPr>
                <w:color w:val="000000"/>
                <w:sz w:val="20"/>
                <w:lang w:eastAsia="en-GB"/>
              </w:rPr>
              <w:t>First imported cases to a country</w:t>
            </w:r>
          </w:p>
        </w:tc>
        <w:tc>
          <w:tcPr>
            <w:tcW w:w="792" w:type="pct"/>
            <w:tcBorders>
              <w:top w:val="nil"/>
              <w:left w:val="nil"/>
              <w:bottom w:val="nil"/>
              <w:right w:val="nil"/>
            </w:tcBorders>
            <w:shd w:val="clear" w:color="auto" w:fill="auto"/>
            <w:noWrap/>
            <w:vAlign w:val="bottom"/>
            <w:hideMark/>
          </w:tcPr>
          <w:p w14:paraId="1727D1CE" w14:textId="77777777" w:rsidR="00C55F20" w:rsidRPr="00687637" w:rsidRDefault="00C55F20" w:rsidP="00924B64">
            <w:pPr>
              <w:jc w:val="center"/>
              <w:rPr>
                <w:color w:val="000000"/>
                <w:sz w:val="20"/>
                <w:lang w:eastAsia="en-GB"/>
              </w:rPr>
            </w:pPr>
            <w:r w:rsidRPr="00687637">
              <w:rPr>
                <w:color w:val="000000"/>
                <w:sz w:val="20"/>
                <w:lang w:eastAsia="en-GB"/>
              </w:rPr>
              <w:t>36</w:t>
            </w:r>
          </w:p>
        </w:tc>
        <w:tc>
          <w:tcPr>
            <w:tcW w:w="792" w:type="pct"/>
            <w:tcBorders>
              <w:top w:val="nil"/>
              <w:left w:val="nil"/>
              <w:bottom w:val="nil"/>
              <w:right w:val="nil"/>
            </w:tcBorders>
            <w:shd w:val="clear" w:color="auto" w:fill="auto"/>
            <w:noWrap/>
            <w:vAlign w:val="bottom"/>
            <w:hideMark/>
          </w:tcPr>
          <w:p w14:paraId="6DA88035" w14:textId="77777777" w:rsidR="00C55F20" w:rsidRPr="00687637" w:rsidRDefault="00C55F20" w:rsidP="00924B64">
            <w:pPr>
              <w:jc w:val="center"/>
              <w:rPr>
                <w:color w:val="000000"/>
                <w:sz w:val="20"/>
                <w:lang w:eastAsia="en-GB"/>
              </w:rPr>
            </w:pPr>
            <w:r w:rsidRPr="00687637">
              <w:rPr>
                <w:color w:val="000000"/>
                <w:sz w:val="20"/>
                <w:lang w:eastAsia="en-GB"/>
              </w:rPr>
              <w:t>2.1</w:t>
            </w:r>
          </w:p>
        </w:tc>
      </w:tr>
      <w:tr w:rsidR="00C55F20" w:rsidRPr="00687637" w14:paraId="51E2BF64" w14:textId="77777777" w:rsidTr="00924B64">
        <w:trPr>
          <w:trHeight w:val="300"/>
        </w:trPr>
        <w:tc>
          <w:tcPr>
            <w:tcW w:w="3416" w:type="pct"/>
            <w:tcBorders>
              <w:top w:val="nil"/>
              <w:left w:val="nil"/>
              <w:bottom w:val="nil"/>
              <w:right w:val="nil"/>
            </w:tcBorders>
            <w:shd w:val="clear" w:color="auto" w:fill="auto"/>
            <w:noWrap/>
            <w:vAlign w:val="bottom"/>
            <w:hideMark/>
          </w:tcPr>
          <w:p w14:paraId="0D1B8987" w14:textId="77777777" w:rsidR="00C55F20" w:rsidRPr="00687637" w:rsidRDefault="00C55F20" w:rsidP="00924B64">
            <w:pPr>
              <w:rPr>
                <w:color w:val="000000"/>
                <w:sz w:val="20"/>
                <w:lang w:eastAsia="en-GB"/>
              </w:rPr>
            </w:pPr>
            <w:r w:rsidRPr="00687637">
              <w:rPr>
                <w:color w:val="000000"/>
                <w:sz w:val="20"/>
                <w:lang w:eastAsia="en-GB"/>
              </w:rPr>
              <w:t>Sexual transmission news</w:t>
            </w:r>
          </w:p>
        </w:tc>
        <w:tc>
          <w:tcPr>
            <w:tcW w:w="792" w:type="pct"/>
            <w:tcBorders>
              <w:top w:val="nil"/>
              <w:left w:val="nil"/>
              <w:bottom w:val="nil"/>
              <w:right w:val="nil"/>
            </w:tcBorders>
            <w:shd w:val="clear" w:color="auto" w:fill="auto"/>
            <w:noWrap/>
            <w:vAlign w:val="bottom"/>
            <w:hideMark/>
          </w:tcPr>
          <w:p w14:paraId="7477BA69" w14:textId="77777777" w:rsidR="00C55F20" w:rsidRPr="00687637" w:rsidRDefault="00C55F20" w:rsidP="00924B64">
            <w:pPr>
              <w:jc w:val="center"/>
              <w:rPr>
                <w:color w:val="000000"/>
                <w:sz w:val="20"/>
                <w:lang w:eastAsia="en-GB"/>
              </w:rPr>
            </w:pPr>
            <w:r w:rsidRPr="00687637">
              <w:rPr>
                <w:color w:val="000000"/>
                <w:sz w:val="20"/>
                <w:lang w:eastAsia="en-GB"/>
              </w:rPr>
              <w:t>23</w:t>
            </w:r>
          </w:p>
        </w:tc>
        <w:tc>
          <w:tcPr>
            <w:tcW w:w="792" w:type="pct"/>
            <w:tcBorders>
              <w:top w:val="nil"/>
              <w:left w:val="nil"/>
              <w:bottom w:val="nil"/>
              <w:right w:val="nil"/>
            </w:tcBorders>
            <w:shd w:val="clear" w:color="auto" w:fill="auto"/>
            <w:noWrap/>
            <w:vAlign w:val="bottom"/>
            <w:hideMark/>
          </w:tcPr>
          <w:p w14:paraId="30373B17" w14:textId="77777777" w:rsidR="00C55F20" w:rsidRPr="00687637" w:rsidRDefault="00C55F20" w:rsidP="00924B64">
            <w:pPr>
              <w:jc w:val="center"/>
              <w:rPr>
                <w:color w:val="000000"/>
                <w:sz w:val="20"/>
                <w:lang w:eastAsia="en-GB"/>
              </w:rPr>
            </w:pPr>
            <w:r w:rsidRPr="00687637">
              <w:rPr>
                <w:color w:val="000000"/>
                <w:sz w:val="20"/>
                <w:lang w:eastAsia="en-GB"/>
              </w:rPr>
              <w:t>1.3</w:t>
            </w:r>
          </w:p>
        </w:tc>
      </w:tr>
      <w:tr w:rsidR="00C55F20" w:rsidRPr="00687637" w14:paraId="562F742F" w14:textId="77777777" w:rsidTr="00924B64">
        <w:trPr>
          <w:trHeight w:val="300"/>
        </w:trPr>
        <w:tc>
          <w:tcPr>
            <w:tcW w:w="3416" w:type="pct"/>
            <w:tcBorders>
              <w:top w:val="nil"/>
              <w:left w:val="nil"/>
              <w:bottom w:val="nil"/>
              <w:right w:val="nil"/>
            </w:tcBorders>
            <w:shd w:val="clear" w:color="auto" w:fill="auto"/>
            <w:noWrap/>
            <w:vAlign w:val="bottom"/>
            <w:hideMark/>
          </w:tcPr>
          <w:p w14:paraId="02D53799" w14:textId="77777777" w:rsidR="00C55F20" w:rsidRPr="00687637" w:rsidRDefault="00C55F20" w:rsidP="00924B64">
            <w:pPr>
              <w:rPr>
                <w:color w:val="000000"/>
                <w:sz w:val="20"/>
                <w:lang w:eastAsia="en-GB"/>
              </w:rPr>
            </w:pPr>
            <w:r w:rsidRPr="00687637">
              <w:rPr>
                <w:color w:val="000000"/>
                <w:sz w:val="20"/>
                <w:lang w:eastAsia="en-GB"/>
              </w:rPr>
              <w:t>Refund/cancellation practices of tourism industry</w:t>
            </w:r>
          </w:p>
        </w:tc>
        <w:tc>
          <w:tcPr>
            <w:tcW w:w="792" w:type="pct"/>
            <w:tcBorders>
              <w:top w:val="nil"/>
              <w:left w:val="nil"/>
              <w:bottom w:val="nil"/>
              <w:right w:val="nil"/>
            </w:tcBorders>
            <w:shd w:val="clear" w:color="auto" w:fill="auto"/>
            <w:noWrap/>
            <w:vAlign w:val="bottom"/>
            <w:hideMark/>
          </w:tcPr>
          <w:p w14:paraId="48C29B02" w14:textId="77777777" w:rsidR="00C55F20" w:rsidRPr="00687637" w:rsidRDefault="00C55F20" w:rsidP="00924B64">
            <w:pPr>
              <w:jc w:val="center"/>
              <w:rPr>
                <w:color w:val="000000"/>
                <w:sz w:val="20"/>
                <w:lang w:eastAsia="en-GB"/>
              </w:rPr>
            </w:pPr>
            <w:r w:rsidRPr="00687637">
              <w:rPr>
                <w:color w:val="000000"/>
                <w:sz w:val="20"/>
                <w:lang w:eastAsia="en-GB"/>
              </w:rPr>
              <w:t>19</w:t>
            </w:r>
          </w:p>
        </w:tc>
        <w:tc>
          <w:tcPr>
            <w:tcW w:w="792" w:type="pct"/>
            <w:tcBorders>
              <w:top w:val="nil"/>
              <w:left w:val="nil"/>
              <w:bottom w:val="nil"/>
              <w:right w:val="nil"/>
            </w:tcBorders>
            <w:shd w:val="clear" w:color="auto" w:fill="auto"/>
            <w:noWrap/>
            <w:vAlign w:val="bottom"/>
            <w:hideMark/>
          </w:tcPr>
          <w:p w14:paraId="6CC17EEE" w14:textId="77777777" w:rsidR="00C55F20" w:rsidRPr="00687637" w:rsidRDefault="00C55F20" w:rsidP="00924B64">
            <w:pPr>
              <w:jc w:val="center"/>
              <w:rPr>
                <w:color w:val="000000"/>
                <w:sz w:val="20"/>
                <w:lang w:eastAsia="en-GB"/>
              </w:rPr>
            </w:pPr>
            <w:r w:rsidRPr="00687637">
              <w:rPr>
                <w:color w:val="000000"/>
                <w:sz w:val="20"/>
                <w:lang w:eastAsia="en-GB"/>
              </w:rPr>
              <w:t>1.1</w:t>
            </w:r>
          </w:p>
        </w:tc>
      </w:tr>
      <w:tr w:rsidR="00C55F20" w:rsidRPr="00687637" w14:paraId="2BC999FA" w14:textId="77777777" w:rsidTr="00924B64">
        <w:trPr>
          <w:trHeight w:val="300"/>
        </w:trPr>
        <w:tc>
          <w:tcPr>
            <w:tcW w:w="3416" w:type="pct"/>
            <w:tcBorders>
              <w:top w:val="nil"/>
              <w:left w:val="nil"/>
              <w:bottom w:val="nil"/>
              <w:right w:val="nil"/>
            </w:tcBorders>
            <w:shd w:val="clear" w:color="auto" w:fill="auto"/>
            <w:noWrap/>
            <w:vAlign w:val="bottom"/>
            <w:hideMark/>
          </w:tcPr>
          <w:p w14:paraId="75891580" w14:textId="77777777" w:rsidR="00C55F20" w:rsidRPr="00687637" w:rsidRDefault="00C55F20" w:rsidP="00924B64">
            <w:pPr>
              <w:rPr>
                <w:color w:val="000000"/>
                <w:sz w:val="20"/>
                <w:lang w:eastAsia="en-GB"/>
              </w:rPr>
            </w:pPr>
            <w:r w:rsidRPr="00687637">
              <w:rPr>
                <w:color w:val="000000"/>
                <w:sz w:val="20"/>
                <w:lang w:eastAsia="en-GB"/>
              </w:rPr>
              <w:t>First deaths for a country</w:t>
            </w:r>
          </w:p>
        </w:tc>
        <w:tc>
          <w:tcPr>
            <w:tcW w:w="792" w:type="pct"/>
            <w:tcBorders>
              <w:top w:val="nil"/>
              <w:left w:val="nil"/>
              <w:bottom w:val="nil"/>
              <w:right w:val="nil"/>
            </w:tcBorders>
            <w:shd w:val="clear" w:color="auto" w:fill="auto"/>
            <w:noWrap/>
            <w:vAlign w:val="bottom"/>
            <w:hideMark/>
          </w:tcPr>
          <w:p w14:paraId="270AB4F4" w14:textId="77777777" w:rsidR="00C55F20" w:rsidRPr="00687637" w:rsidRDefault="00C55F20" w:rsidP="00924B64">
            <w:pPr>
              <w:jc w:val="center"/>
              <w:rPr>
                <w:color w:val="000000"/>
                <w:sz w:val="20"/>
                <w:lang w:eastAsia="en-GB"/>
              </w:rPr>
            </w:pPr>
            <w:r w:rsidRPr="00687637">
              <w:rPr>
                <w:color w:val="000000"/>
                <w:sz w:val="20"/>
                <w:lang w:eastAsia="en-GB"/>
              </w:rPr>
              <w:t>19</w:t>
            </w:r>
          </w:p>
        </w:tc>
        <w:tc>
          <w:tcPr>
            <w:tcW w:w="792" w:type="pct"/>
            <w:tcBorders>
              <w:top w:val="nil"/>
              <w:left w:val="nil"/>
              <w:bottom w:val="nil"/>
              <w:right w:val="nil"/>
            </w:tcBorders>
            <w:shd w:val="clear" w:color="auto" w:fill="auto"/>
            <w:noWrap/>
            <w:vAlign w:val="bottom"/>
            <w:hideMark/>
          </w:tcPr>
          <w:p w14:paraId="60CCCC61" w14:textId="77777777" w:rsidR="00C55F20" w:rsidRPr="00687637" w:rsidRDefault="00C55F20" w:rsidP="00924B64">
            <w:pPr>
              <w:jc w:val="center"/>
              <w:rPr>
                <w:color w:val="000000"/>
                <w:sz w:val="20"/>
                <w:lang w:eastAsia="en-GB"/>
              </w:rPr>
            </w:pPr>
            <w:r w:rsidRPr="00687637">
              <w:rPr>
                <w:color w:val="000000"/>
                <w:sz w:val="20"/>
                <w:lang w:eastAsia="en-GB"/>
              </w:rPr>
              <w:t>1.1</w:t>
            </w:r>
          </w:p>
        </w:tc>
      </w:tr>
      <w:tr w:rsidR="00C55F20" w:rsidRPr="00687637" w14:paraId="0A041F80" w14:textId="77777777" w:rsidTr="00924B64">
        <w:trPr>
          <w:trHeight w:val="300"/>
        </w:trPr>
        <w:tc>
          <w:tcPr>
            <w:tcW w:w="3416" w:type="pct"/>
            <w:tcBorders>
              <w:top w:val="nil"/>
              <w:left w:val="nil"/>
              <w:bottom w:val="nil"/>
              <w:right w:val="nil"/>
            </w:tcBorders>
            <w:shd w:val="clear" w:color="auto" w:fill="auto"/>
            <w:noWrap/>
            <w:vAlign w:val="bottom"/>
            <w:hideMark/>
          </w:tcPr>
          <w:p w14:paraId="7024E582" w14:textId="77777777" w:rsidR="00C55F20" w:rsidRPr="00687637" w:rsidRDefault="00C55F20" w:rsidP="00924B64">
            <w:pPr>
              <w:rPr>
                <w:color w:val="000000"/>
                <w:sz w:val="20"/>
                <w:lang w:eastAsia="en-GB"/>
              </w:rPr>
            </w:pPr>
            <w:r w:rsidRPr="00687637">
              <w:rPr>
                <w:color w:val="000000"/>
                <w:sz w:val="20"/>
                <w:lang w:eastAsia="en-GB"/>
              </w:rPr>
              <w:t>First Congenital Zika Syndrome cases for a country or region</w:t>
            </w:r>
          </w:p>
        </w:tc>
        <w:tc>
          <w:tcPr>
            <w:tcW w:w="792" w:type="pct"/>
            <w:tcBorders>
              <w:top w:val="nil"/>
              <w:left w:val="nil"/>
              <w:bottom w:val="nil"/>
              <w:right w:val="nil"/>
            </w:tcBorders>
            <w:shd w:val="clear" w:color="auto" w:fill="auto"/>
            <w:noWrap/>
            <w:vAlign w:val="bottom"/>
            <w:hideMark/>
          </w:tcPr>
          <w:p w14:paraId="52859653" w14:textId="77777777" w:rsidR="00C55F20" w:rsidRPr="00687637" w:rsidRDefault="00C55F20" w:rsidP="00924B64">
            <w:pPr>
              <w:jc w:val="center"/>
              <w:rPr>
                <w:color w:val="000000"/>
                <w:sz w:val="20"/>
                <w:lang w:eastAsia="en-GB"/>
              </w:rPr>
            </w:pPr>
            <w:r w:rsidRPr="00687637">
              <w:rPr>
                <w:color w:val="000000"/>
                <w:sz w:val="20"/>
                <w:lang w:eastAsia="en-GB"/>
              </w:rPr>
              <w:t>18</w:t>
            </w:r>
          </w:p>
        </w:tc>
        <w:tc>
          <w:tcPr>
            <w:tcW w:w="792" w:type="pct"/>
            <w:tcBorders>
              <w:top w:val="nil"/>
              <w:left w:val="nil"/>
              <w:bottom w:val="nil"/>
              <w:right w:val="nil"/>
            </w:tcBorders>
            <w:shd w:val="clear" w:color="auto" w:fill="auto"/>
            <w:noWrap/>
            <w:vAlign w:val="bottom"/>
            <w:hideMark/>
          </w:tcPr>
          <w:p w14:paraId="69E4CFC8" w14:textId="77777777" w:rsidR="00C55F20" w:rsidRPr="00687637" w:rsidRDefault="00C55F20" w:rsidP="00924B64">
            <w:pPr>
              <w:jc w:val="center"/>
              <w:rPr>
                <w:color w:val="000000"/>
                <w:sz w:val="20"/>
                <w:lang w:eastAsia="en-GB"/>
              </w:rPr>
            </w:pPr>
            <w:r w:rsidRPr="00687637">
              <w:rPr>
                <w:color w:val="000000"/>
                <w:sz w:val="20"/>
                <w:lang w:eastAsia="en-GB"/>
              </w:rPr>
              <w:t>1.0</w:t>
            </w:r>
          </w:p>
        </w:tc>
      </w:tr>
      <w:tr w:rsidR="00C55F20" w:rsidRPr="00687637" w14:paraId="3F36D16C" w14:textId="77777777" w:rsidTr="00924B64">
        <w:trPr>
          <w:trHeight w:val="300"/>
        </w:trPr>
        <w:tc>
          <w:tcPr>
            <w:tcW w:w="3416" w:type="pct"/>
            <w:tcBorders>
              <w:top w:val="nil"/>
              <w:left w:val="nil"/>
              <w:right w:val="nil"/>
            </w:tcBorders>
            <w:shd w:val="clear" w:color="auto" w:fill="auto"/>
            <w:noWrap/>
            <w:vAlign w:val="bottom"/>
            <w:hideMark/>
          </w:tcPr>
          <w:p w14:paraId="5B391DEE" w14:textId="77777777" w:rsidR="00C55F20" w:rsidRPr="00687637" w:rsidRDefault="00C55F20" w:rsidP="00924B64">
            <w:pPr>
              <w:rPr>
                <w:color w:val="000000"/>
                <w:sz w:val="20"/>
                <w:lang w:eastAsia="en-GB"/>
              </w:rPr>
            </w:pPr>
            <w:r w:rsidRPr="00687637">
              <w:rPr>
                <w:color w:val="000000"/>
                <w:sz w:val="20"/>
                <w:lang w:eastAsia="en-GB"/>
              </w:rPr>
              <w:t>First local transmission in a country</w:t>
            </w:r>
          </w:p>
        </w:tc>
        <w:tc>
          <w:tcPr>
            <w:tcW w:w="792" w:type="pct"/>
            <w:tcBorders>
              <w:top w:val="nil"/>
              <w:left w:val="nil"/>
              <w:right w:val="nil"/>
            </w:tcBorders>
            <w:shd w:val="clear" w:color="auto" w:fill="auto"/>
            <w:noWrap/>
            <w:vAlign w:val="bottom"/>
            <w:hideMark/>
          </w:tcPr>
          <w:p w14:paraId="393E28A6" w14:textId="77777777" w:rsidR="00C55F20" w:rsidRPr="00687637" w:rsidRDefault="00C55F20" w:rsidP="00924B64">
            <w:pPr>
              <w:jc w:val="center"/>
              <w:rPr>
                <w:color w:val="000000"/>
                <w:sz w:val="20"/>
                <w:lang w:eastAsia="en-GB"/>
              </w:rPr>
            </w:pPr>
            <w:r w:rsidRPr="00687637">
              <w:rPr>
                <w:color w:val="000000"/>
                <w:sz w:val="20"/>
                <w:lang w:eastAsia="en-GB"/>
              </w:rPr>
              <w:t>13</w:t>
            </w:r>
          </w:p>
        </w:tc>
        <w:tc>
          <w:tcPr>
            <w:tcW w:w="792" w:type="pct"/>
            <w:tcBorders>
              <w:top w:val="nil"/>
              <w:left w:val="nil"/>
              <w:right w:val="nil"/>
            </w:tcBorders>
            <w:shd w:val="clear" w:color="auto" w:fill="auto"/>
            <w:noWrap/>
            <w:vAlign w:val="bottom"/>
            <w:hideMark/>
          </w:tcPr>
          <w:p w14:paraId="20AA4571" w14:textId="77777777" w:rsidR="00C55F20" w:rsidRPr="00687637" w:rsidRDefault="00C55F20" w:rsidP="00924B64">
            <w:pPr>
              <w:jc w:val="center"/>
              <w:rPr>
                <w:color w:val="000000"/>
                <w:sz w:val="20"/>
                <w:lang w:eastAsia="en-GB"/>
              </w:rPr>
            </w:pPr>
            <w:r w:rsidRPr="00687637">
              <w:rPr>
                <w:color w:val="000000"/>
                <w:sz w:val="20"/>
                <w:lang w:eastAsia="en-GB"/>
              </w:rPr>
              <w:t>0.7</w:t>
            </w:r>
          </w:p>
        </w:tc>
      </w:tr>
      <w:tr w:rsidR="00C55F20" w:rsidRPr="00687637" w14:paraId="6F47DD24" w14:textId="77777777" w:rsidTr="00924B64">
        <w:trPr>
          <w:trHeight w:val="300"/>
        </w:trPr>
        <w:tc>
          <w:tcPr>
            <w:tcW w:w="3416" w:type="pct"/>
            <w:tcBorders>
              <w:top w:val="nil"/>
              <w:left w:val="nil"/>
              <w:bottom w:val="single" w:sz="4" w:space="0" w:color="auto"/>
              <w:right w:val="nil"/>
            </w:tcBorders>
            <w:shd w:val="clear" w:color="auto" w:fill="auto"/>
            <w:noWrap/>
            <w:vAlign w:val="bottom"/>
            <w:hideMark/>
          </w:tcPr>
          <w:p w14:paraId="350D001D" w14:textId="77777777" w:rsidR="00C55F20" w:rsidRPr="00687637" w:rsidRDefault="00C55F20" w:rsidP="00924B64">
            <w:pPr>
              <w:rPr>
                <w:color w:val="000000"/>
                <w:sz w:val="20"/>
                <w:lang w:eastAsia="en-GB"/>
              </w:rPr>
            </w:pPr>
            <w:r w:rsidRPr="00687637">
              <w:rPr>
                <w:color w:val="000000"/>
                <w:sz w:val="20"/>
                <w:lang w:eastAsia="en-GB"/>
              </w:rPr>
              <w:t>Other</w:t>
            </w:r>
          </w:p>
        </w:tc>
        <w:tc>
          <w:tcPr>
            <w:tcW w:w="792" w:type="pct"/>
            <w:tcBorders>
              <w:top w:val="nil"/>
              <w:left w:val="nil"/>
              <w:bottom w:val="single" w:sz="4" w:space="0" w:color="auto"/>
              <w:right w:val="nil"/>
            </w:tcBorders>
            <w:shd w:val="clear" w:color="auto" w:fill="auto"/>
            <w:noWrap/>
            <w:vAlign w:val="bottom"/>
            <w:hideMark/>
          </w:tcPr>
          <w:p w14:paraId="4ECA373E" w14:textId="77777777" w:rsidR="00C55F20" w:rsidRPr="00687637" w:rsidRDefault="00C55F20" w:rsidP="00924B64">
            <w:pPr>
              <w:jc w:val="center"/>
              <w:rPr>
                <w:color w:val="000000"/>
                <w:sz w:val="20"/>
                <w:lang w:eastAsia="en-GB"/>
              </w:rPr>
            </w:pPr>
            <w:r w:rsidRPr="00687637">
              <w:rPr>
                <w:color w:val="000000"/>
                <w:sz w:val="20"/>
                <w:lang w:eastAsia="en-GB"/>
              </w:rPr>
              <w:t>9</w:t>
            </w:r>
          </w:p>
        </w:tc>
        <w:tc>
          <w:tcPr>
            <w:tcW w:w="792" w:type="pct"/>
            <w:tcBorders>
              <w:top w:val="nil"/>
              <w:left w:val="nil"/>
              <w:bottom w:val="single" w:sz="4" w:space="0" w:color="auto"/>
              <w:right w:val="nil"/>
            </w:tcBorders>
            <w:shd w:val="clear" w:color="auto" w:fill="auto"/>
            <w:noWrap/>
            <w:vAlign w:val="bottom"/>
            <w:hideMark/>
          </w:tcPr>
          <w:p w14:paraId="3EB63624" w14:textId="77777777" w:rsidR="00C55F20" w:rsidRPr="00687637" w:rsidRDefault="00C55F20" w:rsidP="00924B64">
            <w:pPr>
              <w:jc w:val="center"/>
              <w:rPr>
                <w:color w:val="000000"/>
                <w:sz w:val="20"/>
                <w:lang w:eastAsia="en-GB"/>
              </w:rPr>
            </w:pPr>
            <w:r w:rsidRPr="00687637">
              <w:rPr>
                <w:color w:val="000000"/>
                <w:sz w:val="20"/>
                <w:lang w:eastAsia="en-GB"/>
              </w:rPr>
              <w:t>0.5</w:t>
            </w:r>
          </w:p>
        </w:tc>
      </w:tr>
      <w:tr w:rsidR="00C55F20" w:rsidRPr="00687637" w14:paraId="00EB278E" w14:textId="77777777" w:rsidTr="00924B64">
        <w:trPr>
          <w:trHeight w:val="300"/>
        </w:trPr>
        <w:tc>
          <w:tcPr>
            <w:tcW w:w="3416" w:type="pct"/>
            <w:tcBorders>
              <w:top w:val="single" w:sz="4" w:space="0" w:color="auto"/>
              <w:left w:val="nil"/>
              <w:bottom w:val="single" w:sz="4" w:space="0" w:color="auto"/>
              <w:right w:val="nil"/>
            </w:tcBorders>
            <w:shd w:val="clear" w:color="auto" w:fill="auto"/>
            <w:noWrap/>
            <w:vAlign w:val="bottom"/>
            <w:hideMark/>
          </w:tcPr>
          <w:p w14:paraId="32FB94A8" w14:textId="77777777" w:rsidR="00C55F20" w:rsidRPr="00687637" w:rsidRDefault="00C55F20" w:rsidP="00924B64">
            <w:pPr>
              <w:rPr>
                <w:color w:val="000000"/>
                <w:sz w:val="20"/>
                <w:lang w:eastAsia="en-GB"/>
              </w:rPr>
            </w:pPr>
            <w:r w:rsidRPr="00687637">
              <w:rPr>
                <w:color w:val="000000"/>
                <w:sz w:val="20"/>
                <w:lang w:eastAsia="en-GB"/>
              </w:rPr>
              <w:t>Total</w:t>
            </w:r>
          </w:p>
        </w:tc>
        <w:tc>
          <w:tcPr>
            <w:tcW w:w="792" w:type="pct"/>
            <w:tcBorders>
              <w:top w:val="single" w:sz="4" w:space="0" w:color="auto"/>
              <w:left w:val="nil"/>
              <w:bottom w:val="single" w:sz="4" w:space="0" w:color="auto"/>
              <w:right w:val="nil"/>
            </w:tcBorders>
            <w:shd w:val="clear" w:color="auto" w:fill="auto"/>
            <w:noWrap/>
            <w:vAlign w:val="bottom"/>
            <w:hideMark/>
          </w:tcPr>
          <w:p w14:paraId="7882BE21" w14:textId="77777777" w:rsidR="00C55F20" w:rsidRPr="00687637" w:rsidRDefault="00C55F20" w:rsidP="00924B64">
            <w:pPr>
              <w:jc w:val="center"/>
              <w:rPr>
                <w:color w:val="000000"/>
                <w:sz w:val="20"/>
                <w:lang w:eastAsia="en-GB"/>
              </w:rPr>
            </w:pPr>
            <w:r w:rsidRPr="00687637">
              <w:rPr>
                <w:color w:val="000000"/>
                <w:sz w:val="20"/>
                <w:lang w:eastAsia="en-GB"/>
              </w:rPr>
              <w:t>1,750</w:t>
            </w:r>
          </w:p>
        </w:tc>
        <w:tc>
          <w:tcPr>
            <w:tcW w:w="792" w:type="pct"/>
            <w:tcBorders>
              <w:top w:val="single" w:sz="4" w:space="0" w:color="auto"/>
              <w:left w:val="nil"/>
              <w:bottom w:val="single" w:sz="4" w:space="0" w:color="auto"/>
              <w:right w:val="nil"/>
            </w:tcBorders>
            <w:shd w:val="clear" w:color="auto" w:fill="auto"/>
            <w:noWrap/>
            <w:vAlign w:val="bottom"/>
            <w:hideMark/>
          </w:tcPr>
          <w:p w14:paraId="4AC4F4AB" w14:textId="77777777" w:rsidR="00C55F20" w:rsidRPr="00687637" w:rsidRDefault="00C55F20" w:rsidP="00924B64">
            <w:pPr>
              <w:jc w:val="center"/>
              <w:rPr>
                <w:color w:val="000000"/>
                <w:sz w:val="20"/>
                <w:lang w:eastAsia="en-GB"/>
              </w:rPr>
            </w:pPr>
            <w:r w:rsidRPr="00687637">
              <w:rPr>
                <w:color w:val="000000"/>
                <w:sz w:val="20"/>
                <w:lang w:eastAsia="en-GB"/>
              </w:rPr>
              <w:t>100.0</w:t>
            </w:r>
          </w:p>
        </w:tc>
      </w:tr>
    </w:tbl>
    <w:p w14:paraId="5859277C" w14:textId="77777777" w:rsidR="00C55F20" w:rsidRPr="00687637" w:rsidRDefault="00C55F20" w:rsidP="00C55F20"/>
    <w:p w14:paraId="6F4CA307" w14:textId="77777777" w:rsidR="00C55F20" w:rsidRPr="00687637" w:rsidRDefault="00C55F20" w:rsidP="00C55F20">
      <w:r w:rsidRPr="00687637">
        <w:t xml:space="preserve">The time series of the news items by category revealed that items about the Rio Olympics overtook all other topics from the beginning of June 2016 and culminating at the beginning of August, the week of the opening ceremony (Figure 1). </w:t>
      </w:r>
    </w:p>
    <w:p w14:paraId="6A1726D2" w14:textId="77777777" w:rsidR="00C55F20" w:rsidRPr="00687637" w:rsidRDefault="00C55F20" w:rsidP="00C55F20">
      <w:r w:rsidRPr="00687637">
        <w:t>The time series of ZIKV-related browsing activities were characterised by an initial surge, at the end of January to the beginning of February 2016, punctuated by smaller spikes on travelhealthpro.org.uk and on Google searches in April and May, and again at the end of July (Figure 2). The opening week of the Rio Olympics at the beginning of August was associated with the highest number of news items of the study period. The rank of the first travel advisory to pregnant women published on 7 December 2015 quickly declined in popularity (rank) only to rise again in popularity from the beginning of January 2016 (Figure 3). The third travel advisory, published on 26 January 2016, remained among the ten most popular pages on the website throughout the study period. The three pregnancy travel advisories had reached a total of 149,496 views by 20 August 2016. For comparison, the most popular item covering the developments of the Ebola virus outbreak in West Africa only reached 20,000 views between July and December 2014 (unpublished information, NaTHNaC, 1 September 2016).</w:t>
      </w:r>
    </w:p>
    <w:p w14:paraId="15393A0E" w14:textId="77777777" w:rsidR="00C55F20" w:rsidRPr="00687637" w:rsidRDefault="00C55F20" w:rsidP="00C55F20">
      <w:pPr>
        <w:rPr>
          <w:b/>
        </w:rPr>
      </w:pPr>
      <w:bookmarkStart w:id="12" w:name="_Toc461873072"/>
      <w:r w:rsidRPr="00687637">
        <w:rPr>
          <w:b/>
        </w:rPr>
        <w:t>DISCUSSIO</w:t>
      </w:r>
      <w:bookmarkEnd w:id="12"/>
      <w:r w:rsidRPr="00687637">
        <w:rPr>
          <w:b/>
        </w:rPr>
        <w:t>N</w:t>
      </w:r>
    </w:p>
    <w:p w14:paraId="4F74F6EA" w14:textId="77777777" w:rsidR="00C55F20" w:rsidRPr="00687637" w:rsidRDefault="00C55F20" w:rsidP="00C55F20">
      <w:r w:rsidRPr="00687637">
        <w:t xml:space="preserve">Traditionally, public health bodies have been informed about changes in the burden of diseases mainly through indicator-based surveillance systems such as yearly incidence or prevalence rates of pre-defined diseases. In recent decades, however, increasing attention has been directed towards the development and use of complementary event-based surveillance systems tuned at detecting new and emerging threats of the month, week, day, or even hour [23,24]. Online information seeking behaviours (information demand), user generated content and online media stories (information supply) have opened new and almost immediate </w:t>
      </w:r>
      <w:r w:rsidRPr="00687637">
        <w:lastRenderedPageBreak/>
        <w:t xml:space="preserve">opportunities for surveillance of emerging threats. This scientific discipline has been termed infodemiology or infoveillance [5,6]. An early example of an infodemiological system was the Google Flu Trends, which could predict demand on healthcare systems based on mass searches for flu symptoms and remedies on the Google search engine [8]. Part of the early detection relies on the fact that many individuals will try to self-diagnose and self-treat before seeking help from the healthcare services. Several studies have since explored the potential of various online data sources for early detection including online search engines [9–14], social media networks such as Twitter [12,13,15,16], the online encyclopaedia, Wikipedia [17], media newsrooms and news aggregators [3,11,18,19], and mediated surveillance networks such as Program for Monitoring Emerging Diseases (ProMED) [20]. Particular diseases of interest have been swine/seasonal flu [3,18,19], Ebola virus disease [9,11,13,16,20], dengue [10,14], and most recently, ZIKV [12,15]. </w:t>
      </w:r>
    </w:p>
    <w:p w14:paraId="553141F4" w14:textId="77777777" w:rsidR="00C55F20" w:rsidRPr="00687637" w:rsidRDefault="00C55F20" w:rsidP="00C55F20">
      <w:r w:rsidRPr="00687637">
        <w:t xml:space="preserve">Google Flu Trends has since been replaced by more sophisticated systems exploiting multiple data sources and calibrating the models to take regional variation into account, e.g. internet connectivity, demographic factors, and healthcare seeking behaviours [25,26]. Infodemiological systems, including early versions of Google Flu Trends, have been subject to criticism on a number of other points too. First, some have been critical of the fact that many of the Google tools and underlying algorithms have not been published and have thus remained methodologically ‘black boxes’ [27]. Second, and more fundamentally, less is known about internet and data-driven methodologies than traditional methods. New biases have to be defined and addressed, e.g. that internet searches for a part are made by robots and not humans with genuine concerns about diseases [27].  Third, the issues around the fear and curiosity driven initial bursts of information seeking can mask </w:t>
      </w:r>
      <w:r w:rsidRPr="00687637">
        <w:rPr>
          <w:i/>
        </w:rPr>
        <w:t>de facto</w:t>
      </w:r>
      <w:r w:rsidRPr="00687637">
        <w:t xml:space="preserve"> risk especially for new threats. An interesting example of this was the disproportional interest in the few Ebola cases in USA compared to the situation in West Africa during the 2014 Ebola epidemic [13]. This and other studies have similarly found a very high initial interest in the ZIKV outbreak; especially as the first cases were imported to the USA and Europe [12,15]. This phenomenon has been termed the social amplification of risk mechanism and known to be modified by volume, content, and tone of coverage. Further attention can be triggered by key events such as first imported case, first death, or in the case of ZIKV, first pregnant case or first case of Congenital Zika Syndrome [3]. In the present study, secondary spikes in online behaviours were observed in April, May, and at the end of July in both the professional network and in Google searches. The spike in April coincided with reports about scientific consensus for a causal link between ZIKV infection and microcephaly and Guillian-Barré syndrome [28]. The spike at the end of July coincided with the first local cases of mosquito-borne ZIKV infection in Florida, USA. In the case of ZIKV and the UK media, the majority of ZIKV-related items from June to August were associated with an even bigger news generator, i.e. the Rio Olympics with extensive coverage of e.g. top athletes dropping out due to the ZIKV outbreak. The epidemiological ‘signal value’ of media stories has in this case been weaker than for the online trends of Google searches or the information seeking behaviour on a travel health website. Chan et al. similarly found that dengue-related Google searches were better correlated with case numbers in endemic countries, where outbreaks are newsworthy yet not media sensations [10]. Fourth, many syndromic surveillance systems set up in the 2000s have been discontinued due to high false positive rates, which have led some observers to ask for systems incorporating higher quality sensors to inform early responders more effectively [24]. Finally, some have advocated for surveillance systems based on voluntary panels of members of the public that should offer timeliness and a tentative compromise between the safety and limitations of traditional study designs and the promises and perils of crowd-based systems [29]. </w:t>
      </w:r>
    </w:p>
    <w:p w14:paraId="5DBC0A66" w14:textId="77777777" w:rsidR="00C55F20" w:rsidRPr="00687637" w:rsidRDefault="00C55F20" w:rsidP="00C55F20">
      <w:bookmarkStart w:id="13" w:name="_Hlk482439786"/>
      <w:r w:rsidRPr="00687637">
        <w:t xml:space="preserve">Sections of the public planning to travel to potentially high risk disease areas may seek advice, vaccinations and other protection from travel health services; either voluntarily or due to mandatory requirements imposed by governments and the World Health Organization [30]. Due to vaccination schedules consultations may have to be arranged weeks or months before departure. Potentially vulnerable travellers such as pregnant women, young children, those with immunocompromise or other comorbidities are particularly likely to seek professional travel health advice [31]. The online interaction with a national travel health information service could for that reason act as a sentinel system for early detection of an emerging outbreak – at least at the point where it starts to be considered a risk to travellers. The advantage of such a </w:t>
      </w:r>
      <w:r w:rsidRPr="00687637">
        <w:lastRenderedPageBreak/>
        <w:t>system would be to direct attention to emerging issues at an early stage before a surge in public/media interest threaten to overwhelm the routine capability of frontline services.</w:t>
      </w:r>
    </w:p>
    <w:p w14:paraId="11E7E651" w14:textId="77777777" w:rsidR="00C55F20" w:rsidRPr="00687637" w:rsidRDefault="00C55F20" w:rsidP="00C55F20">
      <w:r w:rsidRPr="00687637">
        <w:t>There are undeniably many examples of where the media, as a whole, delivers important health messages in ways that are not misleading or merely seeking to cause sensation [32]. The present study however can show that trends in media reports on an infectious disease is not always related to risk as no exported cases of ZIKV were reported in connection with the Rio Olympics [33].</w:t>
      </w:r>
    </w:p>
    <w:p w14:paraId="087B5D30" w14:textId="77777777" w:rsidR="00C55F20" w:rsidRPr="00687637" w:rsidRDefault="00C55F20" w:rsidP="00C55F20">
      <w:bookmarkStart w:id="14" w:name="_Hlk482439101"/>
      <w:r w:rsidRPr="00687637">
        <w:t>A possible limitation of a system based on online information seeking behaviours could be robots designed to boost traffic to other websites for commercial gains [27]. We have not been able to exclude this possibility, but the fact that the audience is relatively small and specialised makes this less likely than had it been big and broad in terms of interests.</w:t>
      </w:r>
    </w:p>
    <w:p w14:paraId="7FB2B0E8" w14:textId="77777777" w:rsidR="00C55F20" w:rsidRPr="00687637" w:rsidRDefault="00C55F20" w:rsidP="00C55F20">
      <w:r w:rsidRPr="00687637">
        <w:t xml:space="preserve">The study used a large and broad range of news sources aggregated by Google News, which assists in making the results generalisable. The various Google tools have virtue in being widely used and the data easily accessible. Formal validation of many of the tools is however still pending on the disclosure of the underlying methodologies [27].    </w:t>
      </w:r>
    </w:p>
    <w:p w14:paraId="0539B683" w14:textId="77777777" w:rsidR="00C55F20" w:rsidRPr="00687637" w:rsidRDefault="00C55F20" w:rsidP="00C55F20">
      <w:pPr>
        <w:rPr>
          <w:b/>
        </w:rPr>
      </w:pPr>
      <w:bookmarkStart w:id="15" w:name="_Toc461873073"/>
      <w:bookmarkEnd w:id="13"/>
      <w:bookmarkEnd w:id="14"/>
      <w:r w:rsidRPr="00687637">
        <w:rPr>
          <w:b/>
        </w:rPr>
        <w:t>CONCLUSION</w:t>
      </w:r>
      <w:bookmarkEnd w:id="15"/>
      <w:r w:rsidRPr="00687637">
        <w:rPr>
          <w:b/>
        </w:rPr>
        <w:t>S</w:t>
      </w:r>
    </w:p>
    <w:p w14:paraId="121B6761" w14:textId="77777777" w:rsidR="00C55F20" w:rsidRPr="00687637" w:rsidRDefault="00C55F20" w:rsidP="00C55F20">
      <w:r w:rsidRPr="00687637">
        <w:t>The study showed an amplification of perceived risk among users of a national travel health website weeks before the initial surge in public interest at the end of January 2016. This suggests a potential value for tools to detect changes in online information seeking behaviours for predicting periods of high demand where the routine capability of travel health services could be exceeded.</w:t>
      </w:r>
    </w:p>
    <w:p w14:paraId="4059B906" w14:textId="77777777" w:rsidR="00C55F20" w:rsidRPr="00687637" w:rsidRDefault="00C55F20" w:rsidP="00C55F20"/>
    <w:p w14:paraId="4D1BEB47" w14:textId="77777777" w:rsidR="00C55F20" w:rsidRPr="00687637" w:rsidRDefault="00C55F20" w:rsidP="00C55F20">
      <w:pPr>
        <w:rPr>
          <w:b/>
        </w:rPr>
      </w:pPr>
      <w:r w:rsidRPr="00687637">
        <w:rPr>
          <w:b/>
        </w:rPr>
        <w:t>Contributorship statement</w:t>
      </w:r>
    </w:p>
    <w:p w14:paraId="431DE34D" w14:textId="77777777" w:rsidR="00C55F20" w:rsidRPr="00687637" w:rsidRDefault="00C55F20" w:rsidP="00C55F20">
      <w:r w:rsidRPr="00687637">
        <w:t>JP, HS, DP, and JF were closely involved with the design, conduct, analysis, presentation, and interpretation of the study findings.</w:t>
      </w:r>
    </w:p>
    <w:p w14:paraId="6CA5D903" w14:textId="77777777" w:rsidR="00C55F20" w:rsidRPr="00687637" w:rsidRDefault="00C55F20" w:rsidP="00C55F20">
      <w:pPr>
        <w:rPr>
          <w:b/>
        </w:rPr>
      </w:pPr>
      <w:r w:rsidRPr="00687637">
        <w:rPr>
          <w:b/>
        </w:rPr>
        <w:t>Competing interests</w:t>
      </w:r>
    </w:p>
    <w:p w14:paraId="31833257" w14:textId="77777777" w:rsidR="00C55F20" w:rsidRPr="00687637" w:rsidRDefault="00C55F20" w:rsidP="00C55F20">
      <w:r w:rsidRPr="00687637">
        <w:t>None.</w:t>
      </w:r>
    </w:p>
    <w:p w14:paraId="112EFCF7" w14:textId="77777777" w:rsidR="00C55F20" w:rsidRPr="00687637" w:rsidRDefault="00C55F20" w:rsidP="00C55F20">
      <w:pPr>
        <w:rPr>
          <w:b/>
        </w:rPr>
      </w:pPr>
      <w:r w:rsidRPr="00687637">
        <w:rPr>
          <w:b/>
        </w:rPr>
        <w:t>Funding</w:t>
      </w:r>
    </w:p>
    <w:p w14:paraId="52AB3C89" w14:textId="77777777" w:rsidR="00C55F20" w:rsidRPr="00687637" w:rsidRDefault="00C55F20" w:rsidP="00C55F20">
      <w:r w:rsidRPr="00687637">
        <w:t>None.</w:t>
      </w:r>
    </w:p>
    <w:p w14:paraId="0E3E4570" w14:textId="77777777" w:rsidR="00C55F20" w:rsidRPr="00687637" w:rsidRDefault="00C55F20" w:rsidP="00C55F20">
      <w:pPr>
        <w:rPr>
          <w:b/>
        </w:rPr>
      </w:pPr>
      <w:r w:rsidRPr="00687637">
        <w:rPr>
          <w:b/>
        </w:rPr>
        <w:t>Data sharing statement</w:t>
      </w:r>
    </w:p>
    <w:p w14:paraId="05FAA239" w14:textId="77777777" w:rsidR="00C55F20" w:rsidRPr="00687637" w:rsidRDefault="00C55F20" w:rsidP="00C55F20">
      <w:r w:rsidRPr="00687637">
        <w:t>Unpublished website usage data captured by Google Analytics, which can be made available upon request to the corresponding author.</w:t>
      </w:r>
    </w:p>
    <w:p w14:paraId="64D69712" w14:textId="77777777" w:rsidR="008F532D" w:rsidRPr="00687637" w:rsidRDefault="008F532D" w:rsidP="00C55F20">
      <w:pPr>
        <w:spacing w:line="259" w:lineRule="auto"/>
        <w:rPr>
          <w:b/>
        </w:rPr>
      </w:pPr>
      <w:bookmarkStart w:id="16" w:name="_Toc461873074"/>
    </w:p>
    <w:p w14:paraId="3165A021" w14:textId="77777777" w:rsidR="00C55F20" w:rsidRPr="00687637" w:rsidRDefault="00C55F20" w:rsidP="00C55F20">
      <w:pPr>
        <w:rPr>
          <w:b/>
        </w:rPr>
      </w:pPr>
      <w:r w:rsidRPr="00687637">
        <w:rPr>
          <w:b/>
        </w:rPr>
        <w:t>REFERENCES</w:t>
      </w:r>
      <w:bookmarkEnd w:id="16"/>
    </w:p>
    <w:p w14:paraId="22BCD68D" w14:textId="77777777" w:rsidR="00C55F20" w:rsidRPr="00687637" w:rsidRDefault="00C55F20" w:rsidP="00C55F20">
      <w:pPr>
        <w:pStyle w:val="Bibliography"/>
      </w:pPr>
      <w:r w:rsidRPr="00687637">
        <w:t xml:space="preserve">1 </w:t>
      </w:r>
      <w:r w:rsidRPr="00687637">
        <w:tab/>
        <w:t xml:space="preserve">Plourde AR, Bloch EM. A Literature Review of Zika Virus. </w:t>
      </w:r>
      <w:r w:rsidRPr="00687637">
        <w:rPr>
          <w:i/>
          <w:iCs/>
        </w:rPr>
        <w:t>Emerg Infect Dis</w:t>
      </w:r>
      <w:r w:rsidRPr="00687637">
        <w:t xml:space="preserve"> 2016;</w:t>
      </w:r>
      <w:r w:rsidRPr="00687637">
        <w:rPr>
          <w:b/>
          <w:bCs/>
        </w:rPr>
        <w:t>22</w:t>
      </w:r>
      <w:r w:rsidRPr="00687637">
        <w:t>:1185–92. doi:10.3201/eid2207.151990</w:t>
      </w:r>
    </w:p>
    <w:p w14:paraId="417F9A6B" w14:textId="77777777" w:rsidR="00C55F20" w:rsidRPr="00687637" w:rsidRDefault="00C55F20" w:rsidP="00C55F20">
      <w:pPr>
        <w:pStyle w:val="Bibliography"/>
        <w:rPr>
          <w:lang w:val="es-ES"/>
        </w:rPr>
      </w:pPr>
      <w:r w:rsidRPr="00687637">
        <w:t xml:space="preserve">2 </w:t>
      </w:r>
      <w:r w:rsidRPr="00687637">
        <w:tab/>
        <w:t xml:space="preserve">Lucey DR, Gostin LO. The Emerging Zika Pandemic: Enhancing Preparedness. </w:t>
      </w:r>
      <w:r w:rsidRPr="00687637">
        <w:rPr>
          <w:i/>
          <w:iCs/>
          <w:lang w:val="es-ES"/>
        </w:rPr>
        <w:t>JAMA</w:t>
      </w:r>
      <w:r w:rsidRPr="00687637">
        <w:rPr>
          <w:lang w:val="es-ES"/>
        </w:rPr>
        <w:t xml:space="preserve"> 2016;</w:t>
      </w:r>
      <w:r w:rsidRPr="00687637">
        <w:rPr>
          <w:b/>
          <w:bCs/>
          <w:lang w:val="es-ES"/>
        </w:rPr>
        <w:t>315</w:t>
      </w:r>
      <w:r w:rsidRPr="00687637">
        <w:rPr>
          <w:lang w:val="es-ES"/>
        </w:rPr>
        <w:t>:865–6. doi:10.1001/jama.2016.0904</w:t>
      </w:r>
    </w:p>
    <w:p w14:paraId="5753C161" w14:textId="77777777" w:rsidR="00C55F20" w:rsidRPr="00687637" w:rsidRDefault="00C55F20" w:rsidP="00C55F20">
      <w:pPr>
        <w:pStyle w:val="Bibliography"/>
        <w:rPr>
          <w:lang w:val="es-ES"/>
        </w:rPr>
      </w:pPr>
      <w:r w:rsidRPr="00687637">
        <w:rPr>
          <w:lang w:val="es-ES"/>
        </w:rPr>
        <w:t xml:space="preserve">3. </w:t>
      </w:r>
      <w:r w:rsidRPr="00687637">
        <w:rPr>
          <w:lang w:val="es-ES"/>
        </w:rPr>
        <w:tab/>
        <w:t xml:space="preserve">Reintjes R, Das E, Klemm C, et al. </w:t>
      </w:r>
      <w:r w:rsidRPr="00687637">
        <w:t xml:space="preserve">“Pandemic Public Health Paradox”: Time Series Analysis of the 2009/10 Influenza A / H1N1 Epidemiology, Media Attention, Risk Perception and Public Reactions in 5 European Countries. </w:t>
      </w:r>
      <w:r w:rsidRPr="00687637">
        <w:rPr>
          <w:lang w:val="es-ES"/>
        </w:rPr>
        <w:t>PloS One. 2016;11(3):e0151258.</w:t>
      </w:r>
    </w:p>
    <w:p w14:paraId="432E7D28" w14:textId="77777777" w:rsidR="00C55F20" w:rsidRPr="00687637" w:rsidRDefault="00C55F20" w:rsidP="00C55F20">
      <w:pPr>
        <w:pStyle w:val="Bibliography"/>
      </w:pPr>
      <w:r w:rsidRPr="00687637">
        <w:rPr>
          <w:lang w:val="es-ES"/>
        </w:rPr>
        <w:t xml:space="preserve">4. </w:t>
      </w:r>
      <w:r w:rsidRPr="00687637">
        <w:rPr>
          <w:lang w:val="es-ES"/>
        </w:rPr>
        <w:tab/>
        <w:t xml:space="preserve">Charles-Smith LE, Reynolds TL, Cameron MA, et al. </w:t>
      </w:r>
      <w:r w:rsidRPr="00687637">
        <w:t>Using Social Media for Actionable Disease Surveillance and Outbreak Management: A Systematic Literature Review. PloS One. 2015;10(10):e0139701.</w:t>
      </w:r>
    </w:p>
    <w:p w14:paraId="698435FB" w14:textId="77777777" w:rsidR="00C55F20" w:rsidRPr="00687637" w:rsidRDefault="00C55F20" w:rsidP="00C55F20">
      <w:pPr>
        <w:pStyle w:val="Bibliography"/>
      </w:pPr>
      <w:r w:rsidRPr="00687637">
        <w:t xml:space="preserve">5 </w:t>
      </w:r>
      <w:r w:rsidRPr="00687637">
        <w:tab/>
        <w:t xml:space="preserve">Eysenbach G. Infodemiology: the epidemiology of (mis)information. </w:t>
      </w:r>
      <w:r w:rsidRPr="00687637">
        <w:rPr>
          <w:i/>
          <w:iCs/>
        </w:rPr>
        <w:t>Am J Med</w:t>
      </w:r>
      <w:r w:rsidRPr="00687637">
        <w:t xml:space="preserve"> 2002;</w:t>
      </w:r>
      <w:r w:rsidRPr="00687637">
        <w:rPr>
          <w:b/>
          <w:bCs/>
        </w:rPr>
        <w:t>113</w:t>
      </w:r>
      <w:r w:rsidRPr="00687637">
        <w:t>:763–5. doi:10.1016/S0002-9343(02)01473-0</w:t>
      </w:r>
    </w:p>
    <w:p w14:paraId="1017BED8" w14:textId="77777777" w:rsidR="00C55F20" w:rsidRPr="00687637" w:rsidRDefault="00C55F20" w:rsidP="00C55F20">
      <w:pPr>
        <w:pStyle w:val="Bibliography"/>
        <w:rPr>
          <w:lang w:val="da-DK"/>
        </w:rPr>
      </w:pPr>
      <w:r w:rsidRPr="00687637">
        <w:t xml:space="preserve">6 </w:t>
      </w:r>
      <w:r w:rsidRPr="00687637">
        <w:tab/>
        <w:t xml:space="preserve">Eysenbach G. Infodemiology and infoveillance tracking online health information and cyberbehavior for public health. </w:t>
      </w:r>
      <w:r w:rsidRPr="00687637">
        <w:rPr>
          <w:i/>
          <w:iCs/>
          <w:lang w:val="da-DK"/>
        </w:rPr>
        <w:t>Am J Prev Med</w:t>
      </w:r>
      <w:r w:rsidRPr="00687637">
        <w:rPr>
          <w:lang w:val="da-DK"/>
        </w:rPr>
        <w:t xml:space="preserve"> 2011;</w:t>
      </w:r>
      <w:r w:rsidRPr="00687637">
        <w:rPr>
          <w:b/>
          <w:bCs/>
          <w:lang w:val="da-DK"/>
        </w:rPr>
        <w:t>40</w:t>
      </w:r>
      <w:r w:rsidRPr="00687637">
        <w:rPr>
          <w:lang w:val="da-DK"/>
        </w:rPr>
        <w:t>:S154-158. doi:10.1016/j.amepre.2011.02.006</w:t>
      </w:r>
    </w:p>
    <w:p w14:paraId="7A012414" w14:textId="77777777" w:rsidR="00C55F20" w:rsidRPr="00687637" w:rsidRDefault="00C55F20" w:rsidP="00C55F20">
      <w:pPr>
        <w:pStyle w:val="Bibliography"/>
        <w:rPr>
          <w:lang w:val="da-DK"/>
        </w:rPr>
      </w:pPr>
      <w:r w:rsidRPr="00687637">
        <w:rPr>
          <w:lang w:val="da-DK"/>
        </w:rPr>
        <w:t xml:space="preserve">7. </w:t>
      </w:r>
      <w:r w:rsidRPr="00687637">
        <w:rPr>
          <w:lang w:val="da-DK"/>
        </w:rPr>
        <w:tab/>
        <w:t xml:space="preserve">Nuti SV, Wayda B, Ranasinghe I, et al. </w:t>
      </w:r>
      <w:r w:rsidRPr="00687637">
        <w:t xml:space="preserve">The use of google trends in health care research: a systematic review. </w:t>
      </w:r>
      <w:r w:rsidRPr="00687637">
        <w:rPr>
          <w:lang w:val="da-DK"/>
        </w:rPr>
        <w:t>PloS One. 2014;9(10):e109583.</w:t>
      </w:r>
    </w:p>
    <w:p w14:paraId="18D21BA3" w14:textId="77777777" w:rsidR="00C55F20" w:rsidRPr="00687637" w:rsidRDefault="00C55F20" w:rsidP="00C55F20">
      <w:pPr>
        <w:pStyle w:val="Bibliography"/>
      </w:pPr>
      <w:r w:rsidRPr="00687637">
        <w:rPr>
          <w:lang w:val="da-DK"/>
        </w:rPr>
        <w:t xml:space="preserve">8 </w:t>
      </w:r>
      <w:r w:rsidRPr="00687637">
        <w:rPr>
          <w:lang w:val="da-DK"/>
        </w:rPr>
        <w:tab/>
        <w:t xml:space="preserve">Ginsberg J, Mohebbi MH, Patel RS, </w:t>
      </w:r>
      <w:r w:rsidRPr="00687637">
        <w:rPr>
          <w:i/>
          <w:iCs/>
          <w:lang w:val="da-DK"/>
        </w:rPr>
        <w:t>et al.</w:t>
      </w:r>
      <w:r w:rsidRPr="00687637">
        <w:rPr>
          <w:lang w:val="da-DK"/>
        </w:rPr>
        <w:t xml:space="preserve"> </w:t>
      </w:r>
      <w:r w:rsidRPr="00687637">
        <w:t xml:space="preserve">Detecting influenza epidemics using search engine query data. </w:t>
      </w:r>
      <w:r w:rsidRPr="00687637">
        <w:rPr>
          <w:i/>
          <w:iCs/>
        </w:rPr>
        <w:t>Nature</w:t>
      </w:r>
      <w:r w:rsidRPr="00687637">
        <w:t xml:space="preserve"> 2009;</w:t>
      </w:r>
      <w:r w:rsidRPr="00687637">
        <w:rPr>
          <w:b/>
          <w:bCs/>
        </w:rPr>
        <w:t>457</w:t>
      </w:r>
      <w:r w:rsidRPr="00687637">
        <w:t>:1012–4. doi:10.1038/nature07634</w:t>
      </w:r>
    </w:p>
    <w:p w14:paraId="4F7B062B" w14:textId="77777777" w:rsidR="00C55F20" w:rsidRPr="00687637" w:rsidRDefault="00C55F20" w:rsidP="00C55F20">
      <w:pPr>
        <w:pStyle w:val="Bibliography"/>
      </w:pPr>
      <w:r w:rsidRPr="00687637">
        <w:lastRenderedPageBreak/>
        <w:t xml:space="preserve">9 </w:t>
      </w:r>
      <w:r w:rsidRPr="00687637">
        <w:tab/>
        <w:t>Alicino C, Bragazzi NL, Faccio V, et al. Assessing Ebola-related web search behaviour: insights and implications from an analytical study of Google Trends-based query volumes. Infect Dis Poverty. 2015;4:54.</w:t>
      </w:r>
    </w:p>
    <w:p w14:paraId="3DA8842D" w14:textId="77777777" w:rsidR="00C55F20" w:rsidRPr="00687637" w:rsidRDefault="00C55F20" w:rsidP="00C55F20">
      <w:pPr>
        <w:pStyle w:val="Bibliography"/>
      </w:pPr>
      <w:r w:rsidRPr="00687637">
        <w:t xml:space="preserve">10 </w:t>
      </w:r>
      <w:r w:rsidRPr="00687637">
        <w:tab/>
        <w:t>Chan EH, Sahai V, Conrad C, et al. Using web search query data to monitor dengue epidemics: a new model for neglected tropical disease surveillance. PLoS Negl Trop Dis. 2011 May;5(5):e1206.</w:t>
      </w:r>
    </w:p>
    <w:p w14:paraId="04E3830D" w14:textId="77777777" w:rsidR="00C55F20" w:rsidRPr="00687637" w:rsidRDefault="00C55F20" w:rsidP="00C55F20">
      <w:pPr>
        <w:pStyle w:val="Bibliography"/>
      </w:pPr>
      <w:r w:rsidRPr="00687637">
        <w:t xml:space="preserve">11 </w:t>
      </w:r>
      <w:r w:rsidRPr="00687637">
        <w:tab/>
        <w:t xml:space="preserve">Hoffman SJ, Justicz V. Automatically quantifying the scientific quality and sensationalism of news records mentioning pandemics: validating a maximum entropy machine-learning model. </w:t>
      </w:r>
      <w:r w:rsidRPr="00687637">
        <w:rPr>
          <w:i/>
          <w:iCs/>
        </w:rPr>
        <w:t>J Clin Epidemiol</w:t>
      </w:r>
      <w:r w:rsidRPr="00687637">
        <w:t xml:space="preserve"> 2016;</w:t>
      </w:r>
      <w:r w:rsidRPr="00687637">
        <w:rPr>
          <w:b/>
          <w:bCs/>
        </w:rPr>
        <w:t>75</w:t>
      </w:r>
      <w:r w:rsidRPr="00687637">
        <w:t>:47–55. doi:10.1016/j.jclinepi.2015.12.010</w:t>
      </w:r>
    </w:p>
    <w:p w14:paraId="27272EE4" w14:textId="77777777" w:rsidR="00C55F20" w:rsidRPr="00687637" w:rsidRDefault="00C55F20" w:rsidP="00C55F20">
      <w:pPr>
        <w:pStyle w:val="Bibliography"/>
      </w:pPr>
      <w:r w:rsidRPr="00687637">
        <w:t xml:space="preserve">12 </w:t>
      </w:r>
      <w:r w:rsidRPr="00687637">
        <w:tab/>
        <w:t>Southwell BG, Dolina S, Jimenez-Magdaleno K, et al. Zika Virus-Related News Coverage and Online Behavior, United States, Guatemala, and Brazil. Emerg Infect Dis. 2016 Jul;22(7):1320–1.</w:t>
      </w:r>
    </w:p>
    <w:p w14:paraId="253E97E7" w14:textId="77777777" w:rsidR="00C55F20" w:rsidRPr="00687637" w:rsidRDefault="00C55F20" w:rsidP="00C55F20">
      <w:pPr>
        <w:pStyle w:val="Bibliography"/>
      </w:pPr>
      <w:r w:rsidRPr="00687637">
        <w:t xml:space="preserve">13 </w:t>
      </w:r>
      <w:r w:rsidRPr="00687637">
        <w:tab/>
        <w:t>Towers S, Afzal S, Bernal G, et al. Mass Media and the Contagion of Fear: The Case of Ebola in America. PloS One. 2015;10(6):e0129179.</w:t>
      </w:r>
    </w:p>
    <w:p w14:paraId="6D563FCC" w14:textId="77777777" w:rsidR="00C55F20" w:rsidRPr="00687637" w:rsidRDefault="00C55F20" w:rsidP="00C55F20">
      <w:pPr>
        <w:pStyle w:val="Bibliography"/>
      </w:pPr>
      <w:r w:rsidRPr="00687637">
        <w:t xml:space="preserve">14 </w:t>
      </w:r>
      <w:r w:rsidRPr="00687637">
        <w:tab/>
        <w:t xml:space="preserve">Wilder-Smith A, Cohn E, Lloyd DC, </w:t>
      </w:r>
      <w:r w:rsidRPr="00687637">
        <w:rPr>
          <w:i/>
          <w:iCs/>
        </w:rPr>
        <w:t>et al.</w:t>
      </w:r>
      <w:r w:rsidRPr="00687637">
        <w:t xml:space="preserve"> Internet-based media coverage on dengue in Sri Lanka between 2007 and 2015. </w:t>
      </w:r>
      <w:r w:rsidRPr="00687637">
        <w:rPr>
          <w:i/>
          <w:iCs/>
        </w:rPr>
        <w:t>Glob Health Action</w:t>
      </w:r>
      <w:r w:rsidRPr="00687637">
        <w:t xml:space="preserve"> 2016;</w:t>
      </w:r>
      <w:r w:rsidRPr="00687637">
        <w:rPr>
          <w:b/>
          <w:bCs/>
        </w:rPr>
        <w:t>9</w:t>
      </w:r>
      <w:r w:rsidRPr="00687637">
        <w:t>:31620. doi:10.3402/gha.v9.31620</w:t>
      </w:r>
    </w:p>
    <w:p w14:paraId="20DA6EDF" w14:textId="77777777" w:rsidR="00C55F20" w:rsidRPr="00687637" w:rsidRDefault="00C55F20" w:rsidP="00C55F20">
      <w:pPr>
        <w:pStyle w:val="Bibliography"/>
      </w:pPr>
      <w:r w:rsidRPr="00687637">
        <w:t xml:space="preserve">15 </w:t>
      </w:r>
      <w:r w:rsidRPr="00687637">
        <w:tab/>
        <w:t>Fu K-W, Liang H, Saroha N, et al. How people react to Zika virus outbreaks on Twitter? A computational content analysis. Am J Infect Control. 2016 Aug 24;</w:t>
      </w:r>
    </w:p>
    <w:p w14:paraId="76DC1AEE" w14:textId="77777777" w:rsidR="00C55F20" w:rsidRPr="00687637" w:rsidRDefault="00C55F20" w:rsidP="00C55F20">
      <w:pPr>
        <w:pStyle w:val="Bibliography"/>
      </w:pPr>
      <w:r w:rsidRPr="00687637">
        <w:t xml:space="preserve">16 </w:t>
      </w:r>
      <w:r w:rsidRPr="00687637">
        <w:tab/>
        <w:t xml:space="preserve">Tran T, Lee K. Understanding Citizen Reactions and Ebola-Related Information Propagation on Social Media. </w:t>
      </w:r>
      <w:r w:rsidRPr="00687637">
        <w:rPr>
          <w:i/>
          <w:iCs/>
        </w:rPr>
        <w:t>ArXiv160704318 Cs</w:t>
      </w:r>
      <w:r w:rsidRPr="00687637">
        <w:t xml:space="preserve"> Published Online First: 14 July 2016.http://arxiv.org/abs/1607.04318 (accessed 17 Sep 2016).</w:t>
      </w:r>
    </w:p>
    <w:p w14:paraId="750205F5" w14:textId="77777777" w:rsidR="00C55F20" w:rsidRPr="00687637" w:rsidRDefault="00C55F20" w:rsidP="00C55F20">
      <w:pPr>
        <w:pStyle w:val="Bibliography"/>
      </w:pPr>
      <w:r w:rsidRPr="00687637">
        <w:rPr>
          <w:lang w:val="da-DK"/>
        </w:rPr>
        <w:t xml:space="preserve">17 </w:t>
      </w:r>
      <w:r w:rsidRPr="00687637">
        <w:rPr>
          <w:lang w:val="da-DK"/>
        </w:rPr>
        <w:tab/>
        <w:t xml:space="preserve">Tausczik Y, Faasse K, Pennebaker JW, et al. </w:t>
      </w:r>
      <w:r w:rsidRPr="00687637">
        <w:t>Public anxiety and information seeking following the H1N1 outbreak: blogs, newspaper articles, and Wikipedia visits. Health Commun. 2012;27(2):179–85.</w:t>
      </w:r>
    </w:p>
    <w:p w14:paraId="69AB7E9D" w14:textId="77777777" w:rsidR="00C55F20" w:rsidRPr="00687637" w:rsidRDefault="00C55F20" w:rsidP="00C55F20">
      <w:pPr>
        <w:pStyle w:val="Bibliography"/>
      </w:pPr>
      <w:r w:rsidRPr="00687637">
        <w:t xml:space="preserve">18 </w:t>
      </w:r>
      <w:r w:rsidRPr="00687637">
        <w:tab/>
        <w:t xml:space="preserve">Hilton S, Hunt K. UK newspapers’ representations of the 2009-10 outbreak of swine flu: one health scare not over-hyped by the media? </w:t>
      </w:r>
      <w:r w:rsidRPr="00687637">
        <w:rPr>
          <w:i/>
          <w:iCs/>
        </w:rPr>
        <w:t>J Epidemiol Community Health</w:t>
      </w:r>
      <w:r w:rsidRPr="00687637">
        <w:t xml:space="preserve"> 2011;</w:t>
      </w:r>
      <w:r w:rsidRPr="00687637">
        <w:rPr>
          <w:b/>
          <w:bCs/>
        </w:rPr>
        <w:t>65</w:t>
      </w:r>
      <w:r w:rsidRPr="00687637">
        <w:t>:941–6. doi:10.1136/jech.2010.119875</w:t>
      </w:r>
    </w:p>
    <w:p w14:paraId="73253B8D" w14:textId="77777777" w:rsidR="00C55F20" w:rsidRPr="00687637" w:rsidRDefault="00C55F20" w:rsidP="00C55F20">
      <w:pPr>
        <w:pStyle w:val="Bibliography"/>
        <w:rPr>
          <w:lang w:val="da-DK"/>
        </w:rPr>
      </w:pPr>
      <w:r w:rsidRPr="00687637">
        <w:t xml:space="preserve">19 </w:t>
      </w:r>
      <w:r w:rsidRPr="00687637">
        <w:tab/>
        <w:t xml:space="preserve">Kato M, Ishikawa H. Media Coverage of a Global Pandemic in Japan: Content Analysis of A/ H1N1 Influenza Newspaper Articles. </w:t>
      </w:r>
      <w:r w:rsidRPr="00687637">
        <w:rPr>
          <w:i/>
          <w:iCs/>
          <w:lang w:val="da-DK"/>
        </w:rPr>
        <w:t>J Mass Commun Journal</w:t>
      </w:r>
      <w:r w:rsidRPr="00687637">
        <w:rPr>
          <w:lang w:val="da-DK"/>
        </w:rPr>
        <w:t xml:space="preserve"> 2016;</w:t>
      </w:r>
      <w:r w:rsidRPr="00687637">
        <w:rPr>
          <w:b/>
          <w:bCs/>
          <w:lang w:val="da-DK"/>
        </w:rPr>
        <w:t>06</w:t>
      </w:r>
      <w:r w:rsidRPr="00687637">
        <w:rPr>
          <w:lang w:val="da-DK"/>
        </w:rPr>
        <w:t>. doi:10.4172/2165-7912.1000293</w:t>
      </w:r>
    </w:p>
    <w:p w14:paraId="766A8D5A" w14:textId="77777777" w:rsidR="00C55F20" w:rsidRPr="00687637" w:rsidRDefault="00C55F20" w:rsidP="00C55F20">
      <w:pPr>
        <w:pStyle w:val="Bibliography"/>
      </w:pPr>
      <w:r w:rsidRPr="00687637">
        <w:rPr>
          <w:lang w:val="da-DK"/>
        </w:rPr>
        <w:t xml:space="preserve">20 </w:t>
      </w:r>
      <w:r w:rsidRPr="00687637">
        <w:rPr>
          <w:lang w:val="da-DK"/>
        </w:rPr>
        <w:tab/>
        <w:t xml:space="preserve">Hossain L, Kam D, Kong F, et al. </w:t>
      </w:r>
      <w:r w:rsidRPr="00687637">
        <w:t>Social media in Ebola outbreak. Epidemiol Infect. 2016 Jul;144(10):2136–43.</w:t>
      </w:r>
    </w:p>
    <w:p w14:paraId="70BD9CB8" w14:textId="77777777" w:rsidR="00C55F20" w:rsidRPr="00687637" w:rsidRDefault="00C55F20" w:rsidP="00C55F20">
      <w:pPr>
        <w:pStyle w:val="Bibliography"/>
      </w:pPr>
      <w:r w:rsidRPr="00687637">
        <w:t xml:space="preserve">21 </w:t>
      </w:r>
      <w:r w:rsidRPr="00687637">
        <w:tab/>
        <w:t>WHO. Microcephaly – Brazil. WHO. 2015.http://www.who.int/csr/don/20-november-2015-microcephaly/en/ (accessed 4 Feb 2016).</w:t>
      </w:r>
    </w:p>
    <w:p w14:paraId="353235C2" w14:textId="77777777" w:rsidR="00C55F20" w:rsidRPr="00687637" w:rsidRDefault="00C55F20" w:rsidP="00C55F20">
      <w:pPr>
        <w:pStyle w:val="Bibliography"/>
      </w:pPr>
      <w:r w:rsidRPr="00687637">
        <w:t xml:space="preserve">22 </w:t>
      </w:r>
      <w:r w:rsidRPr="00687637">
        <w:tab/>
        <w:t xml:space="preserve">StataCorp. </w:t>
      </w:r>
      <w:r w:rsidRPr="00687637">
        <w:rPr>
          <w:i/>
          <w:iCs/>
        </w:rPr>
        <w:t>Stata Statistical Software: Release 14</w:t>
      </w:r>
      <w:r w:rsidRPr="00687637">
        <w:t xml:space="preserve">. 2015. </w:t>
      </w:r>
    </w:p>
    <w:p w14:paraId="62451124" w14:textId="77777777" w:rsidR="00C55F20" w:rsidRPr="00687637" w:rsidRDefault="00C55F20" w:rsidP="00C55F20">
      <w:pPr>
        <w:pStyle w:val="Bibliography"/>
      </w:pPr>
      <w:r w:rsidRPr="00687637">
        <w:t xml:space="preserve">23 </w:t>
      </w:r>
      <w:r w:rsidRPr="00687637">
        <w:tab/>
        <w:t xml:space="preserve">Shmueli G, Burkom H. Statistical Challenges Facing Early Outbreak Detection in Biosurveillance. </w:t>
      </w:r>
      <w:r w:rsidRPr="00687637">
        <w:rPr>
          <w:i/>
          <w:iCs/>
        </w:rPr>
        <w:t>Technometrics</w:t>
      </w:r>
      <w:r w:rsidRPr="00687637">
        <w:t xml:space="preserve"> 2010;</w:t>
      </w:r>
      <w:r w:rsidRPr="00687637">
        <w:rPr>
          <w:b/>
          <w:bCs/>
        </w:rPr>
        <w:t>52</w:t>
      </w:r>
      <w:r w:rsidRPr="00687637">
        <w:t>:39–51. doi:10.1198/TECH.2010.06134</w:t>
      </w:r>
    </w:p>
    <w:p w14:paraId="0EAF7EBA" w14:textId="77777777" w:rsidR="00C55F20" w:rsidRPr="00687637" w:rsidRDefault="00C55F20" w:rsidP="00C55F20">
      <w:pPr>
        <w:pStyle w:val="Bibliography"/>
      </w:pPr>
      <w:r w:rsidRPr="00687637">
        <w:t xml:space="preserve">24 </w:t>
      </w:r>
      <w:r w:rsidRPr="00687637">
        <w:tab/>
        <w:t xml:space="preserve">Velsko S, Bates T. A Conceptual Architecture for National Biosurveillance: Moving Beyond Situational Awareness to Enable Digital Detection of Emerging Threats. </w:t>
      </w:r>
      <w:r w:rsidRPr="00687637">
        <w:rPr>
          <w:i/>
          <w:iCs/>
        </w:rPr>
        <w:t>Health Secur</w:t>
      </w:r>
      <w:r w:rsidRPr="00687637">
        <w:t xml:space="preserve"> 2016;</w:t>
      </w:r>
      <w:r w:rsidRPr="00687637">
        <w:rPr>
          <w:b/>
          <w:bCs/>
        </w:rPr>
        <w:t>14</w:t>
      </w:r>
      <w:r w:rsidRPr="00687637">
        <w:t>:189–201. doi:10.1089/hs.2015.0063</w:t>
      </w:r>
    </w:p>
    <w:p w14:paraId="7D9D6794" w14:textId="77777777" w:rsidR="00C55F20" w:rsidRPr="00687637" w:rsidRDefault="00C55F20" w:rsidP="00C55F20">
      <w:pPr>
        <w:pStyle w:val="Bibliography"/>
      </w:pPr>
      <w:r w:rsidRPr="00687637">
        <w:t xml:space="preserve">25. </w:t>
      </w:r>
      <w:r w:rsidRPr="00687637">
        <w:tab/>
        <w:t>Klembczyk JJ, Jalalpour M, Levin S, et al. Google Flu Trends Spatial Variability Validated Against Emergency Department Influenza-Related Visits. J Med Internet Res [Internet]. 2016 Jun 28 [cited 2016 Sep 12];18(6). Available from: http://www.ncbi.nlm.nih.gov/pmc/articles/PMC4942685/</w:t>
      </w:r>
    </w:p>
    <w:p w14:paraId="1A9B99F2" w14:textId="77777777" w:rsidR="00C55F20" w:rsidRPr="00687637" w:rsidRDefault="00C55F20" w:rsidP="00C55F20">
      <w:pPr>
        <w:pStyle w:val="Bibliography"/>
      </w:pPr>
      <w:r w:rsidRPr="00687637">
        <w:t xml:space="preserve">26 </w:t>
      </w:r>
      <w:r w:rsidRPr="00687637">
        <w:tab/>
        <w:t>Santillana M, Nguyen AT, Louie T, et al. Cloud-based Electronic Health Records for Real-time, Region-specific Influenza Surveillance. Sci Rep [Internet]. 2016 May 11 [cited 2016 Sep 19];6. Available from: http://www.ncbi.nlm.nih.gov/pmc/articles/PMC4863169/</w:t>
      </w:r>
    </w:p>
    <w:p w14:paraId="5E6D9215" w14:textId="77777777" w:rsidR="00C55F20" w:rsidRPr="00687637" w:rsidRDefault="00C55F20" w:rsidP="00C55F20">
      <w:pPr>
        <w:pStyle w:val="Bibliography"/>
      </w:pPr>
      <w:r w:rsidRPr="00687637">
        <w:rPr>
          <w:lang w:val="da-DK"/>
        </w:rPr>
        <w:t xml:space="preserve">27 </w:t>
      </w:r>
      <w:r w:rsidRPr="00687637">
        <w:rPr>
          <w:lang w:val="da-DK"/>
        </w:rPr>
        <w:tab/>
        <w:t xml:space="preserve">Müller O, Junglas I, Brocke J vom, et al. </w:t>
      </w:r>
      <w:r w:rsidRPr="00687637">
        <w:t>Utilizing big data analytics for information systems research: challenges, promises and guidelines. Eur J Inf Syst. 2016 Feb 9;25(4):289–302.</w:t>
      </w:r>
    </w:p>
    <w:p w14:paraId="2C8A202C" w14:textId="77777777" w:rsidR="00C55F20" w:rsidRPr="00687637" w:rsidRDefault="00C55F20" w:rsidP="00C55F20">
      <w:pPr>
        <w:pStyle w:val="Bibliography"/>
      </w:pPr>
      <w:r w:rsidRPr="00687637">
        <w:t xml:space="preserve">28 </w:t>
      </w:r>
      <w:r w:rsidRPr="00687637">
        <w:tab/>
        <w:t>WHO. Zika situation report on 14 April 2016. WHO. 2016.http://www.who.int/emergencies/zika-virus/situation-report/14-april-2016/en/ (accessed 8 Sep 2016).</w:t>
      </w:r>
    </w:p>
    <w:p w14:paraId="4A010B14" w14:textId="77777777" w:rsidR="00C55F20" w:rsidRPr="00687637" w:rsidRDefault="00C55F20" w:rsidP="00C55F20">
      <w:pPr>
        <w:pStyle w:val="Bibliography"/>
      </w:pPr>
      <w:r w:rsidRPr="00687637">
        <w:rPr>
          <w:lang w:val="da-DK"/>
        </w:rPr>
        <w:t xml:space="preserve">29. </w:t>
      </w:r>
      <w:r w:rsidRPr="00687637">
        <w:rPr>
          <w:lang w:val="da-DK"/>
        </w:rPr>
        <w:tab/>
        <w:t xml:space="preserve">Wójcik OP, Brownstein JS, Chunara R, et al. </w:t>
      </w:r>
      <w:r w:rsidRPr="00687637">
        <w:t>Public health for the people: participatory infectious disease surveillance in the digital age. Emerg Themes Epidemiol. 2014;11:7.</w:t>
      </w:r>
    </w:p>
    <w:p w14:paraId="2512E8F7" w14:textId="77777777" w:rsidR="00C55F20" w:rsidRPr="00687637" w:rsidRDefault="00C55F20" w:rsidP="00C55F20">
      <w:pPr>
        <w:pStyle w:val="Bibliography"/>
      </w:pPr>
      <w:r w:rsidRPr="00687637">
        <w:t xml:space="preserve">30 </w:t>
      </w:r>
      <w:r w:rsidRPr="00687637">
        <w:tab/>
        <w:t>WHO. International Health Regulations. WHO. 2005.http://www.who.int/ihr/publications/9789241580496/en/ (accessed 13 Sep 2016).</w:t>
      </w:r>
    </w:p>
    <w:p w14:paraId="61801861" w14:textId="77777777" w:rsidR="00C55F20" w:rsidRPr="00687637" w:rsidRDefault="00C55F20" w:rsidP="00C55F20">
      <w:pPr>
        <w:pStyle w:val="Bibliography"/>
      </w:pPr>
      <w:r w:rsidRPr="00687637">
        <w:t xml:space="preserve">31 </w:t>
      </w:r>
      <w:r w:rsidRPr="00687637">
        <w:tab/>
        <w:t xml:space="preserve">Zuckerman JN. </w:t>
      </w:r>
      <w:r w:rsidRPr="00687637">
        <w:rPr>
          <w:i/>
          <w:iCs/>
        </w:rPr>
        <w:t>Principles and Practice of Travel Medicine</w:t>
      </w:r>
      <w:r w:rsidRPr="00687637">
        <w:t xml:space="preserve">. John Wiley &amp; Sons 2012. </w:t>
      </w:r>
    </w:p>
    <w:p w14:paraId="0A343A7A" w14:textId="77777777" w:rsidR="00C55F20" w:rsidRPr="00687637" w:rsidRDefault="00C55F20" w:rsidP="00C55F20">
      <w:pPr>
        <w:pStyle w:val="Bibliography"/>
      </w:pPr>
      <w:r w:rsidRPr="00687637">
        <w:lastRenderedPageBreak/>
        <w:t xml:space="preserve">32 </w:t>
      </w:r>
      <w:r w:rsidRPr="00687637">
        <w:tab/>
        <w:t xml:space="preserve">Southwell BG, Reynolds BJ, Fowlie K. Communication in infectious disease surveillance: PART 1: Communication, mass media relations, and infectious disease surveillance. In: M’ikanatha NM, Lynfield R, Beneden CAV, </w:t>
      </w:r>
      <w:r w:rsidRPr="00687637">
        <w:rPr>
          <w:i/>
          <w:iCs/>
        </w:rPr>
        <w:t>et al.</w:t>
      </w:r>
      <w:r w:rsidRPr="00687637">
        <w:t xml:space="preserve">, eds. </w:t>
      </w:r>
      <w:r w:rsidRPr="00687637">
        <w:rPr>
          <w:i/>
          <w:iCs/>
        </w:rPr>
        <w:t>Infectious Disease Surveillance</w:t>
      </w:r>
      <w:r w:rsidRPr="00687637">
        <w:t>. John Wiley &amp; Sons Ltd 2013. 607–17. doi:10.1002/9781118543504.ch49</w:t>
      </w:r>
    </w:p>
    <w:p w14:paraId="10B409C1" w14:textId="77777777" w:rsidR="00C55F20" w:rsidRPr="00687637" w:rsidRDefault="00C55F20" w:rsidP="00C55F20">
      <w:pPr>
        <w:pStyle w:val="Bibliography"/>
      </w:pPr>
      <w:r w:rsidRPr="00687637">
        <w:t xml:space="preserve">33 </w:t>
      </w:r>
      <w:r w:rsidRPr="00687637">
        <w:tab/>
        <w:t>WHO. Zika situation report on 25 August 2016. WHO. 2016.http://www.who.int/emergencies/zika-virus/situation-report/25-august-2016/en/ (accessed 16 May 2017).</w:t>
      </w:r>
    </w:p>
    <w:p w14:paraId="65E6E3C3" w14:textId="77777777" w:rsidR="00C55F20" w:rsidRPr="00687637" w:rsidRDefault="00C55F20" w:rsidP="00C55F20"/>
    <w:p w14:paraId="65BCA7F3" w14:textId="77777777" w:rsidR="00C55F20" w:rsidRPr="00687637" w:rsidRDefault="00C55F20" w:rsidP="00C55F20"/>
    <w:p w14:paraId="1183F5A3" w14:textId="77777777" w:rsidR="00C55F20" w:rsidRPr="00687637" w:rsidRDefault="00C55F20" w:rsidP="00C55F20">
      <w:pPr>
        <w:rPr>
          <w:b/>
        </w:rPr>
      </w:pPr>
      <w:r w:rsidRPr="00687637">
        <w:rPr>
          <w:b/>
        </w:rPr>
        <w:t>FIGURE LEGENDS</w:t>
      </w:r>
    </w:p>
    <w:p w14:paraId="0E733853" w14:textId="77777777" w:rsidR="00C55F20" w:rsidRPr="00687637" w:rsidRDefault="00C55F20" w:rsidP="00C55F20">
      <w:r w:rsidRPr="00687637">
        <w:rPr>
          <w:b/>
        </w:rPr>
        <w:t>Figure 1</w:t>
      </w:r>
      <w:r w:rsidRPr="00687637">
        <w:t xml:space="preserve">   Zika virus-related Google UK News items by whether the Rio Olympics was mentioned or not.</w:t>
      </w:r>
    </w:p>
    <w:p w14:paraId="75446DEA" w14:textId="77777777" w:rsidR="00C55F20" w:rsidRPr="00687637" w:rsidRDefault="00C55F20" w:rsidP="00C55F20">
      <w:r w:rsidRPr="00687637">
        <w:rPr>
          <w:b/>
        </w:rPr>
        <w:t>Figure 2</w:t>
      </w:r>
      <w:r w:rsidRPr="00687637">
        <w:t xml:space="preserve">   Professional browsing activity (travelhealthpro.org.uk), public searching activity (Google UK Trends), and number of Google UK News. Weekly data.</w:t>
      </w:r>
    </w:p>
    <w:p w14:paraId="565A9DB7" w14:textId="67279789" w:rsidR="002B21AA" w:rsidRPr="00687637" w:rsidRDefault="00C55F20" w:rsidP="00C55F20">
      <w:r w:rsidRPr="00687637">
        <w:rPr>
          <w:b/>
        </w:rPr>
        <w:t>Figure 3</w:t>
      </w:r>
      <w:r w:rsidRPr="00687637">
        <w:t xml:space="preserve">   Rank among all pages on national travel health website, travelhealthpro.org.uk, for ZIKV travel advisories for pregnant women issued on 7 Dec 2015, 19 January and 26 January 2016, respectively (weekly data). Vertical line: WHO Public Health Emergency of International Concern on 1 February 2016.</w:t>
      </w:r>
    </w:p>
    <w:p w14:paraId="2C505522" w14:textId="77777777" w:rsidR="00C55F20" w:rsidRPr="00687637" w:rsidRDefault="00C55F20" w:rsidP="00C55F20"/>
    <w:p w14:paraId="6D614E31" w14:textId="77777777" w:rsidR="002B21AA" w:rsidRPr="00687637" w:rsidRDefault="002B21AA" w:rsidP="002B21AA">
      <w:pPr>
        <w:pStyle w:val="Heading1"/>
        <w:rPr>
          <w:rFonts w:ascii="Times New Roman" w:hAnsi="Times New Roman" w:cs="Times New Roman"/>
        </w:rPr>
      </w:pPr>
      <w:bookmarkStart w:id="17" w:name="_Toc504483937"/>
      <w:r w:rsidRPr="00687637">
        <w:rPr>
          <w:rFonts w:ascii="Times New Roman" w:hAnsi="Times New Roman" w:cs="Times New Roman"/>
        </w:rPr>
        <w:t xml:space="preserve">Petersen, J., Simons, H., Patel, D. (2017) Access to yellow fever travel vaccination centres in England, Wales, and Northern Ireland: A geographical study. </w:t>
      </w:r>
      <w:r w:rsidRPr="00687637">
        <w:rPr>
          <w:rFonts w:ascii="Times New Roman" w:hAnsi="Times New Roman" w:cs="Times New Roman"/>
          <w:i/>
        </w:rPr>
        <w:t xml:space="preserve">Travel Health and Infectious Diseases </w:t>
      </w:r>
      <w:r w:rsidRPr="00687637">
        <w:rPr>
          <w:rFonts w:ascii="Times New Roman" w:hAnsi="Times New Roman" w:cs="Times New Roman"/>
        </w:rPr>
        <w:t>18: 24e29</w:t>
      </w:r>
      <w:bookmarkEnd w:id="17"/>
    </w:p>
    <w:p w14:paraId="4901B067" w14:textId="0009B059" w:rsidR="002B21AA" w:rsidRPr="00687637" w:rsidRDefault="002B21AA" w:rsidP="00C55F20"/>
    <w:p w14:paraId="38F0F49E" w14:textId="77777777" w:rsidR="00704151" w:rsidRPr="00687637" w:rsidRDefault="00704151" w:rsidP="00704151">
      <w:pPr>
        <w:rPr>
          <w:b/>
        </w:rPr>
      </w:pPr>
      <w:r w:rsidRPr="00687637">
        <w:rPr>
          <w:b/>
        </w:rPr>
        <w:t>Title</w:t>
      </w:r>
    </w:p>
    <w:p w14:paraId="0EE51117" w14:textId="77777777" w:rsidR="00704151" w:rsidRPr="00687637" w:rsidRDefault="00704151" w:rsidP="00704151">
      <w:pPr>
        <w:pStyle w:val="NoSpacing"/>
        <w:spacing w:line="240" w:lineRule="auto"/>
        <w:rPr>
          <w:rFonts w:cs="Times New Roman"/>
          <w:sz w:val="22"/>
        </w:rPr>
      </w:pPr>
      <w:r w:rsidRPr="00687637">
        <w:rPr>
          <w:rFonts w:cs="Times New Roman"/>
          <w:sz w:val="22"/>
        </w:rPr>
        <w:t>Accessibility to yellow fever travel vaccination centres in England, Wales, and Northern Ireland: A geographical study</w:t>
      </w:r>
    </w:p>
    <w:p w14:paraId="04CD61F8" w14:textId="77777777" w:rsidR="00704151" w:rsidRPr="00687637" w:rsidRDefault="00704151" w:rsidP="00704151">
      <w:pPr>
        <w:pStyle w:val="NoSpacing"/>
        <w:spacing w:line="240" w:lineRule="auto"/>
        <w:rPr>
          <w:rFonts w:cs="Times New Roman"/>
          <w:sz w:val="22"/>
        </w:rPr>
      </w:pPr>
    </w:p>
    <w:p w14:paraId="56342CED" w14:textId="77777777" w:rsidR="00704151" w:rsidRPr="00687637" w:rsidRDefault="00704151" w:rsidP="00704151">
      <w:pPr>
        <w:pStyle w:val="NoSpacing"/>
        <w:spacing w:line="240" w:lineRule="auto"/>
        <w:rPr>
          <w:rFonts w:cs="Times New Roman"/>
          <w:sz w:val="22"/>
        </w:rPr>
      </w:pPr>
      <w:r w:rsidRPr="00687637">
        <w:rPr>
          <w:rFonts w:cs="Times New Roman"/>
          <w:b/>
          <w:sz w:val="22"/>
        </w:rPr>
        <w:t>Authors</w:t>
      </w:r>
      <w:r w:rsidRPr="00687637">
        <w:rPr>
          <w:rFonts w:cs="Times New Roman"/>
          <w:sz w:val="22"/>
        </w:rPr>
        <w:t xml:space="preserve"> (* corresponding)</w:t>
      </w:r>
    </w:p>
    <w:p w14:paraId="2AAC6507" w14:textId="77777777" w:rsidR="00704151" w:rsidRPr="00687637" w:rsidRDefault="00704151" w:rsidP="00704151">
      <w:pPr>
        <w:pStyle w:val="NoSpacing"/>
        <w:spacing w:line="240" w:lineRule="auto"/>
        <w:ind w:left="288" w:hanging="288"/>
        <w:rPr>
          <w:rFonts w:cs="Times New Roman"/>
          <w:sz w:val="22"/>
        </w:rPr>
      </w:pPr>
      <w:r w:rsidRPr="00687637">
        <w:rPr>
          <w:rFonts w:cs="Times New Roman"/>
          <w:sz w:val="22"/>
        </w:rPr>
        <w:t xml:space="preserve">Jakob Petersen*, National Travel Health Network and Centre (NaTHNaC), University College London Hospital NHS Foundation Trust, London, UK, Telephone +44(0)2034475992, </w:t>
      </w:r>
      <w:hyperlink r:id="rId12" w:history="1">
        <w:r w:rsidRPr="00687637">
          <w:rPr>
            <w:rStyle w:val="Hyperlink"/>
            <w:rFonts w:cs="Times New Roman"/>
            <w:sz w:val="22"/>
          </w:rPr>
          <w:t>Jakob.petersen@uclh.nhs.uk</w:t>
        </w:r>
      </w:hyperlink>
      <w:r w:rsidRPr="00687637">
        <w:rPr>
          <w:rFonts w:cs="Times New Roman"/>
          <w:sz w:val="22"/>
        </w:rPr>
        <w:t>.</w:t>
      </w:r>
    </w:p>
    <w:p w14:paraId="32AC8AB8" w14:textId="77777777" w:rsidR="00704151" w:rsidRPr="00687637" w:rsidRDefault="00704151" w:rsidP="00704151">
      <w:pPr>
        <w:pStyle w:val="NoSpacing"/>
        <w:spacing w:line="240" w:lineRule="auto"/>
        <w:ind w:left="288" w:hanging="288"/>
        <w:rPr>
          <w:rFonts w:cs="Times New Roman"/>
          <w:sz w:val="22"/>
        </w:rPr>
      </w:pPr>
      <w:r w:rsidRPr="00687637">
        <w:rPr>
          <w:rFonts w:cs="Times New Roman"/>
          <w:sz w:val="22"/>
        </w:rPr>
        <w:t xml:space="preserve">Hilary Simons, National Travel Health Network and Centre (NaTHNaC), Liverpool School of Tropical Medicine, Liverpool, UK, </w:t>
      </w:r>
      <w:hyperlink r:id="rId13" w:history="1">
        <w:r w:rsidRPr="00687637">
          <w:rPr>
            <w:rStyle w:val="Hyperlink"/>
            <w:rFonts w:cs="Times New Roman"/>
            <w:sz w:val="22"/>
          </w:rPr>
          <w:t>Hilary.Simons@lstmed.ac.uk</w:t>
        </w:r>
      </w:hyperlink>
      <w:r w:rsidRPr="00687637">
        <w:rPr>
          <w:rFonts w:cs="Times New Roman"/>
          <w:sz w:val="22"/>
        </w:rPr>
        <w:t xml:space="preserve">. </w:t>
      </w:r>
    </w:p>
    <w:p w14:paraId="20529222" w14:textId="77777777" w:rsidR="00704151" w:rsidRPr="00687637" w:rsidRDefault="00704151" w:rsidP="00704151">
      <w:pPr>
        <w:pStyle w:val="NoSpacing"/>
        <w:spacing w:line="240" w:lineRule="auto"/>
        <w:ind w:left="288" w:hanging="288"/>
        <w:rPr>
          <w:rFonts w:cs="Times New Roman"/>
          <w:sz w:val="22"/>
        </w:rPr>
      </w:pPr>
      <w:r w:rsidRPr="00687637">
        <w:rPr>
          <w:rFonts w:cs="Times New Roman"/>
          <w:sz w:val="22"/>
        </w:rPr>
        <w:t xml:space="preserve">Dipti Patel, National Travel Health Network and Centre (NaTHNaC), University College London Hospital NHS Foundation Trust, London, UK, </w:t>
      </w:r>
      <w:hyperlink r:id="rId14" w:history="1">
        <w:r w:rsidRPr="00687637">
          <w:rPr>
            <w:rStyle w:val="Hyperlink"/>
            <w:rFonts w:cs="Times New Roman"/>
            <w:sz w:val="22"/>
          </w:rPr>
          <w:t>dipti.patel@uclh.nhs.uk</w:t>
        </w:r>
      </w:hyperlink>
      <w:r w:rsidRPr="00687637">
        <w:rPr>
          <w:rFonts w:cs="Times New Roman"/>
          <w:sz w:val="22"/>
        </w:rPr>
        <w:t>.</w:t>
      </w:r>
    </w:p>
    <w:p w14:paraId="1ABCDB4D" w14:textId="77777777" w:rsidR="00704151" w:rsidRPr="00687637" w:rsidRDefault="00704151" w:rsidP="00704151"/>
    <w:p w14:paraId="5A35CE3F" w14:textId="77777777" w:rsidR="00704151" w:rsidRPr="00687637" w:rsidRDefault="00704151" w:rsidP="00704151">
      <w:r w:rsidRPr="00687637">
        <w:rPr>
          <w:b/>
        </w:rPr>
        <w:t xml:space="preserve">Abstract </w:t>
      </w:r>
      <w:r w:rsidRPr="00687637">
        <w:t>(200/200 words)</w:t>
      </w:r>
    </w:p>
    <w:p w14:paraId="5D362658" w14:textId="77777777" w:rsidR="00704151" w:rsidRPr="00687637" w:rsidRDefault="00704151" w:rsidP="00704151">
      <w:bookmarkStart w:id="18" w:name="_Hlk486945539"/>
      <w:r w:rsidRPr="00687637">
        <w:rPr>
          <w:i/>
        </w:rPr>
        <w:t xml:space="preserve">Background </w:t>
      </w:r>
      <w:r w:rsidRPr="00687637">
        <w:t xml:space="preserve">More than 700,000 trips were made by residents in England, Wales, and Northern Ireland (EWNI) in 2015 to tropical countries endemic for yellow fever, a potentially deadly, yet vaccine-preventable disease transmitted by mosquitoes. The aim of this study was to map the geographical accessibility of yellow fever vaccination centres (YFVC) in EWNI. </w:t>
      </w:r>
    </w:p>
    <w:p w14:paraId="0169E78C" w14:textId="77777777" w:rsidR="00704151" w:rsidRPr="00687637" w:rsidRDefault="00704151" w:rsidP="00704151">
      <w:r w:rsidRPr="00687637">
        <w:rPr>
          <w:i/>
        </w:rPr>
        <w:t xml:space="preserve">Methods </w:t>
      </w:r>
      <w:r w:rsidRPr="00687637">
        <w:t>The location of 3,208 YFVC were geocoded and the average geodetic distance to nearest YFVC was calculated for each population unit. Data on trips abroad and centres were obtained regionally for EWNI and nationally for the World Top20 countries in terms of travel.</w:t>
      </w:r>
    </w:p>
    <w:p w14:paraId="56E496B6" w14:textId="77777777" w:rsidR="00704151" w:rsidRPr="00687637" w:rsidRDefault="00704151" w:rsidP="00704151">
      <w:r w:rsidRPr="00687637">
        <w:rPr>
          <w:i/>
        </w:rPr>
        <w:t xml:space="preserve">Results </w:t>
      </w:r>
      <w:r w:rsidRPr="00687637">
        <w:t xml:space="preserve">The mean distance to nearest YFVC was 2.4km and only 1% of the population had to travel more than 16.1km to their nearest centre. The number of vaccines administered regionally in EWNI was found correlated with the number of trips to yellow fever countries. The number of centres per 100,000 trips was 6.1 in EWNI, which was below United States (12.1) and above the rest of Top20 countries. </w:t>
      </w:r>
    </w:p>
    <w:p w14:paraId="1A76AE72" w14:textId="77777777" w:rsidR="00704151" w:rsidRPr="00687637" w:rsidRDefault="00704151" w:rsidP="00704151">
      <w:r w:rsidRPr="00687637">
        <w:rPr>
          <w:i/>
        </w:rPr>
        <w:t xml:space="preserve">Conclusions </w:t>
      </w:r>
      <w:r w:rsidRPr="00687637">
        <w:t xml:space="preserve">The service availability was in line with demand regionally. With the exception of remote, rural areas, yellow fever vaccination services were widely available with only short distances to cover for the travelling public. </w:t>
      </w:r>
    </w:p>
    <w:bookmarkEnd w:id="18"/>
    <w:p w14:paraId="560F00B0" w14:textId="77777777" w:rsidR="00704151" w:rsidRPr="00687637" w:rsidRDefault="00704151" w:rsidP="00704151"/>
    <w:p w14:paraId="189A3F66" w14:textId="77777777" w:rsidR="00704151" w:rsidRPr="00687637" w:rsidRDefault="00704151" w:rsidP="00704151">
      <w:r w:rsidRPr="00687637">
        <w:rPr>
          <w:b/>
        </w:rPr>
        <w:t xml:space="preserve">Key words </w:t>
      </w:r>
      <w:r w:rsidRPr="00687637">
        <w:t>(max 6)</w:t>
      </w:r>
    </w:p>
    <w:p w14:paraId="707EEF43" w14:textId="77777777" w:rsidR="00704151" w:rsidRPr="00687637" w:rsidRDefault="00704151" w:rsidP="00704151">
      <w:r w:rsidRPr="00687637">
        <w:t>GEOGRAPHICAL ACCESSIBILITY, PREVENTIVE MEDICINE, VACCINATIONS, YELLOW FEVER</w:t>
      </w:r>
    </w:p>
    <w:p w14:paraId="50ADDAEB" w14:textId="0CDFBEE2" w:rsidR="00704151" w:rsidRPr="00687637" w:rsidRDefault="00704151" w:rsidP="00704151"/>
    <w:p w14:paraId="78FBA3D6" w14:textId="77777777" w:rsidR="00704151" w:rsidRPr="00687637" w:rsidRDefault="00704151" w:rsidP="00704151">
      <w:pPr>
        <w:spacing w:line="480" w:lineRule="auto"/>
        <w:rPr>
          <w:b/>
        </w:rPr>
      </w:pPr>
      <w:r w:rsidRPr="00687637">
        <w:rPr>
          <w:b/>
        </w:rPr>
        <w:lastRenderedPageBreak/>
        <w:t>1. Introduction</w:t>
      </w:r>
    </w:p>
    <w:p w14:paraId="68C93037" w14:textId="77777777" w:rsidR="00704151" w:rsidRPr="00687637" w:rsidRDefault="00704151" w:rsidP="00704151">
      <w:pPr>
        <w:spacing w:line="480" w:lineRule="auto"/>
      </w:pPr>
      <w:r w:rsidRPr="00687637">
        <w:t xml:space="preserve">The populations of England, Wales, and Northern Ireland made more than 60 million trips abroad in 2015 </w:t>
      </w:r>
      <w:r w:rsidRPr="00687637">
        <w:fldChar w:fldCharType="begin"/>
      </w:r>
      <w:r w:rsidRPr="00687637">
        <w:instrText xml:space="preserve"> ADDIN ZOTERO_ITEM CSL_CITATION {"citationID":"1jb20t30dh","properties":{"formattedCitation":"[1]","plainCitation":"[1]"},"citationItems":[{"id":1402,"uris":["http://zotero.org/users/714468/items/VN58I2SV"],"uri":["http://zotero.org/users/714468/items/VN58I2SV"],"itemData":{"id":1402,"type":"webpage","title":"Travel trends","URL":"https://www.ons.gov.uk/peoplepopulationandcommunity/leisureandtourism/articles/traveltrends/2015","author":[{"family":"Office for National Statistics","given":""}],"issued":{"date-parts":[["2016"]]},"accessed":{"date-parts":[["2017",2,21]]}}}],"schema":"https://github.com/citation-style-language/schema/raw/master/csl-citation.json"} </w:instrText>
      </w:r>
      <w:r w:rsidRPr="00687637">
        <w:fldChar w:fldCharType="separate"/>
      </w:r>
      <w:r w:rsidRPr="00687637">
        <w:t>[1]</w:t>
      </w:r>
      <w:r w:rsidRPr="00687637">
        <w:fldChar w:fldCharType="end"/>
      </w:r>
      <w:r w:rsidRPr="00687637">
        <w:t>. More than 700,000 of these trips were made to countries endemic for yellow fever, a potentially deadly, tropical disease transmitted by mosquitoes. The disease is preventable by vaccination and this study was undertaken to elucidate the geographical accessibility of yellow fever vaccination centres.</w:t>
      </w:r>
    </w:p>
    <w:p w14:paraId="094BA858" w14:textId="77777777" w:rsidR="00704151" w:rsidRPr="00687637" w:rsidRDefault="00704151" w:rsidP="00704151">
      <w:pPr>
        <w:spacing w:line="480" w:lineRule="auto"/>
      </w:pPr>
      <w:r w:rsidRPr="00687637">
        <w:t xml:space="preserve">Yellow fever control has been on the international public health agenda since 1851 and has remained a disease under tight international surveillance and control measures ever since together with diseases such as cholera, and pneumonic plague </w:t>
      </w:r>
      <w:r w:rsidRPr="00687637">
        <w:fldChar w:fldCharType="begin"/>
      </w:r>
      <w:r w:rsidRPr="00687637">
        <w:instrText xml:space="preserve"> ADDIN ZOTERO_ITEM CSL_CITATION {"citationID":"2b39831nn8","properties":{"formattedCitation":"[2]","plainCitation":"[2]"},"citationItems":[{"id":1369,"uris":["http://zotero.org/users/714468/items/D8KEZ9AW"],"uri":["http://zotero.org/users/714468/items/D8KEZ9AW"],"itemData":{"id":1369,"type":"article-journal","title":"The International Health Regulations: The Governing Framework for Global Health Security","container-title":"The Milbank Quarterly","page":"264-313","volume":"94","issue":"2","source":"PubMed","DOI":"10.1111/1468-0009.12186","ISSN":"1468-0009","note":"PMID: 27166578\nPMCID: PMC4911720","shortTitle":"The International Health Regulations","journalAbbreviation":"Milbank Q","language":"eng","author":[{"family":"Gostin","given":"Lawrence O."},{"family":"Katz","given":"Rebecca"}],"issued":{"date-parts":[["2016",6]]}}}],"schema":"https://github.com/citation-style-language/schema/raw/master/csl-citation.json"} </w:instrText>
      </w:r>
      <w:r w:rsidRPr="00687637">
        <w:fldChar w:fldCharType="separate"/>
      </w:r>
      <w:r w:rsidRPr="00687637">
        <w:t>[2]</w:t>
      </w:r>
      <w:r w:rsidRPr="00687637">
        <w:fldChar w:fldCharType="end"/>
      </w:r>
      <w:r w:rsidRPr="00687637">
        <w:t xml:space="preserve">. Due to its reservoir in monkey and other non-human primate populations in the rain forests of Africa and South America (the forest cycle is maintained with tree-living mosquitoes as vectors), yellow fever may never be eradicated </w:t>
      </w:r>
      <w:r w:rsidRPr="00687637">
        <w:fldChar w:fldCharType="begin"/>
      </w:r>
      <w:r w:rsidRPr="00687637">
        <w:instrText xml:space="preserve"> ADDIN ZOTERO_ITEM CSL_CITATION {"citationID":"171hcnni8e","properties":{"formattedCitation":"[3]","plainCitation":"[3]"},"citationItems":[{"id":1400,"uris":["http://zotero.org/users/714468/items/D3IGQAPP"],"uri":["http://zotero.org/users/714468/items/D3IGQAPP"],"itemData":{"id":1400,"type":"webpage","title":"Yellow fever fact sheet","container-title":"WHO","abstract":"WHO fact sheet about yellow fever, an acute viral haemorrhagic disease transmitted by infected mosquitoes. It provides key facts and information on signs and symptoms, populations at risk, transmission, treatment, prevention, WHO response.","URL":"http://www.who.int/mediacentre/factsheets/fs100/en/","author":[{"family":"WHO","given":""}],"issued":{"date-parts":[["2016"]]},"accessed":{"date-parts":[["2017",2,21]]}}}],"schema":"https://github.com/citation-style-language/schema/raw/master/csl-citation.json"} </w:instrText>
      </w:r>
      <w:r w:rsidRPr="00687637">
        <w:fldChar w:fldCharType="separate"/>
      </w:r>
      <w:r w:rsidRPr="00687637">
        <w:t>[3]</w:t>
      </w:r>
      <w:r w:rsidRPr="00687637">
        <w:fldChar w:fldCharType="end"/>
      </w:r>
      <w:r w:rsidRPr="00687637">
        <w:t xml:space="preserve">. The main control measure for yellow fever is therefore vaccination in combination with vector control in high risk areas as well as measures available to countries at risk of importing or exporting the disease such as vaccination certificate requirements, border vaccination, and emergency quarantine restrictions to reduce the international spread of the disease </w:t>
      </w:r>
      <w:r w:rsidRPr="00687637">
        <w:fldChar w:fldCharType="begin"/>
      </w:r>
      <w:r w:rsidRPr="00687637">
        <w:instrText xml:space="preserve"> ADDIN ZOTERO_ITEM CSL_CITATION {"citationID":"q5ov0DvZ","properties":{"formattedCitation":"[2,4,5]","plainCitation":"[2,4,5]"},"citationItems":[{"id":1369,"uris":["http://zotero.org/users/714468/items/D8KEZ9AW"],"uri":["http://zotero.org/users/714468/items/D8KEZ9AW"],"itemData":{"id":1369,"type":"article-journal","title":"The International Health Regulations: The Governing Framework for Global Health Security","container-title":"The Milbank Quarterly","page":"264-313","volume":"94","issue":"2","source":"PubMed","DOI":"10.1111/1468-0009.12186","ISSN":"1468-0009","note":"PMID: 27166578\nPMCID: PMC4911720","shortTitle":"The International Health Regulations","journalAbbreviation":"Milbank Q","language":"eng","author":[{"family":"Gostin","given":"Lawrence O."},{"family":"Katz","given":"Rebecca"}],"issued":{"date-parts":[["2016",6]]}}},{"id":1492,"uris":["http://zotero.org/users/714468/items/9N35KB2Z"],"uri":["http://zotero.org/users/714468/items/9N35KB2Z"],"itemData":{"id":1492,"type":"article-journal","title":"Unpredictable checks of yellow fever vaccination certificates upon arrival in Tanzania","container-title":"Journal of Travel Medicine","volume":"23","issue":"5","source":"PubMed","abstract":"BACKGROUND: Yellow fever (YF) is a mosquito-borne disease, which can be prevented by vaccination. While YF vaccination (YFV) is not generally recommended for travellers to Tanzania, proof of YFV may be required upon arrival. In April 2013, the World Health Organization concluded that one dose of YFV confers lifelong protection and countries have started to adapt their entry requirements. The traveller's consultant has to balance the risk of YFV and the risk of encountering problems when entering a country without a valid YFV, especially because countries are slowly implementing the requirements.\nMETHODS: We performed a survey among 421 travellers to Tanzania with a pre-travel consultation at the Travel Clinic of the University of Zurich about their experiences with YFV certificate inspections upon arrival in Tanzania between January and November 2015.\nRESULTS: There were three main findings: (i) most vaccine card checks were done while crossing the land border of Tanzania. Inspections were frequently conducted at Arusha airport, less often in Dar es Salaam and Zanzibar. In the latter a significantly larger percentage of individuals arriving by ferry/boat were checked than those arriving by plane. (ii) Checks appeared to be non-systematic. They were also performed in travellers who did not enter Tanzania from a YF-endemic country. No seasonal or daytime pattern could be identified; the thoroughness of checks varied widely. (iii) In the case of travel without valid YFV, an exemption certificate was always accepted. In travellers with neither a valid YFV nor an exemption certificate, travellers reported forced YF vaccination and fines before entry was granted.\nCONCLUSIONS: We recommend YFV or a YF exemption certificate for all travellers to Tanzania until further notice. The decision of whether to vaccinate against YF or to issue an exemption should be based on exposure risk to YF infection in other countries during travel.","DOI":"10.1093/jtm/taw035","ISSN":"1708-8305","note":"PMID: 27296582","journalAbbreviation":"J Travel Med","language":"eng","author":[{"family":"Schönenberger","given":"Selina"},{"family":"Hatz","given":"Christoph"},{"family":"Bühler","given":"Silja"}],"issued":{"date-parts":[["2016",5]]}}},{"id":1495,"uris":["http://zotero.org/users/714468/items/F796XWGT"],"uri":["http://zotero.org/users/714468/items/F796XWGT"],"itemData":{"id":1495,"type":"article-journal","title":"International Health Regulations in practice: Focus on yellow fever and poliomyelitis","container-title":"Human Vaccines &amp; Immunotherapeutics","page":"2690-2693","volume":"12","issue":"10","source":"Taylor and Francis+NEJM","abstract":"ASBTRACTThe spread of infectious disease represents a global threat and therefore remains a priority on the international public health agenda. The International Health Regulations (IHR) (2005) came into effect in June 2007 and provide a legal framework to which the 196 member states of the World Health Assembly agree to abide.1 These regulations include implementation of protective, control and response measures at points of entry to a country (i.e. land borders, sea and airports), and of notification measures, all of which aim to prevent or limit the spread of disease while minimising disruption to international trade. The World Health Organization can apply and enforce IHR (2005) to any disease considered to pose a significant threat to international public health. This short paper focuses on 2 diseases; yellow fever and poliomyelitis, both of which have the potential to spread internationally. It will discuss the measures applied under IHR (2005) to minimize the threat, and explore the implications for both travelers and travel health advisors.","DOI":"10.1080/21645515.2016.1218100","ISSN":"2164-5515","note":"PMID: 27541082","shortTitle":"International Health Regulations in practice","author":[{"family":"Simons","given":"H."},{"family":"Patel","given":"D."}],"issued":{"date-parts":[["2016",10,2]]}}}],"schema":"https://github.com/citation-style-language/schema/raw/master/csl-citation.json"} </w:instrText>
      </w:r>
      <w:r w:rsidRPr="00687637">
        <w:fldChar w:fldCharType="separate"/>
      </w:r>
      <w:r w:rsidRPr="00687637">
        <w:t>[2,4,5]</w:t>
      </w:r>
      <w:r w:rsidRPr="00687637">
        <w:fldChar w:fldCharType="end"/>
      </w:r>
      <w:r w:rsidRPr="00687637">
        <w:t xml:space="preserve">. </w:t>
      </w:r>
    </w:p>
    <w:p w14:paraId="3685DCD6" w14:textId="77777777" w:rsidR="00704151" w:rsidRPr="00687637" w:rsidRDefault="00704151" w:rsidP="00704151">
      <w:pPr>
        <w:spacing w:line="480" w:lineRule="auto"/>
      </w:pPr>
      <w:r w:rsidRPr="00687637">
        <w:t xml:space="preserve">Occasionally, there are large outbreaks in urban areas (urban cycle), where the transmission depends on the </w:t>
      </w:r>
      <w:r w:rsidRPr="00687637">
        <w:rPr>
          <w:i/>
        </w:rPr>
        <w:t>Aedes aegypti</w:t>
      </w:r>
      <w:r w:rsidRPr="00687637">
        <w:t xml:space="preserve"> mosquito, which has spread in cities across the tropics in recent decades. A yellow fever outbreak in Angola and Democratic of Republic of Congo (DRC) in 2015-2016 with more than 7,000 suspected cases (965 confirmed cases and 137 confirmed deaths) was a stark reminder of the emerging threat of urban yellow fever outbreaks </w:t>
      </w:r>
      <w:r w:rsidRPr="00687637">
        <w:fldChar w:fldCharType="begin"/>
      </w:r>
      <w:r w:rsidRPr="00687637">
        <w:instrText xml:space="preserve"> ADDIN ZOTERO_ITEM CSL_CITATION {"citationID":"qU4BUagA","properties":{"formattedCitation":"[6,7]","plainCitation":"[6,7]"},"citationItems":[{"id":1406,"uris":["http://zotero.org/users/714468/items/XD36QCP9"],"uri":["http://zotero.org/users/714468/items/XD36QCP9"],"itemData":{"id":1406,"type":"webpage","title":"The yellow fever outbreak in Angola and Democratic Republic of the Congo ends","abstract":"Brazzaville, 14 February 2017 – The Democratic Republic of Congo (DRC) declared the end of the yellow fever outbreak in that country today following a...","URL":"http://www.afro.who.int/media-centre/pressreleases/item/9377-the-yellow-fever-outbreak-in-angola-and-democratic-republic-of-the-congo-ends.html?lang=en","author":[{"family":"WHO","given":""}],"issued":{"date-parts":[["2017"]]},"accessed":{"date-parts":[["2017",2,21]]}}},{"id":1368,"uris":["http://zotero.org/users/714468/items/CXNGX8U8"],"uri":["http://zotero.org/users/714468/items/CXNGX8U8"],"itemData":{"id":1368,"type":"article-journal","title":"Responding to the threat of urban yellow fever outbreaks","container-title":"The Lancet Infectious Diseases","source":"ScienceDirect","URL":"http://www.sciencedirect.com/science/article/pii/S1473309916305886","DOI":"10.1016/S1473-3099(16)30588-6","ISSN":"1473-3099","journalAbbreviation":"The Lancet Infectious Diseases","author":[{"family":"Wilder-Smith","given":"Annelies"},{"family":"Monath","given":"Thomas P"}],"issued":{"date-parts":[["2016"]]},"accessed":{"date-parts":[["2017",1,4]]}}}],"schema":"https://github.com/citation-style-language/schema/raw/master/csl-citation.json"} </w:instrText>
      </w:r>
      <w:r w:rsidRPr="00687637">
        <w:fldChar w:fldCharType="separate"/>
      </w:r>
      <w:r w:rsidRPr="00687637">
        <w:t>[6,7]</w:t>
      </w:r>
      <w:r w:rsidRPr="00687637">
        <w:fldChar w:fldCharType="end"/>
      </w:r>
      <w:r w:rsidRPr="00687637">
        <w:t xml:space="preserve">. Increased international travel, urbanisation, and the fact that many tropical countries have large unvaccinated populations make the prospects of new urban yellow fever outbreaks a particular concern. At least 42 cases of international spread were recorded in connection with the Angola-DRC outbreak to countries with vector presence and largely unvaccinated populations including China and Kenya </w:t>
      </w:r>
      <w:r w:rsidRPr="00687637">
        <w:fldChar w:fldCharType="begin"/>
      </w:r>
      <w:r w:rsidRPr="00687637">
        <w:instrText xml:space="preserve"> ADDIN ZOTERO_ITEM CSL_CITATION {"citationID":"1h26qd0dem","properties":{"formattedCitation":"[8]","plainCitation":"[8]"},"citationItems":[{"id":1478,"uris":["http://zotero.org/users/714468/items/2QQQGRQM"],"uri":["http://zotero.org/users/714468/items/2QQQGRQM"],"itemData":{"id":1478,"type":"article-journal","title":"Yellow Fever Remains a Potential Threat to Public Health","container-title":"Vector Borne and Zoonotic Diseases (Larchmont, N.Y.)","page":"566-567","volume":"16","issue":"8","source":"PubMed","abstract":"Yellow fever (YF) remains a serious public health threat in endemic countries. The recent re-emergence in Africa, initiating in Angola and spreading to Democratic Republic of Congo and Uganda, with imported cases in China and Kenya is of concern. There is such a shortage of YF vaccine in the world that the World Health Organization has proposed the use of reduced doses (1/5) during emergencies. In this short communication, we discuss these and other problems including the risk of spread of YF to areas free of YF for decades or never before affected by this arbovirus disease.","DOI":"10.1089/vbz.2016.2031","ISSN":"1557-7759","note":"PMID: 27400066","journalAbbreviation":"Vector Borne Zoonotic Dis.","language":"eng","author":[{"family":"Vasconcelos","given":"Pedro F. C."},{"family":"Monath","given":"Thomas P."}],"issued":{"date-parts":[["2016",8]]}}}],"schema":"https://github.com/citation-style-language/schema/raw/master/csl-citation.json"} </w:instrText>
      </w:r>
      <w:r w:rsidRPr="00687637">
        <w:fldChar w:fldCharType="separate"/>
      </w:r>
      <w:r w:rsidRPr="00687637">
        <w:t>[8]</w:t>
      </w:r>
      <w:r w:rsidRPr="00687637">
        <w:fldChar w:fldCharType="end"/>
      </w:r>
      <w:r w:rsidRPr="00687637">
        <w:t xml:space="preserve">. </w:t>
      </w:r>
    </w:p>
    <w:p w14:paraId="4875BF4E" w14:textId="77777777" w:rsidR="00704151" w:rsidRPr="00687637" w:rsidRDefault="00704151" w:rsidP="00704151">
      <w:pPr>
        <w:spacing w:line="480" w:lineRule="auto"/>
      </w:pPr>
      <w:r w:rsidRPr="00687637">
        <w:t xml:space="preserve">Despite vector control efforts and vaccination campaigns, large, cyclical sylvatic outbreaks continue to affect some countries </w:t>
      </w:r>
      <w:r w:rsidRPr="00687637">
        <w:fldChar w:fldCharType="begin"/>
      </w:r>
      <w:r w:rsidRPr="00687637">
        <w:instrText xml:space="preserve"> ADDIN ZOTERO_ITEM CSL_CITATION {"citationID":"a1rtec6uvfv","properties":{"formattedCitation":"[9]","plainCitation":"[9]"},"citationItems":[{"id":1737,"uris":["http://zotero.org/users/714468/items/FDM9UJVZ"],"uri":["http://zotero.org/users/714468/items/FDM9UJVZ"],"itemData":{"id":1737,"type":"article-journal","title":"Yellow Fever - Once Again on the Radar Screen in the Americas","container-title":"The New England Journal of Medicine","page":"1397-1399","volume":"376","issue":"15","source":"PubMed","DOI":"10.1056/NEJMp1702172","ISSN":"1533-4406","note":"PMID: 28273000","journalAbbreviation":"N. Engl. J. Med.","language":"eng","author":[{"family":"Paules","given":"Catharine I."},{"family":"Fauci","given":"Anthony S."}],"issued":{"date-parts":[["2017"]],"season":"13"}}}],"schema":"https://github.com/citation-style-language/schema/raw/master/csl-citation.json"} </w:instrText>
      </w:r>
      <w:r w:rsidRPr="00687637">
        <w:fldChar w:fldCharType="separate"/>
      </w:r>
      <w:r w:rsidRPr="00687637">
        <w:t>[9]</w:t>
      </w:r>
      <w:r w:rsidRPr="00687637">
        <w:fldChar w:fldCharType="end"/>
      </w:r>
      <w:r w:rsidRPr="00687637">
        <w:t xml:space="preserve">. In early 2017, a sylvatic outbreak in Brazil spread into states where transmission is rarely or not previously reported. As of 31 May 2017, a total of 792 confirmed cases with 274 confirmed </w:t>
      </w:r>
      <w:r w:rsidRPr="00687637">
        <w:lastRenderedPageBreak/>
        <w:t xml:space="preserve">deaths had been reported </w:t>
      </w:r>
      <w:r w:rsidRPr="00687637">
        <w:fldChar w:fldCharType="begin"/>
      </w:r>
      <w:r w:rsidRPr="00687637">
        <w:instrText xml:space="preserve"> ADDIN ZOTERO_ITEM CSL_CITATION {"citationID":"a2ftop6lqcr","properties":{"formattedCitation":"[10]","plainCitation":"[10]"},"citationItems":[{"id":1732,"uris":["http://zotero.org/users/714468/items/SDG9GZIM"],"uri":["http://zotero.org/users/714468/items/SDG9GZIM"],"itemData":{"id":1732,"type":"webpage","title":"Febre Amarela - Informação e orientação. Monitoramento dos casos e óbitos de Febre Amarela no Brasil - Informe 43","container-title":"Portal da Saúde – Ministério da Saúde – www.saude.gov.br","abstract":"Orientação para profissionais de saúde sobre febre amarela silvestre\nA febre amarela no Brasil apresenta uma ocorrência endêmica, principalmente na região amazônica. Fora da região amazônica, surtos da doença são registrados esporadicamente quando o vírus encontra uma populaç...","URL":"http://portalsaude.saude.gov.br/index.php/o-ministerio/principal/leia-mais-o-ministerio/619-secretaria-svs/l1-svs/27300-febre-amarela-informacao-e-orientacao","author":[{"family":"Ministério da Saúde","given":""}],"issued":{"date-parts":[["2017"]]},"accessed":{"date-parts":[["2017",6,20]]}}}],"schema":"https://github.com/citation-style-language/schema/raw/master/csl-citation.json"} </w:instrText>
      </w:r>
      <w:r w:rsidRPr="00687637">
        <w:fldChar w:fldCharType="separate"/>
      </w:r>
      <w:r w:rsidRPr="00687637">
        <w:t>[10]</w:t>
      </w:r>
      <w:r w:rsidRPr="00687637">
        <w:fldChar w:fldCharType="end"/>
      </w:r>
      <w:r w:rsidRPr="00687637">
        <w:t xml:space="preserve">. A mass vaccination programmes was set up to stop the spread into cities. A move that has been seen against the back cloth of recent large urban outbreaks of similar mosquito-borne diseases in Brazil, i.e. chikungunya, dengue, and Zika virus </w:t>
      </w:r>
      <w:r w:rsidRPr="00687637">
        <w:fldChar w:fldCharType="begin"/>
      </w:r>
      <w:r w:rsidRPr="00687637">
        <w:instrText xml:space="preserve"> ADDIN ZOTERO_ITEM CSL_CITATION {"citationID":"af6hfj81tt","properties":{"formattedCitation":"[9]","plainCitation":"[9]"},"citationItems":[{"id":1737,"uris":["http://zotero.org/users/714468/items/FDM9UJVZ"],"uri":["http://zotero.org/users/714468/items/FDM9UJVZ"],"itemData":{"id":1737,"type":"article-journal","title":"Yellow Fever - Once Again on the Radar Screen in the Americas","container-title":"The New England Journal of Medicine","page":"1397-1399","volume":"376","issue":"15","source":"PubMed","DOI":"10.1056/NEJMp1702172","ISSN":"1533-4406","note":"PMID: 28273000","journalAbbreviation":"N. Engl. J. Med.","language":"eng","author":[{"family":"Paules","given":"Catharine I."},{"family":"Fauci","given":"Anthony S."}],"issued":{"date-parts":[["2017"]],"season":"13"}}}],"schema":"https://github.com/citation-style-language/schema/raw/master/csl-citation.json"} </w:instrText>
      </w:r>
      <w:r w:rsidRPr="00687637">
        <w:fldChar w:fldCharType="separate"/>
      </w:r>
      <w:r w:rsidRPr="00687637">
        <w:t>[9]</w:t>
      </w:r>
      <w:r w:rsidRPr="00687637">
        <w:fldChar w:fldCharType="end"/>
      </w:r>
      <w:r w:rsidRPr="00687637">
        <w:t>.</w:t>
      </w:r>
    </w:p>
    <w:p w14:paraId="6838EAB3" w14:textId="77777777" w:rsidR="00704151" w:rsidRPr="00687637" w:rsidRDefault="00704151" w:rsidP="00704151">
      <w:pPr>
        <w:spacing w:line="480" w:lineRule="auto"/>
      </w:pPr>
      <w:r w:rsidRPr="00687637">
        <w:t xml:space="preserve">The National Travel Health Network and Centre (NaTHNaC) has overseen the registration, training, clinical standards, and audit of yellow fever vaccination centres in England, Wales, and Northern Ireland in compliance with the International Health Regulations for yellow fever since 2005 </w:t>
      </w:r>
      <w:r w:rsidRPr="00687637">
        <w:fldChar w:fldCharType="begin"/>
      </w:r>
      <w:r w:rsidRPr="00687637">
        <w:instrText xml:space="preserve"> ADDIN ZOTERO_ITEM CSL_CITATION {"citationID":"14s9q397rb","properties":{"formattedCitation":"[11]","plainCitation":"[11]"},"citationItems":[{"id":1404,"uris":["http://zotero.org/users/714468/items/SJ7CWXZ6"],"uri":["http://zotero.org/users/714468/items/SJ7CWXZ6"],"itemData":{"id":1404,"type":"article-journal","title":"Evaluation of travel medicine practice by yellow fever vaccination centers in England, Wales, and Northern Ireland","container-title":"Journal of Travel Medicine","page":"84-91","volume":"19","issue":"2","source":"PubMed","abstract":"BACKGROUND: The National Travel Health Network and Centre (NaTHNaC) introduced a program of registration, training, standards, and audit for yellow fever vaccination centers (YFVCs) in England, Wales, and Northern Ireland (EWNI) in 2005. Prior to rolling out the program, NaTHNaC surveyed YFVCs in England.\nOBJECTIVES: To reassess the practice of YFVCs in 2009, 4 years after the institution of the NaTHNaC program, to identify areas for ongoing support, and to assess the impact of the program.\nMETHODS: In 2009, all YFVCs in EWNI were asked to complete a questionnaire on type of practice, administration of travel vaccines, staff training, vaccine storage and patient record keeping, use of travel health information, evaluation of NaTHNaC yellow fever (YF) training, and resource and training needs. Data were analyzed using Microsoft Excel® and STATA 9®.\nRESULTS: The questionnaire was completed by 1,438 YFVCs (41.5% of 3,465 YFVCs). Most YFVCs were based in General Practice (87.4%). In nearly all YFVCs (97.0%), nurses advised travelers and administered YF vaccine. An annual median of 50 doses of YF vaccine was given by each YFVC. A total of 96.7% of nurses had received training in travel medicine, often through study days run by vaccine manufacturers. The internet was frequently used for information during travel consultations (84.8%) and NaTHNaC's on-line and telephone advice resources were highly rated. Following YF training, 95.8% of attendees expressed improved confidence regarding YF vaccination issues. There was excellent adherence to vaccination standards: ≥ 94% correctly stored vaccines, recorded refrigerator temperatures, and maintained YF vaccination records.\nCONCLUSIONS: In the 4 years since institution of the NaTHNaC program for YFVCs, there has been improved adherence to basic standards of immunization practice and increased confidence of health professionals in YF vaccination. The NaTHNaC program could be a model for other national public health bodies, as they establish a program for YF centers.","DOI":"10.1111/j.1708-8305.2011.00587.x","ISSN":"1708-8305","note":"PMID: 22414032","journalAbbreviation":"J Travel Med","language":"eng","author":[{"family":"Boddington","given":"Nicola L."},{"family":"Simons","given":"Hilary"},{"family":"Launders","given":"Naomi"},{"family":"Gawthrop","given":"Mary"},{"family":"Stillwell","given":"Alexandra"},{"family":"Wong","given":"Claire"},{"family":"Mathewson","given":"John"},{"family":"Hill","given":"David R."}],"issued":{"date-parts":[["2012",4]]}}}],"schema":"https://github.com/citation-style-language/schema/raw/master/csl-citation.json"} </w:instrText>
      </w:r>
      <w:r w:rsidRPr="00687637">
        <w:fldChar w:fldCharType="separate"/>
      </w:r>
      <w:r w:rsidRPr="00687637">
        <w:t>[11]</w:t>
      </w:r>
      <w:r w:rsidRPr="00687637">
        <w:fldChar w:fldCharType="end"/>
      </w:r>
      <w:r w:rsidRPr="00687637">
        <w:t xml:space="preserve"> and this is the first study to evaluate the geographical accessibility </w:t>
      </w:r>
      <w:r w:rsidRPr="00687637">
        <w:fldChar w:fldCharType="begin"/>
      </w:r>
      <w:r w:rsidRPr="00687637">
        <w:instrText xml:space="preserve"> ADDIN ZOTERO_ITEM CSL_CITATION {"citationID":"a9o2f7crc","properties":{"formattedCitation":"[12]","plainCitation":"[12]"},"citationItems":[{"id":1408,"uris":["http://zotero.org/users/714468/items/J7RNJR3P"],"uri":["http://zotero.org/users/714468/items/J7RNJR3P"],"itemData":{"id":1408,"type":"book","title":"GIS and Public Health, Second Edition","publisher":"Guilford Press","number-of-pages":"530","source":"Google Books","abstract":"Authoritative and comprehensive, this is the leading text and professional resource on using geographic information systems (GIS) to analyze and address public health problems. Basic GIS concepts and tools are explained, including ways to access and manage spatial databases. The book presents state-of-the-art methods for mapping and analyzing data on population, health events, risk factors, and health services, and for incorporating geographical knowledge into planning and policy. Numerous maps, diagrams, and real-world applications are featured. The companion Web page provides lab exercises with data that can be downloaded for individual or course use. New to This Edition*Incorporates major technological advances, such as Internet-based mapping systems and the rise of data from cell phones and other GPS-enabled devices.*Chapter on health disparities.*Expanded coverage of public participation GIS.*Companion Web page has all-new content.*Goes beyond the United States to encompass an international focus.","ISBN":"978-1-4625-0062-8","note":"Google-Books-ID: LeaEPg9vCrsC","language":"en","author":[{"family":"Cromley","given":"Ellen K."},{"family":"McLafferty","given":"Sara L."}],"issued":{"date-parts":[["2011",10,28]]}}}],"schema":"https://github.com/citation-style-language/schema/raw/master/csl-citation.json"} </w:instrText>
      </w:r>
      <w:r w:rsidRPr="00687637">
        <w:fldChar w:fldCharType="separate"/>
      </w:r>
      <w:r w:rsidRPr="00687637">
        <w:t>[12]</w:t>
      </w:r>
      <w:r w:rsidRPr="00687637">
        <w:fldChar w:fldCharType="end"/>
      </w:r>
      <w:r w:rsidRPr="00687637">
        <w:t xml:space="preserve"> of the yellow fever vaccination services. The aims of the study were thus to map and ascertain the geographical accessibility of yellow fever vaccination centres, match the number of trips to countries with yellow fever risk to the number of vaccinations given per region, identify any underserved populations and evaluate any need to regulate service provision, and gather data to support contingency planning in the event of a vaccine shortage.</w:t>
      </w:r>
    </w:p>
    <w:p w14:paraId="6A90CD49" w14:textId="77777777" w:rsidR="00704151" w:rsidRPr="00687637" w:rsidRDefault="00704151" w:rsidP="00704151">
      <w:pPr>
        <w:spacing w:line="480" w:lineRule="auto"/>
        <w:rPr>
          <w:b/>
        </w:rPr>
      </w:pPr>
      <w:r w:rsidRPr="00687637">
        <w:rPr>
          <w:b/>
        </w:rPr>
        <w:t>2. Methods</w:t>
      </w:r>
    </w:p>
    <w:p w14:paraId="502057D0" w14:textId="77777777" w:rsidR="00704151" w:rsidRPr="00687637" w:rsidRDefault="00704151" w:rsidP="00704151">
      <w:pPr>
        <w:spacing w:line="480" w:lineRule="auto"/>
      </w:pPr>
      <w:r w:rsidRPr="00687637">
        <w:t xml:space="preserve">Administrative data on the postcode location of yellow fever vaccination centres were extracted from the Yellow Fever Vaccination Programme database (NaTHNaC, 27 October 2016). Occupational Health departments (N=218) were excluded as these by definition were not open to the general public. A total of 3,222 centres were registered. General practitioner (GP) practices were the most frequent type of centre (N=2,381). Of the 3,222 centres, 3,208 or 99.6% could be geo-located to Census 2011 lower layer super output area (super output area for Northern Ireland; this is the nearest equivalent unit and it will be referred to as lower layer super output area hereinafter) and UK Region using the Office for National Statistics (ONS) Postcode Directory, August 2016 </w:t>
      </w:r>
      <w:r w:rsidRPr="00687637">
        <w:fldChar w:fldCharType="begin"/>
      </w:r>
      <w:r w:rsidRPr="00687637">
        <w:instrText xml:space="preserve"> ADDIN ZOTERO_ITEM CSL_CITATION {"citationID":"2ipupgkth7","properties":{"formattedCitation":"[13]","plainCitation":"[13]"},"citationItems":[{"id":1305,"uris":["http://zotero.org/users/714468/items/2CK8UCJK"],"uri":["http://zotero.org/users/714468/items/2CK8UCJK"],"itemData":{"id":1305,"type":"book","title":"ONS Postcode Directory, August 2016 (v2)","author":[{"family":"Office for National Statistics","given":""}],"issued":{"date-parts":[["2016"]]}}}],"schema":"https://github.com/citation-style-language/schema/raw/master/csl-citation.json"} </w:instrText>
      </w:r>
      <w:r w:rsidRPr="00687637">
        <w:fldChar w:fldCharType="separate"/>
      </w:r>
      <w:r w:rsidRPr="00687637">
        <w:t>[13]</w:t>
      </w:r>
      <w:r w:rsidRPr="00687637">
        <w:fldChar w:fldCharType="end"/>
      </w:r>
      <w:r w:rsidRPr="00687637">
        <w:t xml:space="preserve">. The lower layer super output area unit is the finest geographical unit for census data release in the UK that has been optimised to be homogenous with regards to population size and socio-economic characteristics. The latest mid-year population estimates (2015) were obtained at lower layer super output area level from ONS </w:t>
      </w:r>
      <w:r w:rsidRPr="00687637">
        <w:fldChar w:fldCharType="begin"/>
      </w:r>
      <w:r w:rsidRPr="00687637">
        <w:instrText xml:space="preserve"> ADDIN ZOTERO_ITEM CSL_CITATION {"citationID":"eu7k3app6","properties":{"formattedCitation":"[14]","plainCitation":"[14]"},"citationItems":[{"id":1310,"uris":["http://zotero.org/users/714468/items/IS5TAU7H"],"uri":["http://zotero.org/users/714468/items/IS5TAU7H"],"itemData":{"id":1310,"type":"webpage","title":"Population estimates - Office for National Statistics","URL":"http://www.ons.gov.uk/peoplepopulationandcommunity/populationandmigration/populationestimates","author":[{"family":"Office for National Statistics","given":""}],"issued":{"date-parts":[["2016"]]},"accessed":{"date-parts":[["2016",11,18]]}}}],"schema":"https://github.com/citation-style-language/schema/raw/master/csl-citation.json"} </w:instrText>
      </w:r>
      <w:r w:rsidRPr="00687637">
        <w:fldChar w:fldCharType="separate"/>
      </w:r>
      <w:r w:rsidRPr="00687637">
        <w:t>[14]</w:t>
      </w:r>
      <w:r w:rsidRPr="00687637">
        <w:fldChar w:fldCharType="end"/>
      </w:r>
      <w:r w:rsidRPr="00687637">
        <w:t xml:space="preserve"> and the Northern Ireland Statistics and Research Agency (NISRA) </w:t>
      </w:r>
      <w:r w:rsidRPr="00687637">
        <w:fldChar w:fldCharType="begin"/>
      </w:r>
      <w:r w:rsidRPr="00687637">
        <w:instrText xml:space="preserve"> ADDIN ZOTERO_ITEM CSL_CITATION {"citationID":"fgpkoqs9r","properties":{"formattedCitation":"[15]","plainCitation":"[15]"},"citationItems":[{"id":1307,"uris":["http://zotero.org/users/714468/items/4MFSWDTM"],"uri":["http://zotero.org/users/714468/items/4MFSWDTM"],"itemData":{"id":1307,"type":"webpage","title":"NISRA - Demography","URL":"http://www.nisra.gov.uk/demography/default.asp17.htm","author":[{"family":"Northern Ireland Statistics and Research Agency","given":""}],"issued":{"date-parts":[["2016"]]},"accessed":{"date-parts":[["2016",11,18]]}}}],"schema":"https://github.com/citation-style-language/schema/raw/master/csl-citation.json"} </w:instrText>
      </w:r>
      <w:r w:rsidRPr="00687637">
        <w:fldChar w:fldCharType="separate"/>
      </w:r>
      <w:r w:rsidRPr="00687637">
        <w:t>[15]</w:t>
      </w:r>
      <w:r w:rsidRPr="00687637">
        <w:fldChar w:fldCharType="end"/>
      </w:r>
      <w:r w:rsidRPr="00687637">
        <w:t xml:space="preserve">. The analyses were conducted at lower layer super output area (N=35,643), which had a mean (SD) population of 1,676 (379). The average geodetic distance (crow-fly distance) from each population unit was calculated to each centre location using the Stata module, GEODIST </w:t>
      </w:r>
      <w:r w:rsidRPr="00687637">
        <w:fldChar w:fldCharType="begin"/>
      </w:r>
      <w:r w:rsidRPr="00687637">
        <w:instrText xml:space="preserve"> ADDIN ZOTERO_ITEM CSL_CITATION {"citationID":"eb49oqhag","properties":{"formattedCitation":"[16]","plainCitation":"[16]"},"citationItems":[{"id":1314,"uris":["http://zotero.org/users/714468/items/RTKKW8A2"],"uri":["http://zotero.org/users/714468/items/RTKKW8A2"],"itemData":{"id":1314,"type":"article-journal","title":"GEODIST: Stata module to compute geodetic distances","container-title":"Statistical Software Components","source":"ideas.repec.org","abstract":"geodist computes geodetic distances, i.e. the length of the shortest curve between two points along the surface of a mathematical model of the earth. By default, the Vincenty (1975) equations are used to compute distances on the WGS 1984 reference ellipsoid. Alternate ellipsoids can also be specified. geodist can also compute great-circle distances (where a sphere is used to approximate the shape of the earth).","URL":"http://ideas.repec.org/c/boc/bocode/s457147.html","shortTitle":"GEODIST","author":[{"family":"Picard","given":"Robert"}],"issued":{"date-parts":[["2012",2,22]]},"accessed":{"date-parts":[["2016",11,18]]}}}],"schema":"https://github.com/citation-style-language/schema/raw/master/csl-citation.json"} </w:instrText>
      </w:r>
      <w:r w:rsidRPr="00687637">
        <w:fldChar w:fldCharType="separate"/>
      </w:r>
      <w:r w:rsidRPr="00687637">
        <w:t>[16]</w:t>
      </w:r>
      <w:r w:rsidRPr="00687637">
        <w:fldChar w:fldCharType="end"/>
      </w:r>
      <w:r w:rsidRPr="00687637">
        <w:t xml:space="preserve"> to </w:t>
      </w:r>
      <w:r w:rsidRPr="00687637">
        <w:lastRenderedPageBreak/>
        <w:t>determine the distance to the nearest centre at lower layer super output area level. The centres were assigned to distance categories according to the following population percentiles: 75</w:t>
      </w:r>
      <w:r w:rsidRPr="00687637">
        <w:rPr>
          <w:vertAlign w:val="superscript"/>
        </w:rPr>
        <w:t>th</w:t>
      </w:r>
      <w:r w:rsidRPr="00687637">
        <w:t>, 90</w:t>
      </w:r>
      <w:r w:rsidRPr="00687637">
        <w:rPr>
          <w:vertAlign w:val="superscript"/>
        </w:rPr>
        <w:t>th</w:t>
      </w:r>
      <w:r w:rsidRPr="00687637">
        <w:t>, 95</w:t>
      </w:r>
      <w:r w:rsidRPr="00687637">
        <w:rPr>
          <w:vertAlign w:val="superscript"/>
        </w:rPr>
        <w:t>th</w:t>
      </w:r>
      <w:r w:rsidRPr="00687637">
        <w:t>, and 99</w:t>
      </w:r>
      <w:r w:rsidRPr="00687637">
        <w:rPr>
          <w:vertAlign w:val="superscript"/>
        </w:rPr>
        <w:t>th</w:t>
      </w:r>
      <w:r w:rsidRPr="00687637">
        <w:t xml:space="preserve">. Data on the average number of vaccinations per centre across regions were obtained from annual surveys of the centres in 2013-2015 (NaTHNaC, unpublished data). Boundary data for Census output areas,  UK Regions and countries were obtained from the UK Data Service/ Edinburgh University Data Library </w:t>
      </w:r>
      <w:r w:rsidRPr="00687637">
        <w:fldChar w:fldCharType="begin"/>
      </w:r>
      <w:r w:rsidRPr="00687637">
        <w:instrText xml:space="preserve"> ADDIN ZOTERO_ITEM CSL_CITATION {"citationID":"247c42ho20","properties":{"formattedCitation":"[17]","plainCitation":"[17]"},"citationItems":[{"id":1306,"uris":["http://zotero.org/users/714468/items/3BIP7QJ8"],"uri":["http://zotero.org/users/714468/items/3BIP7QJ8"],"itemData":{"id":1306,"type":"webpage","title":"EDINA","URL":"http://edina.ac.uk/","author":[{"family":"Edinburgh University Data Library","given":""}],"issued":{"date-parts":[["2016"]]},"accessed":{"date-parts":[["2016",11,18]]}}}],"schema":"https://github.com/citation-style-language/schema/raw/master/csl-citation.json"} </w:instrText>
      </w:r>
      <w:r w:rsidRPr="00687637">
        <w:fldChar w:fldCharType="separate"/>
      </w:r>
      <w:r w:rsidRPr="00687637">
        <w:t>[17]</w:t>
      </w:r>
      <w:r w:rsidRPr="00687637">
        <w:fldChar w:fldCharType="end"/>
      </w:r>
      <w:r w:rsidRPr="00687637">
        <w:t xml:space="preserve">, which contains National Statistics data (© Crown copyright and database right, 2016), NRS data (© Crown copyright and database right, 2016, Source: NISRA Website, </w:t>
      </w:r>
      <w:hyperlink r:id="rId15" w:history="1">
        <w:r w:rsidRPr="00687637">
          <w:rPr>
            <w:rStyle w:val="Hyperlink"/>
            <w:rFonts w:eastAsiaTheme="majorEastAsia"/>
          </w:rPr>
          <w:t>www.nisra.gov.uk</w:t>
        </w:r>
      </w:hyperlink>
      <w:r w:rsidRPr="00687637">
        <w:t>; accessed 17 November 2016), and OS data (© Crown copyright and database right, 2016). Boundary data for the Isle of Man, Republic of Ireland, and Scotland were obtained from Natural Earth (</w:t>
      </w:r>
      <w:hyperlink r:id="rId16" w:history="1">
        <w:r w:rsidRPr="00687637">
          <w:rPr>
            <w:rStyle w:val="Hyperlink"/>
            <w:rFonts w:eastAsiaTheme="majorEastAsia"/>
          </w:rPr>
          <w:t>www.naturalearthdata.com</w:t>
        </w:r>
      </w:hyperlink>
      <w:r w:rsidRPr="00687637">
        <w:t xml:space="preserve">; accessed 17 November 2016) . Maps were created using Quantum GIS 2.12 </w:t>
      </w:r>
      <w:r w:rsidRPr="00687637">
        <w:fldChar w:fldCharType="begin"/>
      </w:r>
      <w:r w:rsidRPr="00687637">
        <w:instrText xml:space="preserve"> ADDIN ZOTERO_ITEM CSL_CITATION {"citationID":"4h88k72bh","properties":{"formattedCitation":"[18]","plainCitation":"[18]"},"citationItems":[{"id":1311,"uris":["http://zotero.org/users/714468/items/JI5SRKK2"],"uri":["http://zotero.org/users/714468/items/JI5SRKK2"],"itemData":{"id":1311,"type":"webpage","title":"Quantum GIS (QGIS)","URL":"http://www.qgis.org/en/site/","author":[{"family":"Quantum GIS","given":""}],"issued":{"date-parts":[["2016"]]},"accessed":{"date-parts":[["2016",11,18]]}}}],"schema":"https://github.com/citation-style-language/schema/raw/master/csl-citation.json"} </w:instrText>
      </w:r>
      <w:r w:rsidRPr="00687637">
        <w:fldChar w:fldCharType="separate"/>
      </w:r>
      <w:r w:rsidRPr="00687637">
        <w:t>[18]</w:t>
      </w:r>
      <w:r w:rsidRPr="00687637">
        <w:fldChar w:fldCharType="end"/>
      </w:r>
      <w:r w:rsidRPr="00687637">
        <w:t xml:space="preserve">. Data on trips abroad by UK region of residence undertaken in 2015 were obtained from ONS Social Surveys (Crown copyright; December 2016). Data on trips abroad by countries where the traveller spent most time and UK Region of residence were obtained from Office for National Statistics </w:t>
      </w:r>
      <w:r w:rsidRPr="00687637">
        <w:fldChar w:fldCharType="begin"/>
      </w:r>
      <w:r w:rsidRPr="00687637">
        <w:instrText xml:space="preserve"> ADDIN ZOTERO_ITEM CSL_CITATION {"citationID":"2ikvdoj7ta","properties":{"formattedCitation":"[1]","plainCitation":"[1]"},"citationItems":[{"id":1402,"uris":["http://zotero.org/users/714468/items/VN58I2SV"],"uri":["http://zotero.org/users/714468/items/VN58I2SV"],"itemData":{"id":1402,"type":"webpage","title":"Travel trends","URL":"https://www.ons.gov.uk/peoplepopulationandcommunity/leisureandtourism/articles/traveltrends/2015","author":[{"family":"Office for National Statistics","given":""}],"issued":{"date-parts":[["2016"]]},"accessed":{"date-parts":[["2017",2,21]]}}}],"schema":"https://github.com/citation-style-language/schema/raw/master/csl-citation.json"} </w:instrText>
      </w:r>
      <w:r w:rsidRPr="00687637">
        <w:fldChar w:fldCharType="separate"/>
      </w:r>
      <w:r w:rsidRPr="00687637">
        <w:t>[1]</w:t>
      </w:r>
      <w:r w:rsidRPr="00687637">
        <w:fldChar w:fldCharType="end"/>
      </w:r>
      <w:r w:rsidRPr="00687637">
        <w:t xml:space="preserve">. Data on countries with risk of yellow fever transmission were obtained from the World Health Organization </w:t>
      </w:r>
      <w:r w:rsidRPr="00687637">
        <w:fldChar w:fldCharType="begin"/>
      </w:r>
      <w:r w:rsidRPr="00687637">
        <w:instrText xml:space="preserve"> ADDIN ZOTERO_ITEM CSL_CITATION {"citationID":"1eekmo9re","properties":{"formattedCitation":"[19]","plainCitation":"[19]"},"citationItems":[{"id":1363,"uris":["http://zotero.org/users/714468/items/2CBCZ67B"],"uri":["http://zotero.org/users/714468/items/2CBCZ67B"],"itemData":{"id":1363,"type":"webpage","title":"Annex 1 - Countries with risk of yellow fever transmission and countries requiring yellow fever vaccination: 2016 updates","container-title":"WHO","abstract":"All individuals planning travel should seek advice on the potential hazards in their chosen destinations and understand how best to protect their health.","URL":"http://www.who.int/ith/en/","author":[{"family":"WHO","given":""}],"issued":{"date-parts":[["2016"]]},"accessed":{"date-parts":[["2017",1,3]]}}}],"schema":"https://github.com/citation-style-language/schema/raw/master/csl-citation.json"} </w:instrText>
      </w:r>
      <w:r w:rsidRPr="00687637">
        <w:fldChar w:fldCharType="separate"/>
      </w:r>
      <w:r w:rsidRPr="00687637">
        <w:t>[19]</w:t>
      </w:r>
      <w:r w:rsidRPr="00687637">
        <w:fldChar w:fldCharType="end"/>
      </w:r>
      <w:r w:rsidRPr="00687637">
        <w:t xml:space="preserve">. Data on the number of registered yellow fever vaccination centres in other countries were obtained from ministries of health websites, literature, and personal communication with health professionals (see references at Table 4). The numbers of trips abroad (departures) by country in 2013 (N=100) were obtained from the World Bank data repository </w:t>
      </w:r>
      <w:r w:rsidRPr="00687637">
        <w:fldChar w:fldCharType="begin"/>
      </w:r>
      <w:r w:rsidRPr="00687637">
        <w:instrText xml:space="preserve"> ADDIN ZOTERO_ITEM CSL_CITATION {"citationID":"i16q65qft","properties":{"formattedCitation":"[20]","plainCitation":"[20]"},"citationItems":[{"id":1597,"uris":["http://zotero.org/users/714468/items/MNDB5NQ7"],"uri":["http://zotero.org/users/714468/items/MNDB5NQ7"],"itemData":{"id":1597,"type":"webpage","title":"International tourism, number of departures","URL":"http://data.worldbank.org/indicator/ST.INT.DPRT","author":[{"family":"Worldbank","given":""}],"issued":{"date-parts":[["2017"]]},"accessed":{"date-parts":[["2017",4,11]]}}}],"schema":"https://github.com/citation-style-language/schema/raw/master/csl-citation.json"} </w:instrText>
      </w:r>
      <w:r w:rsidRPr="00687637">
        <w:fldChar w:fldCharType="separate"/>
      </w:r>
      <w:r w:rsidRPr="00687637">
        <w:t>[20]</w:t>
      </w:r>
      <w:r w:rsidRPr="00687637">
        <w:fldChar w:fldCharType="end"/>
      </w:r>
      <w:r w:rsidRPr="00687637">
        <w:t xml:space="preserve">. Data analyses were carried out in Stata 14 </w:t>
      </w:r>
      <w:r w:rsidRPr="00687637">
        <w:fldChar w:fldCharType="begin"/>
      </w:r>
      <w:r w:rsidRPr="00687637">
        <w:instrText xml:space="preserve"> ADDIN ZOTERO_ITEM CSL_CITATION {"citationID":"188hd8up8b","properties":{"formattedCitation":"[21]","plainCitation":"[21]"},"citationItems":[{"id":177,"uris":["http://zotero.org/users/714468/items/C63KAFPP"],"uri":["http://zotero.org/users/714468/items/C63KAFPP"],"itemData":{"id":177,"type":"book","title":"Stata Statistical Software: Release 14","author":[{"literal":"StataCorp"}],"issued":{"date-parts":[["2015"]]}}}],"schema":"https://github.com/citation-style-language/schema/raw/master/csl-citation.json"} </w:instrText>
      </w:r>
      <w:r w:rsidRPr="00687637">
        <w:fldChar w:fldCharType="separate"/>
      </w:r>
      <w:r w:rsidRPr="00687637">
        <w:t>[21]</w:t>
      </w:r>
      <w:r w:rsidRPr="00687637">
        <w:fldChar w:fldCharType="end"/>
      </w:r>
      <w:r w:rsidRPr="00687637">
        <w:t>.</w:t>
      </w:r>
    </w:p>
    <w:p w14:paraId="03D5AECB" w14:textId="77777777" w:rsidR="00704151" w:rsidRPr="00687637" w:rsidRDefault="00704151" w:rsidP="00704151">
      <w:pPr>
        <w:spacing w:line="480" w:lineRule="auto"/>
        <w:rPr>
          <w:b/>
        </w:rPr>
      </w:pPr>
      <w:bookmarkStart w:id="19" w:name="_Toc467232393"/>
      <w:bookmarkStart w:id="20" w:name="_Toc467248710"/>
      <w:r w:rsidRPr="00687637">
        <w:rPr>
          <w:b/>
        </w:rPr>
        <w:t>3. Results</w:t>
      </w:r>
      <w:bookmarkEnd w:id="19"/>
      <w:bookmarkEnd w:id="20"/>
    </w:p>
    <w:p w14:paraId="379F4843" w14:textId="77777777" w:rsidR="00704151" w:rsidRPr="00687637" w:rsidRDefault="00704151" w:rsidP="00704151">
      <w:pPr>
        <w:spacing w:line="480" w:lineRule="auto"/>
      </w:pPr>
      <w:r w:rsidRPr="00687637">
        <w:t>The population weighted mean distance to nearest centre varied from 0.6km in London to 7.1km in Northern Ireland. The national mean distance was 2.4km and the maximum distance 30.9km. Only 1% of the general population had more than 16.1km to their nearest centre (99</w:t>
      </w:r>
      <w:r w:rsidRPr="00687637">
        <w:rPr>
          <w:vertAlign w:val="superscript"/>
        </w:rPr>
        <w:t>th</w:t>
      </w:r>
      <w:r w:rsidRPr="00687637">
        <w:t xml:space="preserve"> percentile) (</w:t>
      </w:r>
      <w:r w:rsidRPr="00687637">
        <w:fldChar w:fldCharType="begin"/>
      </w:r>
      <w:r w:rsidRPr="00687637">
        <w:instrText xml:space="preserve"> REF _Ref467246677 \h  \* MERGEFORMAT </w:instrText>
      </w:r>
      <w:r w:rsidRPr="00687637">
        <w:fldChar w:fldCharType="separate"/>
      </w:r>
      <w:r w:rsidRPr="00687637">
        <w:t xml:space="preserve">Table </w:t>
      </w:r>
      <w:r w:rsidRPr="00687637">
        <w:rPr>
          <w:noProof/>
        </w:rPr>
        <w:t>1</w:t>
      </w:r>
      <w:r w:rsidRPr="00687637">
        <w:fldChar w:fldCharType="end"/>
      </w:r>
      <w:r w:rsidRPr="00687637">
        <w:t xml:space="preserve">, </w:t>
      </w:r>
      <w:r w:rsidRPr="00687637">
        <w:fldChar w:fldCharType="begin"/>
      </w:r>
      <w:r w:rsidRPr="00687637">
        <w:instrText xml:space="preserve"> REF _Ref467246652 \h  \* MERGEFORMAT </w:instrText>
      </w:r>
      <w:r w:rsidRPr="00687637">
        <w:fldChar w:fldCharType="separate"/>
      </w:r>
      <w:r w:rsidRPr="00687637">
        <w:t xml:space="preserve">Figure </w:t>
      </w:r>
      <w:r w:rsidRPr="00687637">
        <w:rPr>
          <w:noProof/>
        </w:rPr>
        <w:t>1</w:t>
      </w:r>
      <w:r w:rsidRPr="00687637">
        <w:fldChar w:fldCharType="end"/>
      </w:r>
      <w:r w:rsidRPr="00687637">
        <w:t xml:space="preserve">, </w:t>
      </w:r>
      <w:r w:rsidRPr="00687637">
        <w:fldChar w:fldCharType="begin"/>
      </w:r>
      <w:r w:rsidRPr="00687637">
        <w:instrText xml:space="preserve"> REF _Ref481222235 \h  \* MERGEFORMAT </w:instrText>
      </w:r>
      <w:r w:rsidRPr="00687637">
        <w:fldChar w:fldCharType="separate"/>
      </w:r>
      <w:r w:rsidRPr="00687637">
        <w:t xml:space="preserve">Figure </w:t>
      </w:r>
      <w:r w:rsidRPr="00687637">
        <w:rPr>
          <w:noProof/>
        </w:rPr>
        <w:t>2</w:t>
      </w:r>
      <w:r w:rsidRPr="00687637">
        <w:fldChar w:fldCharType="end"/>
      </w:r>
      <w:r w:rsidRPr="00687637">
        <w:t>).</w:t>
      </w:r>
    </w:p>
    <w:p w14:paraId="74A3F3C0" w14:textId="77777777" w:rsidR="00704151" w:rsidRPr="00687637" w:rsidRDefault="00704151" w:rsidP="00704151">
      <w:pPr>
        <w:spacing w:before="240" w:line="480" w:lineRule="auto"/>
      </w:pPr>
      <w:r w:rsidRPr="00687637">
        <w:t>A total of 713,548 trips to countries with yellow fever transmission risk were made by residents in England, Wales, and Northern Ireland in 2015 (</w:t>
      </w:r>
      <w:r w:rsidRPr="00687637">
        <w:fldChar w:fldCharType="begin"/>
      </w:r>
      <w:r w:rsidRPr="00687637">
        <w:instrText xml:space="preserve"> REF _Ref471222422 \h  \* MERGEFORMAT </w:instrText>
      </w:r>
      <w:r w:rsidRPr="00687637">
        <w:fldChar w:fldCharType="separate"/>
      </w:r>
      <w:r w:rsidRPr="00687637">
        <w:t xml:space="preserve">Table </w:t>
      </w:r>
      <w:r w:rsidRPr="00687637">
        <w:rPr>
          <w:noProof/>
        </w:rPr>
        <w:t>2</w:t>
      </w:r>
      <w:r w:rsidRPr="00687637">
        <w:fldChar w:fldCharType="end"/>
      </w:r>
      <w:r w:rsidRPr="00687637">
        <w:t>). Nigeria (20.7%), Brazil (14.8%), and Kenya (13.8%) alone accounted for half of all trips and the ten most commonly visited countries combined accounted for 84.3% of all trips (</w:t>
      </w:r>
      <w:r w:rsidRPr="00687637">
        <w:fldChar w:fldCharType="begin"/>
      </w:r>
      <w:r w:rsidRPr="00687637">
        <w:instrText xml:space="preserve"> REF _Ref471222422 \h  \* MERGEFORMAT </w:instrText>
      </w:r>
      <w:r w:rsidRPr="00687637">
        <w:fldChar w:fldCharType="separate"/>
      </w:r>
      <w:r w:rsidRPr="00687637">
        <w:t xml:space="preserve">Table </w:t>
      </w:r>
      <w:r w:rsidRPr="00687637">
        <w:rPr>
          <w:noProof/>
        </w:rPr>
        <w:t>2</w:t>
      </w:r>
      <w:r w:rsidRPr="00687637">
        <w:fldChar w:fldCharType="end"/>
      </w:r>
      <w:r w:rsidRPr="00687637">
        <w:t>).</w:t>
      </w:r>
    </w:p>
    <w:p w14:paraId="50CAFC8B" w14:textId="77777777" w:rsidR="00704151" w:rsidRPr="00687637" w:rsidRDefault="00704151" w:rsidP="00704151">
      <w:pPr>
        <w:spacing w:line="480" w:lineRule="auto"/>
      </w:pPr>
      <w:r w:rsidRPr="00687637">
        <w:lastRenderedPageBreak/>
        <w:t>The number of centres by UK Region varied from 51 in Northern Ireland to 858 in London. The number of centres per population varied from 2.8 per 100,000 population in Northern Ireland to 9.9 per 100,000 population in London. Nationally, there were 5.4 centres per 100,000 population (</w:t>
      </w:r>
      <w:r w:rsidRPr="00687637">
        <w:fldChar w:fldCharType="begin"/>
      </w:r>
      <w:r w:rsidRPr="00687637">
        <w:instrText xml:space="preserve"> REF _Ref475448394 \h  \* MERGEFORMAT </w:instrText>
      </w:r>
      <w:r w:rsidRPr="00687637">
        <w:fldChar w:fldCharType="separate"/>
      </w:r>
      <w:r w:rsidRPr="00687637">
        <w:t xml:space="preserve">Table </w:t>
      </w:r>
      <w:r w:rsidRPr="00687637">
        <w:rPr>
          <w:noProof/>
        </w:rPr>
        <w:t>3</w:t>
      </w:r>
      <w:r w:rsidRPr="00687637">
        <w:fldChar w:fldCharType="end"/>
      </w:r>
      <w:r w:rsidRPr="00687637">
        <w:t xml:space="preserve">). </w:t>
      </w:r>
    </w:p>
    <w:p w14:paraId="16473AA3" w14:textId="77777777" w:rsidR="00704151" w:rsidRPr="00687637" w:rsidRDefault="00704151" w:rsidP="00704151">
      <w:pPr>
        <w:spacing w:line="480" w:lineRule="auto"/>
      </w:pPr>
      <w:r w:rsidRPr="00687637">
        <w:t>The size of the centres in terms of the yearly number of vaccines administered was calculated from data submitted in annual surveys in 2013-2015. The average number nationally was 40 vaccines per centre. The London average was the highest at 59 vaccines per centre followed by Northern Ireland (45), South East (40), North West (38), North East (38), East of England (34), South West (34), Yorkshire and The Humber (29), West Midlands (28), Wales (27) and East Midlands (25).</w:t>
      </w:r>
    </w:p>
    <w:p w14:paraId="45A14666" w14:textId="77777777" w:rsidR="00704151" w:rsidRPr="00687637" w:rsidRDefault="00704151" w:rsidP="00704151">
      <w:pPr>
        <w:spacing w:line="480" w:lineRule="auto"/>
      </w:pPr>
      <w:r w:rsidRPr="00687637">
        <w:t>There was a linear relationship between the estimated number of yellow fever vaccines administered and the number of trips to countries with yellow fever risk by UK Region, which indicate that there is balance between supply and demand at the regional level (</w:t>
      </w:r>
      <w:r w:rsidRPr="00687637">
        <w:fldChar w:fldCharType="begin"/>
      </w:r>
      <w:r w:rsidRPr="00687637">
        <w:instrText xml:space="preserve"> REF _Ref481222492 \h  \* MERGEFORMAT </w:instrText>
      </w:r>
      <w:r w:rsidRPr="00687637">
        <w:fldChar w:fldCharType="separate"/>
      </w:r>
      <w:r w:rsidRPr="00687637">
        <w:t xml:space="preserve">Figure </w:t>
      </w:r>
      <w:r w:rsidRPr="00687637">
        <w:rPr>
          <w:noProof/>
        </w:rPr>
        <w:t>3</w:t>
      </w:r>
      <w:r w:rsidRPr="00687637">
        <w:fldChar w:fldCharType="end"/>
      </w:r>
      <w:r w:rsidRPr="00687637">
        <w:t>).</w:t>
      </w:r>
    </w:p>
    <w:p w14:paraId="57167FF5" w14:textId="77777777" w:rsidR="00704151" w:rsidRPr="00687637" w:rsidRDefault="00704151" w:rsidP="00704151">
      <w:pPr>
        <w:spacing w:line="480" w:lineRule="auto"/>
      </w:pPr>
      <w:r w:rsidRPr="00687637">
        <w:t>The number of centres per 100,000 international trips abroad was 6.1 in England, Wales, and Northern Ireland, which was below that of United States (12.1) and above the rest of World Top20 countries in terms of trips abroad (</w:t>
      </w:r>
      <w:r w:rsidRPr="00687637">
        <w:fldChar w:fldCharType="begin"/>
      </w:r>
      <w:r w:rsidRPr="00687637">
        <w:instrText xml:space="preserve"> REF _Ref481232149 \h  \* MERGEFORMAT </w:instrText>
      </w:r>
      <w:r w:rsidRPr="00687637">
        <w:fldChar w:fldCharType="separate"/>
      </w:r>
      <w:r w:rsidRPr="00687637">
        <w:t xml:space="preserve">Table </w:t>
      </w:r>
      <w:r w:rsidRPr="00687637">
        <w:rPr>
          <w:noProof/>
        </w:rPr>
        <w:t>4</w:t>
      </w:r>
      <w:r w:rsidRPr="00687637">
        <w:fldChar w:fldCharType="end"/>
      </w:r>
      <w:r w:rsidRPr="00687637">
        <w:t>).</w:t>
      </w:r>
    </w:p>
    <w:p w14:paraId="1537D018" w14:textId="77777777" w:rsidR="00704151" w:rsidRPr="00687637" w:rsidRDefault="00704151" w:rsidP="00704151">
      <w:pPr>
        <w:pStyle w:val="Caption"/>
        <w:keepNext/>
        <w:rPr>
          <w:rFonts w:ascii="Times New Roman" w:hAnsi="Times New Roman" w:cs="Times New Roman"/>
        </w:rPr>
      </w:pPr>
      <w:bookmarkStart w:id="21" w:name="_Ref467246677"/>
      <w:r w:rsidRPr="00687637">
        <w:rPr>
          <w:rFonts w:ascii="Times New Roman" w:hAnsi="Times New Roman" w:cs="Times New Roman"/>
        </w:rPr>
        <w:t xml:space="preserve">Table </w:t>
      </w:r>
      <w:r w:rsidRPr="00687637">
        <w:rPr>
          <w:rFonts w:ascii="Times New Roman" w:hAnsi="Times New Roman" w:cs="Times New Roman"/>
        </w:rPr>
        <w:fldChar w:fldCharType="begin"/>
      </w:r>
      <w:r w:rsidRPr="00687637">
        <w:rPr>
          <w:rFonts w:ascii="Times New Roman" w:hAnsi="Times New Roman" w:cs="Times New Roman"/>
        </w:rPr>
        <w:instrText xml:space="preserve"> SEQ Table \* ARABIC </w:instrText>
      </w:r>
      <w:r w:rsidRPr="00687637">
        <w:rPr>
          <w:rFonts w:ascii="Times New Roman" w:hAnsi="Times New Roman" w:cs="Times New Roman"/>
        </w:rPr>
        <w:fldChar w:fldCharType="separate"/>
      </w:r>
      <w:r w:rsidRPr="00687637">
        <w:rPr>
          <w:rFonts w:ascii="Times New Roman" w:hAnsi="Times New Roman" w:cs="Times New Roman"/>
          <w:noProof/>
        </w:rPr>
        <w:t>1</w:t>
      </w:r>
      <w:r w:rsidRPr="00687637">
        <w:rPr>
          <w:rFonts w:ascii="Times New Roman" w:hAnsi="Times New Roman" w:cs="Times New Roman"/>
        </w:rPr>
        <w:fldChar w:fldCharType="end"/>
      </w:r>
      <w:bookmarkEnd w:id="21"/>
      <w:r w:rsidRPr="00687637">
        <w:rPr>
          <w:rFonts w:ascii="Times New Roman" w:hAnsi="Times New Roman" w:cs="Times New Roman"/>
        </w:rPr>
        <w:t xml:space="preserve">   Distance to nearest yellow fever vaccination centre for the general population by UK Region (km).</w:t>
      </w:r>
    </w:p>
    <w:tbl>
      <w:tblPr>
        <w:tblStyle w:val="TableGrid"/>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1386"/>
        <w:gridCol w:w="1386"/>
        <w:gridCol w:w="1386"/>
        <w:gridCol w:w="1386"/>
        <w:gridCol w:w="1386"/>
        <w:gridCol w:w="1384"/>
      </w:tblGrid>
      <w:tr w:rsidR="00704151" w:rsidRPr="00687637" w14:paraId="54B7890C" w14:textId="77777777" w:rsidTr="00924B64">
        <w:tc>
          <w:tcPr>
            <w:tcW w:w="1148" w:type="pct"/>
            <w:tcBorders>
              <w:top w:val="single" w:sz="4" w:space="0" w:color="auto"/>
              <w:bottom w:val="single" w:sz="4" w:space="0" w:color="auto"/>
            </w:tcBorders>
          </w:tcPr>
          <w:p w14:paraId="1936E663" w14:textId="77777777" w:rsidR="00704151" w:rsidRPr="00687637" w:rsidRDefault="00704151" w:rsidP="00924B64">
            <w:pPr>
              <w:rPr>
                <w:b/>
                <w:sz w:val="20"/>
                <w:szCs w:val="20"/>
              </w:rPr>
            </w:pPr>
            <w:r w:rsidRPr="00687637">
              <w:rPr>
                <w:b/>
                <w:sz w:val="20"/>
                <w:szCs w:val="20"/>
              </w:rPr>
              <w:t>Region</w:t>
            </w:r>
          </w:p>
        </w:tc>
        <w:tc>
          <w:tcPr>
            <w:tcW w:w="642" w:type="pct"/>
            <w:tcBorders>
              <w:top w:val="single" w:sz="4" w:space="0" w:color="auto"/>
              <w:bottom w:val="single" w:sz="4" w:space="0" w:color="auto"/>
            </w:tcBorders>
          </w:tcPr>
          <w:p w14:paraId="6A312A3F" w14:textId="77777777" w:rsidR="00704151" w:rsidRPr="00687637" w:rsidRDefault="00704151" w:rsidP="00924B64">
            <w:pPr>
              <w:jc w:val="center"/>
              <w:rPr>
                <w:b/>
                <w:sz w:val="20"/>
                <w:szCs w:val="20"/>
              </w:rPr>
            </w:pPr>
            <w:r w:rsidRPr="00687637">
              <w:rPr>
                <w:b/>
                <w:sz w:val="20"/>
                <w:szCs w:val="20"/>
              </w:rPr>
              <w:t>Min</w:t>
            </w:r>
          </w:p>
        </w:tc>
        <w:tc>
          <w:tcPr>
            <w:tcW w:w="642" w:type="pct"/>
            <w:tcBorders>
              <w:top w:val="single" w:sz="4" w:space="0" w:color="auto"/>
              <w:bottom w:val="single" w:sz="4" w:space="0" w:color="auto"/>
            </w:tcBorders>
          </w:tcPr>
          <w:p w14:paraId="7B2E9B42" w14:textId="77777777" w:rsidR="00704151" w:rsidRPr="00687637" w:rsidRDefault="00704151" w:rsidP="00924B64">
            <w:pPr>
              <w:jc w:val="center"/>
              <w:rPr>
                <w:b/>
                <w:sz w:val="20"/>
                <w:szCs w:val="20"/>
              </w:rPr>
            </w:pPr>
            <w:r w:rsidRPr="00687637">
              <w:rPr>
                <w:b/>
                <w:sz w:val="20"/>
                <w:szCs w:val="20"/>
              </w:rPr>
              <w:t>Median</w:t>
            </w:r>
          </w:p>
        </w:tc>
        <w:tc>
          <w:tcPr>
            <w:tcW w:w="642" w:type="pct"/>
            <w:tcBorders>
              <w:top w:val="single" w:sz="4" w:space="0" w:color="auto"/>
              <w:bottom w:val="single" w:sz="4" w:space="0" w:color="auto"/>
            </w:tcBorders>
          </w:tcPr>
          <w:p w14:paraId="46073427" w14:textId="77777777" w:rsidR="00704151" w:rsidRPr="00687637" w:rsidRDefault="00704151" w:rsidP="00924B64">
            <w:pPr>
              <w:jc w:val="center"/>
              <w:rPr>
                <w:b/>
                <w:sz w:val="20"/>
                <w:szCs w:val="20"/>
              </w:rPr>
            </w:pPr>
            <w:r w:rsidRPr="00687637">
              <w:rPr>
                <w:b/>
                <w:sz w:val="20"/>
                <w:szCs w:val="20"/>
              </w:rPr>
              <w:t>Mean</w:t>
            </w:r>
          </w:p>
        </w:tc>
        <w:tc>
          <w:tcPr>
            <w:tcW w:w="642" w:type="pct"/>
            <w:tcBorders>
              <w:top w:val="single" w:sz="4" w:space="0" w:color="auto"/>
              <w:bottom w:val="single" w:sz="4" w:space="0" w:color="auto"/>
            </w:tcBorders>
          </w:tcPr>
          <w:p w14:paraId="1D689BB4" w14:textId="77777777" w:rsidR="00704151" w:rsidRPr="00687637" w:rsidRDefault="00704151" w:rsidP="00924B64">
            <w:pPr>
              <w:jc w:val="center"/>
              <w:rPr>
                <w:b/>
                <w:sz w:val="20"/>
                <w:szCs w:val="20"/>
              </w:rPr>
            </w:pPr>
            <w:r w:rsidRPr="00687637">
              <w:rPr>
                <w:b/>
                <w:sz w:val="20"/>
                <w:szCs w:val="20"/>
              </w:rPr>
              <w:t>p75</w:t>
            </w:r>
          </w:p>
        </w:tc>
        <w:tc>
          <w:tcPr>
            <w:tcW w:w="642" w:type="pct"/>
            <w:tcBorders>
              <w:top w:val="single" w:sz="4" w:space="0" w:color="auto"/>
              <w:bottom w:val="single" w:sz="4" w:space="0" w:color="auto"/>
            </w:tcBorders>
          </w:tcPr>
          <w:p w14:paraId="512A1292" w14:textId="77777777" w:rsidR="00704151" w:rsidRPr="00687637" w:rsidRDefault="00704151" w:rsidP="00924B64">
            <w:pPr>
              <w:jc w:val="center"/>
              <w:rPr>
                <w:b/>
                <w:sz w:val="20"/>
                <w:szCs w:val="20"/>
              </w:rPr>
            </w:pPr>
            <w:r w:rsidRPr="00687637">
              <w:rPr>
                <w:b/>
                <w:sz w:val="20"/>
                <w:szCs w:val="20"/>
              </w:rPr>
              <w:t>p99</w:t>
            </w:r>
          </w:p>
        </w:tc>
        <w:tc>
          <w:tcPr>
            <w:tcW w:w="641" w:type="pct"/>
            <w:tcBorders>
              <w:top w:val="single" w:sz="4" w:space="0" w:color="auto"/>
              <w:bottom w:val="single" w:sz="4" w:space="0" w:color="auto"/>
            </w:tcBorders>
          </w:tcPr>
          <w:p w14:paraId="56173E22" w14:textId="77777777" w:rsidR="00704151" w:rsidRPr="00687637" w:rsidRDefault="00704151" w:rsidP="00924B64">
            <w:pPr>
              <w:jc w:val="center"/>
              <w:rPr>
                <w:b/>
                <w:sz w:val="20"/>
                <w:szCs w:val="20"/>
              </w:rPr>
            </w:pPr>
            <w:r w:rsidRPr="00687637">
              <w:rPr>
                <w:b/>
                <w:sz w:val="20"/>
                <w:szCs w:val="20"/>
              </w:rPr>
              <w:t>Max</w:t>
            </w:r>
          </w:p>
        </w:tc>
      </w:tr>
      <w:tr w:rsidR="00704151" w:rsidRPr="00687637" w14:paraId="2485ABC1" w14:textId="77777777" w:rsidTr="00924B64">
        <w:tc>
          <w:tcPr>
            <w:tcW w:w="1148" w:type="pct"/>
            <w:tcBorders>
              <w:top w:val="single" w:sz="4" w:space="0" w:color="auto"/>
            </w:tcBorders>
          </w:tcPr>
          <w:p w14:paraId="20118460" w14:textId="77777777" w:rsidR="00704151" w:rsidRPr="00687637" w:rsidRDefault="00704151" w:rsidP="00924B64">
            <w:pPr>
              <w:rPr>
                <w:sz w:val="20"/>
                <w:szCs w:val="20"/>
              </w:rPr>
            </w:pPr>
            <w:r w:rsidRPr="00687637">
              <w:rPr>
                <w:sz w:val="20"/>
                <w:szCs w:val="20"/>
              </w:rPr>
              <w:t>North East</w:t>
            </w:r>
          </w:p>
        </w:tc>
        <w:tc>
          <w:tcPr>
            <w:tcW w:w="642" w:type="pct"/>
            <w:tcBorders>
              <w:top w:val="single" w:sz="4" w:space="0" w:color="auto"/>
            </w:tcBorders>
          </w:tcPr>
          <w:p w14:paraId="5B1029BF" w14:textId="77777777" w:rsidR="00704151" w:rsidRPr="00687637" w:rsidRDefault="00704151" w:rsidP="00924B64">
            <w:pPr>
              <w:jc w:val="center"/>
              <w:rPr>
                <w:sz w:val="20"/>
                <w:szCs w:val="20"/>
              </w:rPr>
            </w:pPr>
            <w:r w:rsidRPr="00687637">
              <w:rPr>
                <w:sz w:val="20"/>
                <w:szCs w:val="20"/>
              </w:rPr>
              <w:t>0.0</w:t>
            </w:r>
          </w:p>
        </w:tc>
        <w:tc>
          <w:tcPr>
            <w:tcW w:w="642" w:type="pct"/>
            <w:tcBorders>
              <w:top w:val="single" w:sz="4" w:space="0" w:color="auto"/>
            </w:tcBorders>
          </w:tcPr>
          <w:p w14:paraId="161E5A2F" w14:textId="77777777" w:rsidR="00704151" w:rsidRPr="00687637" w:rsidRDefault="00704151" w:rsidP="00924B64">
            <w:pPr>
              <w:jc w:val="center"/>
              <w:rPr>
                <w:sz w:val="20"/>
                <w:szCs w:val="20"/>
              </w:rPr>
            </w:pPr>
            <w:r w:rsidRPr="00687637">
              <w:rPr>
                <w:sz w:val="20"/>
                <w:szCs w:val="20"/>
              </w:rPr>
              <w:t>2.1</w:t>
            </w:r>
          </w:p>
        </w:tc>
        <w:tc>
          <w:tcPr>
            <w:tcW w:w="642" w:type="pct"/>
            <w:tcBorders>
              <w:top w:val="single" w:sz="4" w:space="0" w:color="auto"/>
            </w:tcBorders>
          </w:tcPr>
          <w:p w14:paraId="25766FBA" w14:textId="77777777" w:rsidR="00704151" w:rsidRPr="00687637" w:rsidRDefault="00704151" w:rsidP="00924B64">
            <w:pPr>
              <w:jc w:val="center"/>
              <w:rPr>
                <w:sz w:val="20"/>
                <w:szCs w:val="20"/>
              </w:rPr>
            </w:pPr>
            <w:r w:rsidRPr="00687637">
              <w:rPr>
                <w:sz w:val="20"/>
                <w:szCs w:val="20"/>
              </w:rPr>
              <w:t>3.2</w:t>
            </w:r>
          </w:p>
        </w:tc>
        <w:tc>
          <w:tcPr>
            <w:tcW w:w="642" w:type="pct"/>
            <w:tcBorders>
              <w:top w:val="single" w:sz="4" w:space="0" w:color="auto"/>
            </w:tcBorders>
          </w:tcPr>
          <w:p w14:paraId="4BA90451" w14:textId="77777777" w:rsidR="00704151" w:rsidRPr="00687637" w:rsidRDefault="00704151" w:rsidP="00924B64">
            <w:pPr>
              <w:jc w:val="center"/>
              <w:rPr>
                <w:sz w:val="20"/>
                <w:szCs w:val="20"/>
              </w:rPr>
            </w:pPr>
            <w:r w:rsidRPr="00687637">
              <w:rPr>
                <w:sz w:val="20"/>
                <w:szCs w:val="20"/>
              </w:rPr>
              <w:t>3.8</w:t>
            </w:r>
          </w:p>
        </w:tc>
        <w:tc>
          <w:tcPr>
            <w:tcW w:w="642" w:type="pct"/>
            <w:tcBorders>
              <w:top w:val="single" w:sz="4" w:space="0" w:color="auto"/>
            </w:tcBorders>
          </w:tcPr>
          <w:p w14:paraId="2E1777C9" w14:textId="77777777" w:rsidR="00704151" w:rsidRPr="00687637" w:rsidRDefault="00704151" w:rsidP="00924B64">
            <w:pPr>
              <w:jc w:val="center"/>
              <w:rPr>
                <w:sz w:val="20"/>
                <w:szCs w:val="20"/>
              </w:rPr>
            </w:pPr>
            <w:r w:rsidRPr="00687637">
              <w:rPr>
                <w:sz w:val="20"/>
                <w:szCs w:val="20"/>
              </w:rPr>
              <w:t>20.2</w:t>
            </w:r>
          </w:p>
        </w:tc>
        <w:tc>
          <w:tcPr>
            <w:tcW w:w="641" w:type="pct"/>
            <w:tcBorders>
              <w:top w:val="single" w:sz="4" w:space="0" w:color="auto"/>
            </w:tcBorders>
          </w:tcPr>
          <w:p w14:paraId="555B241F" w14:textId="77777777" w:rsidR="00704151" w:rsidRPr="00687637" w:rsidRDefault="00704151" w:rsidP="00924B64">
            <w:pPr>
              <w:jc w:val="center"/>
              <w:rPr>
                <w:sz w:val="20"/>
                <w:szCs w:val="20"/>
              </w:rPr>
            </w:pPr>
            <w:r w:rsidRPr="00687637">
              <w:rPr>
                <w:sz w:val="20"/>
                <w:szCs w:val="20"/>
              </w:rPr>
              <w:t>28.3</w:t>
            </w:r>
          </w:p>
        </w:tc>
      </w:tr>
      <w:tr w:rsidR="00704151" w:rsidRPr="00687637" w14:paraId="33978B43" w14:textId="77777777" w:rsidTr="00924B64">
        <w:tc>
          <w:tcPr>
            <w:tcW w:w="1148" w:type="pct"/>
          </w:tcPr>
          <w:p w14:paraId="371AD392" w14:textId="77777777" w:rsidR="00704151" w:rsidRPr="00687637" w:rsidRDefault="00704151" w:rsidP="00924B64">
            <w:pPr>
              <w:rPr>
                <w:sz w:val="20"/>
                <w:szCs w:val="20"/>
              </w:rPr>
            </w:pPr>
            <w:r w:rsidRPr="00687637">
              <w:rPr>
                <w:sz w:val="20"/>
                <w:szCs w:val="20"/>
              </w:rPr>
              <w:t>North West</w:t>
            </w:r>
          </w:p>
        </w:tc>
        <w:tc>
          <w:tcPr>
            <w:tcW w:w="642" w:type="pct"/>
          </w:tcPr>
          <w:p w14:paraId="1B335452" w14:textId="77777777" w:rsidR="00704151" w:rsidRPr="00687637" w:rsidRDefault="00704151" w:rsidP="00924B64">
            <w:pPr>
              <w:jc w:val="center"/>
              <w:rPr>
                <w:sz w:val="20"/>
                <w:szCs w:val="20"/>
              </w:rPr>
            </w:pPr>
            <w:r w:rsidRPr="00687637">
              <w:rPr>
                <w:sz w:val="20"/>
                <w:szCs w:val="20"/>
              </w:rPr>
              <w:t>0.0</w:t>
            </w:r>
          </w:p>
        </w:tc>
        <w:tc>
          <w:tcPr>
            <w:tcW w:w="642" w:type="pct"/>
          </w:tcPr>
          <w:p w14:paraId="1B367DD2" w14:textId="77777777" w:rsidR="00704151" w:rsidRPr="00687637" w:rsidRDefault="00704151" w:rsidP="00924B64">
            <w:pPr>
              <w:jc w:val="center"/>
              <w:rPr>
                <w:sz w:val="20"/>
                <w:szCs w:val="20"/>
              </w:rPr>
            </w:pPr>
            <w:r w:rsidRPr="00687637">
              <w:rPr>
                <w:sz w:val="20"/>
                <w:szCs w:val="20"/>
              </w:rPr>
              <w:t>1.6</w:t>
            </w:r>
          </w:p>
        </w:tc>
        <w:tc>
          <w:tcPr>
            <w:tcW w:w="642" w:type="pct"/>
          </w:tcPr>
          <w:p w14:paraId="1485A554" w14:textId="77777777" w:rsidR="00704151" w:rsidRPr="00687637" w:rsidRDefault="00704151" w:rsidP="00924B64">
            <w:pPr>
              <w:jc w:val="center"/>
              <w:rPr>
                <w:sz w:val="20"/>
                <w:szCs w:val="20"/>
              </w:rPr>
            </w:pPr>
            <w:r w:rsidRPr="00687637">
              <w:rPr>
                <w:sz w:val="20"/>
                <w:szCs w:val="20"/>
              </w:rPr>
              <w:t>2.0</w:t>
            </w:r>
          </w:p>
        </w:tc>
        <w:tc>
          <w:tcPr>
            <w:tcW w:w="642" w:type="pct"/>
          </w:tcPr>
          <w:p w14:paraId="6624384B" w14:textId="77777777" w:rsidR="00704151" w:rsidRPr="00687637" w:rsidRDefault="00704151" w:rsidP="00924B64">
            <w:pPr>
              <w:jc w:val="center"/>
              <w:rPr>
                <w:sz w:val="20"/>
                <w:szCs w:val="20"/>
              </w:rPr>
            </w:pPr>
            <w:r w:rsidRPr="00687637">
              <w:rPr>
                <w:sz w:val="20"/>
                <w:szCs w:val="20"/>
              </w:rPr>
              <w:t>2.7</w:t>
            </w:r>
          </w:p>
        </w:tc>
        <w:tc>
          <w:tcPr>
            <w:tcW w:w="642" w:type="pct"/>
          </w:tcPr>
          <w:p w14:paraId="1690789B" w14:textId="77777777" w:rsidR="00704151" w:rsidRPr="00687637" w:rsidRDefault="00704151" w:rsidP="00924B64">
            <w:pPr>
              <w:jc w:val="center"/>
              <w:rPr>
                <w:sz w:val="20"/>
                <w:szCs w:val="20"/>
              </w:rPr>
            </w:pPr>
            <w:r w:rsidRPr="00687637">
              <w:rPr>
                <w:sz w:val="20"/>
                <w:szCs w:val="20"/>
              </w:rPr>
              <w:t>8.7</w:t>
            </w:r>
          </w:p>
        </w:tc>
        <w:tc>
          <w:tcPr>
            <w:tcW w:w="641" w:type="pct"/>
          </w:tcPr>
          <w:p w14:paraId="3F6F803D" w14:textId="77777777" w:rsidR="00704151" w:rsidRPr="00687637" w:rsidRDefault="00704151" w:rsidP="00924B64">
            <w:pPr>
              <w:jc w:val="center"/>
              <w:rPr>
                <w:sz w:val="20"/>
                <w:szCs w:val="20"/>
              </w:rPr>
            </w:pPr>
            <w:r w:rsidRPr="00687637">
              <w:rPr>
                <w:sz w:val="20"/>
                <w:szCs w:val="20"/>
              </w:rPr>
              <w:t>25.0</w:t>
            </w:r>
          </w:p>
        </w:tc>
      </w:tr>
      <w:tr w:rsidR="00704151" w:rsidRPr="00687637" w14:paraId="5F7CBC02" w14:textId="77777777" w:rsidTr="00924B64">
        <w:tc>
          <w:tcPr>
            <w:tcW w:w="1148" w:type="pct"/>
          </w:tcPr>
          <w:p w14:paraId="57C660C8" w14:textId="77777777" w:rsidR="00704151" w:rsidRPr="00687637" w:rsidRDefault="00704151" w:rsidP="00924B64">
            <w:pPr>
              <w:rPr>
                <w:sz w:val="20"/>
                <w:szCs w:val="20"/>
              </w:rPr>
            </w:pPr>
            <w:r w:rsidRPr="00687637">
              <w:rPr>
                <w:sz w:val="20"/>
                <w:szCs w:val="20"/>
              </w:rPr>
              <w:t>Yorkshire &amp; The Humber</w:t>
            </w:r>
          </w:p>
        </w:tc>
        <w:tc>
          <w:tcPr>
            <w:tcW w:w="642" w:type="pct"/>
          </w:tcPr>
          <w:p w14:paraId="707BB185" w14:textId="77777777" w:rsidR="00704151" w:rsidRPr="00687637" w:rsidRDefault="00704151" w:rsidP="00924B64">
            <w:pPr>
              <w:jc w:val="center"/>
              <w:rPr>
                <w:sz w:val="20"/>
                <w:szCs w:val="20"/>
              </w:rPr>
            </w:pPr>
            <w:r w:rsidRPr="00687637">
              <w:rPr>
                <w:sz w:val="20"/>
                <w:szCs w:val="20"/>
              </w:rPr>
              <w:t>0.0</w:t>
            </w:r>
          </w:p>
        </w:tc>
        <w:tc>
          <w:tcPr>
            <w:tcW w:w="642" w:type="pct"/>
          </w:tcPr>
          <w:p w14:paraId="5456257D" w14:textId="77777777" w:rsidR="00704151" w:rsidRPr="00687637" w:rsidRDefault="00704151" w:rsidP="00924B64">
            <w:pPr>
              <w:jc w:val="center"/>
              <w:rPr>
                <w:sz w:val="20"/>
                <w:szCs w:val="20"/>
              </w:rPr>
            </w:pPr>
            <w:r w:rsidRPr="00687637">
              <w:rPr>
                <w:sz w:val="20"/>
                <w:szCs w:val="20"/>
              </w:rPr>
              <w:t>1.7</w:t>
            </w:r>
          </w:p>
        </w:tc>
        <w:tc>
          <w:tcPr>
            <w:tcW w:w="642" w:type="pct"/>
          </w:tcPr>
          <w:p w14:paraId="07E91517" w14:textId="77777777" w:rsidR="00704151" w:rsidRPr="00687637" w:rsidRDefault="00704151" w:rsidP="00924B64">
            <w:pPr>
              <w:jc w:val="center"/>
              <w:rPr>
                <w:sz w:val="20"/>
                <w:szCs w:val="20"/>
              </w:rPr>
            </w:pPr>
            <w:r w:rsidRPr="00687637">
              <w:rPr>
                <w:sz w:val="20"/>
                <w:szCs w:val="20"/>
              </w:rPr>
              <w:t>2.4</w:t>
            </w:r>
          </w:p>
        </w:tc>
        <w:tc>
          <w:tcPr>
            <w:tcW w:w="642" w:type="pct"/>
          </w:tcPr>
          <w:p w14:paraId="13DABD51" w14:textId="77777777" w:rsidR="00704151" w:rsidRPr="00687637" w:rsidRDefault="00704151" w:rsidP="00924B64">
            <w:pPr>
              <w:jc w:val="center"/>
              <w:rPr>
                <w:sz w:val="20"/>
                <w:szCs w:val="20"/>
              </w:rPr>
            </w:pPr>
            <w:r w:rsidRPr="00687637">
              <w:rPr>
                <w:sz w:val="20"/>
                <w:szCs w:val="20"/>
              </w:rPr>
              <w:t>3.3</w:t>
            </w:r>
          </w:p>
        </w:tc>
        <w:tc>
          <w:tcPr>
            <w:tcW w:w="642" w:type="pct"/>
          </w:tcPr>
          <w:p w14:paraId="499D9B7A" w14:textId="77777777" w:rsidR="00704151" w:rsidRPr="00687637" w:rsidRDefault="00704151" w:rsidP="00924B64">
            <w:pPr>
              <w:jc w:val="center"/>
              <w:rPr>
                <w:sz w:val="20"/>
                <w:szCs w:val="20"/>
              </w:rPr>
            </w:pPr>
            <w:r w:rsidRPr="00687637">
              <w:rPr>
                <w:sz w:val="20"/>
                <w:szCs w:val="20"/>
              </w:rPr>
              <w:t>10.6</w:t>
            </w:r>
          </w:p>
        </w:tc>
        <w:tc>
          <w:tcPr>
            <w:tcW w:w="641" w:type="pct"/>
          </w:tcPr>
          <w:p w14:paraId="3E626300" w14:textId="77777777" w:rsidR="00704151" w:rsidRPr="00687637" w:rsidRDefault="00704151" w:rsidP="00924B64">
            <w:pPr>
              <w:jc w:val="center"/>
              <w:rPr>
                <w:sz w:val="20"/>
                <w:szCs w:val="20"/>
              </w:rPr>
            </w:pPr>
            <w:r w:rsidRPr="00687637">
              <w:rPr>
                <w:sz w:val="20"/>
                <w:szCs w:val="20"/>
              </w:rPr>
              <w:t>26.4</w:t>
            </w:r>
          </w:p>
        </w:tc>
      </w:tr>
      <w:tr w:rsidR="00704151" w:rsidRPr="00687637" w14:paraId="7A9CF7D7" w14:textId="77777777" w:rsidTr="00924B64">
        <w:tc>
          <w:tcPr>
            <w:tcW w:w="1148" w:type="pct"/>
          </w:tcPr>
          <w:p w14:paraId="4F457DBB" w14:textId="77777777" w:rsidR="00704151" w:rsidRPr="00687637" w:rsidRDefault="00704151" w:rsidP="00924B64">
            <w:pPr>
              <w:rPr>
                <w:sz w:val="20"/>
                <w:szCs w:val="20"/>
              </w:rPr>
            </w:pPr>
            <w:r w:rsidRPr="00687637">
              <w:rPr>
                <w:sz w:val="20"/>
                <w:szCs w:val="20"/>
              </w:rPr>
              <w:t>East Midlands</w:t>
            </w:r>
          </w:p>
        </w:tc>
        <w:tc>
          <w:tcPr>
            <w:tcW w:w="642" w:type="pct"/>
          </w:tcPr>
          <w:p w14:paraId="37F54314" w14:textId="77777777" w:rsidR="00704151" w:rsidRPr="00687637" w:rsidRDefault="00704151" w:rsidP="00924B64">
            <w:pPr>
              <w:jc w:val="center"/>
              <w:rPr>
                <w:sz w:val="20"/>
                <w:szCs w:val="20"/>
              </w:rPr>
            </w:pPr>
            <w:r w:rsidRPr="00687637">
              <w:rPr>
                <w:sz w:val="20"/>
                <w:szCs w:val="20"/>
              </w:rPr>
              <w:t>0.0</w:t>
            </w:r>
          </w:p>
        </w:tc>
        <w:tc>
          <w:tcPr>
            <w:tcW w:w="642" w:type="pct"/>
          </w:tcPr>
          <w:p w14:paraId="571B2F6E" w14:textId="77777777" w:rsidR="00704151" w:rsidRPr="00687637" w:rsidRDefault="00704151" w:rsidP="00924B64">
            <w:pPr>
              <w:jc w:val="center"/>
              <w:rPr>
                <w:sz w:val="20"/>
                <w:szCs w:val="20"/>
              </w:rPr>
            </w:pPr>
            <w:r w:rsidRPr="00687637">
              <w:rPr>
                <w:sz w:val="20"/>
                <w:szCs w:val="20"/>
              </w:rPr>
              <w:t>1.7</w:t>
            </w:r>
          </w:p>
        </w:tc>
        <w:tc>
          <w:tcPr>
            <w:tcW w:w="642" w:type="pct"/>
          </w:tcPr>
          <w:p w14:paraId="48F76EA5" w14:textId="77777777" w:rsidR="00704151" w:rsidRPr="00687637" w:rsidRDefault="00704151" w:rsidP="00924B64">
            <w:pPr>
              <w:jc w:val="center"/>
              <w:rPr>
                <w:sz w:val="20"/>
                <w:szCs w:val="20"/>
              </w:rPr>
            </w:pPr>
            <w:r w:rsidRPr="00687637">
              <w:rPr>
                <w:sz w:val="20"/>
                <w:szCs w:val="20"/>
              </w:rPr>
              <w:t>2.7</w:t>
            </w:r>
          </w:p>
        </w:tc>
        <w:tc>
          <w:tcPr>
            <w:tcW w:w="642" w:type="pct"/>
          </w:tcPr>
          <w:p w14:paraId="575C880E" w14:textId="77777777" w:rsidR="00704151" w:rsidRPr="00687637" w:rsidRDefault="00704151" w:rsidP="00924B64">
            <w:pPr>
              <w:jc w:val="center"/>
              <w:rPr>
                <w:sz w:val="20"/>
                <w:szCs w:val="20"/>
              </w:rPr>
            </w:pPr>
            <w:r w:rsidRPr="00687637">
              <w:rPr>
                <w:sz w:val="20"/>
                <w:szCs w:val="20"/>
              </w:rPr>
              <w:t>3.5</w:t>
            </w:r>
          </w:p>
        </w:tc>
        <w:tc>
          <w:tcPr>
            <w:tcW w:w="642" w:type="pct"/>
          </w:tcPr>
          <w:p w14:paraId="13DC724E" w14:textId="77777777" w:rsidR="00704151" w:rsidRPr="00687637" w:rsidRDefault="00704151" w:rsidP="00924B64">
            <w:pPr>
              <w:jc w:val="center"/>
              <w:rPr>
                <w:sz w:val="20"/>
                <w:szCs w:val="20"/>
              </w:rPr>
            </w:pPr>
            <w:r w:rsidRPr="00687637">
              <w:rPr>
                <w:sz w:val="20"/>
                <w:szCs w:val="20"/>
              </w:rPr>
              <w:t>15.9</w:t>
            </w:r>
          </w:p>
        </w:tc>
        <w:tc>
          <w:tcPr>
            <w:tcW w:w="641" w:type="pct"/>
          </w:tcPr>
          <w:p w14:paraId="0B19DF6C" w14:textId="77777777" w:rsidR="00704151" w:rsidRPr="00687637" w:rsidRDefault="00704151" w:rsidP="00924B64">
            <w:pPr>
              <w:jc w:val="center"/>
              <w:rPr>
                <w:sz w:val="20"/>
                <w:szCs w:val="20"/>
              </w:rPr>
            </w:pPr>
            <w:r w:rsidRPr="00687637">
              <w:rPr>
                <w:sz w:val="20"/>
                <w:szCs w:val="20"/>
              </w:rPr>
              <w:t>21.9</w:t>
            </w:r>
          </w:p>
        </w:tc>
      </w:tr>
      <w:tr w:rsidR="00704151" w:rsidRPr="00687637" w14:paraId="230649DE" w14:textId="77777777" w:rsidTr="00924B64">
        <w:tc>
          <w:tcPr>
            <w:tcW w:w="1148" w:type="pct"/>
          </w:tcPr>
          <w:p w14:paraId="72DCE97D" w14:textId="77777777" w:rsidR="00704151" w:rsidRPr="00687637" w:rsidRDefault="00704151" w:rsidP="00924B64">
            <w:pPr>
              <w:rPr>
                <w:sz w:val="20"/>
                <w:szCs w:val="20"/>
              </w:rPr>
            </w:pPr>
            <w:r w:rsidRPr="00687637">
              <w:rPr>
                <w:sz w:val="20"/>
                <w:szCs w:val="20"/>
              </w:rPr>
              <w:t>West Midlands</w:t>
            </w:r>
          </w:p>
        </w:tc>
        <w:tc>
          <w:tcPr>
            <w:tcW w:w="642" w:type="pct"/>
          </w:tcPr>
          <w:p w14:paraId="1FF66051" w14:textId="77777777" w:rsidR="00704151" w:rsidRPr="00687637" w:rsidRDefault="00704151" w:rsidP="00924B64">
            <w:pPr>
              <w:jc w:val="center"/>
              <w:rPr>
                <w:sz w:val="20"/>
                <w:szCs w:val="20"/>
              </w:rPr>
            </w:pPr>
            <w:r w:rsidRPr="00687637">
              <w:rPr>
                <w:sz w:val="20"/>
                <w:szCs w:val="20"/>
              </w:rPr>
              <w:t>0.0</w:t>
            </w:r>
          </w:p>
        </w:tc>
        <w:tc>
          <w:tcPr>
            <w:tcW w:w="642" w:type="pct"/>
          </w:tcPr>
          <w:p w14:paraId="49D9B94D" w14:textId="77777777" w:rsidR="00704151" w:rsidRPr="00687637" w:rsidRDefault="00704151" w:rsidP="00924B64">
            <w:pPr>
              <w:jc w:val="center"/>
              <w:rPr>
                <w:sz w:val="20"/>
                <w:szCs w:val="20"/>
              </w:rPr>
            </w:pPr>
            <w:r w:rsidRPr="00687637">
              <w:rPr>
                <w:sz w:val="20"/>
                <w:szCs w:val="20"/>
              </w:rPr>
              <w:t>1.5</w:t>
            </w:r>
          </w:p>
        </w:tc>
        <w:tc>
          <w:tcPr>
            <w:tcW w:w="642" w:type="pct"/>
          </w:tcPr>
          <w:p w14:paraId="40A68974" w14:textId="77777777" w:rsidR="00704151" w:rsidRPr="00687637" w:rsidRDefault="00704151" w:rsidP="00924B64">
            <w:pPr>
              <w:jc w:val="center"/>
              <w:rPr>
                <w:sz w:val="20"/>
                <w:szCs w:val="20"/>
              </w:rPr>
            </w:pPr>
            <w:r w:rsidRPr="00687637">
              <w:rPr>
                <w:sz w:val="20"/>
                <w:szCs w:val="20"/>
              </w:rPr>
              <w:t>2.1</w:t>
            </w:r>
          </w:p>
        </w:tc>
        <w:tc>
          <w:tcPr>
            <w:tcW w:w="642" w:type="pct"/>
          </w:tcPr>
          <w:p w14:paraId="4FF3EFBF" w14:textId="77777777" w:rsidR="00704151" w:rsidRPr="00687637" w:rsidRDefault="00704151" w:rsidP="00924B64">
            <w:pPr>
              <w:jc w:val="center"/>
              <w:rPr>
                <w:sz w:val="20"/>
                <w:szCs w:val="20"/>
              </w:rPr>
            </w:pPr>
            <w:r w:rsidRPr="00687637">
              <w:rPr>
                <w:sz w:val="20"/>
                <w:szCs w:val="20"/>
              </w:rPr>
              <w:t>2.5</w:t>
            </w:r>
          </w:p>
        </w:tc>
        <w:tc>
          <w:tcPr>
            <w:tcW w:w="642" w:type="pct"/>
          </w:tcPr>
          <w:p w14:paraId="5C414C99" w14:textId="77777777" w:rsidR="00704151" w:rsidRPr="00687637" w:rsidRDefault="00704151" w:rsidP="00924B64">
            <w:pPr>
              <w:jc w:val="center"/>
              <w:rPr>
                <w:sz w:val="20"/>
                <w:szCs w:val="20"/>
              </w:rPr>
            </w:pPr>
            <w:r w:rsidRPr="00687637">
              <w:rPr>
                <w:sz w:val="20"/>
                <w:szCs w:val="20"/>
              </w:rPr>
              <w:t>11.5</w:t>
            </w:r>
          </w:p>
        </w:tc>
        <w:tc>
          <w:tcPr>
            <w:tcW w:w="641" w:type="pct"/>
          </w:tcPr>
          <w:p w14:paraId="50247E18" w14:textId="77777777" w:rsidR="00704151" w:rsidRPr="00687637" w:rsidRDefault="00704151" w:rsidP="00924B64">
            <w:pPr>
              <w:jc w:val="center"/>
              <w:rPr>
                <w:sz w:val="20"/>
                <w:szCs w:val="20"/>
              </w:rPr>
            </w:pPr>
            <w:r w:rsidRPr="00687637">
              <w:rPr>
                <w:sz w:val="20"/>
                <w:szCs w:val="20"/>
              </w:rPr>
              <w:t>17.3</w:t>
            </w:r>
          </w:p>
        </w:tc>
      </w:tr>
      <w:tr w:rsidR="00704151" w:rsidRPr="00687637" w14:paraId="0E67E4C1" w14:textId="77777777" w:rsidTr="00924B64">
        <w:tc>
          <w:tcPr>
            <w:tcW w:w="1148" w:type="pct"/>
          </w:tcPr>
          <w:p w14:paraId="434C99BF" w14:textId="77777777" w:rsidR="00704151" w:rsidRPr="00687637" w:rsidRDefault="00704151" w:rsidP="00924B64">
            <w:pPr>
              <w:rPr>
                <w:sz w:val="20"/>
                <w:szCs w:val="20"/>
              </w:rPr>
            </w:pPr>
            <w:r w:rsidRPr="00687637">
              <w:rPr>
                <w:sz w:val="20"/>
                <w:szCs w:val="20"/>
              </w:rPr>
              <w:t>East of England</w:t>
            </w:r>
          </w:p>
        </w:tc>
        <w:tc>
          <w:tcPr>
            <w:tcW w:w="642" w:type="pct"/>
          </w:tcPr>
          <w:p w14:paraId="6CB314E4" w14:textId="77777777" w:rsidR="00704151" w:rsidRPr="00687637" w:rsidRDefault="00704151" w:rsidP="00924B64">
            <w:pPr>
              <w:jc w:val="center"/>
              <w:rPr>
                <w:sz w:val="20"/>
                <w:szCs w:val="20"/>
              </w:rPr>
            </w:pPr>
            <w:r w:rsidRPr="00687637">
              <w:rPr>
                <w:sz w:val="20"/>
                <w:szCs w:val="20"/>
              </w:rPr>
              <w:t>0.0</w:t>
            </w:r>
          </w:p>
        </w:tc>
        <w:tc>
          <w:tcPr>
            <w:tcW w:w="642" w:type="pct"/>
          </w:tcPr>
          <w:p w14:paraId="2D356D3C" w14:textId="77777777" w:rsidR="00704151" w:rsidRPr="00687637" w:rsidRDefault="00704151" w:rsidP="00924B64">
            <w:pPr>
              <w:jc w:val="center"/>
              <w:rPr>
                <w:sz w:val="20"/>
                <w:szCs w:val="20"/>
              </w:rPr>
            </w:pPr>
            <w:r w:rsidRPr="00687637">
              <w:rPr>
                <w:sz w:val="20"/>
                <w:szCs w:val="20"/>
              </w:rPr>
              <w:t>1.5</w:t>
            </w:r>
          </w:p>
        </w:tc>
        <w:tc>
          <w:tcPr>
            <w:tcW w:w="642" w:type="pct"/>
          </w:tcPr>
          <w:p w14:paraId="75AC5AC1" w14:textId="77777777" w:rsidR="00704151" w:rsidRPr="00687637" w:rsidRDefault="00704151" w:rsidP="00924B64">
            <w:pPr>
              <w:jc w:val="center"/>
              <w:rPr>
                <w:sz w:val="20"/>
                <w:szCs w:val="20"/>
              </w:rPr>
            </w:pPr>
            <w:r w:rsidRPr="00687637">
              <w:rPr>
                <w:sz w:val="20"/>
                <w:szCs w:val="20"/>
              </w:rPr>
              <w:t>2.8</w:t>
            </w:r>
          </w:p>
        </w:tc>
        <w:tc>
          <w:tcPr>
            <w:tcW w:w="642" w:type="pct"/>
          </w:tcPr>
          <w:p w14:paraId="702294A6" w14:textId="77777777" w:rsidR="00704151" w:rsidRPr="00687637" w:rsidRDefault="00704151" w:rsidP="00924B64">
            <w:pPr>
              <w:jc w:val="center"/>
              <w:rPr>
                <w:sz w:val="20"/>
                <w:szCs w:val="20"/>
              </w:rPr>
            </w:pPr>
            <w:r w:rsidRPr="00687637">
              <w:rPr>
                <w:sz w:val="20"/>
                <w:szCs w:val="20"/>
              </w:rPr>
              <w:t>3.6</w:t>
            </w:r>
          </w:p>
        </w:tc>
        <w:tc>
          <w:tcPr>
            <w:tcW w:w="642" w:type="pct"/>
          </w:tcPr>
          <w:p w14:paraId="79AD8BED" w14:textId="77777777" w:rsidR="00704151" w:rsidRPr="00687637" w:rsidRDefault="00704151" w:rsidP="00924B64">
            <w:pPr>
              <w:jc w:val="center"/>
              <w:rPr>
                <w:sz w:val="20"/>
                <w:szCs w:val="20"/>
              </w:rPr>
            </w:pPr>
            <w:r w:rsidRPr="00687637">
              <w:rPr>
                <w:sz w:val="20"/>
                <w:szCs w:val="20"/>
              </w:rPr>
              <w:t>14.6</w:t>
            </w:r>
          </w:p>
        </w:tc>
        <w:tc>
          <w:tcPr>
            <w:tcW w:w="641" w:type="pct"/>
          </w:tcPr>
          <w:p w14:paraId="11DE0B65" w14:textId="77777777" w:rsidR="00704151" w:rsidRPr="00687637" w:rsidRDefault="00704151" w:rsidP="00924B64">
            <w:pPr>
              <w:jc w:val="center"/>
              <w:rPr>
                <w:sz w:val="20"/>
                <w:szCs w:val="20"/>
              </w:rPr>
            </w:pPr>
            <w:r w:rsidRPr="00687637">
              <w:rPr>
                <w:sz w:val="20"/>
                <w:szCs w:val="20"/>
              </w:rPr>
              <w:t>20.9</w:t>
            </w:r>
          </w:p>
        </w:tc>
      </w:tr>
      <w:tr w:rsidR="00704151" w:rsidRPr="00687637" w14:paraId="35A1D26B" w14:textId="77777777" w:rsidTr="00924B64">
        <w:tc>
          <w:tcPr>
            <w:tcW w:w="1148" w:type="pct"/>
          </w:tcPr>
          <w:p w14:paraId="42BF8965" w14:textId="77777777" w:rsidR="00704151" w:rsidRPr="00687637" w:rsidRDefault="00704151" w:rsidP="00924B64">
            <w:pPr>
              <w:rPr>
                <w:sz w:val="20"/>
                <w:szCs w:val="20"/>
              </w:rPr>
            </w:pPr>
            <w:r w:rsidRPr="00687637">
              <w:rPr>
                <w:sz w:val="20"/>
                <w:szCs w:val="20"/>
              </w:rPr>
              <w:t>London</w:t>
            </w:r>
          </w:p>
        </w:tc>
        <w:tc>
          <w:tcPr>
            <w:tcW w:w="642" w:type="pct"/>
          </w:tcPr>
          <w:p w14:paraId="4906B3E5" w14:textId="77777777" w:rsidR="00704151" w:rsidRPr="00687637" w:rsidRDefault="00704151" w:rsidP="00924B64">
            <w:pPr>
              <w:jc w:val="center"/>
              <w:rPr>
                <w:sz w:val="20"/>
                <w:szCs w:val="20"/>
              </w:rPr>
            </w:pPr>
            <w:r w:rsidRPr="00687637">
              <w:rPr>
                <w:sz w:val="20"/>
                <w:szCs w:val="20"/>
              </w:rPr>
              <w:t>0.0</w:t>
            </w:r>
          </w:p>
        </w:tc>
        <w:tc>
          <w:tcPr>
            <w:tcW w:w="642" w:type="pct"/>
          </w:tcPr>
          <w:p w14:paraId="2130279E" w14:textId="77777777" w:rsidR="00704151" w:rsidRPr="00687637" w:rsidRDefault="00704151" w:rsidP="00924B64">
            <w:pPr>
              <w:jc w:val="center"/>
              <w:rPr>
                <w:sz w:val="20"/>
                <w:szCs w:val="20"/>
              </w:rPr>
            </w:pPr>
            <w:r w:rsidRPr="00687637">
              <w:rPr>
                <w:sz w:val="20"/>
                <w:szCs w:val="20"/>
              </w:rPr>
              <w:t>0.5</w:t>
            </w:r>
          </w:p>
        </w:tc>
        <w:tc>
          <w:tcPr>
            <w:tcW w:w="642" w:type="pct"/>
          </w:tcPr>
          <w:p w14:paraId="4F6CA08E" w14:textId="77777777" w:rsidR="00704151" w:rsidRPr="00687637" w:rsidRDefault="00704151" w:rsidP="00924B64">
            <w:pPr>
              <w:jc w:val="center"/>
              <w:rPr>
                <w:sz w:val="20"/>
                <w:szCs w:val="20"/>
              </w:rPr>
            </w:pPr>
            <w:r w:rsidRPr="00687637">
              <w:rPr>
                <w:sz w:val="20"/>
                <w:szCs w:val="20"/>
              </w:rPr>
              <w:t>0.6</w:t>
            </w:r>
          </w:p>
        </w:tc>
        <w:tc>
          <w:tcPr>
            <w:tcW w:w="642" w:type="pct"/>
          </w:tcPr>
          <w:p w14:paraId="15583E5B" w14:textId="77777777" w:rsidR="00704151" w:rsidRPr="00687637" w:rsidRDefault="00704151" w:rsidP="00924B64">
            <w:pPr>
              <w:jc w:val="center"/>
              <w:rPr>
                <w:sz w:val="20"/>
                <w:szCs w:val="20"/>
              </w:rPr>
            </w:pPr>
            <w:r w:rsidRPr="00687637">
              <w:rPr>
                <w:sz w:val="20"/>
                <w:szCs w:val="20"/>
              </w:rPr>
              <w:t>0.8</w:t>
            </w:r>
          </w:p>
        </w:tc>
        <w:tc>
          <w:tcPr>
            <w:tcW w:w="642" w:type="pct"/>
          </w:tcPr>
          <w:p w14:paraId="755CE992" w14:textId="77777777" w:rsidR="00704151" w:rsidRPr="00687637" w:rsidRDefault="00704151" w:rsidP="00924B64">
            <w:pPr>
              <w:jc w:val="center"/>
              <w:rPr>
                <w:sz w:val="20"/>
                <w:szCs w:val="20"/>
              </w:rPr>
            </w:pPr>
            <w:r w:rsidRPr="00687637">
              <w:rPr>
                <w:sz w:val="20"/>
                <w:szCs w:val="20"/>
              </w:rPr>
              <w:t>2.2</w:t>
            </w:r>
          </w:p>
        </w:tc>
        <w:tc>
          <w:tcPr>
            <w:tcW w:w="641" w:type="pct"/>
          </w:tcPr>
          <w:p w14:paraId="08796EF1" w14:textId="77777777" w:rsidR="00704151" w:rsidRPr="00687637" w:rsidRDefault="00704151" w:rsidP="00924B64">
            <w:pPr>
              <w:jc w:val="center"/>
              <w:rPr>
                <w:sz w:val="20"/>
                <w:szCs w:val="20"/>
              </w:rPr>
            </w:pPr>
            <w:r w:rsidRPr="00687637">
              <w:rPr>
                <w:sz w:val="20"/>
                <w:szCs w:val="20"/>
              </w:rPr>
              <w:t>4.0</w:t>
            </w:r>
          </w:p>
        </w:tc>
      </w:tr>
      <w:tr w:rsidR="00704151" w:rsidRPr="00687637" w14:paraId="06DB1CE2" w14:textId="77777777" w:rsidTr="00924B64">
        <w:tc>
          <w:tcPr>
            <w:tcW w:w="1148" w:type="pct"/>
          </w:tcPr>
          <w:p w14:paraId="1C12158F" w14:textId="77777777" w:rsidR="00704151" w:rsidRPr="00687637" w:rsidRDefault="00704151" w:rsidP="00924B64">
            <w:pPr>
              <w:rPr>
                <w:sz w:val="20"/>
                <w:szCs w:val="20"/>
              </w:rPr>
            </w:pPr>
            <w:r w:rsidRPr="00687637">
              <w:rPr>
                <w:sz w:val="20"/>
                <w:szCs w:val="20"/>
              </w:rPr>
              <w:t>South East</w:t>
            </w:r>
          </w:p>
        </w:tc>
        <w:tc>
          <w:tcPr>
            <w:tcW w:w="642" w:type="pct"/>
          </w:tcPr>
          <w:p w14:paraId="7CD1DBBF" w14:textId="77777777" w:rsidR="00704151" w:rsidRPr="00687637" w:rsidRDefault="00704151" w:rsidP="00924B64">
            <w:pPr>
              <w:jc w:val="center"/>
              <w:rPr>
                <w:sz w:val="20"/>
                <w:szCs w:val="20"/>
              </w:rPr>
            </w:pPr>
            <w:r w:rsidRPr="00687637">
              <w:rPr>
                <w:sz w:val="20"/>
                <w:szCs w:val="20"/>
              </w:rPr>
              <w:t>0.0</w:t>
            </w:r>
          </w:p>
        </w:tc>
        <w:tc>
          <w:tcPr>
            <w:tcW w:w="642" w:type="pct"/>
          </w:tcPr>
          <w:p w14:paraId="19E8358F" w14:textId="77777777" w:rsidR="00704151" w:rsidRPr="00687637" w:rsidRDefault="00704151" w:rsidP="00924B64">
            <w:pPr>
              <w:jc w:val="center"/>
              <w:rPr>
                <w:sz w:val="20"/>
                <w:szCs w:val="20"/>
              </w:rPr>
            </w:pPr>
            <w:r w:rsidRPr="00687637">
              <w:rPr>
                <w:sz w:val="20"/>
                <w:szCs w:val="20"/>
              </w:rPr>
              <w:t>1.2</w:t>
            </w:r>
          </w:p>
        </w:tc>
        <w:tc>
          <w:tcPr>
            <w:tcW w:w="642" w:type="pct"/>
          </w:tcPr>
          <w:p w14:paraId="7C5B7C7F" w14:textId="77777777" w:rsidR="00704151" w:rsidRPr="00687637" w:rsidRDefault="00704151" w:rsidP="00924B64">
            <w:pPr>
              <w:jc w:val="center"/>
              <w:rPr>
                <w:sz w:val="20"/>
                <w:szCs w:val="20"/>
              </w:rPr>
            </w:pPr>
            <w:r w:rsidRPr="00687637">
              <w:rPr>
                <w:sz w:val="20"/>
                <w:szCs w:val="20"/>
              </w:rPr>
              <w:t>1.9</w:t>
            </w:r>
          </w:p>
        </w:tc>
        <w:tc>
          <w:tcPr>
            <w:tcW w:w="642" w:type="pct"/>
          </w:tcPr>
          <w:p w14:paraId="5CC41443" w14:textId="77777777" w:rsidR="00704151" w:rsidRPr="00687637" w:rsidRDefault="00704151" w:rsidP="00924B64">
            <w:pPr>
              <w:jc w:val="center"/>
              <w:rPr>
                <w:sz w:val="20"/>
                <w:szCs w:val="20"/>
              </w:rPr>
            </w:pPr>
            <w:r w:rsidRPr="00687637">
              <w:rPr>
                <w:sz w:val="20"/>
                <w:szCs w:val="20"/>
              </w:rPr>
              <w:t>2.4</w:t>
            </w:r>
          </w:p>
        </w:tc>
        <w:tc>
          <w:tcPr>
            <w:tcW w:w="642" w:type="pct"/>
          </w:tcPr>
          <w:p w14:paraId="694A3F8E" w14:textId="77777777" w:rsidR="00704151" w:rsidRPr="00687637" w:rsidRDefault="00704151" w:rsidP="00924B64">
            <w:pPr>
              <w:jc w:val="center"/>
              <w:rPr>
                <w:sz w:val="20"/>
                <w:szCs w:val="20"/>
              </w:rPr>
            </w:pPr>
            <w:r w:rsidRPr="00687637">
              <w:rPr>
                <w:sz w:val="20"/>
                <w:szCs w:val="20"/>
              </w:rPr>
              <w:t>9.6</w:t>
            </w:r>
          </w:p>
        </w:tc>
        <w:tc>
          <w:tcPr>
            <w:tcW w:w="641" w:type="pct"/>
          </w:tcPr>
          <w:p w14:paraId="60751608" w14:textId="77777777" w:rsidR="00704151" w:rsidRPr="00687637" w:rsidRDefault="00704151" w:rsidP="00924B64">
            <w:pPr>
              <w:jc w:val="center"/>
              <w:rPr>
                <w:sz w:val="20"/>
                <w:szCs w:val="20"/>
              </w:rPr>
            </w:pPr>
            <w:r w:rsidRPr="00687637">
              <w:rPr>
                <w:sz w:val="20"/>
                <w:szCs w:val="20"/>
              </w:rPr>
              <w:t>18.7</w:t>
            </w:r>
          </w:p>
        </w:tc>
      </w:tr>
      <w:tr w:rsidR="00704151" w:rsidRPr="00687637" w14:paraId="0157985D" w14:textId="77777777" w:rsidTr="00924B64">
        <w:tc>
          <w:tcPr>
            <w:tcW w:w="1148" w:type="pct"/>
          </w:tcPr>
          <w:p w14:paraId="1EEFB3C4" w14:textId="77777777" w:rsidR="00704151" w:rsidRPr="00687637" w:rsidRDefault="00704151" w:rsidP="00924B64">
            <w:pPr>
              <w:rPr>
                <w:sz w:val="20"/>
                <w:szCs w:val="20"/>
              </w:rPr>
            </w:pPr>
            <w:r w:rsidRPr="00687637">
              <w:rPr>
                <w:sz w:val="20"/>
                <w:szCs w:val="20"/>
              </w:rPr>
              <w:t>South West</w:t>
            </w:r>
          </w:p>
        </w:tc>
        <w:tc>
          <w:tcPr>
            <w:tcW w:w="642" w:type="pct"/>
          </w:tcPr>
          <w:p w14:paraId="6CD01960" w14:textId="77777777" w:rsidR="00704151" w:rsidRPr="00687637" w:rsidRDefault="00704151" w:rsidP="00924B64">
            <w:pPr>
              <w:jc w:val="center"/>
              <w:rPr>
                <w:sz w:val="20"/>
                <w:szCs w:val="20"/>
              </w:rPr>
            </w:pPr>
            <w:r w:rsidRPr="00687637">
              <w:rPr>
                <w:sz w:val="20"/>
                <w:szCs w:val="20"/>
              </w:rPr>
              <w:t>0.0</w:t>
            </w:r>
          </w:p>
        </w:tc>
        <w:tc>
          <w:tcPr>
            <w:tcW w:w="642" w:type="pct"/>
          </w:tcPr>
          <w:p w14:paraId="066A7A67" w14:textId="77777777" w:rsidR="00704151" w:rsidRPr="00687637" w:rsidRDefault="00704151" w:rsidP="00924B64">
            <w:pPr>
              <w:jc w:val="center"/>
              <w:rPr>
                <w:sz w:val="20"/>
                <w:szCs w:val="20"/>
              </w:rPr>
            </w:pPr>
            <w:r w:rsidRPr="00687637">
              <w:rPr>
                <w:sz w:val="20"/>
                <w:szCs w:val="20"/>
              </w:rPr>
              <w:t>1.5</w:t>
            </w:r>
          </w:p>
        </w:tc>
        <w:tc>
          <w:tcPr>
            <w:tcW w:w="642" w:type="pct"/>
          </w:tcPr>
          <w:p w14:paraId="3DE68514" w14:textId="77777777" w:rsidR="00704151" w:rsidRPr="00687637" w:rsidRDefault="00704151" w:rsidP="00924B64">
            <w:pPr>
              <w:jc w:val="center"/>
              <w:rPr>
                <w:sz w:val="20"/>
                <w:szCs w:val="20"/>
              </w:rPr>
            </w:pPr>
            <w:r w:rsidRPr="00687637">
              <w:rPr>
                <w:sz w:val="20"/>
                <w:szCs w:val="20"/>
              </w:rPr>
              <w:t>2.7</w:t>
            </w:r>
          </w:p>
        </w:tc>
        <w:tc>
          <w:tcPr>
            <w:tcW w:w="642" w:type="pct"/>
          </w:tcPr>
          <w:p w14:paraId="4F8C2AEE" w14:textId="77777777" w:rsidR="00704151" w:rsidRPr="00687637" w:rsidRDefault="00704151" w:rsidP="00924B64">
            <w:pPr>
              <w:jc w:val="center"/>
              <w:rPr>
                <w:sz w:val="20"/>
                <w:szCs w:val="20"/>
              </w:rPr>
            </w:pPr>
            <w:r w:rsidRPr="00687637">
              <w:rPr>
                <w:sz w:val="20"/>
                <w:szCs w:val="20"/>
              </w:rPr>
              <w:t>3.7</w:t>
            </w:r>
          </w:p>
        </w:tc>
        <w:tc>
          <w:tcPr>
            <w:tcW w:w="642" w:type="pct"/>
          </w:tcPr>
          <w:p w14:paraId="4F57BE0F" w14:textId="77777777" w:rsidR="00704151" w:rsidRPr="00687637" w:rsidRDefault="00704151" w:rsidP="00924B64">
            <w:pPr>
              <w:jc w:val="center"/>
              <w:rPr>
                <w:sz w:val="20"/>
                <w:szCs w:val="20"/>
              </w:rPr>
            </w:pPr>
            <w:r w:rsidRPr="00687637">
              <w:rPr>
                <w:sz w:val="20"/>
                <w:szCs w:val="20"/>
              </w:rPr>
              <w:t>14.3</w:t>
            </w:r>
          </w:p>
        </w:tc>
        <w:tc>
          <w:tcPr>
            <w:tcW w:w="641" w:type="pct"/>
          </w:tcPr>
          <w:p w14:paraId="742317DE" w14:textId="77777777" w:rsidR="00704151" w:rsidRPr="00687637" w:rsidRDefault="00704151" w:rsidP="00924B64">
            <w:pPr>
              <w:jc w:val="center"/>
              <w:rPr>
                <w:sz w:val="20"/>
                <w:szCs w:val="20"/>
              </w:rPr>
            </w:pPr>
            <w:r w:rsidRPr="00687637">
              <w:rPr>
                <w:sz w:val="20"/>
                <w:szCs w:val="20"/>
              </w:rPr>
              <w:t>23.7</w:t>
            </w:r>
          </w:p>
        </w:tc>
      </w:tr>
      <w:tr w:rsidR="00704151" w:rsidRPr="00687637" w14:paraId="1F8D6BE9" w14:textId="77777777" w:rsidTr="00924B64">
        <w:tc>
          <w:tcPr>
            <w:tcW w:w="1148" w:type="pct"/>
          </w:tcPr>
          <w:p w14:paraId="187CCCE1" w14:textId="77777777" w:rsidR="00704151" w:rsidRPr="00687637" w:rsidRDefault="00704151" w:rsidP="00924B64">
            <w:pPr>
              <w:rPr>
                <w:sz w:val="20"/>
                <w:szCs w:val="20"/>
              </w:rPr>
            </w:pPr>
            <w:r w:rsidRPr="00687637">
              <w:rPr>
                <w:sz w:val="20"/>
                <w:szCs w:val="20"/>
              </w:rPr>
              <w:t>Northern Ireland</w:t>
            </w:r>
          </w:p>
        </w:tc>
        <w:tc>
          <w:tcPr>
            <w:tcW w:w="642" w:type="pct"/>
          </w:tcPr>
          <w:p w14:paraId="06CC83D9" w14:textId="77777777" w:rsidR="00704151" w:rsidRPr="00687637" w:rsidRDefault="00704151" w:rsidP="00924B64">
            <w:pPr>
              <w:jc w:val="center"/>
              <w:rPr>
                <w:sz w:val="20"/>
                <w:szCs w:val="20"/>
              </w:rPr>
            </w:pPr>
            <w:r w:rsidRPr="00687637">
              <w:rPr>
                <w:sz w:val="20"/>
                <w:szCs w:val="20"/>
              </w:rPr>
              <w:t>0.0</w:t>
            </w:r>
          </w:p>
        </w:tc>
        <w:tc>
          <w:tcPr>
            <w:tcW w:w="642" w:type="pct"/>
          </w:tcPr>
          <w:p w14:paraId="6EEACBF9" w14:textId="77777777" w:rsidR="00704151" w:rsidRPr="00687637" w:rsidRDefault="00704151" w:rsidP="00924B64">
            <w:pPr>
              <w:jc w:val="center"/>
              <w:rPr>
                <w:sz w:val="20"/>
                <w:szCs w:val="20"/>
              </w:rPr>
            </w:pPr>
            <w:r w:rsidRPr="00687637">
              <w:rPr>
                <w:sz w:val="20"/>
                <w:szCs w:val="20"/>
              </w:rPr>
              <w:t>3.9</w:t>
            </w:r>
          </w:p>
        </w:tc>
        <w:tc>
          <w:tcPr>
            <w:tcW w:w="642" w:type="pct"/>
          </w:tcPr>
          <w:p w14:paraId="409FF120" w14:textId="77777777" w:rsidR="00704151" w:rsidRPr="00687637" w:rsidRDefault="00704151" w:rsidP="00924B64">
            <w:pPr>
              <w:jc w:val="center"/>
              <w:rPr>
                <w:sz w:val="20"/>
                <w:szCs w:val="20"/>
              </w:rPr>
            </w:pPr>
            <w:r w:rsidRPr="00687637">
              <w:rPr>
                <w:sz w:val="20"/>
                <w:szCs w:val="20"/>
              </w:rPr>
              <w:t>7.1</w:t>
            </w:r>
          </w:p>
        </w:tc>
        <w:tc>
          <w:tcPr>
            <w:tcW w:w="642" w:type="pct"/>
          </w:tcPr>
          <w:p w14:paraId="52F23CCE" w14:textId="77777777" w:rsidR="00704151" w:rsidRPr="00687637" w:rsidRDefault="00704151" w:rsidP="00924B64">
            <w:pPr>
              <w:jc w:val="center"/>
              <w:rPr>
                <w:sz w:val="20"/>
                <w:szCs w:val="20"/>
              </w:rPr>
            </w:pPr>
            <w:r w:rsidRPr="00687637">
              <w:rPr>
                <w:sz w:val="20"/>
                <w:szCs w:val="20"/>
              </w:rPr>
              <w:t>11.9</w:t>
            </w:r>
          </w:p>
        </w:tc>
        <w:tc>
          <w:tcPr>
            <w:tcW w:w="642" w:type="pct"/>
          </w:tcPr>
          <w:p w14:paraId="32137F0E" w14:textId="77777777" w:rsidR="00704151" w:rsidRPr="00687637" w:rsidRDefault="00704151" w:rsidP="00924B64">
            <w:pPr>
              <w:jc w:val="center"/>
              <w:rPr>
                <w:sz w:val="20"/>
                <w:szCs w:val="20"/>
              </w:rPr>
            </w:pPr>
            <w:r w:rsidRPr="00687637">
              <w:rPr>
                <w:sz w:val="20"/>
                <w:szCs w:val="20"/>
              </w:rPr>
              <w:t>26.4</w:t>
            </w:r>
          </w:p>
        </w:tc>
        <w:tc>
          <w:tcPr>
            <w:tcW w:w="641" w:type="pct"/>
          </w:tcPr>
          <w:p w14:paraId="30FE1C38" w14:textId="77777777" w:rsidR="00704151" w:rsidRPr="00687637" w:rsidRDefault="00704151" w:rsidP="00924B64">
            <w:pPr>
              <w:jc w:val="center"/>
              <w:rPr>
                <w:sz w:val="20"/>
                <w:szCs w:val="20"/>
              </w:rPr>
            </w:pPr>
            <w:r w:rsidRPr="00687637">
              <w:rPr>
                <w:sz w:val="20"/>
                <w:szCs w:val="20"/>
              </w:rPr>
              <w:t>30.9</w:t>
            </w:r>
          </w:p>
        </w:tc>
      </w:tr>
      <w:tr w:rsidR="00704151" w:rsidRPr="00687637" w14:paraId="69DA79BC" w14:textId="77777777" w:rsidTr="00924B64">
        <w:tc>
          <w:tcPr>
            <w:tcW w:w="1148" w:type="pct"/>
            <w:tcBorders>
              <w:bottom w:val="single" w:sz="4" w:space="0" w:color="auto"/>
            </w:tcBorders>
          </w:tcPr>
          <w:p w14:paraId="0F717BC6" w14:textId="77777777" w:rsidR="00704151" w:rsidRPr="00687637" w:rsidRDefault="00704151" w:rsidP="00924B64">
            <w:pPr>
              <w:rPr>
                <w:sz w:val="20"/>
                <w:szCs w:val="20"/>
              </w:rPr>
            </w:pPr>
            <w:r w:rsidRPr="00687637">
              <w:rPr>
                <w:sz w:val="20"/>
                <w:szCs w:val="20"/>
              </w:rPr>
              <w:t>Wales</w:t>
            </w:r>
          </w:p>
        </w:tc>
        <w:tc>
          <w:tcPr>
            <w:tcW w:w="642" w:type="pct"/>
            <w:tcBorders>
              <w:bottom w:val="single" w:sz="4" w:space="0" w:color="auto"/>
            </w:tcBorders>
          </w:tcPr>
          <w:p w14:paraId="0FA62244" w14:textId="77777777" w:rsidR="00704151" w:rsidRPr="00687637" w:rsidRDefault="00704151" w:rsidP="00924B64">
            <w:pPr>
              <w:jc w:val="center"/>
              <w:rPr>
                <w:sz w:val="20"/>
                <w:szCs w:val="20"/>
              </w:rPr>
            </w:pPr>
            <w:r w:rsidRPr="00687637">
              <w:rPr>
                <w:sz w:val="20"/>
                <w:szCs w:val="20"/>
              </w:rPr>
              <w:t>0.0</w:t>
            </w:r>
          </w:p>
        </w:tc>
        <w:tc>
          <w:tcPr>
            <w:tcW w:w="642" w:type="pct"/>
            <w:tcBorders>
              <w:bottom w:val="single" w:sz="4" w:space="0" w:color="auto"/>
            </w:tcBorders>
          </w:tcPr>
          <w:p w14:paraId="737D3B2E" w14:textId="77777777" w:rsidR="00704151" w:rsidRPr="00687637" w:rsidRDefault="00704151" w:rsidP="00924B64">
            <w:pPr>
              <w:jc w:val="center"/>
              <w:rPr>
                <w:sz w:val="20"/>
                <w:szCs w:val="20"/>
              </w:rPr>
            </w:pPr>
            <w:r w:rsidRPr="00687637">
              <w:rPr>
                <w:sz w:val="20"/>
                <w:szCs w:val="20"/>
              </w:rPr>
              <w:t>3.2</w:t>
            </w:r>
          </w:p>
        </w:tc>
        <w:tc>
          <w:tcPr>
            <w:tcW w:w="642" w:type="pct"/>
            <w:tcBorders>
              <w:bottom w:val="single" w:sz="4" w:space="0" w:color="auto"/>
            </w:tcBorders>
          </w:tcPr>
          <w:p w14:paraId="2654418F" w14:textId="77777777" w:rsidR="00704151" w:rsidRPr="00687637" w:rsidRDefault="00704151" w:rsidP="00924B64">
            <w:pPr>
              <w:jc w:val="center"/>
              <w:rPr>
                <w:sz w:val="20"/>
                <w:szCs w:val="20"/>
              </w:rPr>
            </w:pPr>
            <w:r w:rsidRPr="00687637">
              <w:rPr>
                <w:sz w:val="20"/>
                <w:szCs w:val="20"/>
              </w:rPr>
              <w:t>4.9</w:t>
            </w:r>
          </w:p>
        </w:tc>
        <w:tc>
          <w:tcPr>
            <w:tcW w:w="642" w:type="pct"/>
            <w:tcBorders>
              <w:bottom w:val="single" w:sz="4" w:space="0" w:color="auto"/>
            </w:tcBorders>
          </w:tcPr>
          <w:p w14:paraId="0963C985" w14:textId="77777777" w:rsidR="00704151" w:rsidRPr="00687637" w:rsidRDefault="00704151" w:rsidP="00924B64">
            <w:pPr>
              <w:jc w:val="center"/>
              <w:rPr>
                <w:sz w:val="20"/>
                <w:szCs w:val="20"/>
              </w:rPr>
            </w:pPr>
            <w:r w:rsidRPr="00687637">
              <w:rPr>
                <w:sz w:val="20"/>
                <w:szCs w:val="20"/>
              </w:rPr>
              <w:t>7.5</w:t>
            </w:r>
          </w:p>
        </w:tc>
        <w:tc>
          <w:tcPr>
            <w:tcW w:w="642" w:type="pct"/>
            <w:tcBorders>
              <w:bottom w:val="single" w:sz="4" w:space="0" w:color="auto"/>
            </w:tcBorders>
          </w:tcPr>
          <w:p w14:paraId="54369A21" w14:textId="77777777" w:rsidR="00704151" w:rsidRPr="00687637" w:rsidRDefault="00704151" w:rsidP="00924B64">
            <w:pPr>
              <w:jc w:val="center"/>
              <w:rPr>
                <w:sz w:val="20"/>
                <w:szCs w:val="20"/>
              </w:rPr>
            </w:pPr>
            <w:r w:rsidRPr="00687637">
              <w:rPr>
                <w:sz w:val="20"/>
                <w:szCs w:val="20"/>
              </w:rPr>
              <w:t>22.0</w:t>
            </w:r>
          </w:p>
        </w:tc>
        <w:tc>
          <w:tcPr>
            <w:tcW w:w="641" w:type="pct"/>
            <w:tcBorders>
              <w:bottom w:val="single" w:sz="4" w:space="0" w:color="auto"/>
            </w:tcBorders>
          </w:tcPr>
          <w:p w14:paraId="4DC3C146" w14:textId="77777777" w:rsidR="00704151" w:rsidRPr="00687637" w:rsidRDefault="00704151" w:rsidP="00924B64">
            <w:pPr>
              <w:jc w:val="center"/>
              <w:rPr>
                <w:sz w:val="20"/>
                <w:szCs w:val="20"/>
              </w:rPr>
            </w:pPr>
            <w:r w:rsidRPr="00687637">
              <w:rPr>
                <w:sz w:val="20"/>
                <w:szCs w:val="20"/>
              </w:rPr>
              <w:t>29.3</w:t>
            </w:r>
          </w:p>
        </w:tc>
      </w:tr>
      <w:tr w:rsidR="00704151" w:rsidRPr="00687637" w14:paraId="0B1592C4" w14:textId="77777777" w:rsidTr="00924B64">
        <w:tc>
          <w:tcPr>
            <w:tcW w:w="1148" w:type="pct"/>
            <w:tcBorders>
              <w:top w:val="single" w:sz="4" w:space="0" w:color="auto"/>
              <w:bottom w:val="single" w:sz="4" w:space="0" w:color="auto"/>
            </w:tcBorders>
          </w:tcPr>
          <w:p w14:paraId="7D7D234B" w14:textId="77777777" w:rsidR="00704151" w:rsidRPr="00687637" w:rsidRDefault="00704151" w:rsidP="00924B64">
            <w:pPr>
              <w:rPr>
                <w:sz w:val="20"/>
                <w:szCs w:val="20"/>
              </w:rPr>
            </w:pPr>
            <w:r w:rsidRPr="00687637">
              <w:rPr>
                <w:sz w:val="20"/>
                <w:szCs w:val="20"/>
              </w:rPr>
              <w:t>Total</w:t>
            </w:r>
          </w:p>
        </w:tc>
        <w:tc>
          <w:tcPr>
            <w:tcW w:w="642" w:type="pct"/>
            <w:tcBorders>
              <w:top w:val="single" w:sz="4" w:space="0" w:color="auto"/>
              <w:bottom w:val="single" w:sz="4" w:space="0" w:color="auto"/>
            </w:tcBorders>
          </w:tcPr>
          <w:p w14:paraId="44BFFA11" w14:textId="77777777" w:rsidR="00704151" w:rsidRPr="00687637" w:rsidRDefault="00704151" w:rsidP="00924B64">
            <w:pPr>
              <w:jc w:val="center"/>
              <w:rPr>
                <w:sz w:val="20"/>
                <w:szCs w:val="20"/>
              </w:rPr>
            </w:pPr>
            <w:r w:rsidRPr="00687637">
              <w:rPr>
                <w:sz w:val="20"/>
                <w:szCs w:val="20"/>
              </w:rPr>
              <w:t>0.0</w:t>
            </w:r>
          </w:p>
        </w:tc>
        <w:tc>
          <w:tcPr>
            <w:tcW w:w="642" w:type="pct"/>
            <w:tcBorders>
              <w:top w:val="single" w:sz="4" w:space="0" w:color="auto"/>
              <w:bottom w:val="single" w:sz="4" w:space="0" w:color="auto"/>
            </w:tcBorders>
          </w:tcPr>
          <w:p w14:paraId="13E947E7" w14:textId="77777777" w:rsidR="00704151" w:rsidRPr="00687637" w:rsidRDefault="00704151" w:rsidP="00924B64">
            <w:pPr>
              <w:jc w:val="center"/>
              <w:rPr>
                <w:sz w:val="20"/>
                <w:szCs w:val="20"/>
              </w:rPr>
            </w:pPr>
            <w:r w:rsidRPr="00687637">
              <w:rPr>
                <w:sz w:val="20"/>
                <w:szCs w:val="20"/>
              </w:rPr>
              <w:t>1.3</w:t>
            </w:r>
          </w:p>
        </w:tc>
        <w:tc>
          <w:tcPr>
            <w:tcW w:w="642" w:type="pct"/>
            <w:tcBorders>
              <w:top w:val="single" w:sz="4" w:space="0" w:color="auto"/>
              <w:bottom w:val="single" w:sz="4" w:space="0" w:color="auto"/>
            </w:tcBorders>
          </w:tcPr>
          <w:p w14:paraId="777827B4" w14:textId="77777777" w:rsidR="00704151" w:rsidRPr="00687637" w:rsidRDefault="00704151" w:rsidP="00924B64">
            <w:pPr>
              <w:jc w:val="center"/>
              <w:rPr>
                <w:sz w:val="20"/>
                <w:szCs w:val="20"/>
              </w:rPr>
            </w:pPr>
            <w:r w:rsidRPr="00687637">
              <w:rPr>
                <w:sz w:val="20"/>
                <w:szCs w:val="20"/>
              </w:rPr>
              <w:t>2.4</w:t>
            </w:r>
          </w:p>
        </w:tc>
        <w:tc>
          <w:tcPr>
            <w:tcW w:w="642" w:type="pct"/>
            <w:tcBorders>
              <w:top w:val="single" w:sz="4" w:space="0" w:color="auto"/>
              <w:bottom w:val="single" w:sz="4" w:space="0" w:color="auto"/>
            </w:tcBorders>
          </w:tcPr>
          <w:p w14:paraId="57982CD5" w14:textId="77777777" w:rsidR="00704151" w:rsidRPr="00687637" w:rsidRDefault="00704151" w:rsidP="00924B64">
            <w:pPr>
              <w:jc w:val="center"/>
              <w:rPr>
                <w:sz w:val="20"/>
                <w:szCs w:val="20"/>
              </w:rPr>
            </w:pPr>
            <w:r w:rsidRPr="00687637">
              <w:rPr>
                <w:sz w:val="20"/>
                <w:szCs w:val="20"/>
              </w:rPr>
              <w:t>2.9</w:t>
            </w:r>
          </w:p>
        </w:tc>
        <w:tc>
          <w:tcPr>
            <w:tcW w:w="642" w:type="pct"/>
            <w:tcBorders>
              <w:top w:val="single" w:sz="4" w:space="0" w:color="auto"/>
              <w:bottom w:val="single" w:sz="4" w:space="0" w:color="auto"/>
            </w:tcBorders>
          </w:tcPr>
          <w:p w14:paraId="03FCDEBE" w14:textId="77777777" w:rsidR="00704151" w:rsidRPr="00687637" w:rsidRDefault="00704151" w:rsidP="00924B64">
            <w:pPr>
              <w:jc w:val="center"/>
              <w:rPr>
                <w:sz w:val="20"/>
                <w:szCs w:val="20"/>
              </w:rPr>
            </w:pPr>
            <w:r w:rsidRPr="00687637">
              <w:rPr>
                <w:sz w:val="20"/>
                <w:szCs w:val="20"/>
              </w:rPr>
              <w:t>16.1</w:t>
            </w:r>
          </w:p>
        </w:tc>
        <w:tc>
          <w:tcPr>
            <w:tcW w:w="641" w:type="pct"/>
            <w:tcBorders>
              <w:top w:val="single" w:sz="4" w:space="0" w:color="auto"/>
              <w:bottom w:val="single" w:sz="4" w:space="0" w:color="auto"/>
            </w:tcBorders>
          </w:tcPr>
          <w:p w14:paraId="16F9E010" w14:textId="77777777" w:rsidR="00704151" w:rsidRPr="00687637" w:rsidRDefault="00704151" w:rsidP="00924B64">
            <w:pPr>
              <w:jc w:val="center"/>
              <w:rPr>
                <w:sz w:val="20"/>
                <w:szCs w:val="20"/>
              </w:rPr>
            </w:pPr>
            <w:r w:rsidRPr="00687637">
              <w:rPr>
                <w:sz w:val="20"/>
                <w:szCs w:val="20"/>
              </w:rPr>
              <w:t>30.9</w:t>
            </w:r>
          </w:p>
        </w:tc>
      </w:tr>
    </w:tbl>
    <w:p w14:paraId="55AC3195" w14:textId="77777777" w:rsidR="00704151" w:rsidRPr="00687637" w:rsidRDefault="00704151" w:rsidP="00704151">
      <w:pPr>
        <w:rPr>
          <w:sz w:val="18"/>
        </w:rPr>
      </w:pPr>
      <w:r w:rsidRPr="00687637">
        <w:rPr>
          <w:sz w:val="18"/>
        </w:rPr>
        <w:t>Note: The national 56</w:t>
      </w:r>
      <w:r w:rsidRPr="00687637">
        <w:rPr>
          <w:sz w:val="18"/>
          <w:vertAlign w:val="superscript"/>
        </w:rPr>
        <w:t>th</w:t>
      </w:r>
      <w:r w:rsidRPr="00687637">
        <w:rPr>
          <w:sz w:val="18"/>
        </w:rPr>
        <w:t xml:space="preserve"> percentile was 1.6km. The headers, p75 and p99, denote the 75</w:t>
      </w:r>
      <w:r w:rsidRPr="00687637">
        <w:rPr>
          <w:sz w:val="18"/>
          <w:vertAlign w:val="superscript"/>
        </w:rPr>
        <w:t>th</w:t>
      </w:r>
      <w:r w:rsidRPr="00687637">
        <w:rPr>
          <w:sz w:val="18"/>
        </w:rPr>
        <w:t xml:space="preserve"> and 99</w:t>
      </w:r>
      <w:r w:rsidRPr="00687637">
        <w:rPr>
          <w:sz w:val="18"/>
          <w:vertAlign w:val="superscript"/>
        </w:rPr>
        <w:t>th</w:t>
      </w:r>
      <w:r w:rsidRPr="00687637">
        <w:rPr>
          <w:sz w:val="18"/>
        </w:rPr>
        <w:t xml:space="preserve"> percentile, respectively. </w:t>
      </w:r>
    </w:p>
    <w:p w14:paraId="49F70CCD" w14:textId="77777777" w:rsidR="00704151" w:rsidRPr="00687637" w:rsidRDefault="00704151" w:rsidP="00704151"/>
    <w:p w14:paraId="25B2EEFD" w14:textId="77777777" w:rsidR="00704151" w:rsidRPr="00687637" w:rsidRDefault="00704151" w:rsidP="00704151">
      <w:pPr>
        <w:pStyle w:val="Caption"/>
        <w:keepNext/>
        <w:rPr>
          <w:rFonts w:ascii="Times New Roman" w:hAnsi="Times New Roman" w:cs="Times New Roman"/>
        </w:rPr>
      </w:pPr>
      <w:bookmarkStart w:id="22" w:name="_Ref471222422"/>
      <w:r w:rsidRPr="00687637">
        <w:rPr>
          <w:rFonts w:ascii="Times New Roman" w:hAnsi="Times New Roman" w:cs="Times New Roman"/>
        </w:rPr>
        <w:t xml:space="preserve">Table </w:t>
      </w:r>
      <w:r w:rsidRPr="00687637">
        <w:rPr>
          <w:rFonts w:ascii="Times New Roman" w:hAnsi="Times New Roman" w:cs="Times New Roman"/>
        </w:rPr>
        <w:fldChar w:fldCharType="begin"/>
      </w:r>
      <w:r w:rsidRPr="00687637">
        <w:rPr>
          <w:rFonts w:ascii="Times New Roman" w:hAnsi="Times New Roman" w:cs="Times New Roman"/>
        </w:rPr>
        <w:instrText xml:space="preserve"> SEQ Table \* ARABIC </w:instrText>
      </w:r>
      <w:r w:rsidRPr="00687637">
        <w:rPr>
          <w:rFonts w:ascii="Times New Roman" w:hAnsi="Times New Roman" w:cs="Times New Roman"/>
        </w:rPr>
        <w:fldChar w:fldCharType="separate"/>
      </w:r>
      <w:r w:rsidRPr="00687637">
        <w:rPr>
          <w:rFonts w:ascii="Times New Roman" w:hAnsi="Times New Roman" w:cs="Times New Roman"/>
          <w:noProof/>
        </w:rPr>
        <w:t>2</w:t>
      </w:r>
      <w:r w:rsidRPr="00687637">
        <w:rPr>
          <w:rFonts w:ascii="Times New Roman" w:hAnsi="Times New Roman" w:cs="Times New Roman"/>
        </w:rPr>
        <w:fldChar w:fldCharType="end"/>
      </w:r>
      <w:bookmarkEnd w:id="22"/>
      <w:r w:rsidRPr="00687637">
        <w:rPr>
          <w:rFonts w:ascii="Times New Roman" w:hAnsi="Times New Roman" w:cs="Times New Roman"/>
        </w:rPr>
        <w:t xml:space="preserve">   Top10 Trips abroad to countries with yellow fever risk made by residents in England, Wales, and Northern Ireland. Source: International Passenger Survey 2015.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704151" w:rsidRPr="00687637" w14:paraId="00FDAF3B" w14:textId="77777777" w:rsidTr="00924B64">
        <w:tc>
          <w:tcPr>
            <w:tcW w:w="1250" w:type="pct"/>
            <w:tcBorders>
              <w:top w:val="single" w:sz="4" w:space="0" w:color="auto"/>
              <w:bottom w:val="single" w:sz="4" w:space="0" w:color="auto"/>
            </w:tcBorders>
          </w:tcPr>
          <w:p w14:paraId="5C872392" w14:textId="77777777" w:rsidR="00704151" w:rsidRPr="00687637" w:rsidRDefault="00704151" w:rsidP="00924B64">
            <w:pPr>
              <w:rPr>
                <w:b/>
                <w:sz w:val="20"/>
                <w:szCs w:val="20"/>
              </w:rPr>
            </w:pPr>
            <w:r w:rsidRPr="00687637">
              <w:rPr>
                <w:b/>
                <w:sz w:val="20"/>
                <w:szCs w:val="20"/>
              </w:rPr>
              <w:t>Destination</w:t>
            </w:r>
          </w:p>
        </w:tc>
        <w:tc>
          <w:tcPr>
            <w:tcW w:w="1250" w:type="pct"/>
            <w:tcBorders>
              <w:top w:val="single" w:sz="4" w:space="0" w:color="auto"/>
              <w:bottom w:val="single" w:sz="4" w:space="0" w:color="auto"/>
            </w:tcBorders>
          </w:tcPr>
          <w:p w14:paraId="476C72B4" w14:textId="77777777" w:rsidR="00704151" w:rsidRPr="00687637" w:rsidRDefault="00704151" w:rsidP="00924B64">
            <w:pPr>
              <w:jc w:val="center"/>
              <w:rPr>
                <w:b/>
                <w:sz w:val="20"/>
                <w:szCs w:val="20"/>
              </w:rPr>
            </w:pPr>
            <w:r w:rsidRPr="00687637">
              <w:rPr>
                <w:b/>
                <w:sz w:val="20"/>
                <w:szCs w:val="20"/>
              </w:rPr>
              <w:t>Freq.</w:t>
            </w:r>
          </w:p>
        </w:tc>
        <w:tc>
          <w:tcPr>
            <w:tcW w:w="1250" w:type="pct"/>
            <w:tcBorders>
              <w:top w:val="single" w:sz="4" w:space="0" w:color="auto"/>
              <w:bottom w:val="single" w:sz="4" w:space="0" w:color="auto"/>
            </w:tcBorders>
          </w:tcPr>
          <w:p w14:paraId="267934FD" w14:textId="77777777" w:rsidR="00704151" w:rsidRPr="00687637" w:rsidRDefault="00704151" w:rsidP="00924B64">
            <w:pPr>
              <w:jc w:val="center"/>
              <w:rPr>
                <w:b/>
                <w:sz w:val="20"/>
                <w:szCs w:val="20"/>
              </w:rPr>
            </w:pPr>
            <w:r w:rsidRPr="00687637">
              <w:rPr>
                <w:b/>
                <w:sz w:val="20"/>
                <w:szCs w:val="20"/>
              </w:rPr>
              <w:t>Percent</w:t>
            </w:r>
          </w:p>
        </w:tc>
        <w:tc>
          <w:tcPr>
            <w:tcW w:w="1250" w:type="pct"/>
            <w:tcBorders>
              <w:top w:val="single" w:sz="4" w:space="0" w:color="auto"/>
              <w:bottom w:val="single" w:sz="4" w:space="0" w:color="auto"/>
            </w:tcBorders>
          </w:tcPr>
          <w:p w14:paraId="12F2A056" w14:textId="77777777" w:rsidR="00704151" w:rsidRPr="00687637" w:rsidRDefault="00704151" w:rsidP="00924B64">
            <w:pPr>
              <w:jc w:val="center"/>
              <w:rPr>
                <w:b/>
                <w:sz w:val="20"/>
                <w:szCs w:val="20"/>
              </w:rPr>
            </w:pPr>
            <w:r w:rsidRPr="00687637">
              <w:rPr>
                <w:b/>
                <w:sz w:val="20"/>
                <w:szCs w:val="20"/>
              </w:rPr>
              <w:t>Cumulative Percent</w:t>
            </w:r>
          </w:p>
        </w:tc>
      </w:tr>
      <w:tr w:rsidR="00704151" w:rsidRPr="00687637" w14:paraId="5AC228FD" w14:textId="77777777" w:rsidTr="00924B64">
        <w:tc>
          <w:tcPr>
            <w:tcW w:w="1250" w:type="pct"/>
            <w:tcBorders>
              <w:top w:val="single" w:sz="4" w:space="0" w:color="auto"/>
            </w:tcBorders>
          </w:tcPr>
          <w:p w14:paraId="1F380F73" w14:textId="77777777" w:rsidR="00704151" w:rsidRPr="00687637" w:rsidRDefault="00704151" w:rsidP="00924B64">
            <w:pPr>
              <w:rPr>
                <w:sz w:val="20"/>
                <w:szCs w:val="20"/>
              </w:rPr>
            </w:pPr>
            <w:r w:rsidRPr="00687637">
              <w:rPr>
                <w:sz w:val="20"/>
                <w:szCs w:val="20"/>
              </w:rPr>
              <w:t>Nigeria</w:t>
            </w:r>
          </w:p>
        </w:tc>
        <w:tc>
          <w:tcPr>
            <w:tcW w:w="1250" w:type="pct"/>
            <w:tcBorders>
              <w:top w:val="single" w:sz="4" w:space="0" w:color="auto"/>
            </w:tcBorders>
          </w:tcPr>
          <w:p w14:paraId="44B57E47" w14:textId="77777777" w:rsidR="00704151" w:rsidRPr="00687637" w:rsidRDefault="00704151" w:rsidP="00924B64">
            <w:pPr>
              <w:jc w:val="center"/>
              <w:rPr>
                <w:sz w:val="20"/>
                <w:szCs w:val="20"/>
              </w:rPr>
            </w:pPr>
            <w:r w:rsidRPr="00687637">
              <w:rPr>
                <w:sz w:val="20"/>
                <w:szCs w:val="20"/>
              </w:rPr>
              <w:t>147,856</w:t>
            </w:r>
          </w:p>
        </w:tc>
        <w:tc>
          <w:tcPr>
            <w:tcW w:w="1250" w:type="pct"/>
            <w:tcBorders>
              <w:top w:val="single" w:sz="4" w:space="0" w:color="auto"/>
            </w:tcBorders>
          </w:tcPr>
          <w:p w14:paraId="01BA446C" w14:textId="77777777" w:rsidR="00704151" w:rsidRPr="00687637" w:rsidRDefault="00704151" w:rsidP="00924B64">
            <w:pPr>
              <w:jc w:val="center"/>
              <w:rPr>
                <w:sz w:val="20"/>
                <w:szCs w:val="20"/>
              </w:rPr>
            </w:pPr>
            <w:r w:rsidRPr="00687637">
              <w:rPr>
                <w:sz w:val="20"/>
                <w:szCs w:val="20"/>
              </w:rPr>
              <w:t>20.7</w:t>
            </w:r>
          </w:p>
        </w:tc>
        <w:tc>
          <w:tcPr>
            <w:tcW w:w="1250" w:type="pct"/>
            <w:tcBorders>
              <w:top w:val="single" w:sz="4" w:space="0" w:color="auto"/>
            </w:tcBorders>
          </w:tcPr>
          <w:p w14:paraId="61DF9E20" w14:textId="77777777" w:rsidR="00704151" w:rsidRPr="00687637" w:rsidRDefault="00704151" w:rsidP="00924B64">
            <w:pPr>
              <w:jc w:val="center"/>
              <w:rPr>
                <w:sz w:val="20"/>
                <w:szCs w:val="20"/>
              </w:rPr>
            </w:pPr>
            <w:r w:rsidRPr="00687637">
              <w:rPr>
                <w:sz w:val="20"/>
                <w:szCs w:val="20"/>
              </w:rPr>
              <w:t>20.7</w:t>
            </w:r>
          </w:p>
        </w:tc>
      </w:tr>
      <w:tr w:rsidR="00704151" w:rsidRPr="00687637" w14:paraId="45961576" w14:textId="77777777" w:rsidTr="00924B64">
        <w:tc>
          <w:tcPr>
            <w:tcW w:w="1250" w:type="pct"/>
          </w:tcPr>
          <w:p w14:paraId="65AB49F3" w14:textId="77777777" w:rsidR="00704151" w:rsidRPr="00687637" w:rsidRDefault="00704151" w:rsidP="00924B64">
            <w:pPr>
              <w:rPr>
                <w:sz w:val="20"/>
                <w:szCs w:val="20"/>
              </w:rPr>
            </w:pPr>
            <w:r w:rsidRPr="00687637">
              <w:rPr>
                <w:sz w:val="20"/>
                <w:szCs w:val="20"/>
              </w:rPr>
              <w:t>Brazil</w:t>
            </w:r>
          </w:p>
        </w:tc>
        <w:tc>
          <w:tcPr>
            <w:tcW w:w="1250" w:type="pct"/>
          </w:tcPr>
          <w:p w14:paraId="7740D986" w14:textId="77777777" w:rsidR="00704151" w:rsidRPr="00687637" w:rsidRDefault="00704151" w:rsidP="00924B64">
            <w:pPr>
              <w:jc w:val="center"/>
              <w:rPr>
                <w:sz w:val="20"/>
                <w:szCs w:val="20"/>
              </w:rPr>
            </w:pPr>
            <w:r w:rsidRPr="00687637">
              <w:rPr>
                <w:sz w:val="20"/>
                <w:szCs w:val="20"/>
              </w:rPr>
              <w:t>105,331</w:t>
            </w:r>
          </w:p>
        </w:tc>
        <w:tc>
          <w:tcPr>
            <w:tcW w:w="1250" w:type="pct"/>
          </w:tcPr>
          <w:p w14:paraId="0DE5D940" w14:textId="77777777" w:rsidR="00704151" w:rsidRPr="00687637" w:rsidRDefault="00704151" w:rsidP="00924B64">
            <w:pPr>
              <w:jc w:val="center"/>
              <w:rPr>
                <w:sz w:val="20"/>
                <w:szCs w:val="20"/>
              </w:rPr>
            </w:pPr>
            <w:r w:rsidRPr="00687637">
              <w:rPr>
                <w:sz w:val="20"/>
                <w:szCs w:val="20"/>
              </w:rPr>
              <w:t>14.8</w:t>
            </w:r>
          </w:p>
        </w:tc>
        <w:tc>
          <w:tcPr>
            <w:tcW w:w="1250" w:type="pct"/>
          </w:tcPr>
          <w:p w14:paraId="45CC318F" w14:textId="77777777" w:rsidR="00704151" w:rsidRPr="00687637" w:rsidRDefault="00704151" w:rsidP="00924B64">
            <w:pPr>
              <w:jc w:val="center"/>
              <w:rPr>
                <w:sz w:val="20"/>
                <w:szCs w:val="20"/>
              </w:rPr>
            </w:pPr>
            <w:r w:rsidRPr="00687637">
              <w:rPr>
                <w:sz w:val="20"/>
                <w:szCs w:val="20"/>
              </w:rPr>
              <w:t>35.5</w:t>
            </w:r>
          </w:p>
        </w:tc>
      </w:tr>
      <w:tr w:rsidR="00704151" w:rsidRPr="00687637" w14:paraId="7775E62B" w14:textId="77777777" w:rsidTr="00924B64">
        <w:tc>
          <w:tcPr>
            <w:tcW w:w="1250" w:type="pct"/>
          </w:tcPr>
          <w:p w14:paraId="29C239E4" w14:textId="77777777" w:rsidR="00704151" w:rsidRPr="00687637" w:rsidRDefault="00704151" w:rsidP="00924B64">
            <w:pPr>
              <w:rPr>
                <w:sz w:val="20"/>
                <w:szCs w:val="20"/>
              </w:rPr>
            </w:pPr>
            <w:r w:rsidRPr="00687637">
              <w:rPr>
                <w:sz w:val="20"/>
                <w:szCs w:val="20"/>
              </w:rPr>
              <w:t>Kenya</w:t>
            </w:r>
          </w:p>
        </w:tc>
        <w:tc>
          <w:tcPr>
            <w:tcW w:w="1250" w:type="pct"/>
          </w:tcPr>
          <w:p w14:paraId="1B33BA7E" w14:textId="77777777" w:rsidR="00704151" w:rsidRPr="00687637" w:rsidRDefault="00704151" w:rsidP="00924B64">
            <w:pPr>
              <w:jc w:val="center"/>
              <w:rPr>
                <w:sz w:val="20"/>
                <w:szCs w:val="20"/>
              </w:rPr>
            </w:pPr>
            <w:r w:rsidRPr="00687637">
              <w:rPr>
                <w:sz w:val="20"/>
                <w:szCs w:val="20"/>
              </w:rPr>
              <w:t>98,392</w:t>
            </w:r>
          </w:p>
        </w:tc>
        <w:tc>
          <w:tcPr>
            <w:tcW w:w="1250" w:type="pct"/>
          </w:tcPr>
          <w:p w14:paraId="2A86455F" w14:textId="77777777" w:rsidR="00704151" w:rsidRPr="00687637" w:rsidRDefault="00704151" w:rsidP="00924B64">
            <w:pPr>
              <w:jc w:val="center"/>
              <w:rPr>
                <w:sz w:val="20"/>
                <w:szCs w:val="20"/>
              </w:rPr>
            </w:pPr>
            <w:r w:rsidRPr="00687637">
              <w:rPr>
                <w:sz w:val="20"/>
                <w:szCs w:val="20"/>
              </w:rPr>
              <w:t>13.8</w:t>
            </w:r>
          </w:p>
        </w:tc>
        <w:tc>
          <w:tcPr>
            <w:tcW w:w="1250" w:type="pct"/>
          </w:tcPr>
          <w:p w14:paraId="7C201FEE" w14:textId="77777777" w:rsidR="00704151" w:rsidRPr="00687637" w:rsidRDefault="00704151" w:rsidP="00924B64">
            <w:pPr>
              <w:jc w:val="center"/>
              <w:rPr>
                <w:sz w:val="20"/>
                <w:szCs w:val="20"/>
              </w:rPr>
            </w:pPr>
            <w:r w:rsidRPr="00687637">
              <w:rPr>
                <w:sz w:val="20"/>
                <w:szCs w:val="20"/>
              </w:rPr>
              <w:t>49.3</w:t>
            </w:r>
          </w:p>
        </w:tc>
      </w:tr>
      <w:tr w:rsidR="00704151" w:rsidRPr="00687637" w14:paraId="0750A488" w14:textId="77777777" w:rsidTr="00924B64">
        <w:tc>
          <w:tcPr>
            <w:tcW w:w="1250" w:type="pct"/>
          </w:tcPr>
          <w:p w14:paraId="010BF171" w14:textId="77777777" w:rsidR="00704151" w:rsidRPr="00687637" w:rsidRDefault="00704151" w:rsidP="00924B64">
            <w:pPr>
              <w:rPr>
                <w:sz w:val="20"/>
                <w:szCs w:val="20"/>
              </w:rPr>
            </w:pPr>
            <w:r w:rsidRPr="00687637">
              <w:rPr>
                <w:sz w:val="20"/>
                <w:szCs w:val="20"/>
              </w:rPr>
              <w:t>Ghana</w:t>
            </w:r>
          </w:p>
        </w:tc>
        <w:tc>
          <w:tcPr>
            <w:tcW w:w="1250" w:type="pct"/>
          </w:tcPr>
          <w:p w14:paraId="423A2C3B" w14:textId="77777777" w:rsidR="00704151" w:rsidRPr="00687637" w:rsidRDefault="00704151" w:rsidP="00924B64">
            <w:pPr>
              <w:jc w:val="center"/>
              <w:rPr>
                <w:sz w:val="20"/>
                <w:szCs w:val="20"/>
              </w:rPr>
            </w:pPr>
            <w:r w:rsidRPr="00687637">
              <w:rPr>
                <w:sz w:val="20"/>
                <w:szCs w:val="20"/>
              </w:rPr>
              <w:t>66,558</w:t>
            </w:r>
          </w:p>
        </w:tc>
        <w:tc>
          <w:tcPr>
            <w:tcW w:w="1250" w:type="pct"/>
          </w:tcPr>
          <w:p w14:paraId="4CBFA568" w14:textId="77777777" w:rsidR="00704151" w:rsidRPr="00687637" w:rsidRDefault="00704151" w:rsidP="00924B64">
            <w:pPr>
              <w:jc w:val="center"/>
              <w:rPr>
                <w:sz w:val="20"/>
                <w:szCs w:val="20"/>
              </w:rPr>
            </w:pPr>
            <w:r w:rsidRPr="00687637">
              <w:rPr>
                <w:sz w:val="20"/>
                <w:szCs w:val="20"/>
              </w:rPr>
              <w:t>9.3</w:t>
            </w:r>
          </w:p>
        </w:tc>
        <w:tc>
          <w:tcPr>
            <w:tcW w:w="1250" w:type="pct"/>
          </w:tcPr>
          <w:p w14:paraId="6F396124" w14:textId="77777777" w:rsidR="00704151" w:rsidRPr="00687637" w:rsidRDefault="00704151" w:rsidP="00924B64">
            <w:pPr>
              <w:jc w:val="center"/>
              <w:rPr>
                <w:sz w:val="20"/>
                <w:szCs w:val="20"/>
              </w:rPr>
            </w:pPr>
            <w:r w:rsidRPr="00687637">
              <w:rPr>
                <w:sz w:val="20"/>
                <w:szCs w:val="20"/>
              </w:rPr>
              <w:t>58.6</w:t>
            </w:r>
          </w:p>
        </w:tc>
      </w:tr>
      <w:tr w:rsidR="00704151" w:rsidRPr="00687637" w14:paraId="71BBC05F" w14:textId="77777777" w:rsidTr="00924B64">
        <w:tc>
          <w:tcPr>
            <w:tcW w:w="1250" w:type="pct"/>
          </w:tcPr>
          <w:p w14:paraId="3BC4B206" w14:textId="77777777" w:rsidR="00704151" w:rsidRPr="00687637" w:rsidRDefault="00704151" w:rsidP="00924B64">
            <w:pPr>
              <w:rPr>
                <w:sz w:val="20"/>
                <w:szCs w:val="20"/>
              </w:rPr>
            </w:pPr>
            <w:r w:rsidRPr="00687637">
              <w:rPr>
                <w:sz w:val="20"/>
                <w:szCs w:val="20"/>
              </w:rPr>
              <w:t>Gambia</w:t>
            </w:r>
          </w:p>
        </w:tc>
        <w:tc>
          <w:tcPr>
            <w:tcW w:w="1250" w:type="pct"/>
          </w:tcPr>
          <w:p w14:paraId="03EE6800" w14:textId="77777777" w:rsidR="00704151" w:rsidRPr="00687637" w:rsidRDefault="00704151" w:rsidP="00924B64">
            <w:pPr>
              <w:jc w:val="center"/>
              <w:rPr>
                <w:sz w:val="20"/>
                <w:szCs w:val="20"/>
              </w:rPr>
            </w:pPr>
            <w:r w:rsidRPr="00687637">
              <w:rPr>
                <w:sz w:val="20"/>
                <w:szCs w:val="20"/>
              </w:rPr>
              <w:t>42,329</w:t>
            </w:r>
          </w:p>
        </w:tc>
        <w:tc>
          <w:tcPr>
            <w:tcW w:w="1250" w:type="pct"/>
          </w:tcPr>
          <w:p w14:paraId="6C1876FA" w14:textId="77777777" w:rsidR="00704151" w:rsidRPr="00687637" w:rsidRDefault="00704151" w:rsidP="00924B64">
            <w:pPr>
              <w:jc w:val="center"/>
              <w:rPr>
                <w:sz w:val="20"/>
                <w:szCs w:val="20"/>
              </w:rPr>
            </w:pPr>
            <w:r w:rsidRPr="00687637">
              <w:rPr>
                <w:sz w:val="20"/>
                <w:szCs w:val="20"/>
              </w:rPr>
              <w:t>5.9</w:t>
            </w:r>
          </w:p>
        </w:tc>
        <w:tc>
          <w:tcPr>
            <w:tcW w:w="1250" w:type="pct"/>
          </w:tcPr>
          <w:p w14:paraId="019950C1" w14:textId="77777777" w:rsidR="00704151" w:rsidRPr="00687637" w:rsidRDefault="00704151" w:rsidP="00924B64">
            <w:pPr>
              <w:jc w:val="center"/>
              <w:rPr>
                <w:sz w:val="20"/>
                <w:szCs w:val="20"/>
              </w:rPr>
            </w:pPr>
            <w:r w:rsidRPr="00687637">
              <w:rPr>
                <w:sz w:val="20"/>
                <w:szCs w:val="20"/>
              </w:rPr>
              <w:t>64.5</w:t>
            </w:r>
          </w:p>
        </w:tc>
      </w:tr>
      <w:tr w:rsidR="00704151" w:rsidRPr="00687637" w14:paraId="02153212" w14:textId="77777777" w:rsidTr="00924B64">
        <w:tc>
          <w:tcPr>
            <w:tcW w:w="1250" w:type="pct"/>
          </w:tcPr>
          <w:p w14:paraId="4ACFE88F" w14:textId="77777777" w:rsidR="00704151" w:rsidRPr="00687637" w:rsidRDefault="00704151" w:rsidP="00924B64">
            <w:pPr>
              <w:rPr>
                <w:sz w:val="20"/>
                <w:szCs w:val="20"/>
              </w:rPr>
            </w:pPr>
            <w:r w:rsidRPr="00687637">
              <w:rPr>
                <w:sz w:val="20"/>
                <w:szCs w:val="20"/>
              </w:rPr>
              <w:t>Trinidad &amp; Tobago</w:t>
            </w:r>
          </w:p>
        </w:tc>
        <w:tc>
          <w:tcPr>
            <w:tcW w:w="1250" w:type="pct"/>
          </w:tcPr>
          <w:p w14:paraId="2519987B" w14:textId="77777777" w:rsidR="00704151" w:rsidRPr="00687637" w:rsidRDefault="00704151" w:rsidP="00924B64">
            <w:pPr>
              <w:jc w:val="center"/>
              <w:rPr>
                <w:sz w:val="20"/>
                <w:szCs w:val="20"/>
              </w:rPr>
            </w:pPr>
            <w:r w:rsidRPr="00687637">
              <w:rPr>
                <w:sz w:val="20"/>
                <w:szCs w:val="20"/>
              </w:rPr>
              <w:t>37,589</w:t>
            </w:r>
          </w:p>
        </w:tc>
        <w:tc>
          <w:tcPr>
            <w:tcW w:w="1250" w:type="pct"/>
          </w:tcPr>
          <w:p w14:paraId="61FB7B0D" w14:textId="77777777" w:rsidR="00704151" w:rsidRPr="00687637" w:rsidRDefault="00704151" w:rsidP="00924B64">
            <w:pPr>
              <w:jc w:val="center"/>
              <w:rPr>
                <w:sz w:val="20"/>
                <w:szCs w:val="20"/>
              </w:rPr>
            </w:pPr>
            <w:r w:rsidRPr="00687637">
              <w:rPr>
                <w:sz w:val="20"/>
                <w:szCs w:val="20"/>
              </w:rPr>
              <w:t>5.3</w:t>
            </w:r>
          </w:p>
        </w:tc>
        <w:tc>
          <w:tcPr>
            <w:tcW w:w="1250" w:type="pct"/>
          </w:tcPr>
          <w:p w14:paraId="07AC8FCC" w14:textId="77777777" w:rsidR="00704151" w:rsidRPr="00687637" w:rsidRDefault="00704151" w:rsidP="00924B64">
            <w:pPr>
              <w:jc w:val="center"/>
              <w:rPr>
                <w:sz w:val="20"/>
                <w:szCs w:val="20"/>
              </w:rPr>
            </w:pPr>
            <w:r w:rsidRPr="00687637">
              <w:rPr>
                <w:sz w:val="20"/>
                <w:szCs w:val="20"/>
              </w:rPr>
              <w:t>69.8</w:t>
            </w:r>
          </w:p>
        </w:tc>
      </w:tr>
      <w:tr w:rsidR="00704151" w:rsidRPr="00687637" w14:paraId="094ECEDB" w14:textId="77777777" w:rsidTr="00924B64">
        <w:tc>
          <w:tcPr>
            <w:tcW w:w="1250" w:type="pct"/>
          </w:tcPr>
          <w:p w14:paraId="022E8F6B" w14:textId="77777777" w:rsidR="00704151" w:rsidRPr="00687637" w:rsidRDefault="00704151" w:rsidP="00924B64">
            <w:pPr>
              <w:rPr>
                <w:sz w:val="20"/>
                <w:szCs w:val="20"/>
              </w:rPr>
            </w:pPr>
            <w:r w:rsidRPr="00687637">
              <w:rPr>
                <w:sz w:val="20"/>
                <w:szCs w:val="20"/>
              </w:rPr>
              <w:t>Uganda</w:t>
            </w:r>
          </w:p>
        </w:tc>
        <w:tc>
          <w:tcPr>
            <w:tcW w:w="1250" w:type="pct"/>
          </w:tcPr>
          <w:p w14:paraId="4F40BC29" w14:textId="77777777" w:rsidR="00704151" w:rsidRPr="00687637" w:rsidRDefault="00704151" w:rsidP="00924B64">
            <w:pPr>
              <w:jc w:val="center"/>
              <w:rPr>
                <w:sz w:val="20"/>
                <w:szCs w:val="20"/>
              </w:rPr>
            </w:pPr>
            <w:r w:rsidRPr="00687637">
              <w:rPr>
                <w:sz w:val="20"/>
                <w:szCs w:val="20"/>
              </w:rPr>
              <w:t>31,814</w:t>
            </w:r>
          </w:p>
        </w:tc>
        <w:tc>
          <w:tcPr>
            <w:tcW w:w="1250" w:type="pct"/>
          </w:tcPr>
          <w:p w14:paraId="017F5BE4" w14:textId="77777777" w:rsidR="00704151" w:rsidRPr="00687637" w:rsidRDefault="00704151" w:rsidP="00924B64">
            <w:pPr>
              <w:jc w:val="center"/>
              <w:rPr>
                <w:sz w:val="20"/>
                <w:szCs w:val="20"/>
              </w:rPr>
            </w:pPr>
            <w:r w:rsidRPr="00687637">
              <w:rPr>
                <w:sz w:val="20"/>
                <w:szCs w:val="20"/>
              </w:rPr>
              <w:t>4.5</w:t>
            </w:r>
          </w:p>
        </w:tc>
        <w:tc>
          <w:tcPr>
            <w:tcW w:w="1250" w:type="pct"/>
          </w:tcPr>
          <w:p w14:paraId="0DF4F45A" w14:textId="77777777" w:rsidR="00704151" w:rsidRPr="00687637" w:rsidRDefault="00704151" w:rsidP="00924B64">
            <w:pPr>
              <w:jc w:val="center"/>
              <w:rPr>
                <w:sz w:val="20"/>
                <w:szCs w:val="20"/>
              </w:rPr>
            </w:pPr>
            <w:r w:rsidRPr="00687637">
              <w:rPr>
                <w:sz w:val="20"/>
                <w:szCs w:val="20"/>
              </w:rPr>
              <w:t>74.3</w:t>
            </w:r>
          </w:p>
        </w:tc>
      </w:tr>
      <w:tr w:rsidR="00704151" w:rsidRPr="00687637" w14:paraId="26279655" w14:textId="77777777" w:rsidTr="00924B64">
        <w:tc>
          <w:tcPr>
            <w:tcW w:w="1250" w:type="pct"/>
          </w:tcPr>
          <w:p w14:paraId="2F626257" w14:textId="77777777" w:rsidR="00704151" w:rsidRPr="00687637" w:rsidRDefault="00704151" w:rsidP="00924B64">
            <w:pPr>
              <w:rPr>
                <w:sz w:val="20"/>
                <w:szCs w:val="20"/>
              </w:rPr>
            </w:pPr>
            <w:r w:rsidRPr="00687637">
              <w:rPr>
                <w:sz w:val="20"/>
                <w:szCs w:val="20"/>
              </w:rPr>
              <w:lastRenderedPageBreak/>
              <w:t>Argentina</w:t>
            </w:r>
          </w:p>
        </w:tc>
        <w:tc>
          <w:tcPr>
            <w:tcW w:w="1250" w:type="pct"/>
          </w:tcPr>
          <w:p w14:paraId="6C637D54" w14:textId="77777777" w:rsidR="00704151" w:rsidRPr="00687637" w:rsidRDefault="00704151" w:rsidP="00924B64">
            <w:pPr>
              <w:jc w:val="center"/>
              <w:rPr>
                <w:sz w:val="20"/>
                <w:szCs w:val="20"/>
              </w:rPr>
            </w:pPr>
            <w:r w:rsidRPr="00687637">
              <w:rPr>
                <w:sz w:val="20"/>
                <w:szCs w:val="20"/>
              </w:rPr>
              <w:t>31,188</w:t>
            </w:r>
          </w:p>
        </w:tc>
        <w:tc>
          <w:tcPr>
            <w:tcW w:w="1250" w:type="pct"/>
          </w:tcPr>
          <w:p w14:paraId="3FCC0048" w14:textId="77777777" w:rsidR="00704151" w:rsidRPr="00687637" w:rsidRDefault="00704151" w:rsidP="00924B64">
            <w:pPr>
              <w:jc w:val="center"/>
              <w:rPr>
                <w:sz w:val="20"/>
                <w:szCs w:val="20"/>
              </w:rPr>
            </w:pPr>
            <w:r w:rsidRPr="00687637">
              <w:rPr>
                <w:sz w:val="20"/>
                <w:szCs w:val="20"/>
              </w:rPr>
              <w:t>4.4</w:t>
            </w:r>
          </w:p>
        </w:tc>
        <w:tc>
          <w:tcPr>
            <w:tcW w:w="1250" w:type="pct"/>
          </w:tcPr>
          <w:p w14:paraId="103396A9" w14:textId="77777777" w:rsidR="00704151" w:rsidRPr="00687637" w:rsidRDefault="00704151" w:rsidP="00924B64">
            <w:pPr>
              <w:jc w:val="center"/>
              <w:rPr>
                <w:sz w:val="20"/>
                <w:szCs w:val="20"/>
              </w:rPr>
            </w:pPr>
            <w:r w:rsidRPr="00687637">
              <w:rPr>
                <w:sz w:val="20"/>
                <w:szCs w:val="20"/>
              </w:rPr>
              <w:t>78.6</w:t>
            </w:r>
          </w:p>
        </w:tc>
      </w:tr>
      <w:tr w:rsidR="00704151" w:rsidRPr="00687637" w14:paraId="092AA0A9" w14:textId="77777777" w:rsidTr="00924B64">
        <w:tc>
          <w:tcPr>
            <w:tcW w:w="1250" w:type="pct"/>
          </w:tcPr>
          <w:p w14:paraId="57BEF28D" w14:textId="77777777" w:rsidR="00704151" w:rsidRPr="00687637" w:rsidRDefault="00704151" w:rsidP="00924B64">
            <w:pPr>
              <w:rPr>
                <w:sz w:val="20"/>
                <w:szCs w:val="20"/>
              </w:rPr>
            </w:pPr>
            <w:r w:rsidRPr="00687637">
              <w:rPr>
                <w:sz w:val="20"/>
                <w:szCs w:val="20"/>
              </w:rPr>
              <w:t>Colombia</w:t>
            </w:r>
          </w:p>
        </w:tc>
        <w:tc>
          <w:tcPr>
            <w:tcW w:w="1250" w:type="pct"/>
          </w:tcPr>
          <w:p w14:paraId="536BE37D" w14:textId="77777777" w:rsidR="00704151" w:rsidRPr="00687637" w:rsidRDefault="00704151" w:rsidP="00924B64">
            <w:pPr>
              <w:jc w:val="center"/>
              <w:rPr>
                <w:sz w:val="20"/>
                <w:szCs w:val="20"/>
              </w:rPr>
            </w:pPr>
            <w:r w:rsidRPr="00687637">
              <w:rPr>
                <w:sz w:val="20"/>
                <w:szCs w:val="20"/>
              </w:rPr>
              <w:t>22,764</w:t>
            </w:r>
          </w:p>
        </w:tc>
        <w:tc>
          <w:tcPr>
            <w:tcW w:w="1250" w:type="pct"/>
          </w:tcPr>
          <w:p w14:paraId="6D030B33" w14:textId="77777777" w:rsidR="00704151" w:rsidRPr="00687637" w:rsidRDefault="00704151" w:rsidP="00924B64">
            <w:pPr>
              <w:jc w:val="center"/>
              <w:rPr>
                <w:sz w:val="20"/>
                <w:szCs w:val="20"/>
              </w:rPr>
            </w:pPr>
            <w:r w:rsidRPr="00687637">
              <w:rPr>
                <w:sz w:val="20"/>
                <w:szCs w:val="20"/>
              </w:rPr>
              <w:t>3.2</w:t>
            </w:r>
          </w:p>
        </w:tc>
        <w:tc>
          <w:tcPr>
            <w:tcW w:w="1250" w:type="pct"/>
          </w:tcPr>
          <w:p w14:paraId="28D186BC" w14:textId="77777777" w:rsidR="00704151" w:rsidRPr="00687637" w:rsidRDefault="00704151" w:rsidP="00924B64">
            <w:pPr>
              <w:jc w:val="center"/>
              <w:rPr>
                <w:sz w:val="20"/>
                <w:szCs w:val="20"/>
              </w:rPr>
            </w:pPr>
            <w:r w:rsidRPr="00687637">
              <w:rPr>
                <w:sz w:val="20"/>
                <w:szCs w:val="20"/>
              </w:rPr>
              <w:t>81.8</w:t>
            </w:r>
          </w:p>
        </w:tc>
      </w:tr>
      <w:tr w:rsidR="00704151" w:rsidRPr="00687637" w14:paraId="011C79BD" w14:textId="77777777" w:rsidTr="00924B64">
        <w:tc>
          <w:tcPr>
            <w:tcW w:w="1250" w:type="pct"/>
          </w:tcPr>
          <w:p w14:paraId="43621603" w14:textId="77777777" w:rsidR="00704151" w:rsidRPr="00687637" w:rsidRDefault="00704151" w:rsidP="00924B64">
            <w:pPr>
              <w:rPr>
                <w:sz w:val="20"/>
                <w:szCs w:val="20"/>
              </w:rPr>
            </w:pPr>
            <w:r w:rsidRPr="00687637">
              <w:rPr>
                <w:sz w:val="20"/>
                <w:szCs w:val="20"/>
              </w:rPr>
              <w:t>Peru</w:t>
            </w:r>
          </w:p>
        </w:tc>
        <w:tc>
          <w:tcPr>
            <w:tcW w:w="1250" w:type="pct"/>
          </w:tcPr>
          <w:p w14:paraId="24F347C9" w14:textId="77777777" w:rsidR="00704151" w:rsidRPr="00687637" w:rsidRDefault="00704151" w:rsidP="00924B64">
            <w:pPr>
              <w:jc w:val="center"/>
              <w:rPr>
                <w:sz w:val="20"/>
                <w:szCs w:val="20"/>
              </w:rPr>
            </w:pPr>
            <w:r w:rsidRPr="00687637">
              <w:rPr>
                <w:sz w:val="20"/>
                <w:szCs w:val="20"/>
              </w:rPr>
              <w:t>17,785</w:t>
            </w:r>
          </w:p>
        </w:tc>
        <w:tc>
          <w:tcPr>
            <w:tcW w:w="1250" w:type="pct"/>
          </w:tcPr>
          <w:p w14:paraId="2415A391" w14:textId="77777777" w:rsidR="00704151" w:rsidRPr="00687637" w:rsidRDefault="00704151" w:rsidP="00924B64">
            <w:pPr>
              <w:jc w:val="center"/>
              <w:rPr>
                <w:sz w:val="20"/>
                <w:szCs w:val="20"/>
              </w:rPr>
            </w:pPr>
            <w:r w:rsidRPr="00687637">
              <w:rPr>
                <w:sz w:val="20"/>
                <w:szCs w:val="20"/>
              </w:rPr>
              <w:t>2.5</w:t>
            </w:r>
          </w:p>
        </w:tc>
        <w:tc>
          <w:tcPr>
            <w:tcW w:w="1250" w:type="pct"/>
          </w:tcPr>
          <w:p w14:paraId="6D30B855" w14:textId="77777777" w:rsidR="00704151" w:rsidRPr="00687637" w:rsidRDefault="00704151" w:rsidP="00924B64">
            <w:pPr>
              <w:jc w:val="center"/>
              <w:rPr>
                <w:sz w:val="20"/>
                <w:szCs w:val="20"/>
              </w:rPr>
            </w:pPr>
            <w:r w:rsidRPr="00687637">
              <w:rPr>
                <w:sz w:val="20"/>
                <w:szCs w:val="20"/>
              </w:rPr>
              <w:t>84.3</w:t>
            </w:r>
          </w:p>
        </w:tc>
      </w:tr>
      <w:tr w:rsidR="00704151" w:rsidRPr="00687637" w14:paraId="471CF89B" w14:textId="77777777" w:rsidTr="00924B64">
        <w:tc>
          <w:tcPr>
            <w:tcW w:w="1250" w:type="pct"/>
            <w:tcBorders>
              <w:bottom w:val="single" w:sz="4" w:space="0" w:color="auto"/>
            </w:tcBorders>
          </w:tcPr>
          <w:p w14:paraId="3C76E7A8" w14:textId="77777777" w:rsidR="00704151" w:rsidRPr="00687637" w:rsidRDefault="00704151" w:rsidP="00924B64">
            <w:pPr>
              <w:rPr>
                <w:sz w:val="20"/>
                <w:szCs w:val="20"/>
              </w:rPr>
            </w:pPr>
            <w:r w:rsidRPr="00687637">
              <w:rPr>
                <w:sz w:val="20"/>
                <w:szCs w:val="20"/>
              </w:rPr>
              <w:t>Other</w:t>
            </w:r>
          </w:p>
        </w:tc>
        <w:tc>
          <w:tcPr>
            <w:tcW w:w="1250" w:type="pct"/>
            <w:tcBorders>
              <w:bottom w:val="single" w:sz="4" w:space="0" w:color="auto"/>
            </w:tcBorders>
          </w:tcPr>
          <w:p w14:paraId="38A1E103" w14:textId="77777777" w:rsidR="00704151" w:rsidRPr="00687637" w:rsidRDefault="00704151" w:rsidP="00924B64">
            <w:pPr>
              <w:jc w:val="center"/>
              <w:rPr>
                <w:sz w:val="20"/>
                <w:szCs w:val="20"/>
              </w:rPr>
            </w:pPr>
            <w:r w:rsidRPr="00687637">
              <w:rPr>
                <w:sz w:val="20"/>
                <w:szCs w:val="20"/>
              </w:rPr>
              <w:t>111,942</w:t>
            </w:r>
          </w:p>
        </w:tc>
        <w:tc>
          <w:tcPr>
            <w:tcW w:w="1250" w:type="pct"/>
            <w:tcBorders>
              <w:bottom w:val="single" w:sz="4" w:space="0" w:color="auto"/>
            </w:tcBorders>
          </w:tcPr>
          <w:p w14:paraId="3542123F" w14:textId="77777777" w:rsidR="00704151" w:rsidRPr="00687637" w:rsidRDefault="00704151" w:rsidP="00924B64">
            <w:pPr>
              <w:jc w:val="center"/>
              <w:rPr>
                <w:sz w:val="20"/>
                <w:szCs w:val="20"/>
              </w:rPr>
            </w:pPr>
            <w:r w:rsidRPr="00687637">
              <w:rPr>
                <w:sz w:val="20"/>
                <w:szCs w:val="20"/>
              </w:rPr>
              <w:t>15.7</w:t>
            </w:r>
          </w:p>
        </w:tc>
        <w:tc>
          <w:tcPr>
            <w:tcW w:w="1250" w:type="pct"/>
            <w:tcBorders>
              <w:bottom w:val="single" w:sz="4" w:space="0" w:color="auto"/>
            </w:tcBorders>
          </w:tcPr>
          <w:p w14:paraId="42C2D2C7" w14:textId="77777777" w:rsidR="00704151" w:rsidRPr="00687637" w:rsidRDefault="00704151" w:rsidP="00924B64">
            <w:pPr>
              <w:jc w:val="center"/>
              <w:rPr>
                <w:sz w:val="20"/>
                <w:szCs w:val="20"/>
              </w:rPr>
            </w:pPr>
            <w:r w:rsidRPr="00687637">
              <w:rPr>
                <w:sz w:val="20"/>
                <w:szCs w:val="20"/>
              </w:rPr>
              <w:t>100.0</w:t>
            </w:r>
          </w:p>
        </w:tc>
      </w:tr>
      <w:tr w:rsidR="00704151" w:rsidRPr="00687637" w14:paraId="3A376A65" w14:textId="77777777" w:rsidTr="00924B64">
        <w:tc>
          <w:tcPr>
            <w:tcW w:w="1250" w:type="pct"/>
            <w:tcBorders>
              <w:top w:val="single" w:sz="4" w:space="0" w:color="auto"/>
              <w:bottom w:val="single" w:sz="4" w:space="0" w:color="auto"/>
            </w:tcBorders>
          </w:tcPr>
          <w:p w14:paraId="3D7A23C2" w14:textId="77777777" w:rsidR="00704151" w:rsidRPr="00687637" w:rsidRDefault="00704151" w:rsidP="00924B64">
            <w:pPr>
              <w:rPr>
                <w:sz w:val="20"/>
                <w:szCs w:val="20"/>
              </w:rPr>
            </w:pPr>
            <w:r w:rsidRPr="00687637">
              <w:rPr>
                <w:sz w:val="20"/>
                <w:szCs w:val="20"/>
              </w:rPr>
              <w:t>Total</w:t>
            </w:r>
          </w:p>
        </w:tc>
        <w:tc>
          <w:tcPr>
            <w:tcW w:w="1250" w:type="pct"/>
            <w:tcBorders>
              <w:top w:val="single" w:sz="4" w:space="0" w:color="auto"/>
              <w:bottom w:val="single" w:sz="4" w:space="0" w:color="auto"/>
            </w:tcBorders>
          </w:tcPr>
          <w:p w14:paraId="11BA8DF7" w14:textId="77777777" w:rsidR="00704151" w:rsidRPr="00687637" w:rsidRDefault="00704151" w:rsidP="00924B64">
            <w:pPr>
              <w:jc w:val="center"/>
              <w:rPr>
                <w:sz w:val="20"/>
                <w:szCs w:val="20"/>
              </w:rPr>
            </w:pPr>
            <w:r w:rsidRPr="00687637">
              <w:rPr>
                <w:sz w:val="20"/>
                <w:szCs w:val="20"/>
              </w:rPr>
              <w:t>713,548</w:t>
            </w:r>
          </w:p>
        </w:tc>
        <w:tc>
          <w:tcPr>
            <w:tcW w:w="1250" w:type="pct"/>
            <w:tcBorders>
              <w:top w:val="single" w:sz="4" w:space="0" w:color="auto"/>
              <w:bottom w:val="single" w:sz="4" w:space="0" w:color="auto"/>
            </w:tcBorders>
          </w:tcPr>
          <w:p w14:paraId="3CE4F0F5" w14:textId="77777777" w:rsidR="00704151" w:rsidRPr="00687637" w:rsidRDefault="00704151" w:rsidP="00924B64">
            <w:pPr>
              <w:jc w:val="center"/>
              <w:rPr>
                <w:sz w:val="20"/>
                <w:szCs w:val="20"/>
              </w:rPr>
            </w:pPr>
            <w:r w:rsidRPr="00687637">
              <w:rPr>
                <w:sz w:val="20"/>
                <w:szCs w:val="20"/>
              </w:rPr>
              <w:t>100.0</w:t>
            </w:r>
          </w:p>
        </w:tc>
        <w:tc>
          <w:tcPr>
            <w:tcW w:w="1250" w:type="pct"/>
            <w:tcBorders>
              <w:top w:val="single" w:sz="4" w:space="0" w:color="auto"/>
              <w:bottom w:val="single" w:sz="4" w:space="0" w:color="auto"/>
            </w:tcBorders>
          </w:tcPr>
          <w:p w14:paraId="35FCB1A2" w14:textId="77777777" w:rsidR="00704151" w:rsidRPr="00687637" w:rsidRDefault="00704151" w:rsidP="00924B64">
            <w:pPr>
              <w:jc w:val="center"/>
              <w:rPr>
                <w:sz w:val="20"/>
                <w:szCs w:val="20"/>
              </w:rPr>
            </w:pPr>
            <w:r w:rsidRPr="00687637">
              <w:rPr>
                <w:sz w:val="20"/>
                <w:szCs w:val="20"/>
              </w:rPr>
              <w:t>-</w:t>
            </w:r>
          </w:p>
        </w:tc>
      </w:tr>
    </w:tbl>
    <w:p w14:paraId="7AF976A9" w14:textId="77777777" w:rsidR="00704151" w:rsidRPr="00687637" w:rsidRDefault="00704151" w:rsidP="00704151"/>
    <w:p w14:paraId="4F4A26A8" w14:textId="77777777" w:rsidR="00704151" w:rsidRPr="00687637" w:rsidRDefault="00704151" w:rsidP="00704151"/>
    <w:p w14:paraId="6AB9DF35" w14:textId="77777777" w:rsidR="00704151" w:rsidRPr="00687637" w:rsidRDefault="00704151" w:rsidP="00704151"/>
    <w:p w14:paraId="77B4EED5" w14:textId="77777777" w:rsidR="00704151" w:rsidRPr="00687637" w:rsidRDefault="00704151" w:rsidP="00704151">
      <w:pPr>
        <w:pStyle w:val="Caption"/>
        <w:keepNext/>
        <w:rPr>
          <w:rFonts w:ascii="Times New Roman" w:hAnsi="Times New Roman" w:cs="Times New Roman"/>
        </w:rPr>
      </w:pPr>
      <w:bookmarkStart w:id="23" w:name="_Ref475448394"/>
      <w:r w:rsidRPr="00687637">
        <w:rPr>
          <w:rFonts w:ascii="Times New Roman" w:hAnsi="Times New Roman" w:cs="Times New Roman"/>
        </w:rPr>
        <w:t xml:space="preserve">Table </w:t>
      </w:r>
      <w:r w:rsidRPr="00687637">
        <w:rPr>
          <w:rFonts w:ascii="Times New Roman" w:hAnsi="Times New Roman" w:cs="Times New Roman"/>
        </w:rPr>
        <w:fldChar w:fldCharType="begin"/>
      </w:r>
      <w:r w:rsidRPr="00687637">
        <w:rPr>
          <w:rFonts w:ascii="Times New Roman" w:hAnsi="Times New Roman" w:cs="Times New Roman"/>
        </w:rPr>
        <w:instrText xml:space="preserve"> SEQ Table \* ARABIC </w:instrText>
      </w:r>
      <w:r w:rsidRPr="00687637">
        <w:rPr>
          <w:rFonts w:ascii="Times New Roman" w:hAnsi="Times New Roman" w:cs="Times New Roman"/>
        </w:rPr>
        <w:fldChar w:fldCharType="separate"/>
      </w:r>
      <w:r w:rsidRPr="00687637">
        <w:rPr>
          <w:rFonts w:ascii="Times New Roman" w:hAnsi="Times New Roman" w:cs="Times New Roman"/>
          <w:noProof/>
        </w:rPr>
        <w:t>3</w:t>
      </w:r>
      <w:r w:rsidRPr="00687637">
        <w:rPr>
          <w:rFonts w:ascii="Times New Roman" w:hAnsi="Times New Roman" w:cs="Times New Roman"/>
        </w:rPr>
        <w:fldChar w:fldCharType="end"/>
      </w:r>
      <w:bookmarkEnd w:id="23"/>
      <w:r w:rsidRPr="00687637">
        <w:rPr>
          <w:rFonts w:ascii="Times New Roman" w:hAnsi="Times New Roman" w:cs="Times New Roman"/>
        </w:rPr>
        <w:t xml:space="preserve">   Trips abroad by Region of residence in England, Wales, and Northern Ireland in 2015 compared to the number of yellow fever vaccination (YFV) centres. YF Trips: trips to countries with yellow fever risk. Trips data source: International Passenger Survey 2015.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8"/>
        <w:gridCol w:w="1378"/>
        <w:gridCol w:w="1145"/>
        <w:gridCol w:w="1199"/>
        <w:gridCol w:w="1271"/>
        <w:gridCol w:w="1271"/>
        <w:gridCol w:w="1271"/>
        <w:gridCol w:w="1269"/>
      </w:tblGrid>
      <w:tr w:rsidR="00704151" w:rsidRPr="00687637" w14:paraId="3D25AF3A" w14:textId="77777777" w:rsidTr="00924B64">
        <w:tc>
          <w:tcPr>
            <w:tcW w:w="879" w:type="pct"/>
            <w:tcBorders>
              <w:top w:val="single" w:sz="4" w:space="0" w:color="auto"/>
              <w:bottom w:val="single" w:sz="4" w:space="0" w:color="auto"/>
            </w:tcBorders>
          </w:tcPr>
          <w:p w14:paraId="733B67DF" w14:textId="77777777" w:rsidR="00704151" w:rsidRPr="00687637" w:rsidRDefault="00704151" w:rsidP="00924B64">
            <w:pPr>
              <w:rPr>
                <w:b/>
                <w:sz w:val="20"/>
                <w:szCs w:val="20"/>
              </w:rPr>
            </w:pPr>
            <w:r w:rsidRPr="00687637">
              <w:rPr>
                <w:b/>
                <w:sz w:val="20"/>
                <w:szCs w:val="20"/>
              </w:rPr>
              <w:t>Region</w:t>
            </w:r>
          </w:p>
        </w:tc>
        <w:tc>
          <w:tcPr>
            <w:tcW w:w="645" w:type="pct"/>
            <w:tcBorders>
              <w:top w:val="single" w:sz="4" w:space="0" w:color="auto"/>
              <w:bottom w:val="single" w:sz="4" w:space="0" w:color="auto"/>
            </w:tcBorders>
          </w:tcPr>
          <w:p w14:paraId="490CD803" w14:textId="77777777" w:rsidR="00704151" w:rsidRPr="00687637" w:rsidRDefault="00704151" w:rsidP="00924B64">
            <w:pPr>
              <w:jc w:val="center"/>
              <w:rPr>
                <w:b/>
                <w:sz w:val="20"/>
                <w:szCs w:val="20"/>
              </w:rPr>
            </w:pPr>
            <w:r w:rsidRPr="00687637">
              <w:rPr>
                <w:b/>
                <w:sz w:val="20"/>
                <w:szCs w:val="20"/>
              </w:rPr>
              <w:t>Trips Abroad</w:t>
            </w:r>
          </w:p>
        </w:tc>
        <w:tc>
          <w:tcPr>
            <w:tcW w:w="536" w:type="pct"/>
            <w:tcBorders>
              <w:top w:val="single" w:sz="4" w:space="0" w:color="auto"/>
              <w:bottom w:val="single" w:sz="4" w:space="0" w:color="auto"/>
            </w:tcBorders>
          </w:tcPr>
          <w:p w14:paraId="0CC7CAA0" w14:textId="77777777" w:rsidR="00704151" w:rsidRPr="00687637" w:rsidRDefault="00704151" w:rsidP="00924B64">
            <w:pPr>
              <w:jc w:val="center"/>
              <w:rPr>
                <w:b/>
                <w:sz w:val="20"/>
                <w:szCs w:val="20"/>
              </w:rPr>
            </w:pPr>
            <w:r w:rsidRPr="00687637">
              <w:rPr>
                <w:b/>
                <w:sz w:val="20"/>
                <w:szCs w:val="20"/>
              </w:rPr>
              <w:t>YF Trips</w:t>
            </w:r>
          </w:p>
        </w:tc>
        <w:tc>
          <w:tcPr>
            <w:tcW w:w="561" w:type="pct"/>
            <w:tcBorders>
              <w:top w:val="single" w:sz="4" w:space="0" w:color="auto"/>
              <w:bottom w:val="single" w:sz="4" w:space="0" w:color="auto"/>
            </w:tcBorders>
          </w:tcPr>
          <w:p w14:paraId="67B5264D" w14:textId="77777777" w:rsidR="00704151" w:rsidRPr="00687637" w:rsidRDefault="00704151" w:rsidP="00924B64">
            <w:pPr>
              <w:jc w:val="center"/>
              <w:rPr>
                <w:b/>
                <w:sz w:val="20"/>
                <w:szCs w:val="20"/>
              </w:rPr>
            </w:pPr>
            <w:r w:rsidRPr="00687637">
              <w:rPr>
                <w:b/>
                <w:sz w:val="20"/>
                <w:szCs w:val="20"/>
              </w:rPr>
              <w:t>YFV Centres</w:t>
            </w:r>
          </w:p>
        </w:tc>
        <w:tc>
          <w:tcPr>
            <w:tcW w:w="595" w:type="pct"/>
            <w:tcBorders>
              <w:top w:val="single" w:sz="4" w:space="0" w:color="auto"/>
              <w:bottom w:val="single" w:sz="4" w:space="0" w:color="auto"/>
            </w:tcBorders>
          </w:tcPr>
          <w:p w14:paraId="2B8B516F" w14:textId="77777777" w:rsidR="00704151" w:rsidRPr="00687637" w:rsidRDefault="00704151" w:rsidP="00924B64">
            <w:pPr>
              <w:jc w:val="center"/>
              <w:rPr>
                <w:b/>
                <w:sz w:val="20"/>
                <w:szCs w:val="20"/>
              </w:rPr>
            </w:pPr>
            <w:r w:rsidRPr="00687637">
              <w:rPr>
                <w:b/>
                <w:sz w:val="20"/>
                <w:szCs w:val="20"/>
              </w:rPr>
              <w:t>Mean Distance to YFV Centre (km)</w:t>
            </w:r>
          </w:p>
        </w:tc>
        <w:tc>
          <w:tcPr>
            <w:tcW w:w="595" w:type="pct"/>
            <w:tcBorders>
              <w:top w:val="single" w:sz="4" w:space="0" w:color="auto"/>
              <w:bottom w:val="single" w:sz="4" w:space="0" w:color="auto"/>
            </w:tcBorders>
          </w:tcPr>
          <w:p w14:paraId="1ABFD3A9" w14:textId="77777777" w:rsidR="00704151" w:rsidRPr="00687637" w:rsidRDefault="00704151" w:rsidP="00924B64">
            <w:pPr>
              <w:jc w:val="center"/>
              <w:rPr>
                <w:b/>
                <w:sz w:val="20"/>
                <w:szCs w:val="20"/>
              </w:rPr>
            </w:pPr>
            <w:r w:rsidRPr="00687637">
              <w:rPr>
                <w:b/>
                <w:sz w:val="20"/>
                <w:szCs w:val="20"/>
              </w:rPr>
              <w:t>Centres per 100,000 Pop</w:t>
            </w:r>
          </w:p>
        </w:tc>
        <w:tc>
          <w:tcPr>
            <w:tcW w:w="595" w:type="pct"/>
            <w:tcBorders>
              <w:top w:val="single" w:sz="4" w:space="0" w:color="auto"/>
              <w:bottom w:val="single" w:sz="4" w:space="0" w:color="auto"/>
            </w:tcBorders>
          </w:tcPr>
          <w:p w14:paraId="4C27C70C" w14:textId="77777777" w:rsidR="00704151" w:rsidRPr="00687637" w:rsidRDefault="00704151" w:rsidP="00924B64">
            <w:pPr>
              <w:jc w:val="center"/>
              <w:rPr>
                <w:b/>
                <w:sz w:val="20"/>
                <w:szCs w:val="20"/>
              </w:rPr>
            </w:pPr>
            <w:r w:rsidRPr="00687637">
              <w:rPr>
                <w:b/>
                <w:sz w:val="20"/>
                <w:szCs w:val="20"/>
              </w:rPr>
              <w:t>Trips per 100,000 Pop</w:t>
            </w:r>
          </w:p>
        </w:tc>
        <w:tc>
          <w:tcPr>
            <w:tcW w:w="594" w:type="pct"/>
            <w:tcBorders>
              <w:top w:val="single" w:sz="4" w:space="0" w:color="auto"/>
              <w:bottom w:val="single" w:sz="4" w:space="0" w:color="auto"/>
            </w:tcBorders>
          </w:tcPr>
          <w:p w14:paraId="2D0BEA3B" w14:textId="77777777" w:rsidR="00704151" w:rsidRPr="00687637" w:rsidRDefault="00704151" w:rsidP="00924B64">
            <w:pPr>
              <w:jc w:val="center"/>
              <w:rPr>
                <w:b/>
                <w:sz w:val="20"/>
                <w:szCs w:val="20"/>
              </w:rPr>
            </w:pPr>
            <w:r w:rsidRPr="00687637">
              <w:rPr>
                <w:b/>
                <w:sz w:val="20"/>
                <w:szCs w:val="20"/>
              </w:rPr>
              <w:t>YF Trips per 100,000 Pop</w:t>
            </w:r>
          </w:p>
        </w:tc>
      </w:tr>
      <w:tr w:rsidR="00704151" w:rsidRPr="00687637" w14:paraId="1D8FC47C" w14:textId="77777777" w:rsidTr="00924B64">
        <w:tc>
          <w:tcPr>
            <w:tcW w:w="879" w:type="pct"/>
            <w:tcBorders>
              <w:top w:val="single" w:sz="4" w:space="0" w:color="auto"/>
            </w:tcBorders>
          </w:tcPr>
          <w:p w14:paraId="69C01D15" w14:textId="77777777" w:rsidR="00704151" w:rsidRPr="00687637" w:rsidRDefault="00704151" w:rsidP="00924B64">
            <w:pPr>
              <w:rPr>
                <w:sz w:val="20"/>
                <w:szCs w:val="20"/>
              </w:rPr>
            </w:pPr>
            <w:r w:rsidRPr="00687637">
              <w:rPr>
                <w:sz w:val="20"/>
                <w:szCs w:val="20"/>
              </w:rPr>
              <w:t>London</w:t>
            </w:r>
          </w:p>
        </w:tc>
        <w:tc>
          <w:tcPr>
            <w:tcW w:w="645" w:type="pct"/>
            <w:tcBorders>
              <w:top w:val="single" w:sz="4" w:space="0" w:color="auto"/>
            </w:tcBorders>
          </w:tcPr>
          <w:p w14:paraId="0A28A6BE" w14:textId="77777777" w:rsidR="00704151" w:rsidRPr="00687637" w:rsidRDefault="00704151" w:rsidP="00924B64">
            <w:pPr>
              <w:jc w:val="center"/>
              <w:rPr>
                <w:sz w:val="20"/>
                <w:szCs w:val="20"/>
              </w:rPr>
            </w:pPr>
            <w:r w:rsidRPr="00687637">
              <w:rPr>
                <w:sz w:val="20"/>
                <w:szCs w:val="20"/>
              </w:rPr>
              <w:t>14,596,697</w:t>
            </w:r>
          </w:p>
        </w:tc>
        <w:tc>
          <w:tcPr>
            <w:tcW w:w="536" w:type="pct"/>
            <w:tcBorders>
              <w:top w:val="single" w:sz="4" w:space="0" w:color="auto"/>
            </w:tcBorders>
          </w:tcPr>
          <w:p w14:paraId="54918104" w14:textId="77777777" w:rsidR="00704151" w:rsidRPr="00687637" w:rsidRDefault="00704151" w:rsidP="00924B64">
            <w:pPr>
              <w:jc w:val="center"/>
              <w:rPr>
                <w:sz w:val="20"/>
                <w:szCs w:val="20"/>
              </w:rPr>
            </w:pPr>
            <w:r w:rsidRPr="00687637">
              <w:rPr>
                <w:sz w:val="20"/>
                <w:szCs w:val="20"/>
              </w:rPr>
              <w:t>350,422</w:t>
            </w:r>
          </w:p>
        </w:tc>
        <w:tc>
          <w:tcPr>
            <w:tcW w:w="561" w:type="pct"/>
            <w:tcBorders>
              <w:top w:val="single" w:sz="4" w:space="0" w:color="auto"/>
            </w:tcBorders>
          </w:tcPr>
          <w:p w14:paraId="6D0F66EB" w14:textId="77777777" w:rsidR="00704151" w:rsidRPr="00687637" w:rsidRDefault="00704151" w:rsidP="00924B64">
            <w:pPr>
              <w:jc w:val="center"/>
              <w:rPr>
                <w:sz w:val="20"/>
                <w:szCs w:val="20"/>
              </w:rPr>
            </w:pPr>
            <w:r w:rsidRPr="00687637">
              <w:rPr>
                <w:sz w:val="20"/>
                <w:szCs w:val="20"/>
              </w:rPr>
              <w:t>858</w:t>
            </w:r>
          </w:p>
        </w:tc>
        <w:tc>
          <w:tcPr>
            <w:tcW w:w="595" w:type="pct"/>
            <w:tcBorders>
              <w:top w:val="single" w:sz="4" w:space="0" w:color="auto"/>
            </w:tcBorders>
          </w:tcPr>
          <w:p w14:paraId="02EC37DE" w14:textId="77777777" w:rsidR="00704151" w:rsidRPr="00687637" w:rsidRDefault="00704151" w:rsidP="00924B64">
            <w:pPr>
              <w:jc w:val="center"/>
              <w:rPr>
                <w:sz w:val="20"/>
                <w:szCs w:val="20"/>
              </w:rPr>
            </w:pPr>
            <w:r w:rsidRPr="00687637">
              <w:rPr>
                <w:sz w:val="20"/>
                <w:szCs w:val="20"/>
              </w:rPr>
              <w:t>0.6</w:t>
            </w:r>
          </w:p>
        </w:tc>
        <w:tc>
          <w:tcPr>
            <w:tcW w:w="595" w:type="pct"/>
            <w:tcBorders>
              <w:top w:val="single" w:sz="4" w:space="0" w:color="auto"/>
            </w:tcBorders>
          </w:tcPr>
          <w:p w14:paraId="3B27E1BE" w14:textId="77777777" w:rsidR="00704151" w:rsidRPr="00687637" w:rsidRDefault="00704151" w:rsidP="00924B64">
            <w:pPr>
              <w:jc w:val="center"/>
              <w:rPr>
                <w:sz w:val="20"/>
                <w:szCs w:val="20"/>
              </w:rPr>
            </w:pPr>
            <w:r w:rsidRPr="00687637">
              <w:rPr>
                <w:sz w:val="20"/>
                <w:szCs w:val="20"/>
              </w:rPr>
              <w:t>9.9</w:t>
            </w:r>
          </w:p>
        </w:tc>
        <w:tc>
          <w:tcPr>
            <w:tcW w:w="595" w:type="pct"/>
            <w:tcBorders>
              <w:top w:val="single" w:sz="4" w:space="0" w:color="auto"/>
            </w:tcBorders>
          </w:tcPr>
          <w:p w14:paraId="040C024F" w14:textId="77777777" w:rsidR="00704151" w:rsidRPr="00687637" w:rsidRDefault="00704151" w:rsidP="00924B64">
            <w:pPr>
              <w:jc w:val="center"/>
              <w:rPr>
                <w:sz w:val="20"/>
                <w:szCs w:val="20"/>
              </w:rPr>
            </w:pPr>
            <w:r w:rsidRPr="00687637">
              <w:rPr>
                <w:sz w:val="20"/>
                <w:szCs w:val="20"/>
              </w:rPr>
              <w:t>168,287</w:t>
            </w:r>
          </w:p>
        </w:tc>
        <w:tc>
          <w:tcPr>
            <w:tcW w:w="594" w:type="pct"/>
            <w:tcBorders>
              <w:top w:val="single" w:sz="4" w:space="0" w:color="auto"/>
            </w:tcBorders>
          </w:tcPr>
          <w:p w14:paraId="5BC1315E" w14:textId="77777777" w:rsidR="00704151" w:rsidRPr="00687637" w:rsidRDefault="00704151" w:rsidP="00924B64">
            <w:pPr>
              <w:jc w:val="center"/>
              <w:rPr>
                <w:sz w:val="20"/>
                <w:szCs w:val="20"/>
              </w:rPr>
            </w:pPr>
            <w:r w:rsidRPr="00687637">
              <w:rPr>
                <w:sz w:val="20"/>
                <w:szCs w:val="20"/>
              </w:rPr>
              <w:t>4,040</w:t>
            </w:r>
          </w:p>
        </w:tc>
      </w:tr>
      <w:tr w:rsidR="00704151" w:rsidRPr="00687637" w14:paraId="28FEB3D4" w14:textId="77777777" w:rsidTr="00924B64">
        <w:tc>
          <w:tcPr>
            <w:tcW w:w="879" w:type="pct"/>
          </w:tcPr>
          <w:p w14:paraId="2F717AA7" w14:textId="77777777" w:rsidR="00704151" w:rsidRPr="00687637" w:rsidRDefault="00704151" w:rsidP="00924B64">
            <w:pPr>
              <w:rPr>
                <w:sz w:val="20"/>
                <w:szCs w:val="20"/>
              </w:rPr>
            </w:pPr>
            <w:r w:rsidRPr="00687637">
              <w:rPr>
                <w:sz w:val="20"/>
                <w:szCs w:val="20"/>
              </w:rPr>
              <w:t>South East</w:t>
            </w:r>
          </w:p>
        </w:tc>
        <w:tc>
          <w:tcPr>
            <w:tcW w:w="645" w:type="pct"/>
          </w:tcPr>
          <w:p w14:paraId="2F7B1596" w14:textId="77777777" w:rsidR="00704151" w:rsidRPr="00687637" w:rsidRDefault="00704151" w:rsidP="00924B64">
            <w:pPr>
              <w:jc w:val="center"/>
              <w:rPr>
                <w:sz w:val="20"/>
                <w:szCs w:val="20"/>
              </w:rPr>
            </w:pPr>
            <w:r w:rsidRPr="00687637">
              <w:rPr>
                <w:sz w:val="20"/>
                <w:szCs w:val="20"/>
              </w:rPr>
              <w:t>10,338,088</w:t>
            </w:r>
          </w:p>
        </w:tc>
        <w:tc>
          <w:tcPr>
            <w:tcW w:w="536" w:type="pct"/>
          </w:tcPr>
          <w:p w14:paraId="1FF7E8D2" w14:textId="77777777" w:rsidR="00704151" w:rsidRPr="00687637" w:rsidRDefault="00704151" w:rsidP="00924B64">
            <w:pPr>
              <w:jc w:val="center"/>
              <w:rPr>
                <w:sz w:val="20"/>
                <w:szCs w:val="20"/>
              </w:rPr>
            </w:pPr>
            <w:r w:rsidRPr="00687637">
              <w:rPr>
                <w:sz w:val="20"/>
                <w:szCs w:val="20"/>
              </w:rPr>
              <w:t>114,840</w:t>
            </w:r>
          </w:p>
        </w:tc>
        <w:tc>
          <w:tcPr>
            <w:tcW w:w="561" w:type="pct"/>
          </w:tcPr>
          <w:p w14:paraId="04AB8527" w14:textId="77777777" w:rsidR="00704151" w:rsidRPr="00687637" w:rsidRDefault="00704151" w:rsidP="00924B64">
            <w:pPr>
              <w:jc w:val="center"/>
              <w:rPr>
                <w:sz w:val="20"/>
                <w:szCs w:val="20"/>
              </w:rPr>
            </w:pPr>
            <w:r w:rsidRPr="00687637">
              <w:rPr>
                <w:sz w:val="20"/>
                <w:szCs w:val="20"/>
              </w:rPr>
              <w:t>572</w:t>
            </w:r>
          </w:p>
        </w:tc>
        <w:tc>
          <w:tcPr>
            <w:tcW w:w="595" w:type="pct"/>
          </w:tcPr>
          <w:p w14:paraId="431FD9DF" w14:textId="77777777" w:rsidR="00704151" w:rsidRPr="00687637" w:rsidRDefault="00704151" w:rsidP="00924B64">
            <w:pPr>
              <w:jc w:val="center"/>
              <w:rPr>
                <w:sz w:val="20"/>
                <w:szCs w:val="20"/>
              </w:rPr>
            </w:pPr>
            <w:r w:rsidRPr="00687637">
              <w:rPr>
                <w:sz w:val="20"/>
                <w:szCs w:val="20"/>
              </w:rPr>
              <w:t>1.9</w:t>
            </w:r>
          </w:p>
        </w:tc>
        <w:tc>
          <w:tcPr>
            <w:tcW w:w="595" w:type="pct"/>
          </w:tcPr>
          <w:p w14:paraId="37F61C66" w14:textId="77777777" w:rsidR="00704151" w:rsidRPr="00687637" w:rsidRDefault="00704151" w:rsidP="00924B64">
            <w:pPr>
              <w:jc w:val="center"/>
              <w:rPr>
                <w:sz w:val="20"/>
                <w:szCs w:val="20"/>
              </w:rPr>
            </w:pPr>
            <w:r w:rsidRPr="00687637">
              <w:rPr>
                <w:sz w:val="20"/>
                <w:szCs w:val="20"/>
              </w:rPr>
              <w:t>6.4</w:t>
            </w:r>
          </w:p>
        </w:tc>
        <w:tc>
          <w:tcPr>
            <w:tcW w:w="595" w:type="pct"/>
          </w:tcPr>
          <w:p w14:paraId="77AC4D78" w14:textId="77777777" w:rsidR="00704151" w:rsidRPr="00687637" w:rsidRDefault="00704151" w:rsidP="00924B64">
            <w:pPr>
              <w:jc w:val="center"/>
              <w:rPr>
                <w:sz w:val="20"/>
                <w:szCs w:val="20"/>
              </w:rPr>
            </w:pPr>
            <w:r w:rsidRPr="00687637">
              <w:rPr>
                <w:sz w:val="20"/>
                <w:szCs w:val="20"/>
              </w:rPr>
              <w:t>115,536</w:t>
            </w:r>
          </w:p>
        </w:tc>
        <w:tc>
          <w:tcPr>
            <w:tcW w:w="594" w:type="pct"/>
          </w:tcPr>
          <w:p w14:paraId="2824DB52" w14:textId="77777777" w:rsidR="00704151" w:rsidRPr="00687637" w:rsidRDefault="00704151" w:rsidP="00924B64">
            <w:pPr>
              <w:jc w:val="center"/>
              <w:rPr>
                <w:sz w:val="20"/>
                <w:szCs w:val="20"/>
              </w:rPr>
            </w:pPr>
            <w:r w:rsidRPr="00687637">
              <w:rPr>
                <w:sz w:val="20"/>
                <w:szCs w:val="20"/>
              </w:rPr>
              <w:t>1,283</w:t>
            </w:r>
          </w:p>
        </w:tc>
      </w:tr>
      <w:tr w:rsidR="00704151" w:rsidRPr="00687637" w14:paraId="28F2ECE6" w14:textId="77777777" w:rsidTr="00924B64">
        <w:tc>
          <w:tcPr>
            <w:tcW w:w="879" w:type="pct"/>
          </w:tcPr>
          <w:p w14:paraId="4E459A17" w14:textId="77777777" w:rsidR="00704151" w:rsidRPr="00687637" w:rsidRDefault="00704151" w:rsidP="00924B64">
            <w:pPr>
              <w:rPr>
                <w:sz w:val="20"/>
                <w:szCs w:val="20"/>
              </w:rPr>
            </w:pPr>
            <w:r w:rsidRPr="00687637">
              <w:rPr>
                <w:sz w:val="20"/>
                <w:szCs w:val="20"/>
              </w:rPr>
              <w:t>West Midlands</w:t>
            </w:r>
          </w:p>
        </w:tc>
        <w:tc>
          <w:tcPr>
            <w:tcW w:w="645" w:type="pct"/>
          </w:tcPr>
          <w:p w14:paraId="5F354888" w14:textId="77777777" w:rsidR="00704151" w:rsidRPr="00687637" w:rsidRDefault="00704151" w:rsidP="00924B64">
            <w:pPr>
              <w:jc w:val="center"/>
              <w:rPr>
                <w:sz w:val="20"/>
                <w:szCs w:val="20"/>
              </w:rPr>
            </w:pPr>
            <w:r w:rsidRPr="00687637">
              <w:rPr>
                <w:sz w:val="20"/>
                <w:szCs w:val="20"/>
              </w:rPr>
              <w:t>4,806,320</w:t>
            </w:r>
          </w:p>
        </w:tc>
        <w:tc>
          <w:tcPr>
            <w:tcW w:w="536" w:type="pct"/>
          </w:tcPr>
          <w:p w14:paraId="1A2C83FE" w14:textId="77777777" w:rsidR="00704151" w:rsidRPr="00687637" w:rsidRDefault="00704151" w:rsidP="00924B64">
            <w:pPr>
              <w:jc w:val="center"/>
              <w:rPr>
                <w:sz w:val="20"/>
                <w:szCs w:val="20"/>
              </w:rPr>
            </w:pPr>
            <w:r w:rsidRPr="00687637">
              <w:rPr>
                <w:sz w:val="20"/>
                <w:szCs w:val="20"/>
              </w:rPr>
              <w:t>51,938</w:t>
            </w:r>
          </w:p>
        </w:tc>
        <w:tc>
          <w:tcPr>
            <w:tcW w:w="561" w:type="pct"/>
          </w:tcPr>
          <w:p w14:paraId="38D0610B" w14:textId="77777777" w:rsidR="00704151" w:rsidRPr="00687637" w:rsidRDefault="00704151" w:rsidP="00924B64">
            <w:pPr>
              <w:jc w:val="center"/>
              <w:rPr>
                <w:sz w:val="20"/>
                <w:szCs w:val="20"/>
              </w:rPr>
            </w:pPr>
            <w:r w:rsidRPr="00687637">
              <w:rPr>
                <w:sz w:val="20"/>
                <w:szCs w:val="20"/>
              </w:rPr>
              <w:t>239</w:t>
            </w:r>
          </w:p>
        </w:tc>
        <w:tc>
          <w:tcPr>
            <w:tcW w:w="595" w:type="pct"/>
          </w:tcPr>
          <w:p w14:paraId="2D27BE8F" w14:textId="77777777" w:rsidR="00704151" w:rsidRPr="00687637" w:rsidRDefault="00704151" w:rsidP="00924B64">
            <w:pPr>
              <w:jc w:val="center"/>
              <w:rPr>
                <w:sz w:val="20"/>
                <w:szCs w:val="20"/>
              </w:rPr>
            </w:pPr>
            <w:r w:rsidRPr="00687637">
              <w:rPr>
                <w:sz w:val="20"/>
                <w:szCs w:val="20"/>
              </w:rPr>
              <w:t>2.1</w:t>
            </w:r>
          </w:p>
        </w:tc>
        <w:tc>
          <w:tcPr>
            <w:tcW w:w="595" w:type="pct"/>
          </w:tcPr>
          <w:p w14:paraId="68C64C70" w14:textId="77777777" w:rsidR="00704151" w:rsidRPr="00687637" w:rsidRDefault="00704151" w:rsidP="00924B64">
            <w:pPr>
              <w:jc w:val="center"/>
              <w:rPr>
                <w:sz w:val="20"/>
                <w:szCs w:val="20"/>
              </w:rPr>
            </w:pPr>
            <w:r w:rsidRPr="00687637">
              <w:rPr>
                <w:sz w:val="20"/>
                <w:szCs w:val="20"/>
              </w:rPr>
              <w:t>4.2</w:t>
            </w:r>
          </w:p>
        </w:tc>
        <w:tc>
          <w:tcPr>
            <w:tcW w:w="595" w:type="pct"/>
          </w:tcPr>
          <w:p w14:paraId="1A6F5263" w14:textId="77777777" w:rsidR="00704151" w:rsidRPr="00687637" w:rsidRDefault="00704151" w:rsidP="00924B64">
            <w:pPr>
              <w:jc w:val="center"/>
              <w:rPr>
                <w:sz w:val="20"/>
                <w:szCs w:val="20"/>
              </w:rPr>
            </w:pPr>
            <w:r w:rsidRPr="00687637">
              <w:rPr>
                <w:sz w:val="20"/>
                <w:szCs w:val="20"/>
              </w:rPr>
              <w:t>83,574</w:t>
            </w:r>
          </w:p>
        </w:tc>
        <w:tc>
          <w:tcPr>
            <w:tcW w:w="594" w:type="pct"/>
          </w:tcPr>
          <w:p w14:paraId="3BB85072" w14:textId="77777777" w:rsidR="00704151" w:rsidRPr="00687637" w:rsidRDefault="00704151" w:rsidP="00924B64">
            <w:pPr>
              <w:jc w:val="center"/>
              <w:rPr>
                <w:sz w:val="20"/>
                <w:szCs w:val="20"/>
              </w:rPr>
            </w:pPr>
            <w:r w:rsidRPr="00687637">
              <w:rPr>
                <w:sz w:val="20"/>
                <w:szCs w:val="20"/>
              </w:rPr>
              <w:t>903</w:t>
            </w:r>
          </w:p>
        </w:tc>
      </w:tr>
      <w:tr w:rsidR="00704151" w:rsidRPr="00687637" w14:paraId="0483DEF1" w14:textId="77777777" w:rsidTr="00924B64">
        <w:tc>
          <w:tcPr>
            <w:tcW w:w="879" w:type="pct"/>
          </w:tcPr>
          <w:p w14:paraId="0A76F1F9" w14:textId="77777777" w:rsidR="00704151" w:rsidRPr="00687637" w:rsidRDefault="00704151" w:rsidP="00924B64">
            <w:pPr>
              <w:rPr>
                <w:sz w:val="20"/>
                <w:szCs w:val="20"/>
              </w:rPr>
            </w:pPr>
            <w:r w:rsidRPr="00687637">
              <w:rPr>
                <w:sz w:val="20"/>
                <w:szCs w:val="20"/>
              </w:rPr>
              <w:t>East of England</w:t>
            </w:r>
          </w:p>
        </w:tc>
        <w:tc>
          <w:tcPr>
            <w:tcW w:w="645" w:type="pct"/>
          </w:tcPr>
          <w:p w14:paraId="102D9CB3" w14:textId="77777777" w:rsidR="00704151" w:rsidRPr="00687637" w:rsidRDefault="00704151" w:rsidP="00924B64">
            <w:pPr>
              <w:jc w:val="center"/>
              <w:rPr>
                <w:sz w:val="20"/>
                <w:szCs w:val="20"/>
              </w:rPr>
            </w:pPr>
            <w:r w:rsidRPr="00687637">
              <w:rPr>
                <w:sz w:val="20"/>
                <w:szCs w:val="20"/>
              </w:rPr>
              <w:t>5,777,899</w:t>
            </w:r>
          </w:p>
        </w:tc>
        <w:tc>
          <w:tcPr>
            <w:tcW w:w="536" w:type="pct"/>
          </w:tcPr>
          <w:p w14:paraId="40E13E31" w14:textId="77777777" w:rsidR="00704151" w:rsidRPr="00687637" w:rsidRDefault="00704151" w:rsidP="00924B64">
            <w:pPr>
              <w:jc w:val="center"/>
              <w:rPr>
                <w:sz w:val="20"/>
                <w:szCs w:val="20"/>
              </w:rPr>
            </w:pPr>
            <w:r w:rsidRPr="00687637">
              <w:rPr>
                <w:sz w:val="20"/>
                <w:szCs w:val="20"/>
              </w:rPr>
              <w:t>50,538</w:t>
            </w:r>
          </w:p>
        </w:tc>
        <w:tc>
          <w:tcPr>
            <w:tcW w:w="561" w:type="pct"/>
          </w:tcPr>
          <w:p w14:paraId="1C1BBC5D" w14:textId="77777777" w:rsidR="00704151" w:rsidRPr="00687637" w:rsidRDefault="00704151" w:rsidP="00924B64">
            <w:pPr>
              <w:jc w:val="center"/>
              <w:rPr>
                <w:sz w:val="20"/>
                <w:szCs w:val="20"/>
              </w:rPr>
            </w:pPr>
            <w:r w:rsidRPr="00687637">
              <w:rPr>
                <w:sz w:val="20"/>
                <w:szCs w:val="20"/>
              </w:rPr>
              <w:t>324</w:t>
            </w:r>
          </w:p>
        </w:tc>
        <w:tc>
          <w:tcPr>
            <w:tcW w:w="595" w:type="pct"/>
          </w:tcPr>
          <w:p w14:paraId="6F15F81A" w14:textId="77777777" w:rsidR="00704151" w:rsidRPr="00687637" w:rsidRDefault="00704151" w:rsidP="00924B64">
            <w:pPr>
              <w:jc w:val="center"/>
              <w:rPr>
                <w:sz w:val="20"/>
                <w:szCs w:val="20"/>
              </w:rPr>
            </w:pPr>
            <w:r w:rsidRPr="00687637">
              <w:rPr>
                <w:sz w:val="20"/>
                <w:szCs w:val="20"/>
              </w:rPr>
              <w:t>2.8</w:t>
            </w:r>
          </w:p>
        </w:tc>
        <w:tc>
          <w:tcPr>
            <w:tcW w:w="595" w:type="pct"/>
          </w:tcPr>
          <w:p w14:paraId="38DBDFC1" w14:textId="77777777" w:rsidR="00704151" w:rsidRPr="00687637" w:rsidRDefault="00704151" w:rsidP="00924B64">
            <w:pPr>
              <w:jc w:val="center"/>
              <w:rPr>
                <w:sz w:val="20"/>
                <w:szCs w:val="20"/>
              </w:rPr>
            </w:pPr>
            <w:r w:rsidRPr="00687637">
              <w:rPr>
                <w:sz w:val="20"/>
                <w:szCs w:val="20"/>
              </w:rPr>
              <w:t>5.3</w:t>
            </w:r>
          </w:p>
        </w:tc>
        <w:tc>
          <w:tcPr>
            <w:tcW w:w="595" w:type="pct"/>
          </w:tcPr>
          <w:p w14:paraId="6623AE93" w14:textId="77777777" w:rsidR="00704151" w:rsidRPr="00687637" w:rsidRDefault="00704151" w:rsidP="00924B64">
            <w:pPr>
              <w:jc w:val="center"/>
              <w:rPr>
                <w:sz w:val="20"/>
                <w:szCs w:val="20"/>
              </w:rPr>
            </w:pPr>
            <w:r w:rsidRPr="00687637">
              <w:rPr>
                <w:sz w:val="20"/>
                <w:szCs w:val="20"/>
              </w:rPr>
              <w:t>95,087</w:t>
            </w:r>
          </w:p>
        </w:tc>
        <w:tc>
          <w:tcPr>
            <w:tcW w:w="594" w:type="pct"/>
          </w:tcPr>
          <w:p w14:paraId="01ED37D7" w14:textId="77777777" w:rsidR="00704151" w:rsidRPr="00687637" w:rsidRDefault="00704151" w:rsidP="00924B64">
            <w:pPr>
              <w:jc w:val="center"/>
              <w:rPr>
                <w:sz w:val="20"/>
                <w:szCs w:val="20"/>
              </w:rPr>
            </w:pPr>
            <w:r w:rsidRPr="00687637">
              <w:rPr>
                <w:sz w:val="20"/>
                <w:szCs w:val="20"/>
              </w:rPr>
              <w:t>832</w:t>
            </w:r>
          </w:p>
        </w:tc>
      </w:tr>
      <w:tr w:rsidR="00704151" w:rsidRPr="00687637" w14:paraId="0B448CA9" w14:textId="77777777" w:rsidTr="00924B64">
        <w:tc>
          <w:tcPr>
            <w:tcW w:w="879" w:type="pct"/>
          </w:tcPr>
          <w:p w14:paraId="520C80FE" w14:textId="77777777" w:rsidR="00704151" w:rsidRPr="00687637" w:rsidRDefault="00704151" w:rsidP="00924B64">
            <w:pPr>
              <w:rPr>
                <w:sz w:val="20"/>
                <w:szCs w:val="20"/>
              </w:rPr>
            </w:pPr>
            <w:r w:rsidRPr="00687637">
              <w:rPr>
                <w:sz w:val="20"/>
                <w:szCs w:val="20"/>
              </w:rPr>
              <w:t>North West</w:t>
            </w:r>
          </w:p>
        </w:tc>
        <w:tc>
          <w:tcPr>
            <w:tcW w:w="645" w:type="pct"/>
          </w:tcPr>
          <w:p w14:paraId="44BD7F02" w14:textId="77777777" w:rsidR="00704151" w:rsidRPr="00687637" w:rsidRDefault="00704151" w:rsidP="00924B64">
            <w:pPr>
              <w:jc w:val="center"/>
              <w:rPr>
                <w:sz w:val="20"/>
                <w:szCs w:val="20"/>
              </w:rPr>
            </w:pPr>
            <w:r w:rsidRPr="00687637">
              <w:rPr>
                <w:sz w:val="20"/>
                <w:szCs w:val="20"/>
              </w:rPr>
              <w:t>6,568,124</w:t>
            </w:r>
          </w:p>
        </w:tc>
        <w:tc>
          <w:tcPr>
            <w:tcW w:w="536" w:type="pct"/>
          </w:tcPr>
          <w:p w14:paraId="34BE4C1D" w14:textId="77777777" w:rsidR="00704151" w:rsidRPr="00687637" w:rsidRDefault="00704151" w:rsidP="00924B64">
            <w:pPr>
              <w:jc w:val="center"/>
              <w:rPr>
                <w:sz w:val="20"/>
                <w:szCs w:val="20"/>
              </w:rPr>
            </w:pPr>
            <w:r w:rsidRPr="00687637">
              <w:rPr>
                <w:sz w:val="20"/>
                <w:szCs w:val="20"/>
              </w:rPr>
              <w:t>39,169</w:t>
            </w:r>
          </w:p>
        </w:tc>
        <w:tc>
          <w:tcPr>
            <w:tcW w:w="561" w:type="pct"/>
          </w:tcPr>
          <w:p w14:paraId="037ACCF4" w14:textId="77777777" w:rsidR="00704151" w:rsidRPr="00687637" w:rsidRDefault="00704151" w:rsidP="00924B64">
            <w:pPr>
              <w:jc w:val="center"/>
              <w:rPr>
                <w:sz w:val="20"/>
                <w:szCs w:val="20"/>
              </w:rPr>
            </w:pPr>
            <w:r w:rsidRPr="00687637">
              <w:rPr>
                <w:sz w:val="20"/>
                <w:szCs w:val="20"/>
              </w:rPr>
              <w:t>251</w:t>
            </w:r>
          </w:p>
        </w:tc>
        <w:tc>
          <w:tcPr>
            <w:tcW w:w="595" w:type="pct"/>
          </w:tcPr>
          <w:p w14:paraId="19156D02" w14:textId="77777777" w:rsidR="00704151" w:rsidRPr="00687637" w:rsidRDefault="00704151" w:rsidP="00924B64">
            <w:pPr>
              <w:jc w:val="center"/>
              <w:rPr>
                <w:sz w:val="20"/>
                <w:szCs w:val="20"/>
              </w:rPr>
            </w:pPr>
            <w:r w:rsidRPr="00687637">
              <w:rPr>
                <w:sz w:val="20"/>
                <w:szCs w:val="20"/>
              </w:rPr>
              <w:t>2.0</w:t>
            </w:r>
          </w:p>
        </w:tc>
        <w:tc>
          <w:tcPr>
            <w:tcW w:w="595" w:type="pct"/>
          </w:tcPr>
          <w:p w14:paraId="66039A53" w14:textId="77777777" w:rsidR="00704151" w:rsidRPr="00687637" w:rsidRDefault="00704151" w:rsidP="00924B64">
            <w:pPr>
              <w:jc w:val="center"/>
              <w:rPr>
                <w:sz w:val="20"/>
                <w:szCs w:val="20"/>
              </w:rPr>
            </w:pPr>
            <w:r w:rsidRPr="00687637">
              <w:rPr>
                <w:sz w:val="20"/>
                <w:szCs w:val="20"/>
              </w:rPr>
              <w:t>3.5</w:t>
            </w:r>
          </w:p>
        </w:tc>
        <w:tc>
          <w:tcPr>
            <w:tcW w:w="595" w:type="pct"/>
          </w:tcPr>
          <w:p w14:paraId="33444FA0" w14:textId="77777777" w:rsidR="00704151" w:rsidRPr="00687637" w:rsidRDefault="00704151" w:rsidP="00924B64">
            <w:pPr>
              <w:jc w:val="center"/>
              <w:rPr>
                <w:sz w:val="20"/>
                <w:szCs w:val="20"/>
              </w:rPr>
            </w:pPr>
            <w:r w:rsidRPr="00687637">
              <w:rPr>
                <w:sz w:val="20"/>
                <w:szCs w:val="20"/>
              </w:rPr>
              <w:t>91,557</w:t>
            </w:r>
          </w:p>
        </w:tc>
        <w:tc>
          <w:tcPr>
            <w:tcW w:w="594" w:type="pct"/>
          </w:tcPr>
          <w:p w14:paraId="5EAF6F0F" w14:textId="77777777" w:rsidR="00704151" w:rsidRPr="00687637" w:rsidRDefault="00704151" w:rsidP="00924B64">
            <w:pPr>
              <w:jc w:val="center"/>
              <w:rPr>
                <w:sz w:val="20"/>
                <w:szCs w:val="20"/>
              </w:rPr>
            </w:pPr>
            <w:r w:rsidRPr="00687637">
              <w:rPr>
                <w:sz w:val="20"/>
                <w:szCs w:val="20"/>
              </w:rPr>
              <w:t>546</w:t>
            </w:r>
          </w:p>
        </w:tc>
      </w:tr>
      <w:tr w:rsidR="00704151" w:rsidRPr="00687637" w14:paraId="2A6A3230" w14:textId="77777777" w:rsidTr="00924B64">
        <w:tc>
          <w:tcPr>
            <w:tcW w:w="879" w:type="pct"/>
          </w:tcPr>
          <w:p w14:paraId="5FD4ECAF" w14:textId="77777777" w:rsidR="00704151" w:rsidRPr="00687637" w:rsidRDefault="00704151" w:rsidP="00924B64">
            <w:pPr>
              <w:rPr>
                <w:sz w:val="20"/>
                <w:szCs w:val="20"/>
              </w:rPr>
            </w:pPr>
            <w:r w:rsidRPr="00687637">
              <w:rPr>
                <w:sz w:val="20"/>
                <w:szCs w:val="20"/>
              </w:rPr>
              <w:t>South West</w:t>
            </w:r>
          </w:p>
        </w:tc>
        <w:tc>
          <w:tcPr>
            <w:tcW w:w="645" w:type="pct"/>
          </w:tcPr>
          <w:p w14:paraId="0688E5BF" w14:textId="77777777" w:rsidR="00704151" w:rsidRPr="00687637" w:rsidRDefault="00704151" w:rsidP="00924B64">
            <w:pPr>
              <w:jc w:val="center"/>
              <w:rPr>
                <w:sz w:val="20"/>
                <w:szCs w:val="20"/>
              </w:rPr>
            </w:pPr>
            <w:r w:rsidRPr="00687637">
              <w:rPr>
                <w:sz w:val="20"/>
                <w:szCs w:val="20"/>
              </w:rPr>
              <w:t>4,629,680</w:t>
            </w:r>
          </w:p>
        </w:tc>
        <w:tc>
          <w:tcPr>
            <w:tcW w:w="536" w:type="pct"/>
          </w:tcPr>
          <w:p w14:paraId="4CE280A4" w14:textId="77777777" w:rsidR="00704151" w:rsidRPr="00687637" w:rsidRDefault="00704151" w:rsidP="00924B64">
            <w:pPr>
              <w:jc w:val="center"/>
              <w:rPr>
                <w:sz w:val="20"/>
                <w:szCs w:val="20"/>
              </w:rPr>
            </w:pPr>
            <w:r w:rsidRPr="00687637">
              <w:rPr>
                <w:sz w:val="20"/>
                <w:szCs w:val="20"/>
              </w:rPr>
              <w:t>35,501</w:t>
            </w:r>
          </w:p>
        </w:tc>
        <w:tc>
          <w:tcPr>
            <w:tcW w:w="561" w:type="pct"/>
          </w:tcPr>
          <w:p w14:paraId="286DEC85" w14:textId="77777777" w:rsidR="00704151" w:rsidRPr="00687637" w:rsidRDefault="00704151" w:rsidP="00924B64">
            <w:pPr>
              <w:jc w:val="center"/>
              <w:rPr>
                <w:sz w:val="20"/>
                <w:szCs w:val="20"/>
              </w:rPr>
            </w:pPr>
            <w:r w:rsidRPr="00687637">
              <w:rPr>
                <w:sz w:val="20"/>
                <w:szCs w:val="20"/>
              </w:rPr>
              <w:t>299</w:t>
            </w:r>
          </w:p>
        </w:tc>
        <w:tc>
          <w:tcPr>
            <w:tcW w:w="595" w:type="pct"/>
          </w:tcPr>
          <w:p w14:paraId="1C177519" w14:textId="77777777" w:rsidR="00704151" w:rsidRPr="00687637" w:rsidRDefault="00704151" w:rsidP="00924B64">
            <w:pPr>
              <w:jc w:val="center"/>
              <w:rPr>
                <w:sz w:val="20"/>
                <w:szCs w:val="20"/>
              </w:rPr>
            </w:pPr>
            <w:r w:rsidRPr="00687637">
              <w:rPr>
                <w:sz w:val="20"/>
                <w:szCs w:val="20"/>
              </w:rPr>
              <w:t>2.7</w:t>
            </w:r>
          </w:p>
        </w:tc>
        <w:tc>
          <w:tcPr>
            <w:tcW w:w="595" w:type="pct"/>
          </w:tcPr>
          <w:p w14:paraId="4AF3FE32" w14:textId="77777777" w:rsidR="00704151" w:rsidRPr="00687637" w:rsidRDefault="00704151" w:rsidP="00924B64">
            <w:pPr>
              <w:jc w:val="center"/>
              <w:rPr>
                <w:sz w:val="20"/>
                <w:szCs w:val="20"/>
              </w:rPr>
            </w:pPr>
            <w:r w:rsidRPr="00687637">
              <w:rPr>
                <w:sz w:val="20"/>
                <w:szCs w:val="20"/>
              </w:rPr>
              <w:t>5.5</w:t>
            </w:r>
          </w:p>
        </w:tc>
        <w:tc>
          <w:tcPr>
            <w:tcW w:w="595" w:type="pct"/>
          </w:tcPr>
          <w:p w14:paraId="0D6BB443" w14:textId="77777777" w:rsidR="00704151" w:rsidRPr="00687637" w:rsidRDefault="00704151" w:rsidP="00924B64">
            <w:pPr>
              <w:jc w:val="center"/>
              <w:rPr>
                <w:sz w:val="20"/>
                <w:szCs w:val="20"/>
              </w:rPr>
            </w:pPr>
            <w:r w:rsidRPr="00687637">
              <w:rPr>
                <w:sz w:val="20"/>
                <w:szCs w:val="20"/>
              </w:rPr>
              <w:t>84,619</w:t>
            </w:r>
          </w:p>
        </w:tc>
        <w:tc>
          <w:tcPr>
            <w:tcW w:w="594" w:type="pct"/>
          </w:tcPr>
          <w:p w14:paraId="77EF179F" w14:textId="77777777" w:rsidR="00704151" w:rsidRPr="00687637" w:rsidRDefault="00704151" w:rsidP="00924B64">
            <w:pPr>
              <w:jc w:val="center"/>
              <w:rPr>
                <w:sz w:val="20"/>
                <w:szCs w:val="20"/>
              </w:rPr>
            </w:pPr>
            <w:r w:rsidRPr="00687637">
              <w:rPr>
                <w:sz w:val="20"/>
                <w:szCs w:val="20"/>
              </w:rPr>
              <w:t>649</w:t>
            </w:r>
          </w:p>
        </w:tc>
      </w:tr>
      <w:tr w:rsidR="00704151" w:rsidRPr="00687637" w14:paraId="1A0B9BFD" w14:textId="77777777" w:rsidTr="00924B64">
        <w:tc>
          <w:tcPr>
            <w:tcW w:w="879" w:type="pct"/>
          </w:tcPr>
          <w:p w14:paraId="471425FE" w14:textId="77777777" w:rsidR="00704151" w:rsidRPr="00687637" w:rsidRDefault="00704151" w:rsidP="00924B64">
            <w:pPr>
              <w:rPr>
                <w:sz w:val="20"/>
                <w:szCs w:val="20"/>
              </w:rPr>
            </w:pPr>
            <w:r w:rsidRPr="00687637">
              <w:rPr>
                <w:sz w:val="20"/>
                <w:szCs w:val="20"/>
              </w:rPr>
              <w:t>East Midlands</w:t>
            </w:r>
          </w:p>
        </w:tc>
        <w:tc>
          <w:tcPr>
            <w:tcW w:w="645" w:type="pct"/>
          </w:tcPr>
          <w:p w14:paraId="6B0250D8" w14:textId="77777777" w:rsidR="00704151" w:rsidRPr="00687637" w:rsidRDefault="00704151" w:rsidP="00924B64">
            <w:pPr>
              <w:jc w:val="center"/>
              <w:rPr>
                <w:sz w:val="20"/>
                <w:szCs w:val="20"/>
              </w:rPr>
            </w:pPr>
            <w:r w:rsidRPr="00687637">
              <w:rPr>
                <w:sz w:val="20"/>
                <w:szCs w:val="20"/>
              </w:rPr>
              <w:t>3,774,532</w:t>
            </w:r>
          </w:p>
        </w:tc>
        <w:tc>
          <w:tcPr>
            <w:tcW w:w="536" w:type="pct"/>
          </w:tcPr>
          <w:p w14:paraId="52E46AEC" w14:textId="77777777" w:rsidR="00704151" w:rsidRPr="00687637" w:rsidRDefault="00704151" w:rsidP="00924B64">
            <w:pPr>
              <w:jc w:val="center"/>
              <w:rPr>
                <w:sz w:val="20"/>
                <w:szCs w:val="20"/>
              </w:rPr>
            </w:pPr>
            <w:r w:rsidRPr="00687637">
              <w:rPr>
                <w:sz w:val="20"/>
                <w:szCs w:val="20"/>
              </w:rPr>
              <w:t>25,869</w:t>
            </w:r>
          </w:p>
        </w:tc>
        <w:tc>
          <w:tcPr>
            <w:tcW w:w="561" w:type="pct"/>
          </w:tcPr>
          <w:p w14:paraId="1FE6D4B3" w14:textId="77777777" w:rsidR="00704151" w:rsidRPr="00687637" w:rsidRDefault="00704151" w:rsidP="00924B64">
            <w:pPr>
              <w:jc w:val="center"/>
              <w:rPr>
                <w:sz w:val="20"/>
                <w:szCs w:val="20"/>
              </w:rPr>
            </w:pPr>
            <w:r w:rsidRPr="00687637">
              <w:rPr>
                <w:sz w:val="20"/>
                <w:szCs w:val="20"/>
              </w:rPr>
              <w:t>211</w:t>
            </w:r>
          </w:p>
        </w:tc>
        <w:tc>
          <w:tcPr>
            <w:tcW w:w="595" w:type="pct"/>
          </w:tcPr>
          <w:p w14:paraId="757A9F41" w14:textId="77777777" w:rsidR="00704151" w:rsidRPr="00687637" w:rsidRDefault="00704151" w:rsidP="00924B64">
            <w:pPr>
              <w:jc w:val="center"/>
              <w:rPr>
                <w:sz w:val="20"/>
                <w:szCs w:val="20"/>
              </w:rPr>
            </w:pPr>
            <w:r w:rsidRPr="00687637">
              <w:rPr>
                <w:sz w:val="20"/>
                <w:szCs w:val="20"/>
              </w:rPr>
              <w:t>2.7</w:t>
            </w:r>
          </w:p>
        </w:tc>
        <w:tc>
          <w:tcPr>
            <w:tcW w:w="595" w:type="pct"/>
          </w:tcPr>
          <w:p w14:paraId="7C3C84B5" w14:textId="77777777" w:rsidR="00704151" w:rsidRPr="00687637" w:rsidRDefault="00704151" w:rsidP="00924B64">
            <w:pPr>
              <w:jc w:val="center"/>
              <w:rPr>
                <w:sz w:val="20"/>
                <w:szCs w:val="20"/>
              </w:rPr>
            </w:pPr>
            <w:r w:rsidRPr="00687637">
              <w:rPr>
                <w:sz w:val="20"/>
                <w:szCs w:val="20"/>
              </w:rPr>
              <w:t>4.5</w:t>
            </w:r>
          </w:p>
        </w:tc>
        <w:tc>
          <w:tcPr>
            <w:tcW w:w="595" w:type="pct"/>
          </w:tcPr>
          <w:p w14:paraId="38BC1CF3" w14:textId="77777777" w:rsidR="00704151" w:rsidRPr="00687637" w:rsidRDefault="00704151" w:rsidP="00924B64">
            <w:pPr>
              <w:jc w:val="center"/>
              <w:rPr>
                <w:sz w:val="20"/>
                <w:szCs w:val="20"/>
              </w:rPr>
            </w:pPr>
            <w:r w:rsidRPr="00687637">
              <w:rPr>
                <w:sz w:val="20"/>
                <w:szCs w:val="20"/>
              </w:rPr>
              <w:t>80,703</w:t>
            </w:r>
          </w:p>
        </w:tc>
        <w:tc>
          <w:tcPr>
            <w:tcW w:w="594" w:type="pct"/>
          </w:tcPr>
          <w:p w14:paraId="23AF603C" w14:textId="77777777" w:rsidR="00704151" w:rsidRPr="00687637" w:rsidRDefault="00704151" w:rsidP="00924B64">
            <w:pPr>
              <w:jc w:val="center"/>
              <w:rPr>
                <w:sz w:val="20"/>
                <w:szCs w:val="20"/>
              </w:rPr>
            </w:pPr>
            <w:r w:rsidRPr="00687637">
              <w:rPr>
                <w:sz w:val="20"/>
                <w:szCs w:val="20"/>
              </w:rPr>
              <w:t>553</w:t>
            </w:r>
          </w:p>
        </w:tc>
      </w:tr>
      <w:tr w:rsidR="00704151" w:rsidRPr="00687637" w14:paraId="144F0BD8" w14:textId="77777777" w:rsidTr="00924B64">
        <w:tc>
          <w:tcPr>
            <w:tcW w:w="879" w:type="pct"/>
          </w:tcPr>
          <w:p w14:paraId="4A6C099C" w14:textId="77777777" w:rsidR="00704151" w:rsidRPr="00687637" w:rsidRDefault="00704151" w:rsidP="00924B64">
            <w:pPr>
              <w:rPr>
                <w:sz w:val="20"/>
                <w:szCs w:val="20"/>
              </w:rPr>
            </w:pPr>
            <w:r w:rsidRPr="00687637">
              <w:rPr>
                <w:sz w:val="20"/>
                <w:szCs w:val="20"/>
              </w:rPr>
              <w:t>Yorkshire &amp; The Humber</w:t>
            </w:r>
          </w:p>
        </w:tc>
        <w:tc>
          <w:tcPr>
            <w:tcW w:w="645" w:type="pct"/>
          </w:tcPr>
          <w:p w14:paraId="2DB97133" w14:textId="77777777" w:rsidR="00704151" w:rsidRPr="00687637" w:rsidRDefault="00704151" w:rsidP="00924B64">
            <w:pPr>
              <w:jc w:val="center"/>
              <w:rPr>
                <w:sz w:val="20"/>
                <w:szCs w:val="20"/>
              </w:rPr>
            </w:pPr>
            <w:r w:rsidRPr="00687637">
              <w:rPr>
                <w:sz w:val="20"/>
                <w:szCs w:val="20"/>
              </w:rPr>
              <w:t>4,752,930</w:t>
            </w:r>
          </w:p>
        </w:tc>
        <w:tc>
          <w:tcPr>
            <w:tcW w:w="536" w:type="pct"/>
          </w:tcPr>
          <w:p w14:paraId="3E388EF7" w14:textId="77777777" w:rsidR="00704151" w:rsidRPr="00687637" w:rsidRDefault="00704151" w:rsidP="00924B64">
            <w:pPr>
              <w:jc w:val="center"/>
              <w:rPr>
                <w:sz w:val="20"/>
                <w:szCs w:val="20"/>
              </w:rPr>
            </w:pPr>
            <w:r w:rsidRPr="00687637">
              <w:rPr>
                <w:sz w:val="20"/>
                <w:szCs w:val="20"/>
              </w:rPr>
              <w:t>23,817</w:t>
            </w:r>
          </w:p>
        </w:tc>
        <w:tc>
          <w:tcPr>
            <w:tcW w:w="561" w:type="pct"/>
          </w:tcPr>
          <w:p w14:paraId="1AD1609D" w14:textId="77777777" w:rsidR="00704151" w:rsidRPr="00687637" w:rsidRDefault="00704151" w:rsidP="00924B64">
            <w:pPr>
              <w:jc w:val="center"/>
              <w:rPr>
                <w:sz w:val="20"/>
                <w:szCs w:val="20"/>
              </w:rPr>
            </w:pPr>
            <w:r w:rsidRPr="00687637">
              <w:rPr>
                <w:sz w:val="20"/>
                <w:szCs w:val="20"/>
              </w:rPr>
              <w:t>208</w:t>
            </w:r>
          </w:p>
        </w:tc>
        <w:tc>
          <w:tcPr>
            <w:tcW w:w="595" w:type="pct"/>
          </w:tcPr>
          <w:p w14:paraId="6D743A6E" w14:textId="77777777" w:rsidR="00704151" w:rsidRPr="00687637" w:rsidRDefault="00704151" w:rsidP="00924B64">
            <w:pPr>
              <w:jc w:val="center"/>
              <w:rPr>
                <w:sz w:val="20"/>
                <w:szCs w:val="20"/>
              </w:rPr>
            </w:pPr>
            <w:r w:rsidRPr="00687637">
              <w:rPr>
                <w:sz w:val="20"/>
                <w:szCs w:val="20"/>
              </w:rPr>
              <w:t>2.4</w:t>
            </w:r>
          </w:p>
        </w:tc>
        <w:tc>
          <w:tcPr>
            <w:tcW w:w="595" w:type="pct"/>
          </w:tcPr>
          <w:p w14:paraId="1EF26E2C" w14:textId="77777777" w:rsidR="00704151" w:rsidRPr="00687637" w:rsidRDefault="00704151" w:rsidP="00924B64">
            <w:pPr>
              <w:jc w:val="center"/>
              <w:rPr>
                <w:sz w:val="20"/>
                <w:szCs w:val="20"/>
              </w:rPr>
            </w:pPr>
            <w:r w:rsidRPr="00687637">
              <w:rPr>
                <w:sz w:val="20"/>
                <w:szCs w:val="20"/>
              </w:rPr>
              <w:t>3.9</w:t>
            </w:r>
          </w:p>
        </w:tc>
        <w:tc>
          <w:tcPr>
            <w:tcW w:w="595" w:type="pct"/>
          </w:tcPr>
          <w:p w14:paraId="55794A27" w14:textId="77777777" w:rsidR="00704151" w:rsidRPr="00687637" w:rsidRDefault="00704151" w:rsidP="00924B64">
            <w:pPr>
              <w:jc w:val="center"/>
              <w:rPr>
                <w:sz w:val="20"/>
                <w:szCs w:val="20"/>
              </w:rPr>
            </w:pPr>
            <w:r w:rsidRPr="00687637">
              <w:rPr>
                <w:sz w:val="20"/>
                <w:szCs w:val="20"/>
              </w:rPr>
              <w:t>88,171</w:t>
            </w:r>
          </w:p>
        </w:tc>
        <w:tc>
          <w:tcPr>
            <w:tcW w:w="594" w:type="pct"/>
          </w:tcPr>
          <w:p w14:paraId="291E8E8A" w14:textId="77777777" w:rsidR="00704151" w:rsidRPr="00687637" w:rsidRDefault="00704151" w:rsidP="00924B64">
            <w:pPr>
              <w:jc w:val="center"/>
              <w:rPr>
                <w:sz w:val="20"/>
                <w:szCs w:val="20"/>
              </w:rPr>
            </w:pPr>
            <w:r w:rsidRPr="00687637">
              <w:rPr>
                <w:sz w:val="20"/>
                <w:szCs w:val="20"/>
              </w:rPr>
              <w:t>442</w:t>
            </w:r>
          </w:p>
        </w:tc>
      </w:tr>
      <w:tr w:rsidR="00704151" w:rsidRPr="00687637" w14:paraId="507DEE19" w14:textId="77777777" w:rsidTr="00924B64">
        <w:tc>
          <w:tcPr>
            <w:tcW w:w="879" w:type="pct"/>
          </w:tcPr>
          <w:p w14:paraId="37860A6D" w14:textId="77777777" w:rsidR="00704151" w:rsidRPr="00687637" w:rsidRDefault="00704151" w:rsidP="00924B64">
            <w:pPr>
              <w:rPr>
                <w:sz w:val="20"/>
                <w:szCs w:val="20"/>
              </w:rPr>
            </w:pPr>
            <w:r w:rsidRPr="00687637">
              <w:rPr>
                <w:sz w:val="20"/>
                <w:szCs w:val="20"/>
              </w:rPr>
              <w:t>North East</w:t>
            </w:r>
          </w:p>
        </w:tc>
        <w:tc>
          <w:tcPr>
            <w:tcW w:w="645" w:type="pct"/>
          </w:tcPr>
          <w:p w14:paraId="2C4AD0D7" w14:textId="77777777" w:rsidR="00704151" w:rsidRPr="00687637" w:rsidRDefault="00704151" w:rsidP="00924B64">
            <w:pPr>
              <w:jc w:val="center"/>
              <w:rPr>
                <w:sz w:val="20"/>
                <w:szCs w:val="20"/>
              </w:rPr>
            </w:pPr>
            <w:r w:rsidRPr="00687637">
              <w:rPr>
                <w:sz w:val="20"/>
                <w:szCs w:val="20"/>
              </w:rPr>
              <w:t>1,844,388</w:t>
            </w:r>
          </w:p>
        </w:tc>
        <w:tc>
          <w:tcPr>
            <w:tcW w:w="536" w:type="pct"/>
          </w:tcPr>
          <w:p w14:paraId="4D3A8865" w14:textId="77777777" w:rsidR="00704151" w:rsidRPr="00687637" w:rsidRDefault="00704151" w:rsidP="00924B64">
            <w:pPr>
              <w:jc w:val="center"/>
              <w:rPr>
                <w:sz w:val="20"/>
                <w:szCs w:val="20"/>
              </w:rPr>
            </w:pPr>
            <w:r w:rsidRPr="00687637">
              <w:rPr>
                <w:sz w:val="20"/>
                <w:szCs w:val="20"/>
              </w:rPr>
              <w:t>16,185</w:t>
            </w:r>
          </w:p>
        </w:tc>
        <w:tc>
          <w:tcPr>
            <w:tcW w:w="561" w:type="pct"/>
          </w:tcPr>
          <w:p w14:paraId="598F5EAF" w14:textId="77777777" w:rsidR="00704151" w:rsidRPr="00687637" w:rsidRDefault="00704151" w:rsidP="00924B64">
            <w:pPr>
              <w:jc w:val="center"/>
              <w:rPr>
                <w:sz w:val="20"/>
                <w:szCs w:val="20"/>
              </w:rPr>
            </w:pPr>
            <w:r w:rsidRPr="00687637">
              <w:rPr>
                <w:sz w:val="20"/>
                <w:szCs w:val="20"/>
              </w:rPr>
              <w:t>85</w:t>
            </w:r>
          </w:p>
        </w:tc>
        <w:tc>
          <w:tcPr>
            <w:tcW w:w="595" w:type="pct"/>
          </w:tcPr>
          <w:p w14:paraId="6C30512A" w14:textId="77777777" w:rsidR="00704151" w:rsidRPr="00687637" w:rsidRDefault="00704151" w:rsidP="00924B64">
            <w:pPr>
              <w:jc w:val="center"/>
              <w:rPr>
                <w:sz w:val="20"/>
                <w:szCs w:val="20"/>
              </w:rPr>
            </w:pPr>
            <w:r w:rsidRPr="00687637">
              <w:rPr>
                <w:sz w:val="20"/>
                <w:szCs w:val="20"/>
              </w:rPr>
              <w:t>3.2</w:t>
            </w:r>
          </w:p>
        </w:tc>
        <w:tc>
          <w:tcPr>
            <w:tcW w:w="595" w:type="pct"/>
          </w:tcPr>
          <w:p w14:paraId="14A6A030" w14:textId="77777777" w:rsidR="00704151" w:rsidRPr="00687637" w:rsidRDefault="00704151" w:rsidP="00924B64">
            <w:pPr>
              <w:jc w:val="center"/>
              <w:rPr>
                <w:sz w:val="20"/>
                <w:szCs w:val="20"/>
              </w:rPr>
            </w:pPr>
            <w:r w:rsidRPr="00687637">
              <w:rPr>
                <w:sz w:val="20"/>
                <w:szCs w:val="20"/>
              </w:rPr>
              <w:t>3.2</w:t>
            </w:r>
          </w:p>
        </w:tc>
        <w:tc>
          <w:tcPr>
            <w:tcW w:w="595" w:type="pct"/>
          </w:tcPr>
          <w:p w14:paraId="575C0284" w14:textId="77777777" w:rsidR="00704151" w:rsidRPr="00687637" w:rsidRDefault="00704151" w:rsidP="00924B64">
            <w:pPr>
              <w:jc w:val="center"/>
              <w:rPr>
                <w:sz w:val="20"/>
                <w:szCs w:val="20"/>
              </w:rPr>
            </w:pPr>
            <w:r w:rsidRPr="00687637">
              <w:rPr>
                <w:sz w:val="20"/>
                <w:szCs w:val="20"/>
              </w:rPr>
              <w:t>70,273</w:t>
            </w:r>
          </w:p>
        </w:tc>
        <w:tc>
          <w:tcPr>
            <w:tcW w:w="594" w:type="pct"/>
          </w:tcPr>
          <w:p w14:paraId="7FD95AD1" w14:textId="77777777" w:rsidR="00704151" w:rsidRPr="00687637" w:rsidRDefault="00704151" w:rsidP="00924B64">
            <w:pPr>
              <w:jc w:val="center"/>
              <w:rPr>
                <w:sz w:val="20"/>
                <w:szCs w:val="20"/>
              </w:rPr>
            </w:pPr>
            <w:r w:rsidRPr="00687637">
              <w:rPr>
                <w:sz w:val="20"/>
                <w:szCs w:val="20"/>
              </w:rPr>
              <w:t>617</w:t>
            </w:r>
          </w:p>
        </w:tc>
      </w:tr>
      <w:tr w:rsidR="00704151" w:rsidRPr="00687637" w14:paraId="41038556" w14:textId="77777777" w:rsidTr="00924B64">
        <w:tc>
          <w:tcPr>
            <w:tcW w:w="879" w:type="pct"/>
          </w:tcPr>
          <w:p w14:paraId="0A241DC3" w14:textId="77777777" w:rsidR="00704151" w:rsidRPr="00687637" w:rsidRDefault="00704151" w:rsidP="00924B64">
            <w:pPr>
              <w:rPr>
                <w:sz w:val="20"/>
                <w:szCs w:val="20"/>
              </w:rPr>
            </w:pPr>
            <w:r w:rsidRPr="00687637">
              <w:rPr>
                <w:sz w:val="20"/>
                <w:szCs w:val="20"/>
              </w:rPr>
              <w:t>Wales</w:t>
            </w:r>
          </w:p>
        </w:tc>
        <w:tc>
          <w:tcPr>
            <w:tcW w:w="645" w:type="pct"/>
          </w:tcPr>
          <w:p w14:paraId="26966BCD" w14:textId="77777777" w:rsidR="00704151" w:rsidRPr="00687637" w:rsidRDefault="00704151" w:rsidP="00924B64">
            <w:pPr>
              <w:jc w:val="center"/>
              <w:rPr>
                <w:sz w:val="20"/>
                <w:szCs w:val="20"/>
              </w:rPr>
            </w:pPr>
            <w:r w:rsidRPr="00687637">
              <w:rPr>
                <w:sz w:val="20"/>
                <w:szCs w:val="20"/>
              </w:rPr>
              <w:t>2,183,671</w:t>
            </w:r>
          </w:p>
        </w:tc>
        <w:tc>
          <w:tcPr>
            <w:tcW w:w="536" w:type="pct"/>
          </w:tcPr>
          <w:p w14:paraId="73B26685" w14:textId="77777777" w:rsidR="00704151" w:rsidRPr="00687637" w:rsidRDefault="00704151" w:rsidP="00924B64">
            <w:pPr>
              <w:jc w:val="center"/>
              <w:rPr>
                <w:sz w:val="20"/>
                <w:szCs w:val="20"/>
              </w:rPr>
            </w:pPr>
            <w:r w:rsidRPr="00687637">
              <w:rPr>
                <w:sz w:val="20"/>
                <w:szCs w:val="20"/>
              </w:rPr>
              <w:t>5,267</w:t>
            </w:r>
          </w:p>
        </w:tc>
        <w:tc>
          <w:tcPr>
            <w:tcW w:w="561" w:type="pct"/>
          </w:tcPr>
          <w:p w14:paraId="1E13EE5C" w14:textId="77777777" w:rsidR="00704151" w:rsidRPr="00687637" w:rsidRDefault="00704151" w:rsidP="00924B64">
            <w:pPr>
              <w:jc w:val="center"/>
              <w:rPr>
                <w:sz w:val="20"/>
                <w:szCs w:val="20"/>
              </w:rPr>
            </w:pPr>
            <w:r w:rsidRPr="00687637">
              <w:rPr>
                <w:sz w:val="20"/>
                <w:szCs w:val="20"/>
              </w:rPr>
              <w:t>110</w:t>
            </w:r>
          </w:p>
        </w:tc>
        <w:tc>
          <w:tcPr>
            <w:tcW w:w="595" w:type="pct"/>
          </w:tcPr>
          <w:p w14:paraId="7DAC0494" w14:textId="77777777" w:rsidR="00704151" w:rsidRPr="00687637" w:rsidRDefault="00704151" w:rsidP="00924B64">
            <w:pPr>
              <w:jc w:val="center"/>
              <w:rPr>
                <w:sz w:val="20"/>
                <w:szCs w:val="20"/>
              </w:rPr>
            </w:pPr>
            <w:r w:rsidRPr="00687637">
              <w:rPr>
                <w:sz w:val="20"/>
                <w:szCs w:val="20"/>
              </w:rPr>
              <w:t>4.9</w:t>
            </w:r>
          </w:p>
        </w:tc>
        <w:tc>
          <w:tcPr>
            <w:tcW w:w="595" w:type="pct"/>
          </w:tcPr>
          <w:p w14:paraId="4B3894B5" w14:textId="77777777" w:rsidR="00704151" w:rsidRPr="00687637" w:rsidRDefault="00704151" w:rsidP="00924B64">
            <w:pPr>
              <w:jc w:val="center"/>
              <w:rPr>
                <w:sz w:val="20"/>
                <w:szCs w:val="20"/>
              </w:rPr>
            </w:pPr>
            <w:r w:rsidRPr="00687637">
              <w:rPr>
                <w:sz w:val="20"/>
                <w:szCs w:val="20"/>
              </w:rPr>
              <w:t>3.5</w:t>
            </w:r>
          </w:p>
        </w:tc>
        <w:tc>
          <w:tcPr>
            <w:tcW w:w="595" w:type="pct"/>
          </w:tcPr>
          <w:p w14:paraId="54ADAFCE" w14:textId="77777777" w:rsidR="00704151" w:rsidRPr="00687637" w:rsidRDefault="00704151" w:rsidP="00924B64">
            <w:pPr>
              <w:jc w:val="center"/>
              <w:rPr>
                <w:sz w:val="20"/>
                <w:szCs w:val="20"/>
              </w:rPr>
            </w:pPr>
            <w:r w:rsidRPr="00687637">
              <w:rPr>
                <w:sz w:val="20"/>
                <w:szCs w:val="20"/>
              </w:rPr>
              <w:t>70,462</w:t>
            </w:r>
          </w:p>
        </w:tc>
        <w:tc>
          <w:tcPr>
            <w:tcW w:w="594" w:type="pct"/>
          </w:tcPr>
          <w:p w14:paraId="263E59B0" w14:textId="77777777" w:rsidR="00704151" w:rsidRPr="00687637" w:rsidRDefault="00704151" w:rsidP="00924B64">
            <w:pPr>
              <w:jc w:val="center"/>
              <w:rPr>
                <w:sz w:val="20"/>
                <w:szCs w:val="20"/>
              </w:rPr>
            </w:pPr>
            <w:r w:rsidRPr="00687637">
              <w:rPr>
                <w:sz w:val="20"/>
                <w:szCs w:val="20"/>
              </w:rPr>
              <w:t>170</w:t>
            </w:r>
          </w:p>
        </w:tc>
      </w:tr>
      <w:tr w:rsidR="00704151" w:rsidRPr="00687637" w14:paraId="6A3F8FF1" w14:textId="77777777" w:rsidTr="00924B64">
        <w:tc>
          <w:tcPr>
            <w:tcW w:w="879" w:type="pct"/>
            <w:tcBorders>
              <w:bottom w:val="single" w:sz="4" w:space="0" w:color="auto"/>
            </w:tcBorders>
          </w:tcPr>
          <w:p w14:paraId="3F1F0A43" w14:textId="77777777" w:rsidR="00704151" w:rsidRPr="00687637" w:rsidRDefault="00704151" w:rsidP="00924B64">
            <w:pPr>
              <w:rPr>
                <w:sz w:val="20"/>
                <w:szCs w:val="20"/>
              </w:rPr>
            </w:pPr>
            <w:r w:rsidRPr="00687637">
              <w:rPr>
                <w:sz w:val="20"/>
                <w:szCs w:val="20"/>
              </w:rPr>
              <w:t>Northern Ireland</w:t>
            </w:r>
          </w:p>
        </w:tc>
        <w:tc>
          <w:tcPr>
            <w:tcW w:w="645" w:type="pct"/>
            <w:tcBorders>
              <w:bottom w:val="single" w:sz="4" w:space="0" w:color="auto"/>
            </w:tcBorders>
          </w:tcPr>
          <w:p w14:paraId="24D973E6" w14:textId="77777777" w:rsidR="00704151" w:rsidRPr="00687637" w:rsidRDefault="00704151" w:rsidP="00924B64">
            <w:pPr>
              <w:jc w:val="center"/>
              <w:rPr>
                <w:sz w:val="20"/>
                <w:szCs w:val="20"/>
              </w:rPr>
            </w:pPr>
            <w:r w:rsidRPr="00687637">
              <w:rPr>
                <w:sz w:val="20"/>
                <w:szCs w:val="20"/>
              </w:rPr>
              <w:t>803,150</w:t>
            </w:r>
          </w:p>
        </w:tc>
        <w:tc>
          <w:tcPr>
            <w:tcW w:w="536" w:type="pct"/>
            <w:tcBorders>
              <w:bottom w:val="single" w:sz="4" w:space="0" w:color="auto"/>
            </w:tcBorders>
          </w:tcPr>
          <w:p w14:paraId="454003F0" w14:textId="77777777" w:rsidR="00704151" w:rsidRPr="00687637" w:rsidRDefault="00704151" w:rsidP="00924B64">
            <w:pPr>
              <w:jc w:val="center"/>
              <w:rPr>
                <w:sz w:val="20"/>
                <w:szCs w:val="20"/>
              </w:rPr>
            </w:pPr>
            <w:r w:rsidRPr="00687637">
              <w:rPr>
                <w:sz w:val="20"/>
                <w:szCs w:val="20"/>
              </w:rPr>
              <w:t>0</w:t>
            </w:r>
          </w:p>
        </w:tc>
        <w:tc>
          <w:tcPr>
            <w:tcW w:w="561" w:type="pct"/>
            <w:tcBorders>
              <w:bottom w:val="single" w:sz="4" w:space="0" w:color="auto"/>
            </w:tcBorders>
          </w:tcPr>
          <w:p w14:paraId="43E3EFAB" w14:textId="77777777" w:rsidR="00704151" w:rsidRPr="00687637" w:rsidRDefault="00704151" w:rsidP="00924B64">
            <w:pPr>
              <w:jc w:val="center"/>
              <w:rPr>
                <w:sz w:val="20"/>
                <w:szCs w:val="20"/>
              </w:rPr>
            </w:pPr>
            <w:r w:rsidRPr="00687637">
              <w:rPr>
                <w:sz w:val="20"/>
                <w:szCs w:val="20"/>
              </w:rPr>
              <w:t>51</w:t>
            </w:r>
          </w:p>
        </w:tc>
        <w:tc>
          <w:tcPr>
            <w:tcW w:w="595" w:type="pct"/>
            <w:tcBorders>
              <w:bottom w:val="single" w:sz="4" w:space="0" w:color="auto"/>
            </w:tcBorders>
          </w:tcPr>
          <w:p w14:paraId="1A6E5907" w14:textId="77777777" w:rsidR="00704151" w:rsidRPr="00687637" w:rsidRDefault="00704151" w:rsidP="00924B64">
            <w:pPr>
              <w:jc w:val="center"/>
              <w:rPr>
                <w:sz w:val="20"/>
                <w:szCs w:val="20"/>
              </w:rPr>
            </w:pPr>
            <w:r w:rsidRPr="00687637">
              <w:rPr>
                <w:sz w:val="20"/>
                <w:szCs w:val="20"/>
              </w:rPr>
              <w:t>7.1</w:t>
            </w:r>
          </w:p>
        </w:tc>
        <w:tc>
          <w:tcPr>
            <w:tcW w:w="595" w:type="pct"/>
            <w:tcBorders>
              <w:bottom w:val="single" w:sz="4" w:space="0" w:color="auto"/>
            </w:tcBorders>
          </w:tcPr>
          <w:p w14:paraId="165A1638" w14:textId="77777777" w:rsidR="00704151" w:rsidRPr="00687637" w:rsidRDefault="00704151" w:rsidP="00924B64">
            <w:pPr>
              <w:jc w:val="center"/>
              <w:rPr>
                <w:sz w:val="20"/>
                <w:szCs w:val="20"/>
              </w:rPr>
            </w:pPr>
            <w:r w:rsidRPr="00687637">
              <w:rPr>
                <w:sz w:val="20"/>
                <w:szCs w:val="20"/>
              </w:rPr>
              <w:t>2.8</w:t>
            </w:r>
          </w:p>
        </w:tc>
        <w:tc>
          <w:tcPr>
            <w:tcW w:w="595" w:type="pct"/>
            <w:tcBorders>
              <w:bottom w:val="single" w:sz="4" w:space="0" w:color="auto"/>
            </w:tcBorders>
          </w:tcPr>
          <w:p w14:paraId="1913306C" w14:textId="77777777" w:rsidR="00704151" w:rsidRPr="00687637" w:rsidRDefault="00704151" w:rsidP="00924B64">
            <w:pPr>
              <w:jc w:val="center"/>
              <w:rPr>
                <w:sz w:val="20"/>
                <w:szCs w:val="20"/>
              </w:rPr>
            </w:pPr>
            <w:r w:rsidRPr="00687637">
              <w:rPr>
                <w:sz w:val="20"/>
                <w:szCs w:val="20"/>
              </w:rPr>
              <w:t>43,376</w:t>
            </w:r>
          </w:p>
        </w:tc>
        <w:tc>
          <w:tcPr>
            <w:tcW w:w="594" w:type="pct"/>
            <w:tcBorders>
              <w:bottom w:val="single" w:sz="4" w:space="0" w:color="auto"/>
            </w:tcBorders>
          </w:tcPr>
          <w:p w14:paraId="10355D0E" w14:textId="77777777" w:rsidR="00704151" w:rsidRPr="00687637" w:rsidRDefault="00704151" w:rsidP="00924B64">
            <w:pPr>
              <w:jc w:val="center"/>
              <w:rPr>
                <w:sz w:val="20"/>
                <w:szCs w:val="20"/>
              </w:rPr>
            </w:pPr>
            <w:r w:rsidRPr="00687637">
              <w:rPr>
                <w:sz w:val="20"/>
                <w:szCs w:val="20"/>
              </w:rPr>
              <w:t>-</w:t>
            </w:r>
          </w:p>
        </w:tc>
      </w:tr>
      <w:tr w:rsidR="00704151" w:rsidRPr="00687637" w14:paraId="6955AE6C" w14:textId="77777777" w:rsidTr="00924B64">
        <w:tc>
          <w:tcPr>
            <w:tcW w:w="879" w:type="pct"/>
            <w:tcBorders>
              <w:top w:val="single" w:sz="4" w:space="0" w:color="auto"/>
              <w:bottom w:val="single" w:sz="4" w:space="0" w:color="auto"/>
            </w:tcBorders>
          </w:tcPr>
          <w:p w14:paraId="2381F0B0" w14:textId="77777777" w:rsidR="00704151" w:rsidRPr="00687637" w:rsidRDefault="00704151" w:rsidP="00924B64">
            <w:pPr>
              <w:rPr>
                <w:sz w:val="20"/>
                <w:szCs w:val="20"/>
              </w:rPr>
            </w:pPr>
            <w:r w:rsidRPr="00687637">
              <w:rPr>
                <w:sz w:val="20"/>
                <w:szCs w:val="20"/>
              </w:rPr>
              <w:t>Total</w:t>
            </w:r>
          </w:p>
        </w:tc>
        <w:tc>
          <w:tcPr>
            <w:tcW w:w="645" w:type="pct"/>
            <w:tcBorders>
              <w:top w:val="single" w:sz="4" w:space="0" w:color="auto"/>
              <w:bottom w:val="single" w:sz="4" w:space="0" w:color="auto"/>
            </w:tcBorders>
          </w:tcPr>
          <w:p w14:paraId="4AFB4523" w14:textId="77777777" w:rsidR="00704151" w:rsidRPr="00687637" w:rsidRDefault="00704151" w:rsidP="00924B64">
            <w:pPr>
              <w:jc w:val="center"/>
              <w:rPr>
                <w:sz w:val="20"/>
                <w:szCs w:val="20"/>
              </w:rPr>
            </w:pPr>
            <w:r w:rsidRPr="00687637">
              <w:rPr>
                <w:sz w:val="20"/>
                <w:szCs w:val="20"/>
              </w:rPr>
              <w:t>60,075,479</w:t>
            </w:r>
          </w:p>
        </w:tc>
        <w:tc>
          <w:tcPr>
            <w:tcW w:w="536" w:type="pct"/>
            <w:tcBorders>
              <w:top w:val="single" w:sz="4" w:space="0" w:color="auto"/>
              <w:bottom w:val="single" w:sz="4" w:space="0" w:color="auto"/>
            </w:tcBorders>
          </w:tcPr>
          <w:p w14:paraId="24982835" w14:textId="77777777" w:rsidR="00704151" w:rsidRPr="00687637" w:rsidRDefault="00704151" w:rsidP="00924B64">
            <w:pPr>
              <w:jc w:val="center"/>
              <w:rPr>
                <w:sz w:val="20"/>
                <w:szCs w:val="20"/>
              </w:rPr>
            </w:pPr>
            <w:r w:rsidRPr="00687637">
              <w:rPr>
                <w:sz w:val="20"/>
                <w:szCs w:val="20"/>
              </w:rPr>
              <w:t>713,546</w:t>
            </w:r>
          </w:p>
        </w:tc>
        <w:tc>
          <w:tcPr>
            <w:tcW w:w="561" w:type="pct"/>
            <w:tcBorders>
              <w:top w:val="single" w:sz="4" w:space="0" w:color="auto"/>
              <w:bottom w:val="single" w:sz="4" w:space="0" w:color="auto"/>
            </w:tcBorders>
          </w:tcPr>
          <w:p w14:paraId="7C4B4095" w14:textId="77777777" w:rsidR="00704151" w:rsidRPr="00687637" w:rsidRDefault="00704151" w:rsidP="00924B64">
            <w:pPr>
              <w:jc w:val="center"/>
              <w:rPr>
                <w:sz w:val="20"/>
                <w:szCs w:val="20"/>
              </w:rPr>
            </w:pPr>
            <w:r w:rsidRPr="00687637">
              <w:rPr>
                <w:sz w:val="20"/>
                <w:szCs w:val="20"/>
              </w:rPr>
              <w:t>3,208</w:t>
            </w:r>
          </w:p>
        </w:tc>
        <w:tc>
          <w:tcPr>
            <w:tcW w:w="595" w:type="pct"/>
            <w:tcBorders>
              <w:top w:val="single" w:sz="4" w:space="0" w:color="auto"/>
              <w:bottom w:val="single" w:sz="4" w:space="0" w:color="auto"/>
            </w:tcBorders>
          </w:tcPr>
          <w:p w14:paraId="6DF99155" w14:textId="77777777" w:rsidR="00704151" w:rsidRPr="00687637" w:rsidRDefault="00704151" w:rsidP="00924B64">
            <w:pPr>
              <w:jc w:val="center"/>
              <w:rPr>
                <w:sz w:val="20"/>
                <w:szCs w:val="20"/>
              </w:rPr>
            </w:pPr>
            <w:r w:rsidRPr="00687637">
              <w:rPr>
                <w:sz w:val="20"/>
                <w:szCs w:val="20"/>
              </w:rPr>
              <w:t>2.4</w:t>
            </w:r>
          </w:p>
        </w:tc>
        <w:tc>
          <w:tcPr>
            <w:tcW w:w="595" w:type="pct"/>
            <w:tcBorders>
              <w:top w:val="single" w:sz="4" w:space="0" w:color="auto"/>
              <w:bottom w:val="single" w:sz="4" w:space="0" w:color="auto"/>
            </w:tcBorders>
          </w:tcPr>
          <w:p w14:paraId="1A4957CD" w14:textId="77777777" w:rsidR="00704151" w:rsidRPr="00687637" w:rsidRDefault="00704151" w:rsidP="00924B64">
            <w:pPr>
              <w:jc w:val="center"/>
              <w:rPr>
                <w:sz w:val="20"/>
                <w:szCs w:val="20"/>
              </w:rPr>
            </w:pPr>
            <w:r w:rsidRPr="00687637">
              <w:rPr>
                <w:sz w:val="20"/>
                <w:szCs w:val="20"/>
              </w:rPr>
              <w:t>5.4</w:t>
            </w:r>
          </w:p>
        </w:tc>
        <w:tc>
          <w:tcPr>
            <w:tcW w:w="595" w:type="pct"/>
            <w:tcBorders>
              <w:top w:val="single" w:sz="4" w:space="0" w:color="auto"/>
              <w:bottom w:val="single" w:sz="4" w:space="0" w:color="auto"/>
            </w:tcBorders>
          </w:tcPr>
          <w:p w14:paraId="0ABA18EF" w14:textId="77777777" w:rsidR="00704151" w:rsidRPr="00687637" w:rsidRDefault="00704151" w:rsidP="00924B64">
            <w:pPr>
              <w:jc w:val="center"/>
              <w:rPr>
                <w:sz w:val="20"/>
                <w:szCs w:val="20"/>
              </w:rPr>
            </w:pPr>
            <w:r w:rsidRPr="00687637">
              <w:rPr>
                <w:sz w:val="20"/>
                <w:szCs w:val="20"/>
              </w:rPr>
              <w:t>100,567</w:t>
            </w:r>
          </w:p>
        </w:tc>
        <w:tc>
          <w:tcPr>
            <w:tcW w:w="594" w:type="pct"/>
            <w:tcBorders>
              <w:top w:val="single" w:sz="4" w:space="0" w:color="auto"/>
              <w:bottom w:val="single" w:sz="4" w:space="0" w:color="auto"/>
            </w:tcBorders>
          </w:tcPr>
          <w:p w14:paraId="205B4AEA" w14:textId="77777777" w:rsidR="00704151" w:rsidRPr="00687637" w:rsidRDefault="00704151" w:rsidP="00924B64">
            <w:pPr>
              <w:jc w:val="center"/>
              <w:rPr>
                <w:sz w:val="20"/>
                <w:szCs w:val="20"/>
              </w:rPr>
            </w:pPr>
            <w:r w:rsidRPr="00687637">
              <w:rPr>
                <w:sz w:val="20"/>
                <w:szCs w:val="20"/>
              </w:rPr>
              <w:t>1,194</w:t>
            </w:r>
          </w:p>
        </w:tc>
      </w:tr>
    </w:tbl>
    <w:p w14:paraId="17116703" w14:textId="77777777" w:rsidR="00704151" w:rsidRPr="00687637" w:rsidRDefault="00704151" w:rsidP="00704151">
      <w:pPr>
        <w:pStyle w:val="Caption"/>
        <w:keepNext/>
        <w:rPr>
          <w:rFonts w:ascii="Times New Roman" w:hAnsi="Times New Roman" w:cs="Times New Roman"/>
        </w:rPr>
      </w:pPr>
    </w:p>
    <w:p w14:paraId="11A9A8A6" w14:textId="77777777" w:rsidR="00704151" w:rsidRPr="00687637" w:rsidRDefault="00704151" w:rsidP="00704151"/>
    <w:p w14:paraId="34B79184" w14:textId="77777777" w:rsidR="00704151" w:rsidRPr="00687637" w:rsidRDefault="00704151" w:rsidP="00704151">
      <w:pPr>
        <w:pStyle w:val="Caption"/>
        <w:keepNext/>
        <w:rPr>
          <w:rFonts w:ascii="Times New Roman" w:hAnsi="Times New Roman" w:cs="Times New Roman"/>
        </w:rPr>
      </w:pPr>
      <w:bookmarkStart w:id="24" w:name="_Ref481232149"/>
      <w:r w:rsidRPr="00687637">
        <w:rPr>
          <w:rFonts w:ascii="Times New Roman" w:hAnsi="Times New Roman" w:cs="Times New Roman"/>
        </w:rPr>
        <w:t xml:space="preserve">Table </w:t>
      </w:r>
      <w:r w:rsidRPr="00687637">
        <w:rPr>
          <w:rFonts w:ascii="Times New Roman" w:hAnsi="Times New Roman" w:cs="Times New Roman"/>
        </w:rPr>
        <w:fldChar w:fldCharType="begin"/>
      </w:r>
      <w:r w:rsidRPr="00687637">
        <w:rPr>
          <w:rFonts w:ascii="Times New Roman" w:hAnsi="Times New Roman" w:cs="Times New Roman"/>
        </w:rPr>
        <w:instrText xml:space="preserve"> SEQ Table \* ARABIC </w:instrText>
      </w:r>
      <w:r w:rsidRPr="00687637">
        <w:rPr>
          <w:rFonts w:ascii="Times New Roman" w:hAnsi="Times New Roman" w:cs="Times New Roman"/>
        </w:rPr>
        <w:fldChar w:fldCharType="separate"/>
      </w:r>
      <w:r w:rsidRPr="00687637">
        <w:rPr>
          <w:rFonts w:ascii="Times New Roman" w:hAnsi="Times New Roman" w:cs="Times New Roman"/>
          <w:noProof/>
        </w:rPr>
        <w:t>4</w:t>
      </w:r>
      <w:r w:rsidRPr="00687637">
        <w:rPr>
          <w:rFonts w:ascii="Times New Roman" w:hAnsi="Times New Roman" w:cs="Times New Roman"/>
        </w:rPr>
        <w:fldChar w:fldCharType="end"/>
      </w:r>
      <w:bookmarkEnd w:id="24"/>
      <w:r w:rsidRPr="00687637">
        <w:rPr>
          <w:rFonts w:ascii="Times New Roman" w:hAnsi="Times New Roman" w:cs="Times New Roman"/>
        </w:rPr>
        <w:t xml:space="preserve">   Yellow fever vaccination centres per international trips abroad by country.</w:t>
      </w:r>
    </w:p>
    <w:tbl>
      <w:tblPr>
        <w:tblStyle w:val="TableGrid"/>
        <w:tblW w:w="46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2791"/>
        <w:gridCol w:w="1883"/>
        <w:gridCol w:w="2101"/>
        <w:gridCol w:w="2097"/>
      </w:tblGrid>
      <w:tr w:rsidR="00704151" w:rsidRPr="00687637" w14:paraId="593632E3" w14:textId="77777777" w:rsidTr="00924B64">
        <w:tc>
          <w:tcPr>
            <w:tcW w:w="495" w:type="pct"/>
            <w:tcBorders>
              <w:top w:val="single" w:sz="4" w:space="0" w:color="auto"/>
              <w:bottom w:val="single" w:sz="4" w:space="0" w:color="auto"/>
            </w:tcBorders>
          </w:tcPr>
          <w:p w14:paraId="01564B0D" w14:textId="77777777" w:rsidR="00704151" w:rsidRPr="00687637" w:rsidRDefault="00704151" w:rsidP="00924B64">
            <w:pPr>
              <w:rPr>
                <w:b/>
                <w:sz w:val="20"/>
                <w:szCs w:val="20"/>
              </w:rPr>
            </w:pPr>
            <w:r w:rsidRPr="00687637">
              <w:rPr>
                <w:b/>
                <w:sz w:val="20"/>
                <w:szCs w:val="20"/>
              </w:rPr>
              <w:t>Rank (trips abroad)</w:t>
            </w:r>
          </w:p>
        </w:tc>
        <w:tc>
          <w:tcPr>
            <w:tcW w:w="1417" w:type="pct"/>
            <w:tcBorders>
              <w:top w:val="single" w:sz="4" w:space="0" w:color="auto"/>
              <w:bottom w:val="single" w:sz="4" w:space="0" w:color="auto"/>
            </w:tcBorders>
          </w:tcPr>
          <w:p w14:paraId="6689D9E2" w14:textId="77777777" w:rsidR="00704151" w:rsidRPr="00687637" w:rsidRDefault="00704151" w:rsidP="00924B64">
            <w:pPr>
              <w:rPr>
                <w:b/>
                <w:sz w:val="20"/>
                <w:szCs w:val="20"/>
              </w:rPr>
            </w:pPr>
            <w:r w:rsidRPr="00687637">
              <w:rPr>
                <w:b/>
                <w:sz w:val="20"/>
                <w:szCs w:val="20"/>
              </w:rPr>
              <w:t>Country</w:t>
            </w:r>
          </w:p>
        </w:tc>
        <w:tc>
          <w:tcPr>
            <w:tcW w:w="956" w:type="pct"/>
            <w:tcBorders>
              <w:top w:val="single" w:sz="4" w:space="0" w:color="auto"/>
              <w:bottom w:val="single" w:sz="4" w:space="0" w:color="auto"/>
            </w:tcBorders>
          </w:tcPr>
          <w:p w14:paraId="51789ABA" w14:textId="77777777" w:rsidR="00704151" w:rsidRPr="00687637" w:rsidRDefault="00704151" w:rsidP="00924B64">
            <w:pPr>
              <w:jc w:val="center"/>
              <w:rPr>
                <w:b/>
                <w:sz w:val="20"/>
                <w:szCs w:val="20"/>
              </w:rPr>
            </w:pPr>
            <w:r w:rsidRPr="00687637">
              <w:rPr>
                <w:b/>
                <w:sz w:val="20"/>
                <w:szCs w:val="20"/>
              </w:rPr>
              <w:t>Trips abroad (millions)</w:t>
            </w:r>
          </w:p>
        </w:tc>
        <w:tc>
          <w:tcPr>
            <w:tcW w:w="1067" w:type="pct"/>
            <w:tcBorders>
              <w:top w:val="single" w:sz="4" w:space="0" w:color="auto"/>
              <w:bottom w:val="single" w:sz="4" w:space="0" w:color="auto"/>
            </w:tcBorders>
          </w:tcPr>
          <w:p w14:paraId="1AD4BEE5" w14:textId="77777777" w:rsidR="00704151" w:rsidRPr="00687637" w:rsidRDefault="00704151" w:rsidP="00924B64">
            <w:pPr>
              <w:jc w:val="center"/>
              <w:rPr>
                <w:b/>
                <w:sz w:val="20"/>
                <w:szCs w:val="20"/>
              </w:rPr>
            </w:pPr>
            <w:r w:rsidRPr="00687637">
              <w:rPr>
                <w:b/>
                <w:sz w:val="20"/>
                <w:szCs w:val="20"/>
              </w:rPr>
              <w:t>Yellow fever vaccination centres (YFVC)</w:t>
            </w:r>
          </w:p>
        </w:tc>
        <w:tc>
          <w:tcPr>
            <w:tcW w:w="1066" w:type="pct"/>
            <w:tcBorders>
              <w:top w:val="single" w:sz="4" w:space="0" w:color="auto"/>
              <w:bottom w:val="single" w:sz="4" w:space="0" w:color="auto"/>
            </w:tcBorders>
          </w:tcPr>
          <w:p w14:paraId="6EAC0B30" w14:textId="77777777" w:rsidR="00704151" w:rsidRPr="00687637" w:rsidRDefault="00704151" w:rsidP="00924B64">
            <w:pPr>
              <w:jc w:val="center"/>
              <w:rPr>
                <w:b/>
                <w:sz w:val="20"/>
                <w:szCs w:val="20"/>
              </w:rPr>
            </w:pPr>
            <w:r w:rsidRPr="00687637">
              <w:rPr>
                <w:b/>
                <w:sz w:val="20"/>
                <w:szCs w:val="20"/>
              </w:rPr>
              <w:t>YFVC per 100,000 trips abroad</w:t>
            </w:r>
          </w:p>
        </w:tc>
      </w:tr>
      <w:tr w:rsidR="00704151" w:rsidRPr="00687637" w14:paraId="13ABE6CF" w14:textId="77777777" w:rsidTr="00924B64">
        <w:tc>
          <w:tcPr>
            <w:tcW w:w="495" w:type="pct"/>
            <w:tcBorders>
              <w:top w:val="single" w:sz="4" w:space="0" w:color="auto"/>
            </w:tcBorders>
          </w:tcPr>
          <w:p w14:paraId="0F4B1173" w14:textId="77777777" w:rsidR="00704151" w:rsidRPr="00687637" w:rsidRDefault="00704151" w:rsidP="00924B64">
            <w:pPr>
              <w:rPr>
                <w:sz w:val="20"/>
                <w:szCs w:val="20"/>
              </w:rPr>
            </w:pPr>
            <w:r w:rsidRPr="00687637">
              <w:rPr>
                <w:sz w:val="20"/>
                <w:szCs w:val="20"/>
              </w:rPr>
              <w:t>4</w:t>
            </w:r>
          </w:p>
        </w:tc>
        <w:tc>
          <w:tcPr>
            <w:tcW w:w="1417" w:type="pct"/>
            <w:tcBorders>
              <w:top w:val="single" w:sz="4" w:space="0" w:color="auto"/>
            </w:tcBorders>
          </w:tcPr>
          <w:p w14:paraId="4DE91A3B" w14:textId="77777777" w:rsidR="00704151" w:rsidRPr="00687637" w:rsidRDefault="00704151" w:rsidP="00924B64">
            <w:pPr>
              <w:rPr>
                <w:sz w:val="20"/>
                <w:szCs w:val="20"/>
              </w:rPr>
            </w:pPr>
            <w:r w:rsidRPr="00687637">
              <w:rPr>
                <w:sz w:val="20"/>
                <w:szCs w:val="20"/>
              </w:rPr>
              <w:t xml:space="preserve">United States </w:t>
            </w:r>
            <w:r w:rsidRPr="00687637">
              <w:rPr>
                <w:sz w:val="20"/>
                <w:szCs w:val="20"/>
              </w:rPr>
              <w:fldChar w:fldCharType="begin"/>
            </w:r>
            <w:r w:rsidRPr="00687637">
              <w:rPr>
                <w:sz w:val="20"/>
                <w:szCs w:val="20"/>
              </w:rPr>
              <w:instrText xml:space="preserve"> ADDIN ZOTERO_ITEM CSL_CITATION {"citationID":"erp1n543d","properties":{"formattedCitation":"[22]","plainCitation":"[22]"},"citationItems":[{"id":1520,"uris":["http://zotero.org/users/714468/items/QDEZ9234"],"uri":["http://zotero.org/users/714468/items/QDEZ9234"],"itemData":{"id":1520,"type":"webpage","title":"Search for Yellow Fever Vaccination Clinics,  Travelers' Health","URL":"https://wwwnc.cdc.gov/travel/yellow-fever-vaccination-clinics/search","author":[{"family":"CDC","given":""}],"issued":{"date-parts":[["2017"]]},"accessed":{"date-parts":[["2017",3,21]]}}}],"schema":"https://github.com/citation-style-language/schema/raw/master/csl-citation.json"} </w:instrText>
            </w:r>
            <w:r w:rsidRPr="00687637">
              <w:rPr>
                <w:sz w:val="20"/>
                <w:szCs w:val="20"/>
              </w:rPr>
              <w:fldChar w:fldCharType="separate"/>
            </w:r>
            <w:r w:rsidRPr="00687637">
              <w:t>[22]</w:t>
            </w:r>
            <w:r w:rsidRPr="00687637">
              <w:rPr>
                <w:sz w:val="20"/>
                <w:szCs w:val="20"/>
              </w:rPr>
              <w:fldChar w:fldCharType="end"/>
            </w:r>
          </w:p>
        </w:tc>
        <w:tc>
          <w:tcPr>
            <w:tcW w:w="956" w:type="pct"/>
            <w:tcBorders>
              <w:top w:val="single" w:sz="4" w:space="0" w:color="auto"/>
            </w:tcBorders>
          </w:tcPr>
          <w:p w14:paraId="02A01EC8" w14:textId="77777777" w:rsidR="00704151" w:rsidRPr="00687637" w:rsidRDefault="00704151" w:rsidP="00924B64">
            <w:pPr>
              <w:jc w:val="center"/>
              <w:rPr>
                <w:sz w:val="20"/>
                <w:szCs w:val="20"/>
              </w:rPr>
            </w:pPr>
            <w:r w:rsidRPr="00687637">
              <w:rPr>
                <w:sz w:val="20"/>
                <w:szCs w:val="20"/>
              </w:rPr>
              <w:t>61.9</w:t>
            </w:r>
          </w:p>
        </w:tc>
        <w:tc>
          <w:tcPr>
            <w:tcW w:w="1067" w:type="pct"/>
            <w:tcBorders>
              <w:top w:val="single" w:sz="4" w:space="0" w:color="auto"/>
            </w:tcBorders>
          </w:tcPr>
          <w:p w14:paraId="53C98DDC" w14:textId="77777777" w:rsidR="00704151" w:rsidRPr="00687637" w:rsidRDefault="00704151" w:rsidP="00924B64">
            <w:pPr>
              <w:jc w:val="center"/>
              <w:rPr>
                <w:sz w:val="20"/>
                <w:szCs w:val="20"/>
              </w:rPr>
            </w:pPr>
            <w:r w:rsidRPr="00687637">
              <w:rPr>
                <w:sz w:val="20"/>
                <w:szCs w:val="20"/>
              </w:rPr>
              <w:t>7,493</w:t>
            </w:r>
          </w:p>
        </w:tc>
        <w:tc>
          <w:tcPr>
            <w:tcW w:w="1066" w:type="pct"/>
            <w:tcBorders>
              <w:top w:val="single" w:sz="4" w:space="0" w:color="auto"/>
            </w:tcBorders>
          </w:tcPr>
          <w:p w14:paraId="76541B65" w14:textId="77777777" w:rsidR="00704151" w:rsidRPr="00687637" w:rsidRDefault="00704151" w:rsidP="00924B64">
            <w:pPr>
              <w:jc w:val="center"/>
              <w:rPr>
                <w:sz w:val="20"/>
                <w:szCs w:val="20"/>
              </w:rPr>
            </w:pPr>
            <w:r w:rsidRPr="00687637">
              <w:rPr>
                <w:sz w:val="20"/>
                <w:szCs w:val="20"/>
              </w:rPr>
              <w:t>12.1</w:t>
            </w:r>
          </w:p>
        </w:tc>
      </w:tr>
      <w:tr w:rsidR="00704151" w:rsidRPr="00687637" w14:paraId="02CE4D8D" w14:textId="77777777" w:rsidTr="00924B64">
        <w:tc>
          <w:tcPr>
            <w:tcW w:w="495" w:type="pct"/>
          </w:tcPr>
          <w:p w14:paraId="44C24314" w14:textId="77777777" w:rsidR="00704151" w:rsidRPr="00687637" w:rsidRDefault="00704151" w:rsidP="00924B64">
            <w:pPr>
              <w:rPr>
                <w:sz w:val="20"/>
                <w:szCs w:val="20"/>
              </w:rPr>
            </w:pPr>
            <w:r w:rsidRPr="00687637">
              <w:rPr>
                <w:sz w:val="20"/>
                <w:szCs w:val="20"/>
              </w:rPr>
              <w:t>6</w:t>
            </w:r>
          </w:p>
        </w:tc>
        <w:tc>
          <w:tcPr>
            <w:tcW w:w="1417" w:type="pct"/>
          </w:tcPr>
          <w:p w14:paraId="6B9432BA" w14:textId="77777777" w:rsidR="00704151" w:rsidRPr="00687637" w:rsidRDefault="00704151" w:rsidP="00924B64">
            <w:pPr>
              <w:rPr>
                <w:sz w:val="20"/>
                <w:szCs w:val="20"/>
              </w:rPr>
            </w:pPr>
            <w:r w:rsidRPr="00687637">
              <w:rPr>
                <w:sz w:val="20"/>
                <w:szCs w:val="20"/>
              </w:rPr>
              <w:t>England, Wales, N. Ireland</w:t>
            </w:r>
          </w:p>
        </w:tc>
        <w:tc>
          <w:tcPr>
            <w:tcW w:w="956" w:type="pct"/>
          </w:tcPr>
          <w:p w14:paraId="2F6AE8F5" w14:textId="77777777" w:rsidR="00704151" w:rsidRPr="00687637" w:rsidRDefault="00704151" w:rsidP="00924B64">
            <w:pPr>
              <w:jc w:val="center"/>
              <w:rPr>
                <w:sz w:val="20"/>
                <w:szCs w:val="20"/>
              </w:rPr>
            </w:pPr>
            <w:r w:rsidRPr="00687637">
              <w:rPr>
                <w:sz w:val="20"/>
                <w:szCs w:val="20"/>
              </w:rPr>
              <w:t>53.0</w:t>
            </w:r>
          </w:p>
        </w:tc>
        <w:tc>
          <w:tcPr>
            <w:tcW w:w="1067" w:type="pct"/>
          </w:tcPr>
          <w:p w14:paraId="3377BB53" w14:textId="77777777" w:rsidR="00704151" w:rsidRPr="00687637" w:rsidRDefault="00704151" w:rsidP="00924B64">
            <w:pPr>
              <w:jc w:val="center"/>
              <w:rPr>
                <w:sz w:val="20"/>
                <w:szCs w:val="20"/>
              </w:rPr>
            </w:pPr>
            <w:r w:rsidRPr="00687637">
              <w:rPr>
                <w:sz w:val="20"/>
                <w:szCs w:val="20"/>
              </w:rPr>
              <w:t>3,208</w:t>
            </w:r>
          </w:p>
        </w:tc>
        <w:tc>
          <w:tcPr>
            <w:tcW w:w="1066" w:type="pct"/>
          </w:tcPr>
          <w:p w14:paraId="135A1B19" w14:textId="77777777" w:rsidR="00704151" w:rsidRPr="00687637" w:rsidRDefault="00704151" w:rsidP="00924B64">
            <w:pPr>
              <w:jc w:val="center"/>
              <w:rPr>
                <w:sz w:val="20"/>
                <w:szCs w:val="20"/>
              </w:rPr>
            </w:pPr>
            <w:r w:rsidRPr="00687637">
              <w:rPr>
                <w:sz w:val="20"/>
                <w:szCs w:val="20"/>
              </w:rPr>
              <w:t>6.1</w:t>
            </w:r>
          </w:p>
        </w:tc>
      </w:tr>
      <w:tr w:rsidR="00704151" w:rsidRPr="00687637" w14:paraId="5A495036" w14:textId="77777777" w:rsidTr="00924B64">
        <w:tc>
          <w:tcPr>
            <w:tcW w:w="495" w:type="pct"/>
          </w:tcPr>
          <w:p w14:paraId="3F81C7EE" w14:textId="77777777" w:rsidR="00704151" w:rsidRPr="00687637" w:rsidRDefault="00704151" w:rsidP="00924B64">
            <w:pPr>
              <w:rPr>
                <w:sz w:val="20"/>
                <w:szCs w:val="20"/>
              </w:rPr>
            </w:pPr>
            <w:r w:rsidRPr="00687637">
              <w:rPr>
                <w:sz w:val="20"/>
                <w:szCs w:val="20"/>
              </w:rPr>
              <w:t>13</w:t>
            </w:r>
          </w:p>
        </w:tc>
        <w:tc>
          <w:tcPr>
            <w:tcW w:w="1417" w:type="pct"/>
          </w:tcPr>
          <w:p w14:paraId="70DFC7A8" w14:textId="77777777" w:rsidR="00704151" w:rsidRPr="00687637" w:rsidRDefault="00704151" w:rsidP="00924B64">
            <w:pPr>
              <w:rPr>
                <w:sz w:val="20"/>
                <w:szCs w:val="20"/>
              </w:rPr>
            </w:pPr>
            <w:r w:rsidRPr="00687637">
              <w:rPr>
                <w:sz w:val="20"/>
                <w:szCs w:val="20"/>
              </w:rPr>
              <w:t xml:space="preserve">Netherlands </w:t>
            </w:r>
            <w:r w:rsidRPr="00687637">
              <w:rPr>
                <w:sz w:val="20"/>
                <w:szCs w:val="20"/>
              </w:rPr>
              <w:fldChar w:fldCharType="begin"/>
            </w:r>
            <w:r w:rsidRPr="00687637">
              <w:rPr>
                <w:sz w:val="20"/>
                <w:szCs w:val="20"/>
              </w:rPr>
              <w:instrText xml:space="preserve"> ADDIN ZOTERO_ITEM CSL_CITATION {"citationID":"1j37bapt46","properties":{"formattedCitation":"[23]","plainCitation":"[23]"},"citationItems":[{"id":1582,"uris":["http://zotero.org/users/714468/items/KEEXVGDD"],"uri":["http://zotero.org/users/714468/items/KEEXVGDD"],"itemData":{"id":1582,"type":"webpage","title":"Vaccinatie-adressen","URL":"https://www.lcr.nl/Vaccinatie-adressen","author":[{"family":"Landelijk Coördinatiecentrum Reizigersadvisering","given":""}],"issued":{"date-parts":[["2017"]]},"accessed":{"date-parts":[["2017",4,11]]}}}],"schema":"https://github.com/citation-style-language/schema/raw/master/csl-citation.json"} </w:instrText>
            </w:r>
            <w:r w:rsidRPr="00687637">
              <w:rPr>
                <w:sz w:val="20"/>
                <w:szCs w:val="20"/>
              </w:rPr>
              <w:fldChar w:fldCharType="separate"/>
            </w:r>
            <w:r w:rsidRPr="00687637">
              <w:t>[23]</w:t>
            </w:r>
            <w:r w:rsidRPr="00687637">
              <w:rPr>
                <w:sz w:val="20"/>
                <w:szCs w:val="20"/>
              </w:rPr>
              <w:fldChar w:fldCharType="end"/>
            </w:r>
          </w:p>
        </w:tc>
        <w:tc>
          <w:tcPr>
            <w:tcW w:w="956" w:type="pct"/>
          </w:tcPr>
          <w:p w14:paraId="53FB72D6" w14:textId="77777777" w:rsidR="00704151" w:rsidRPr="00687637" w:rsidRDefault="00704151" w:rsidP="00924B64">
            <w:pPr>
              <w:jc w:val="center"/>
              <w:rPr>
                <w:sz w:val="20"/>
                <w:szCs w:val="20"/>
              </w:rPr>
            </w:pPr>
            <w:r w:rsidRPr="00687637">
              <w:rPr>
                <w:sz w:val="20"/>
                <w:szCs w:val="20"/>
              </w:rPr>
              <w:t>18.1</w:t>
            </w:r>
          </w:p>
        </w:tc>
        <w:tc>
          <w:tcPr>
            <w:tcW w:w="1067" w:type="pct"/>
          </w:tcPr>
          <w:p w14:paraId="707170DA" w14:textId="77777777" w:rsidR="00704151" w:rsidRPr="00687637" w:rsidRDefault="00704151" w:rsidP="00924B64">
            <w:pPr>
              <w:jc w:val="center"/>
              <w:rPr>
                <w:sz w:val="20"/>
                <w:szCs w:val="20"/>
              </w:rPr>
            </w:pPr>
            <w:r w:rsidRPr="00687637">
              <w:rPr>
                <w:sz w:val="20"/>
                <w:szCs w:val="20"/>
              </w:rPr>
              <w:t>968</w:t>
            </w:r>
          </w:p>
        </w:tc>
        <w:tc>
          <w:tcPr>
            <w:tcW w:w="1066" w:type="pct"/>
          </w:tcPr>
          <w:p w14:paraId="4B0357BA" w14:textId="77777777" w:rsidR="00704151" w:rsidRPr="00687637" w:rsidRDefault="00704151" w:rsidP="00924B64">
            <w:pPr>
              <w:jc w:val="center"/>
              <w:rPr>
                <w:sz w:val="20"/>
                <w:szCs w:val="20"/>
              </w:rPr>
            </w:pPr>
            <w:r w:rsidRPr="00687637">
              <w:rPr>
                <w:sz w:val="20"/>
                <w:szCs w:val="20"/>
              </w:rPr>
              <w:t>5.3</w:t>
            </w:r>
          </w:p>
        </w:tc>
      </w:tr>
      <w:tr w:rsidR="00704151" w:rsidRPr="00687637" w14:paraId="2B948E00" w14:textId="77777777" w:rsidTr="00924B64">
        <w:tc>
          <w:tcPr>
            <w:tcW w:w="495" w:type="pct"/>
          </w:tcPr>
          <w:p w14:paraId="4997190F" w14:textId="77777777" w:rsidR="00704151" w:rsidRPr="00687637" w:rsidRDefault="00704151" w:rsidP="00924B64">
            <w:pPr>
              <w:rPr>
                <w:sz w:val="20"/>
                <w:szCs w:val="20"/>
              </w:rPr>
            </w:pPr>
            <w:r w:rsidRPr="00687637">
              <w:rPr>
                <w:sz w:val="20"/>
                <w:szCs w:val="20"/>
              </w:rPr>
              <w:t>8</w:t>
            </w:r>
          </w:p>
        </w:tc>
        <w:tc>
          <w:tcPr>
            <w:tcW w:w="1417" w:type="pct"/>
          </w:tcPr>
          <w:p w14:paraId="44A92E70" w14:textId="77777777" w:rsidR="00704151" w:rsidRPr="00687637" w:rsidRDefault="00704151" w:rsidP="00924B64">
            <w:pPr>
              <w:rPr>
                <w:sz w:val="20"/>
                <w:szCs w:val="20"/>
              </w:rPr>
            </w:pPr>
            <w:r w:rsidRPr="00687637">
              <w:rPr>
                <w:sz w:val="20"/>
                <w:szCs w:val="20"/>
              </w:rPr>
              <w:t xml:space="preserve">Canada </w:t>
            </w:r>
            <w:r w:rsidRPr="00687637">
              <w:rPr>
                <w:sz w:val="20"/>
                <w:szCs w:val="20"/>
              </w:rPr>
              <w:fldChar w:fldCharType="begin"/>
            </w:r>
            <w:r w:rsidRPr="00687637">
              <w:rPr>
                <w:sz w:val="20"/>
                <w:szCs w:val="20"/>
              </w:rPr>
              <w:instrText xml:space="preserve"> ADDIN ZOTERO_ITEM CSL_CITATION {"citationID":"s6lpiqvrs","properties":{"formattedCitation":"[24]","plainCitation":"[24]"},"citationItems":[{"id":1514,"uris":["http://zotero.org/users/714468/items/BJEFP2QH"],"uri":["http://zotero.org/users/714468/items/BJEFP2QH"],"itemData":{"id":1514,"type":"webpage","title":"Yellow Fever Vaccination Centres in Canada - Travel Health","abstract":"Yellow Fever Vaccination Centres in Canada","URL":"http://www.phac-aspc.gc.ca/tmp-pmv/yf-fj/index-eng.php","language":"eng","author":[{"family":"Public Health Agency of Canada","given":""}],"issued":{"date-parts":[["2017"]]},"accessed":{"date-parts":[["2017",3,21]]}}}],"schema":"https://github.com/citation-style-language/schema/raw/master/csl-citation.json"} </w:instrText>
            </w:r>
            <w:r w:rsidRPr="00687637">
              <w:rPr>
                <w:sz w:val="20"/>
                <w:szCs w:val="20"/>
              </w:rPr>
              <w:fldChar w:fldCharType="separate"/>
            </w:r>
            <w:r w:rsidRPr="00687637">
              <w:t>[24]</w:t>
            </w:r>
            <w:r w:rsidRPr="00687637">
              <w:rPr>
                <w:sz w:val="20"/>
                <w:szCs w:val="20"/>
              </w:rPr>
              <w:fldChar w:fldCharType="end"/>
            </w:r>
          </w:p>
        </w:tc>
        <w:tc>
          <w:tcPr>
            <w:tcW w:w="956" w:type="pct"/>
          </w:tcPr>
          <w:p w14:paraId="29675E4C" w14:textId="77777777" w:rsidR="00704151" w:rsidRPr="00687637" w:rsidRDefault="00704151" w:rsidP="00924B64">
            <w:pPr>
              <w:jc w:val="center"/>
              <w:rPr>
                <w:sz w:val="20"/>
                <w:szCs w:val="20"/>
              </w:rPr>
            </w:pPr>
            <w:r w:rsidRPr="00687637">
              <w:rPr>
                <w:sz w:val="20"/>
                <w:szCs w:val="20"/>
              </w:rPr>
              <w:t>33.0</w:t>
            </w:r>
          </w:p>
        </w:tc>
        <w:tc>
          <w:tcPr>
            <w:tcW w:w="1067" w:type="pct"/>
          </w:tcPr>
          <w:p w14:paraId="7D995AC1" w14:textId="77777777" w:rsidR="00704151" w:rsidRPr="00687637" w:rsidRDefault="00704151" w:rsidP="00924B64">
            <w:pPr>
              <w:jc w:val="center"/>
              <w:rPr>
                <w:sz w:val="20"/>
                <w:szCs w:val="20"/>
              </w:rPr>
            </w:pPr>
            <w:r w:rsidRPr="00687637">
              <w:rPr>
                <w:sz w:val="20"/>
                <w:szCs w:val="20"/>
              </w:rPr>
              <w:t>1,050</w:t>
            </w:r>
          </w:p>
        </w:tc>
        <w:tc>
          <w:tcPr>
            <w:tcW w:w="1066" w:type="pct"/>
          </w:tcPr>
          <w:p w14:paraId="7F3B9373" w14:textId="77777777" w:rsidR="00704151" w:rsidRPr="00687637" w:rsidRDefault="00704151" w:rsidP="00924B64">
            <w:pPr>
              <w:jc w:val="center"/>
              <w:rPr>
                <w:sz w:val="20"/>
                <w:szCs w:val="20"/>
              </w:rPr>
            </w:pPr>
            <w:r w:rsidRPr="00687637">
              <w:rPr>
                <w:sz w:val="20"/>
                <w:szCs w:val="20"/>
              </w:rPr>
              <w:t>3.2</w:t>
            </w:r>
          </w:p>
        </w:tc>
      </w:tr>
      <w:tr w:rsidR="00704151" w:rsidRPr="00687637" w14:paraId="12769AD3" w14:textId="77777777" w:rsidTr="00924B64">
        <w:tc>
          <w:tcPr>
            <w:tcW w:w="495" w:type="pct"/>
          </w:tcPr>
          <w:p w14:paraId="7D186D23" w14:textId="77777777" w:rsidR="00704151" w:rsidRPr="00687637" w:rsidRDefault="00704151" w:rsidP="00924B64">
            <w:pPr>
              <w:rPr>
                <w:sz w:val="20"/>
                <w:szCs w:val="20"/>
              </w:rPr>
            </w:pPr>
            <w:r w:rsidRPr="00687637">
              <w:rPr>
                <w:sz w:val="20"/>
                <w:szCs w:val="20"/>
              </w:rPr>
              <w:t>2</w:t>
            </w:r>
          </w:p>
        </w:tc>
        <w:tc>
          <w:tcPr>
            <w:tcW w:w="1417" w:type="pct"/>
          </w:tcPr>
          <w:p w14:paraId="2D1FE16F" w14:textId="77777777" w:rsidR="00704151" w:rsidRPr="00687637" w:rsidRDefault="00704151" w:rsidP="00924B64">
            <w:pPr>
              <w:rPr>
                <w:sz w:val="20"/>
                <w:szCs w:val="20"/>
              </w:rPr>
            </w:pPr>
            <w:r w:rsidRPr="00687637">
              <w:rPr>
                <w:sz w:val="20"/>
                <w:szCs w:val="20"/>
              </w:rPr>
              <w:t xml:space="preserve">Germany </w:t>
            </w:r>
            <w:r w:rsidRPr="00687637">
              <w:rPr>
                <w:sz w:val="20"/>
                <w:szCs w:val="20"/>
              </w:rPr>
              <w:fldChar w:fldCharType="begin"/>
            </w:r>
            <w:r w:rsidRPr="00687637">
              <w:rPr>
                <w:sz w:val="20"/>
                <w:szCs w:val="20"/>
              </w:rPr>
              <w:instrText xml:space="preserve"> ADDIN ZOTERO_ITEM CSL_CITATION {"citationID":"229a1q38q5","properties":{"formattedCitation":"[25]","plainCitation":"[25]"},"citationItems":[{"id":1570,"uris":["http://zotero.org/users/714468/items/KCP4GK5M"],"uri":["http://zotero.org/users/714468/items/KCP4GK5M"],"itemData":{"id":1570,"type":"webpage","title":"Reisemedizinische Beratungsstellen","URL":"http://www.crm.de/beratungsstellen/index.asp","author":[{"family":"Centrum für Reisemedizin (CRM)","given":""}],"issued":{"date-parts":[["2017"]]},"accessed":{"date-parts":[["2017",4,11]]}}}],"schema":"https://github.com/citation-style-language/schema/raw/master/csl-citation.json"} </w:instrText>
            </w:r>
            <w:r w:rsidRPr="00687637">
              <w:rPr>
                <w:sz w:val="20"/>
                <w:szCs w:val="20"/>
              </w:rPr>
              <w:fldChar w:fldCharType="separate"/>
            </w:r>
            <w:r w:rsidRPr="00687637">
              <w:t>[25]</w:t>
            </w:r>
            <w:r w:rsidRPr="00687637">
              <w:rPr>
                <w:sz w:val="20"/>
                <w:szCs w:val="20"/>
              </w:rPr>
              <w:fldChar w:fldCharType="end"/>
            </w:r>
          </w:p>
        </w:tc>
        <w:tc>
          <w:tcPr>
            <w:tcW w:w="956" w:type="pct"/>
          </w:tcPr>
          <w:p w14:paraId="3B1833C5" w14:textId="77777777" w:rsidR="00704151" w:rsidRPr="00687637" w:rsidRDefault="00704151" w:rsidP="00924B64">
            <w:pPr>
              <w:jc w:val="center"/>
              <w:rPr>
                <w:sz w:val="20"/>
                <w:szCs w:val="20"/>
              </w:rPr>
            </w:pPr>
            <w:r w:rsidRPr="00687637">
              <w:rPr>
                <w:sz w:val="20"/>
                <w:szCs w:val="20"/>
              </w:rPr>
              <w:t>87.5</w:t>
            </w:r>
          </w:p>
        </w:tc>
        <w:tc>
          <w:tcPr>
            <w:tcW w:w="1067" w:type="pct"/>
          </w:tcPr>
          <w:p w14:paraId="2A86DB3E" w14:textId="77777777" w:rsidR="00704151" w:rsidRPr="00687637" w:rsidRDefault="00704151" w:rsidP="00924B64">
            <w:pPr>
              <w:jc w:val="center"/>
              <w:rPr>
                <w:sz w:val="20"/>
                <w:szCs w:val="20"/>
              </w:rPr>
            </w:pPr>
            <w:r w:rsidRPr="00687637">
              <w:rPr>
                <w:sz w:val="20"/>
                <w:szCs w:val="20"/>
              </w:rPr>
              <w:t>2,072</w:t>
            </w:r>
          </w:p>
        </w:tc>
        <w:tc>
          <w:tcPr>
            <w:tcW w:w="1066" w:type="pct"/>
          </w:tcPr>
          <w:p w14:paraId="1295A8BA" w14:textId="77777777" w:rsidR="00704151" w:rsidRPr="00687637" w:rsidRDefault="00704151" w:rsidP="00924B64">
            <w:pPr>
              <w:jc w:val="center"/>
              <w:rPr>
                <w:sz w:val="20"/>
                <w:szCs w:val="20"/>
              </w:rPr>
            </w:pPr>
            <w:r w:rsidRPr="00687637">
              <w:rPr>
                <w:sz w:val="20"/>
                <w:szCs w:val="20"/>
              </w:rPr>
              <w:t>2.4</w:t>
            </w:r>
          </w:p>
        </w:tc>
      </w:tr>
      <w:tr w:rsidR="00704151" w:rsidRPr="00687637" w14:paraId="09F84C5D" w14:textId="77777777" w:rsidTr="00924B64">
        <w:tc>
          <w:tcPr>
            <w:tcW w:w="495" w:type="pct"/>
          </w:tcPr>
          <w:p w14:paraId="6B1E4D6B" w14:textId="77777777" w:rsidR="00704151" w:rsidRPr="00687637" w:rsidRDefault="00704151" w:rsidP="00924B64">
            <w:pPr>
              <w:rPr>
                <w:sz w:val="20"/>
                <w:szCs w:val="20"/>
              </w:rPr>
            </w:pPr>
            <w:r w:rsidRPr="00687637">
              <w:rPr>
                <w:sz w:val="20"/>
                <w:szCs w:val="20"/>
              </w:rPr>
              <w:t>12</w:t>
            </w:r>
          </w:p>
        </w:tc>
        <w:tc>
          <w:tcPr>
            <w:tcW w:w="1417" w:type="pct"/>
          </w:tcPr>
          <w:p w14:paraId="048CE7A1" w14:textId="77777777" w:rsidR="00704151" w:rsidRPr="00687637" w:rsidRDefault="00704151" w:rsidP="00924B64">
            <w:pPr>
              <w:rPr>
                <w:sz w:val="20"/>
                <w:szCs w:val="20"/>
              </w:rPr>
            </w:pPr>
            <w:r w:rsidRPr="00687637">
              <w:rPr>
                <w:sz w:val="20"/>
                <w:szCs w:val="20"/>
              </w:rPr>
              <w:t xml:space="preserve">Saudi Arabia </w:t>
            </w:r>
            <w:r w:rsidRPr="00687637">
              <w:rPr>
                <w:sz w:val="20"/>
                <w:szCs w:val="20"/>
              </w:rPr>
              <w:fldChar w:fldCharType="begin"/>
            </w:r>
            <w:r w:rsidRPr="00687637">
              <w:rPr>
                <w:sz w:val="20"/>
                <w:szCs w:val="20"/>
              </w:rPr>
              <w:instrText xml:space="preserve"> ADDIN ZOTERO_ITEM CSL_CITATION {"citationID":"fqeaoh29n","properties":{"formattedCitation":"[26]","plainCitation":"[26]"},"citationItems":[{"id":1580,"uris":["http://zotero.org/users/714468/items/KZZHIPTD"],"uri":["http://zotero.org/users/714468/items/KZZHIPTD"],"itemData":{"id":1580,"type":"webpage","title":"Hospitals in Saudi Arabia – KSA – Online Business Directory","URL":"http://www.daleeli.com/en/category/all/all/Hospitals/12300","author":[{"family":"Daleeli.com","given":""}],"issued":{"date-parts":[["2017"]]},"accessed":{"date-parts":[["2017",4,11]]}}}],"schema":"https://github.com/citation-style-language/schema/raw/master/csl-citation.json"} </w:instrText>
            </w:r>
            <w:r w:rsidRPr="00687637">
              <w:rPr>
                <w:sz w:val="20"/>
                <w:szCs w:val="20"/>
              </w:rPr>
              <w:fldChar w:fldCharType="separate"/>
            </w:r>
            <w:r w:rsidRPr="00687637">
              <w:t>[26]</w:t>
            </w:r>
            <w:r w:rsidRPr="00687637">
              <w:rPr>
                <w:sz w:val="20"/>
                <w:szCs w:val="20"/>
              </w:rPr>
              <w:fldChar w:fldCharType="end"/>
            </w:r>
          </w:p>
        </w:tc>
        <w:tc>
          <w:tcPr>
            <w:tcW w:w="956" w:type="pct"/>
          </w:tcPr>
          <w:p w14:paraId="2C9EB261" w14:textId="77777777" w:rsidR="00704151" w:rsidRPr="00687637" w:rsidRDefault="00704151" w:rsidP="00924B64">
            <w:pPr>
              <w:jc w:val="center"/>
              <w:rPr>
                <w:sz w:val="20"/>
                <w:szCs w:val="20"/>
              </w:rPr>
            </w:pPr>
            <w:r w:rsidRPr="00687637">
              <w:rPr>
                <w:sz w:val="20"/>
                <w:szCs w:val="20"/>
              </w:rPr>
              <w:t>19.2</w:t>
            </w:r>
          </w:p>
        </w:tc>
        <w:tc>
          <w:tcPr>
            <w:tcW w:w="1067" w:type="pct"/>
          </w:tcPr>
          <w:p w14:paraId="5F2DF121" w14:textId="77777777" w:rsidR="00704151" w:rsidRPr="00687637" w:rsidRDefault="00704151" w:rsidP="00924B64">
            <w:pPr>
              <w:jc w:val="center"/>
              <w:rPr>
                <w:sz w:val="20"/>
                <w:szCs w:val="20"/>
              </w:rPr>
            </w:pPr>
            <w:r w:rsidRPr="00687637">
              <w:rPr>
                <w:sz w:val="20"/>
                <w:szCs w:val="20"/>
              </w:rPr>
              <w:t>435</w:t>
            </w:r>
          </w:p>
        </w:tc>
        <w:tc>
          <w:tcPr>
            <w:tcW w:w="1066" w:type="pct"/>
          </w:tcPr>
          <w:p w14:paraId="00885A2E" w14:textId="77777777" w:rsidR="00704151" w:rsidRPr="00687637" w:rsidRDefault="00704151" w:rsidP="00924B64">
            <w:pPr>
              <w:jc w:val="center"/>
              <w:rPr>
                <w:sz w:val="20"/>
                <w:szCs w:val="20"/>
              </w:rPr>
            </w:pPr>
            <w:r w:rsidRPr="00687637">
              <w:rPr>
                <w:sz w:val="20"/>
                <w:szCs w:val="20"/>
              </w:rPr>
              <w:t>2.3</w:t>
            </w:r>
          </w:p>
        </w:tc>
      </w:tr>
      <w:tr w:rsidR="00704151" w:rsidRPr="00687637" w14:paraId="4E37637F" w14:textId="77777777" w:rsidTr="00924B64">
        <w:tc>
          <w:tcPr>
            <w:tcW w:w="495" w:type="pct"/>
          </w:tcPr>
          <w:p w14:paraId="1596415D" w14:textId="77777777" w:rsidR="00704151" w:rsidRPr="00687637" w:rsidRDefault="00704151" w:rsidP="00924B64">
            <w:pPr>
              <w:rPr>
                <w:sz w:val="20"/>
                <w:szCs w:val="20"/>
              </w:rPr>
            </w:pPr>
            <w:r w:rsidRPr="00687637">
              <w:rPr>
                <w:sz w:val="20"/>
                <w:szCs w:val="20"/>
              </w:rPr>
              <w:t>9</w:t>
            </w:r>
          </w:p>
        </w:tc>
        <w:tc>
          <w:tcPr>
            <w:tcW w:w="1417" w:type="pct"/>
          </w:tcPr>
          <w:p w14:paraId="405646E4" w14:textId="77777777" w:rsidR="00704151" w:rsidRPr="00687637" w:rsidRDefault="00704151" w:rsidP="00924B64">
            <w:pPr>
              <w:rPr>
                <w:sz w:val="20"/>
                <w:szCs w:val="20"/>
              </w:rPr>
            </w:pPr>
            <w:r w:rsidRPr="00687637">
              <w:rPr>
                <w:sz w:val="20"/>
                <w:szCs w:val="20"/>
              </w:rPr>
              <w:t xml:space="preserve">Italy </w:t>
            </w:r>
            <w:r w:rsidRPr="00687637">
              <w:rPr>
                <w:sz w:val="20"/>
                <w:szCs w:val="20"/>
              </w:rPr>
              <w:fldChar w:fldCharType="begin"/>
            </w:r>
            <w:r w:rsidRPr="00687637">
              <w:rPr>
                <w:sz w:val="20"/>
                <w:szCs w:val="20"/>
              </w:rPr>
              <w:instrText xml:space="preserve"> ADDIN ZOTERO_ITEM CSL_CITATION {"citationID":"tnrigdecd","properties":{"formattedCitation":"[27]","plainCitation":"[27]"},"citationItems":[{"id":1578,"uris":["http://zotero.org/users/714468/items/CMMVSGDC"],"uri":["http://zotero.org/users/714468/items/CMMVSGDC"],"itemData":{"id":1578,"type":"webpage","title":"Vaccinazione Febbre gialla [Yellow fever vaccination]","abstract":"Malattie infettive e vaccinazioni - Vaccinazione Febbre gialla","URL":"http://www.salute.gov.it/portale/temi/p2_6.jsp?id=765&amp;area=Malattie%20infettive&amp;menu=viaggiatori","author":[{"family":"Salute","given":"Ministero","dropping-particle":"della"}],"issued":{"date-parts":[["2017"]]},"accessed":{"date-parts":[["2017",4,11]]}}}],"schema":"https://github.com/citation-style-language/schema/raw/master/csl-citation.json"} </w:instrText>
            </w:r>
            <w:r w:rsidRPr="00687637">
              <w:rPr>
                <w:sz w:val="20"/>
                <w:szCs w:val="20"/>
              </w:rPr>
              <w:fldChar w:fldCharType="separate"/>
            </w:r>
            <w:r w:rsidRPr="00687637">
              <w:t>[27]</w:t>
            </w:r>
            <w:r w:rsidRPr="00687637">
              <w:rPr>
                <w:sz w:val="20"/>
                <w:szCs w:val="20"/>
              </w:rPr>
              <w:fldChar w:fldCharType="end"/>
            </w:r>
          </w:p>
        </w:tc>
        <w:tc>
          <w:tcPr>
            <w:tcW w:w="956" w:type="pct"/>
          </w:tcPr>
          <w:p w14:paraId="48EA8091" w14:textId="77777777" w:rsidR="00704151" w:rsidRPr="00687637" w:rsidRDefault="00704151" w:rsidP="00924B64">
            <w:pPr>
              <w:jc w:val="center"/>
              <w:rPr>
                <w:sz w:val="20"/>
                <w:szCs w:val="20"/>
              </w:rPr>
            </w:pPr>
            <w:r w:rsidRPr="00687637">
              <w:rPr>
                <w:sz w:val="20"/>
                <w:szCs w:val="20"/>
              </w:rPr>
              <w:t>27.8</w:t>
            </w:r>
          </w:p>
        </w:tc>
        <w:tc>
          <w:tcPr>
            <w:tcW w:w="1067" w:type="pct"/>
          </w:tcPr>
          <w:p w14:paraId="675313D7" w14:textId="77777777" w:rsidR="00704151" w:rsidRPr="00687637" w:rsidRDefault="00704151" w:rsidP="00924B64">
            <w:pPr>
              <w:jc w:val="center"/>
              <w:rPr>
                <w:sz w:val="20"/>
                <w:szCs w:val="20"/>
              </w:rPr>
            </w:pPr>
            <w:r w:rsidRPr="00687637">
              <w:rPr>
                <w:sz w:val="20"/>
                <w:szCs w:val="20"/>
              </w:rPr>
              <w:t>330</w:t>
            </w:r>
          </w:p>
        </w:tc>
        <w:tc>
          <w:tcPr>
            <w:tcW w:w="1066" w:type="pct"/>
          </w:tcPr>
          <w:p w14:paraId="792CFEC9" w14:textId="77777777" w:rsidR="00704151" w:rsidRPr="00687637" w:rsidRDefault="00704151" w:rsidP="00924B64">
            <w:pPr>
              <w:jc w:val="center"/>
              <w:rPr>
                <w:sz w:val="20"/>
                <w:szCs w:val="20"/>
              </w:rPr>
            </w:pPr>
            <w:r w:rsidRPr="00687637">
              <w:rPr>
                <w:sz w:val="20"/>
                <w:szCs w:val="20"/>
              </w:rPr>
              <w:t>1.2</w:t>
            </w:r>
          </w:p>
        </w:tc>
      </w:tr>
      <w:tr w:rsidR="00704151" w:rsidRPr="00687637" w14:paraId="4539F742" w14:textId="77777777" w:rsidTr="00924B64">
        <w:tc>
          <w:tcPr>
            <w:tcW w:w="495" w:type="pct"/>
          </w:tcPr>
          <w:p w14:paraId="3DF0F05B" w14:textId="77777777" w:rsidR="00704151" w:rsidRPr="00687637" w:rsidRDefault="00704151" w:rsidP="00924B64">
            <w:pPr>
              <w:rPr>
                <w:sz w:val="20"/>
                <w:szCs w:val="20"/>
              </w:rPr>
            </w:pPr>
            <w:r w:rsidRPr="00687637">
              <w:rPr>
                <w:sz w:val="20"/>
                <w:szCs w:val="20"/>
              </w:rPr>
              <w:t>20</w:t>
            </w:r>
          </w:p>
        </w:tc>
        <w:tc>
          <w:tcPr>
            <w:tcW w:w="1417" w:type="pct"/>
          </w:tcPr>
          <w:p w14:paraId="5F419824" w14:textId="77777777" w:rsidR="00704151" w:rsidRPr="00687637" w:rsidRDefault="00704151" w:rsidP="00924B64">
            <w:pPr>
              <w:rPr>
                <w:sz w:val="20"/>
                <w:szCs w:val="20"/>
              </w:rPr>
            </w:pPr>
            <w:r w:rsidRPr="00687637">
              <w:rPr>
                <w:sz w:val="20"/>
                <w:szCs w:val="20"/>
              </w:rPr>
              <w:t xml:space="preserve">Switzerland </w:t>
            </w:r>
            <w:r w:rsidRPr="00687637">
              <w:rPr>
                <w:sz w:val="20"/>
                <w:szCs w:val="20"/>
              </w:rPr>
              <w:fldChar w:fldCharType="begin"/>
            </w:r>
            <w:r w:rsidRPr="00687637">
              <w:rPr>
                <w:sz w:val="20"/>
                <w:szCs w:val="20"/>
              </w:rPr>
              <w:instrText xml:space="preserve"> ADDIN ZOTERO_ITEM CSL_CITATION {"citationID":"6tf106b3l","properties":{"formattedCitation":"[28]","plainCitation":"[28]"},"citationItems":[{"id":1593,"uris":["http://zotero.org/users/714468/items/DVUFC9AU"],"uri":["http://zotero.org/users/714468/items/DVUFC9AU"],"itemData":{"id":1593,"type":"webpage","title":"Lieux de vaccination","URL":"http://www.safetravel.ch/safetravel2/servlet/ch.ofac.wv.wv205j.pages.Wv205LieuxVaccinationCtrl?action=recherche","author":[{"family":"Safetravel.ch","given":""}],"issued":{"date-parts":[["2017"]]},"accessed":{"date-parts":[["2017",4,11]]}}}],"schema":"https://github.com/citation-style-language/schema/raw/master/csl-citation.json"} </w:instrText>
            </w:r>
            <w:r w:rsidRPr="00687637">
              <w:rPr>
                <w:sz w:val="20"/>
                <w:szCs w:val="20"/>
              </w:rPr>
              <w:fldChar w:fldCharType="separate"/>
            </w:r>
            <w:r w:rsidRPr="00687637">
              <w:t>[28]</w:t>
            </w:r>
            <w:r w:rsidRPr="00687637">
              <w:rPr>
                <w:sz w:val="20"/>
                <w:szCs w:val="20"/>
              </w:rPr>
              <w:fldChar w:fldCharType="end"/>
            </w:r>
          </w:p>
        </w:tc>
        <w:tc>
          <w:tcPr>
            <w:tcW w:w="956" w:type="pct"/>
          </w:tcPr>
          <w:p w14:paraId="7276890C" w14:textId="77777777" w:rsidR="00704151" w:rsidRPr="00687637" w:rsidRDefault="00704151" w:rsidP="00924B64">
            <w:pPr>
              <w:jc w:val="center"/>
              <w:rPr>
                <w:sz w:val="20"/>
                <w:szCs w:val="20"/>
              </w:rPr>
            </w:pPr>
            <w:r w:rsidRPr="00687637">
              <w:rPr>
                <w:sz w:val="20"/>
                <w:szCs w:val="20"/>
              </w:rPr>
              <w:t>12.4</w:t>
            </w:r>
          </w:p>
        </w:tc>
        <w:tc>
          <w:tcPr>
            <w:tcW w:w="1067" w:type="pct"/>
          </w:tcPr>
          <w:p w14:paraId="487487BF" w14:textId="77777777" w:rsidR="00704151" w:rsidRPr="00687637" w:rsidRDefault="00704151" w:rsidP="00924B64">
            <w:pPr>
              <w:jc w:val="center"/>
              <w:rPr>
                <w:sz w:val="20"/>
                <w:szCs w:val="20"/>
              </w:rPr>
            </w:pPr>
            <w:r w:rsidRPr="00687637">
              <w:rPr>
                <w:sz w:val="20"/>
                <w:szCs w:val="20"/>
              </w:rPr>
              <w:t>108</w:t>
            </w:r>
          </w:p>
        </w:tc>
        <w:tc>
          <w:tcPr>
            <w:tcW w:w="1066" w:type="pct"/>
          </w:tcPr>
          <w:p w14:paraId="398883ED" w14:textId="77777777" w:rsidR="00704151" w:rsidRPr="00687637" w:rsidRDefault="00704151" w:rsidP="00924B64">
            <w:pPr>
              <w:jc w:val="center"/>
              <w:rPr>
                <w:sz w:val="20"/>
                <w:szCs w:val="20"/>
              </w:rPr>
            </w:pPr>
            <w:r w:rsidRPr="00687637">
              <w:rPr>
                <w:sz w:val="20"/>
                <w:szCs w:val="20"/>
              </w:rPr>
              <w:t>0.9</w:t>
            </w:r>
          </w:p>
        </w:tc>
      </w:tr>
      <w:tr w:rsidR="00704151" w:rsidRPr="00687637" w14:paraId="6DB7F836" w14:textId="77777777" w:rsidTr="00924B64">
        <w:tc>
          <w:tcPr>
            <w:tcW w:w="495" w:type="pct"/>
          </w:tcPr>
          <w:p w14:paraId="5BCF88D9" w14:textId="77777777" w:rsidR="00704151" w:rsidRPr="00687637" w:rsidRDefault="00704151" w:rsidP="00924B64">
            <w:pPr>
              <w:rPr>
                <w:sz w:val="20"/>
                <w:szCs w:val="20"/>
              </w:rPr>
            </w:pPr>
            <w:r w:rsidRPr="00687637">
              <w:rPr>
                <w:sz w:val="20"/>
                <w:szCs w:val="20"/>
              </w:rPr>
              <w:t>10</w:t>
            </w:r>
          </w:p>
        </w:tc>
        <w:tc>
          <w:tcPr>
            <w:tcW w:w="1417" w:type="pct"/>
          </w:tcPr>
          <w:p w14:paraId="43C1DFEC" w14:textId="77777777" w:rsidR="00704151" w:rsidRPr="00687637" w:rsidRDefault="00704151" w:rsidP="00924B64">
            <w:pPr>
              <w:rPr>
                <w:sz w:val="20"/>
                <w:szCs w:val="20"/>
              </w:rPr>
            </w:pPr>
            <w:r w:rsidRPr="00687637">
              <w:rPr>
                <w:sz w:val="20"/>
                <w:szCs w:val="20"/>
              </w:rPr>
              <w:t xml:space="preserve">France </w:t>
            </w:r>
            <w:r w:rsidRPr="00687637">
              <w:rPr>
                <w:sz w:val="20"/>
                <w:szCs w:val="20"/>
              </w:rPr>
              <w:fldChar w:fldCharType="begin"/>
            </w:r>
            <w:r w:rsidRPr="00687637">
              <w:rPr>
                <w:sz w:val="20"/>
                <w:szCs w:val="20"/>
              </w:rPr>
              <w:instrText xml:space="preserve"> ADDIN ZOTERO_ITEM CSL_CITATION {"citationID":"dfpgik4lh","properties":{"formattedCitation":"[29]","plainCitation":"[29]"},"citationItems":[{"id":1539,"uris":["http://zotero.org/users/714468/items/9WCQ9JK9"],"uri":["http://zotero.org/users/714468/items/9WCQ9JK9"],"itemData":{"id":1539,"type":"webpage","title":"Liste des centres de vaccination habilités à effectuer la vaccination contre la fièvre jaune (anti-amarile)","container-title":"Ministère des Affaires sociales et de la Santé","abstract":"Liste des centres de vaccination habilités à effectuer la vaccination anti-amarile et à délivrer les certificats internationaux de vaccination contre la fièvre…","URL":"http://social-sante.gouv.fr/prevention-en-sante/preserver-sa-sante/vaccination-fievre-jaune","author":[{"family":"Ministère des Affaires sociales et de la Santé","given":""}],"issued":{"date-parts":[["2017"]]},"accessed":{"date-parts":[["2017",3,21]]}}}],"schema":"https://github.com/citation-style-language/schema/raw/master/csl-citation.json"} </w:instrText>
            </w:r>
            <w:r w:rsidRPr="00687637">
              <w:rPr>
                <w:sz w:val="20"/>
                <w:szCs w:val="20"/>
              </w:rPr>
              <w:fldChar w:fldCharType="separate"/>
            </w:r>
            <w:r w:rsidRPr="00687637">
              <w:t>[29]</w:t>
            </w:r>
            <w:r w:rsidRPr="00687637">
              <w:rPr>
                <w:sz w:val="20"/>
                <w:szCs w:val="20"/>
              </w:rPr>
              <w:fldChar w:fldCharType="end"/>
            </w:r>
          </w:p>
        </w:tc>
        <w:tc>
          <w:tcPr>
            <w:tcW w:w="956" w:type="pct"/>
          </w:tcPr>
          <w:p w14:paraId="7FB83A92" w14:textId="77777777" w:rsidR="00704151" w:rsidRPr="00687637" w:rsidRDefault="00704151" w:rsidP="00924B64">
            <w:pPr>
              <w:jc w:val="center"/>
              <w:rPr>
                <w:sz w:val="20"/>
                <w:szCs w:val="20"/>
              </w:rPr>
            </w:pPr>
            <w:r w:rsidRPr="00687637">
              <w:rPr>
                <w:sz w:val="20"/>
                <w:szCs w:val="20"/>
              </w:rPr>
              <w:t>26.2</w:t>
            </w:r>
          </w:p>
        </w:tc>
        <w:tc>
          <w:tcPr>
            <w:tcW w:w="1067" w:type="pct"/>
          </w:tcPr>
          <w:p w14:paraId="59ABEB13" w14:textId="77777777" w:rsidR="00704151" w:rsidRPr="00687637" w:rsidRDefault="00704151" w:rsidP="00924B64">
            <w:pPr>
              <w:jc w:val="center"/>
              <w:rPr>
                <w:sz w:val="20"/>
                <w:szCs w:val="20"/>
              </w:rPr>
            </w:pPr>
            <w:r w:rsidRPr="00687637">
              <w:rPr>
                <w:sz w:val="20"/>
                <w:szCs w:val="20"/>
              </w:rPr>
              <w:t>162</w:t>
            </w:r>
          </w:p>
        </w:tc>
        <w:tc>
          <w:tcPr>
            <w:tcW w:w="1066" w:type="pct"/>
          </w:tcPr>
          <w:p w14:paraId="33661171" w14:textId="77777777" w:rsidR="00704151" w:rsidRPr="00687637" w:rsidRDefault="00704151" w:rsidP="00924B64">
            <w:pPr>
              <w:jc w:val="center"/>
              <w:rPr>
                <w:sz w:val="20"/>
                <w:szCs w:val="20"/>
              </w:rPr>
            </w:pPr>
            <w:r w:rsidRPr="00687637">
              <w:rPr>
                <w:sz w:val="20"/>
                <w:szCs w:val="20"/>
              </w:rPr>
              <w:t>0.6</w:t>
            </w:r>
          </w:p>
        </w:tc>
      </w:tr>
      <w:tr w:rsidR="00704151" w:rsidRPr="00687637" w14:paraId="382E478B" w14:textId="77777777" w:rsidTr="00924B64">
        <w:tc>
          <w:tcPr>
            <w:tcW w:w="495" w:type="pct"/>
          </w:tcPr>
          <w:p w14:paraId="45BA197E" w14:textId="77777777" w:rsidR="00704151" w:rsidRPr="00687637" w:rsidRDefault="00704151" w:rsidP="00924B64">
            <w:pPr>
              <w:rPr>
                <w:sz w:val="20"/>
                <w:szCs w:val="20"/>
              </w:rPr>
            </w:pPr>
            <w:r w:rsidRPr="00687637">
              <w:rPr>
                <w:sz w:val="20"/>
                <w:szCs w:val="20"/>
              </w:rPr>
              <w:t>7</w:t>
            </w:r>
          </w:p>
        </w:tc>
        <w:tc>
          <w:tcPr>
            <w:tcW w:w="1417" w:type="pct"/>
          </w:tcPr>
          <w:p w14:paraId="0F70C394" w14:textId="77777777" w:rsidR="00704151" w:rsidRPr="00687637" w:rsidRDefault="00704151" w:rsidP="00924B64">
            <w:pPr>
              <w:rPr>
                <w:sz w:val="20"/>
                <w:szCs w:val="20"/>
              </w:rPr>
            </w:pPr>
            <w:r w:rsidRPr="00687637">
              <w:rPr>
                <w:sz w:val="20"/>
                <w:szCs w:val="20"/>
              </w:rPr>
              <w:t xml:space="preserve">Poland </w:t>
            </w:r>
            <w:r w:rsidRPr="00687637">
              <w:rPr>
                <w:sz w:val="20"/>
                <w:szCs w:val="20"/>
              </w:rPr>
              <w:fldChar w:fldCharType="begin"/>
            </w:r>
            <w:r w:rsidRPr="00687637">
              <w:rPr>
                <w:sz w:val="20"/>
                <w:szCs w:val="20"/>
              </w:rPr>
              <w:instrText xml:space="preserve"> ADDIN ZOTERO_ITEM CSL_CITATION {"citationID":"132cebu6re","properties":{"formattedCitation":"[30]","plainCitation":"[30]"},"citationItems":[{"id":1640,"uris":["http://zotero.org/users/714468/items/GZ4ZBEHA"],"uri":["http://zotero.org/users/714468/items/GZ4ZBEHA"],"itemData":{"id":1640,"type":"webpage","title":"Polish certified travel medicine network","URL":"http://ccmp.pl/126/117/lista-placowek-ccmp.html","author":[{"family":"CCMP","given":""}],"issued":{"date-parts":[["2017"]]},"accessed":{"date-parts":[["2017",5,6]]}}}],"schema":"https://github.com/citation-style-language/schema/raw/master/csl-citation.json"} </w:instrText>
            </w:r>
            <w:r w:rsidRPr="00687637">
              <w:rPr>
                <w:sz w:val="20"/>
                <w:szCs w:val="20"/>
              </w:rPr>
              <w:fldChar w:fldCharType="separate"/>
            </w:r>
            <w:r w:rsidRPr="00687637">
              <w:t>[30]</w:t>
            </w:r>
            <w:r w:rsidRPr="00687637">
              <w:rPr>
                <w:sz w:val="20"/>
                <w:szCs w:val="20"/>
              </w:rPr>
              <w:fldChar w:fldCharType="end"/>
            </w:r>
          </w:p>
        </w:tc>
        <w:tc>
          <w:tcPr>
            <w:tcW w:w="956" w:type="pct"/>
          </w:tcPr>
          <w:p w14:paraId="740BBF35" w14:textId="77777777" w:rsidR="00704151" w:rsidRPr="00687637" w:rsidRDefault="00704151" w:rsidP="00924B64">
            <w:pPr>
              <w:jc w:val="center"/>
              <w:rPr>
                <w:sz w:val="20"/>
                <w:szCs w:val="20"/>
              </w:rPr>
            </w:pPr>
            <w:r w:rsidRPr="00687637">
              <w:rPr>
                <w:sz w:val="20"/>
                <w:szCs w:val="20"/>
              </w:rPr>
              <w:t>52.6</w:t>
            </w:r>
          </w:p>
        </w:tc>
        <w:tc>
          <w:tcPr>
            <w:tcW w:w="1067" w:type="pct"/>
          </w:tcPr>
          <w:p w14:paraId="01B3482C" w14:textId="77777777" w:rsidR="00704151" w:rsidRPr="00687637" w:rsidRDefault="00704151" w:rsidP="00924B64">
            <w:pPr>
              <w:jc w:val="center"/>
              <w:rPr>
                <w:sz w:val="20"/>
                <w:szCs w:val="20"/>
              </w:rPr>
            </w:pPr>
            <w:r w:rsidRPr="00687637">
              <w:rPr>
                <w:sz w:val="20"/>
                <w:szCs w:val="20"/>
              </w:rPr>
              <w:t>119</w:t>
            </w:r>
          </w:p>
        </w:tc>
        <w:tc>
          <w:tcPr>
            <w:tcW w:w="1066" w:type="pct"/>
          </w:tcPr>
          <w:p w14:paraId="55E47376" w14:textId="77777777" w:rsidR="00704151" w:rsidRPr="00687637" w:rsidRDefault="00704151" w:rsidP="00924B64">
            <w:pPr>
              <w:jc w:val="center"/>
              <w:rPr>
                <w:sz w:val="20"/>
                <w:szCs w:val="20"/>
              </w:rPr>
            </w:pPr>
            <w:r w:rsidRPr="00687637">
              <w:rPr>
                <w:sz w:val="20"/>
                <w:szCs w:val="20"/>
              </w:rPr>
              <w:t>0.2</w:t>
            </w:r>
          </w:p>
        </w:tc>
      </w:tr>
      <w:tr w:rsidR="00704151" w:rsidRPr="00687637" w14:paraId="58F14C5D" w14:textId="77777777" w:rsidTr="00924B64">
        <w:tc>
          <w:tcPr>
            <w:tcW w:w="495" w:type="pct"/>
          </w:tcPr>
          <w:p w14:paraId="627B6986" w14:textId="77777777" w:rsidR="00704151" w:rsidRPr="00687637" w:rsidRDefault="00704151" w:rsidP="00924B64">
            <w:pPr>
              <w:rPr>
                <w:sz w:val="20"/>
                <w:szCs w:val="20"/>
              </w:rPr>
            </w:pPr>
            <w:r w:rsidRPr="00687637">
              <w:rPr>
                <w:sz w:val="20"/>
                <w:szCs w:val="20"/>
              </w:rPr>
              <w:t>15</w:t>
            </w:r>
          </w:p>
        </w:tc>
        <w:tc>
          <w:tcPr>
            <w:tcW w:w="1417" w:type="pct"/>
          </w:tcPr>
          <w:p w14:paraId="338C2534" w14:textId="77777777" w:rsidR="00704151" w:rsidRPr="00687637" w:rsidRDefault="00704151" w:rsidP="00924B64">
            <w:pPr>
              <w:rPr>
                <w:sz w:val="20"/>
                <w:szCs w:val="20"/>
              </w:rPr>
            </w:pPr>
            <w:r w:rsidRPr="00687637">
              <w:rPr>
                <w:sz w:val="20"/>
                <w:szCs w:val="20"/>
              </w:rPr>
              <w:t xml:space="preserve">India </w:t>
            </w:r>
            <w:r w:rsidRPr="00687637">
              <w:rPr>
                <w:sz w:val="20"/>
                <w:szCs w:val="20"/>
              </w:rPr>
              <w:fldChar w:fldCharType="begin"/>
            </w:r>
            <w:r w:rsidRPr="00687637">
              <w:rPr>
                <w:sz w:val="20"/>
                <w:szCs w:val="20"/>
              </w:rPr>
              <w:instrText xml:space="preserve"> ADDIN ZOTERO_ITEM CSL_CITATION {"citationID":"2prp9sil86","properties":{"formattedCitation":"[31]","plainCitation":"[31]"},"citationItems":[{"id":1586,"uris":["http://zotero.org/users/714468/items/8V2IMEHK"],"uri":["http://zotero.org/users/714468/items/8V2IMEHK"],"itemData":{"id":1586,"type":"webpage","title":"Yellow Fever","URL":"http://www.mohfw.nic.in/index1.php?lang=1&amp;level=1&amp;sublinkid=1342&amp;lid=1259","author":[{"family":"Ministry of Health &amp; Family Welfare","given":""}],"issued":{"date-parts":[["2017"]]},"accessed":{"date-parts":[["2017",4,11]]}}}],"schema":"https://github.com/citation-style-language/schema/raw/master/csl-citation.json"} </w:instrText>
            </w:r>
            <w:r w:rsidRPr="00687637">
              <w:rPr>
                <w:sz w:val="20"/>
                <w:szCs w:val="20"/>
              </w:rPr>
              <w:fldChar w:fldCharType="separate"/>
            </w:r>
            <w:r w:rsidRPr="00687637">
              <w:t>[31]</w:t>
            </w:r>
            <w:r w:rsidRPr="00687637">
              <w:rPr>
                <w:sz w:val="20"/>
                <w:szCs w:val="20"/>
              </w:rPr>
              <w:fldChar w:fldCharType="end"/>
            </w:r>
          </w:p>
        </w:tc>
        <w:tc>
          <w:tcPr>
            <w:tcW w:w="956" w:type="pct"/>
          </w:tcPr>
          <w:p w14:paraId="227C0878" w14:textId="77777777" w:rsidR="00704151" w:rsidRPr="00687637" w:rsidRDefault="00704151" w:rsidP="00924B64">
            <w:pPr>
              <w:jc w:val="center"/>
              <w:rPr>
                <w:sz w:val="20"/>
                <w:szCs w:val="20"/>
              </w:rPr>
            </w:pPr>
            <w:r w:rsidRPr="00687637">
              <w:rPr>
                <w:sz w:val="20"/>
                <w:szCs w:val="20"/>
              </w:rPr>
              <w:t>16.6</w:t>
            </w:r>
          </w:p>
        </w:tc>
        <w:tc>
          <w:tcPr>
            <w:tcW w:w="1067" w:type="pct"/>
          </w:tcPr>
          <w:p w14:paraId="0B5DAF80" w14:textId="77777777" w:rsidR="00704151" w:rsidRPr="00687637" w:rsidRDefault="00704151" w:rsidP="00924B64">
            <w:pPr>
              <w:jc w:val="center"/>
              <w:rPr>
                <w:sz w:val="20"/>
                <w:szCs w:val="20"/>
              </w:rPr>
            </w:pPr>
            <w:r w:rsidRPr="00687637">
              <w:rPr>
                <w:sz w:val="20"/>
                <w:szCs w:val="20"/>
              </w:rPr>
              <w:t>34</w:t>
            </w:r>
          </w:p>
        </w:tc>
        <w:tc>
          <w:tcPr>
            <w:tcW w:w="1066" w:type="pct"/>
          </w:tcPr>
          <w:p w14:paraId="2422750D" w14:textId="77777777" w:rsidR="00704151" w:rsidRPr="00687637" w:rsidRDefault="00704151" w:rsidP="00924B64">
            <w:pPr>
              <w:jc w:val="center"/>
              <w:rPr>
                <w:sz w:val="20"/>
                <w:szCs w:val="20"/>
              </w:rPr>
            </w:pPr>
            <w:r w:rsidRPr="00687637">
              <w:rPr>
                <w:sz w:val="20"/>
                <w:szCs w:val="20"/>
              </w:rPr>
              <w:t>0.2</w:t>
            </w:r>
          </w:p>
        </w:tc>
      </w:tr>
      <w:tr w:rsidR="00704151" w:rsidRPr="00687637" w14:paraId="44EC98D6" w14:textId="77777777" w:rsidTr="00924B64">
        <w:tc>
          <w:tcPr>
            <w:tcW w:w="495" w:type="pct"/>
          </w:tcPr>
          <w:p w14:paraId="3C0B610E" w14:textId="77777777" w:rsidR="00704151" w:rsidRPr="00687637" w:rsidRDefault="00704151" w:rsidP="00924B64">
            <w:pPr>
              <w:rPr>
                <w:sz w:val="20"/>
                <w:szCs w:val="20"/>
              </w:rPr>
            </w:pPr>
            <w:r w:rsidRPr="00687637">
              <w:rPr>
                <w:sz w:val="20"/>
                <w:szCs w:val="20"/>
              </w:rPr>
              <w:t>16</w:t>
            </w:r>
          </w:p>
        </w:tc>
        <w:tc>
          <w:tcPr>
            <w:tcW w:w="1417" w:type="pct"/>
          </w:tcPr>
          <w:p w14:paraId="1B9724B0" w14:textId="77777777" w:rsidR="00704151" w:rsidRPr="00687637" w:rsidRDefault="00704151" w:rsidP="00924B64">
            <w:pPr>
              <w:rPr>
                <w:sz w:val="20"/>
                <w:szCs w:val="20"/>
              </w:rPr>
            </w:pPr>
            <w:r w:rsidRPr="00687637">
              <w:rPr>
                <w:sz w:val="20"/>
                <w:szCs w:val="20"/>
              </w:rPr>
              <w:t xml:space="preserve">Hungary </w:t>
            </w:r>
            <w:r w:rsidRPr="00687637">
              <w:rPr>
                <w:sz w:val="20"/>
                <w:szCs w:val="20"/>
              </w:rPr>
              <w:fldChar w:fldCharType="begin"/>
            </w:r>
            <w:r w:rsidRPr="00687637">
              <w:rPr>
                <w:sz w:val="20"/>
                <w:szCs w:val="20"/>
              </w:rPr>
              <w:instrText xml:space="preserve"> ADDIN ZOTERO_ITEM CSL_CITATION {"citationID":"25pb7klj7h","properties":{"formattedCitation":"[32]","plainCitation":"[32]"},"citationItems":[{"id":1588,"uris":["http://zotero.org/users/714468/items/4A2V3N3A"],"uri":["http://zotero.org/users/714468/items/4A2V3N3A"],"itemData":{"id":1588,"type":"personal_communication","title":"Yellow fever vaccination centres in Hungary, Dr. Peter Felkai, March 2017","author":[{"family":"Personal communication","given":""}],"issued":{"date-parts":[["2017"]]}}}],"schema":"https://github.com/citation-style-language/schema/raw/master/csl-citation.json"} </w:instrText>
            </w:r>
            <w:r w:rsidRPr="00687637">
              <w:rPr>
                <w:sz w:val="20"/>
                <w:szCs w:val="20"/>
              </w:rPr>
              <w:fldChar w:fldCharType="separate"/>
            </w:r>
            <w:r w:rsidRPr="00687637">
              <w:t>[32]</w:t>
            </w:r>
            <w:r w:rsidRPr="00687637">
              <w:rPr>
                <w:sz w:val="20"/>
                <w:szCs w:val="20"/>
              </w:rPr>
              <w:fldChar w:fldCharType="end"/>
            </w:r>
          </w:p>
        </w:tc>
        <w:tc>
          <w:tcPr>
            <w:tcW w:w="956" w:type="pct"/>
          </w:tcPr>
          <w:p w14:paraId="10673C2C" w14:textId="77777777" w:rsidR="00704151" w:rsidRPr="00687637" w:rsidRDefault="00704151" w:rsidP="00924B64">
            <w:pPr>
              <w:jc w:val="center"/>
              <w:rPr>
                <w:sz w:val="20"/>
                <w:szCs w:val="20"/>
              </w:rPr>
            </w:pPr>
            <w:r w:rsidRPr="00687637">
              <w:rPr>
                <w:sz w:val="20"/>
                <w:szCs w:val="20"/>
              </w:rPr>
              <w:t>16.0</w:t>
            </w:r>
          </w:p>
        </w:tc>
        <w:tc>
          <w:tcPr>
            <w:tcW w:w="1067" w:type="pct"/>
          </w:tcPr>
          <w:p w14:paraId="637C1B5B" w14:textId="77777777" w:rsidR="00704151" w:rsidRPr="00687637" w:rsidRDefault="00704151" w:rsidP="00924B64">
            <w:pPr>
              <w:jc w:val="center"/>
              <w:rPr>
                <w:sz w:val="20"/>
                <w:szCs w:val="20"/>
              </w:rPr>
            </w:pPr>
            <w:r w:rsidRPr="00687637">
              <w:rPr>
                <w:sz w:val="20"/>
                <w:szCs w:val="20"/>
              </w:rPr>
              <w:t>30</w:t>
            </w:r>
          </w:p>
        </w:tc>
        <w:tc>
          <w:tcPr>
            <w:tcW w:w="1066" w:type="pct"/>
          </w:tcPr>
          <w:p w14:paraId="2B3254D1" w14:textId="77777777" w:rsidR="00704151" w:rsidRPr="00687637" w:rsidRDefault="00704151" w:rsidP="00924B64">
            <w:pPr>
              <w:jc w:val="center"/>
              <w:rPr>
                <w:sz w:val="20"/>
                <w:szCs w:val="20"/>
              </w:rPr>
            </w:pPr>
            <w:r w:rsidRPr="00687637">
              <w:rPr>
                <w:sz w:val="20"/>
                <w:szCs w:val="20"/>
              </w:rPr>
              <w:t>0.2</w:t>
            </w:r>
          </w:p>
        </w:tc>
      </w:tr>
      <w:tr w:rsidR="00704151" w:rsidRPr="00687637" w14:paraId="17C5C320" w14:textId="77777777" w:rsidTr="00924B64">
        <w:tc>
          <w:tcPr>
            <w:tcW w:w="495" w:type="pct"/>
          </w:tcPr>
          <w:p w14:paraId="43B02B73" w14:textId="77777777" w:rsidR="00704151" w:rsidRPr="00687637" w:rsidRDefault="00704151" w:rsidP="00924B64">
            <w:pPr>
              <w:rPr>
                <w:sz w:val="20"/>
                <w:szCs w:val="20"/>
              </w:rPr>
            </w:pPr>
            <w:r w:rsidRPr="00687637">
              <w:rPr>
                <w:sz w:val="20"/>
                <w:szCs w:val="20"/>
              </w:rPr>
              <w:t>1</w:t>
            </w:r>
          </w:p>
        </w:tc>
        <w:tc>
          <w:tcPr>
            <w:tcW w:w="1417" w:type="pct"/>
          </w:tcPr>
          <w:p w14:paraId="587FAF38" w14:textId="77777777" w:rsidR="00704151" w:rsidRPr="00687637" w:rsidRDefault="00704151" w:rsidP="00924B64">
            <w:pPr>
              <w:rPr>
                <w:sz w:val="20"/>
                <w:szCs w:val="20"/>
              </w:rPr>
            </w:pPr>
            <w:r w:rsidRPr="00687637">
              <w:rPr>
                <w:sz w:val="20"/>
                <w:szCs w:val="20"/>
              </w:rPr>
              <w:t xml:space="preserve">China </w:t>
            </w:r>
            <w:r w:rsidRPr="00687637">
              <w:rPr>
                <w:sz w:val="20"/>
                <w:szCs w:val="20"/>
              </w:rPr>
              <w:fldChar w:fldCharType="begin"/>
            </w:r>
            <w:r w:rsidRPr="00687637">
              <w:rPr>
                <w:sz w:val="20"/>
                <w:szCs w:val="20"/>
              </w:rPr>
              <w:instrText xml:space="preserve"> ADDIN ZOTERO_ITEM CSL_CITATION {"citationID":"1hf5ak06lb","properties":{"formattedCitation":"[33]","plainCitation":"[33]"},"citationItems":[{"id":1568,"uris":["http://zotero.org/users/714468/items/58QA7NV4"],"uri":["http://zotero.org/users/714468/items/58QA7NV4"],"itemData":{"id":1568,"type":"webpage","title":"International Travel Health Care Centers","URL":"http://english.aqsiq.gov.cn/SpecialTopics/InternationalTravelHealthCare/InfoResources/200708/t20070816_36048.htm","author":[{"family":"China General Administration of Quality Supervision,Inspection and Quarantine of the PRC(AQSIQ)","given":""}],"issued":{"date-parts":[["2017"]]},"accessed":{"date-parts":[["2017",4,11]]}}}],"schema":"https://github.com/citation-style-language/schema/raw/master/csl-citation.json"} </w:instrText>
            </w:r>
            <w:r w:rsidRPr="00687637">
              <w:rPr>
                <w:sz w:val="20"/>
                <w:szCs w:val="20"/>
              </w:rPr>
              <w:fldChar w:fldCharType="separate"/>
            </w:r>
            <w:r w:rsidRPr="00687637">
              <w:t>[33]</w:t>
            </w:r>
            <w:r w:rsidRPr="00687637">
              <w:rPr>
                <w:sz w:val="20"/>
                <w:szCs w:val="20"/>
              </w:rPr>
              <w:fldChar w:fldCharType="end"/>
            </w:r>
          </w:p>
        </w:tc>
        <w:tc>
          <w:tcPr>
            <w:tcW w:w="956" w:type="pct"/>
          </w:tcPr>
          <w:p w14:paraId="3571EC62" w14:textId="77777777" w:rsidR="00704151" w:rsidRPr="00687637" w:rsidRDefault="00704151" w:rsidP="00924B64">
            <w:pPr>
              <w:jc w:val="center"/>
              <w:rPr>
                <w:sz w:val="20"/>
                <w:szCs w:val="20"/>
              </w:rPr>
            </w:pPr>
            <w:r w:rsidRPr="00687637">
              <w:rPr>
                <w:sz w:val="20"/>
                <w:szCs w:val="20"/>
              </w:rPr>
              <w:t>98.2</w:t>
            </w:r>
          </w:p>
        </w:tc>
        <w:tc>
          <w:tcPr>
            <w:tcW w:w="1067" w:type="pct"/>
          </w:tcPr>
          <w:p w14:paraId="6E863ACC" w14:textId="77777777" w:rsidR="00704151" w:rsidRPr="00687637" w:rsidRDefault="00704151" w:rsidP="00924B64">
            <w:pPr>
              <w:jc w:val="center"/>
              <w:rPr>
                <w:sz w:val="20"/>
                <w:szCs w:val="20"/>
              </w:rPr>
            </w:pPr>
            <w:r w:rsidRPr="00687637">
              <w:rPr>
                <w:sz w:val="20"/>
                <w:szCs w:val="20"/>
              </w:rPr>
              <w:t>168</w:t>
            </w:r>
          </w:p>
        </w:tc>
        <w:tc>
          <w:tcPr>
            <w:tcW w:w="1066" w:type="pct"/>
          </w:tcPr>
          <w:p w14:paraId="2E8AA417" w14:textId="77777777" w:rsidR="00704151" w:rsidRPr="00687637" w:rsidRDefault="00704151" w:rsidP="00924B64">
            <w:pPr>
              <w:jc w:val="center"/>
              <w:rPr>
                <w:sz w:val="20"/>
                <w:szCs w:val="20"/>
              </w:rPr>
            </w:pPr>
            <w:r w:rsidRPr="00687637">
              <w:rPr>
                <w:sz w:val="20"/>
                <w:szCs w:val="20"/>
              </w:rPr>
              <w:t>0.2</w:t>
            </w:r>
          </w:p>
        </w:tc>
      </w:tr>
      <w:tr w:rsidR="00704151" w:rsidRPr="00687637" w14:paraId="0AD55134" w14:textId="77777777" w:rsidTr="00924B64">
        <w:tc>
          <w:tcPr>
            <w:tcW w:w="495" w:type="pct"/>
          </w:tcPr>
          <w:p w14:paraId="18DB6204" w14:textId="77777777" w:rsidR="00704151" w:rsidRPr="00687637" w:rsidRDefault="00704151" w:rsidP="00924B64">
            <w:pPr>
              <w:rPr>
                <w:sz w:val="20"/>
                <w:szCs w:val="20"/>
              </w:rPr>
            </w:pPr>
            <w:r w:rsidRPr="00687637">
              <w:rPr>
                <w:sz w:val="20"/>
                <w:szCs w:val="20"/>
              </w:rPr>
              <w:t>19</w:t>
            </w:r>
          </w:p>
        </w:tc>
        <w:tc>
          <w:tcPr>
            <w:tcW w:w="1417" w:type="pct"/>
          </w:tcPr>
          <w:p w14:paraId="334C008E" w14:textId="77777777" w:rsidR="00704151" w:rsidRPr="00687637" w:rsidRDefault="00704151" w:rsidP="00924B64">
            <w:pPr>
              <w:rPr>
                <w:sz w:val="20"/>
                <w:szCs w:val="20"/>
              </w:rPr>
            </w:pPr>
            <w:r w:rsidRPr="00687637">
              <w:rPr>
                <w:sz w:val="20"/>
                <w:szCs w:val="20"/>
              </w:rPr>
              <w:t xml:space="preserve">Korea, Rep. </w:t>
            </w:r>
            <w:r w:rsidRPr="00687637">
              <w:rPr>
                <w:sz w:val="20"/>
                <w:szCs w:val="20"/>
              </w:rPr>
              <w:fldChar w:fldCharType="begin"/>
            </w:r>
            <w:r w:rsidRPr="00687637">
              <w:rPr>
                <w:sz w:val="20"/>
                <w:szCs w:val="20"/>
              </w:rPr>
              <w:instrText xml:space="preserve"> ADDIN ZOTERO_ITEM CSL_CITATION {"citationID":"1bt2kjeioq","properties":{"formattedCitation":"[34]","plainCitation":"[34]"},"citationItems":[{"id":1591,"uris":["http://zotero.org/users/714468/items/X9UIBBFM"],"uri":["http://zotero.org/users/714468/items/X9UIBBFM"],"itemData":{"id":1591,"type":"webpage","title":"Infectious disease management - Rio Olympics","URL":"http://www.mohw.go.kr/front_new/al/sal0301vw.jsp?PAR_MENU_ID=04&amp;MENU_ID=0403&amp;page=1&amp;CONT_SEQ=333281&amp;SEARCHKEY=TITLE&amp;SEARCHVALUE=%B8%AE%BF%EC","author":[{"family":"Republic of Korea Ministry of Health","given":""}],"issued":{"date-parts":[["2017"]]},"accessed":{"date-parts":[["2017",4,11]]}}}],"schema":"https://github.com/citation-style-language/schema/raw/master/csl-citation.json"} </w:instrText>
            </w:r>
            <w:r w:rsidRPr="00687637">
              <w:rPr>
                <w:sz w:val="20"/>
                <w:szCs w:val="20"/>
              </w:rPr>
              <w:fldChar w:fldCharType="separate"/>
            </w:r>
            <w:r w:rsidRPr="00687637">
              <w:t>[34]</w:t>
            </w:r>
            <w:r w:rsidRPr="00687637">
              <w:rPr>
                <w:sz w:val="20"/>
                <w:szCs w:val="20"/>
              </w:rPr>
              <w:fldChar w:fldCharType="end"/>
            </w:r>
          </w:p>
        </w:tc>
        <w:tc>
          <w:tcPr>
            <w:tcW w:w="956" w:type="pct"/>
          </w:tcPr>
          <w:p w14:paraId="05BE1DE8" w14:textId="77777777" w:rsidR="00704151" w:rsidRPr="00687637" w:rsidRDefault="00704151" w:rsidP="00924B64">
            <w:pPr>
              <w:jc w:val="center"/>
              <w:rPr>
                <w:sz w:val="20"/>
                <w:szCs w:val="20"/>
              </w:rPr>
            </w:pPr>
            <w:r w:rsidRPr="00687637">
              <w:rPr>
                <w:sz w:val="20"/>
                <w:szCs w:val="20"/>
              </w:rPr>
              <w:t>14.8</w:t>
            </w:r>
          </w:p>
        </w:tc>
        <w:tc>
          <w:tcPr>
            <w:tcW w:w="1067" w:type="pct"/>
          </w:tcPr>
          <w:p w14:paraId="698E0A58" w14:textId="77777777" w:rsidR="00704151" w:rsidRPr="00687637" w:rsidRDefault="00704151" w:rsidP="00924B64">
            <w:pPr>
              <w:jc w:val="center"/>
              <w:rPr>
                <w:sz w:val="20"/>
                <w:szCs w:val="20"/>
              </w:rPr>
            </w:pPr>
            <w:r w:rsidRPr="00687637">
              <w:rPr>
                <w:sz w:val="20"/>
                <w:szCs w:val="20"/>
              </w:rPr>
              <w:t>23</w:t>
            </w:r>
          </w:p>
        </w:tc>
        <w:tc>
          <w:tcPr>
            <w:tcW w:w="1066" w:type="pct"/>
          </w:tcPr>
          <w:p w14:paraId="092FD399" w14:textId="77777777" w:rsidR="00704151" w:rsidRPr="00687637" w:rsidRDefault="00704151" w:rsidP="00924B64">
            <w:pPr>
              <w:jc w:val="center"/>
              <w:rPr>
                <w:sz w:val="20"/>
                <w:szCs w:val="20"/>
              </w:rPr>
            </w:pPr>
            <w:r w:rsidRPr="00687637">
              <w:rPr>
                <w:sz w:val="20"/>
                <w:szCs w:val="20"/>
              </w:rPr>
              <w:t>0.2</w:t>
            </w:r>
          </w:p>
        </w:tc>
      </w:tr>
      <w:tr w:rsidR="00704151" w:rsidRPr="00687637" w14:paraId="10E1D48F" w14:textId="77777777" w:rsidTr="00924B64">
        <w:tc>
          <w:tcPr>
            <w:tcW w:w="495" w:type="pct"/>
          </w:tcPr>
          <w:p w14:paraId="3498E958" w14:textId="77777777" w:rsidR="00704151" w:rsidRPr="00687637" w:rsidRDefault="00704151" w:rsidP="00924B64">
            <w:pPr>
              <w:rPr>
                <w:sz w:val="20"/>
                <w:szCs w:val="20"/>
              </w:rPr>
            </w:pPr>
            <w:r w:rsidRPr="00687637">
              <w:rPr>
                <w:sz w:val="20"/>
                <w:szCs w:val="20"/>
              </w:rPr>
              <w:t>14</w:t>
            </w:r>
          </w:p>
        </w:tc>
        <w:tc>
          <w:tcPr>
            <w:tcW w:w="1417" w:type="pct"/>
          </w:tcPr>
          <w:p w14:paraId="693CAA4F" w14:textId="77777777" w:rsidR="00704151" w:rsidRPr="00687637" w:rsidRDefault="00704151" w:rsidP="00924B64">
            <w:pPr>
              <w:rPr>
                <w:sz w:val="20"/>
                <w:szCs w:val="20"/>
              </w:rPr>
            </w:pPr>
            <w:r w:rsidRPr="00687637">
              <w:rPr>
                <w:sz w:val="20"/>
                <w:szCs w:val="20"/>
              </w:rPr>
              <w:t xml:space="preserve">Japan </w:t>
            </w:r>
            <w:r w:rsidRPr="00687637">
              <w:rPr>
                <w:sz w:val="20"/>
                <w:szCs w:val="20"/>
              </w:rPr>
              <w:fldChar w:fldCharType="begin"/>
            </w:r>
            <w:r w:rsidRPr="00687637">
              <w:rPr>
                <w:sz w:val="20"/>
                <w:szCs w:val="20"/>
              </w:rPr>
              <w:instrText xml:space="preserve"> ADDIN ZOTERO_ITEM CSL_CITATION {"citationID":"1nh0itdgoo","properties":{"formattedCitation":"[35]","plainCitation":"[35]"},"citationItems":[{"id":1584,"uris":["http://zotero.org/users/714468/items/PXZGKKES"],"uri":["http://zotero.org/users/714468/items/PXZGKKES"],"itemData":{"id":1584,"type":"webpage","title":"</w:instrText>
            </w:r>
            <w:r w:rsidRPr="00687637">
              <w:rPr>
                <w:rFonts w:eastAsia="MS Gothic"/>
                <w:sz w:val="20"/>
                <w:szCs w:val="20"/>
              </w:rPr>
              <w:instrText>黄熱の予防接種を行っている検疫所</w:instrText>
            </w:r>
            <w:r w:rsidRPr="00687637">
              <w:rPr>
                <w:sz w:val="20"/>
                <w:szCs w:val="20"/>
              </w:rPr>
              <w:instrText xml:space="preserve"> [Yellow fever vaccination quarantine station]","URL":"http://www.forth.go.jp/useful/yellowfever.html#list","author":[{"family":"FORTH","given":""}],"issued":{"date-parts":[["2017"]]},"accessed":{"date-parts":[["2017",4,11]]}}}],"schema":"https://github.com/citation-style-language/schema/raw/master/csl-citation.json"} </w:instrText>
            </w:r>
            <w:r w:rsidRPr="00687637">
              <w:rPr>
                <w:sz w:val="20"/>
                <w:szCs w:val="20"/>
              </w:rPr>
              <w:fldChar w:fldCharType="separate"/>
            </w:r>
            <w:r w:rsidRPr="00687637">
              <w:t>[35]</w:t>
            </w:r>
            <w:r w:rsidRPr="00687637">
              <w:rPr>
                <w:sz w:val="20"/>
                <w:szCs w:val="20"/>
              </w:rPr>
              <w:fldChar w:fldCharType="end"/>
            </w:r>
          </w:p>
        </w:tc>
        <w:tc>
          <w:tcPr>
            <w:tcW w:w="956" w:type="pct"/>
          </w:tcPr>
          <w:p w14:paraId="575E94A1" w14:textId="77777777" w:rsidR="00704151" w:rsidRPr="00687637" w:rsidRDefault="00704151" w:rsidP="00924B64">
            <w:pPr>
              <w:jc w:val="center"/>
              <w:rPr>
                <w:sz w:val="20"/>
                <w:szCs w:val="20"/>
              </w:rPr>
            </w:pPr>
            <w:r w:rsidRPr="00687637">
              <w:rPr>
                <w:sz w:val="20"/>
                <w:szCs w:val="20"/>
              </w:rPr>
              <w:t>17.5</w:t>
            </w:r>
          </w:p>
        </w:tc>
        <w:tc>
          <w:tcPr>
            <w:tcW w:w="1067" w:type="pct"/>
          </w:tcPr>
          <w:p w14:paraId="6278CEF6" w14:textId="77777777" w:rsidR="00704151" w:rsidRPr="00687637" w:rsidRDefault="00704151" w:rsidP="00924B64">
            <w:pPr>
              <w:jc w:val="center"/>
              <w:rPr>
                <w:sz w:val="20"/>
                <w:szCs w:val="20"/>
              </w:rPr>
            </w:pPr>
            <w:r w:rsidRPr="00687637">
              <w:rPr>
                <w:sz w:val="20"/>
                <w:szCs w:val="20"/>
              </w:rPr>
              <w:t>22</w:t>
            </w:r>
          </w:p>
        </w:tc>
        <w:tc>
          <w:tcPr>
            <w:tcW w:w="1066" w:type="pct"/>
          </w:tcPr>
          <w:p w14:paraId="4FA8917A" w14:textId="77777777" w:rsidR="00704151" w:rsidRPr="00687637" w:rsidRDefault="00704151" w:rsidP="00924B64">
            <w:pPr>
              <w:jc w:val="center"/>
              <w:rPr>
                <w:sz w:val="20"/>
                <w:szCs w:val="20"/>
              </w:rPr>
            </w:pPr>
            <w:r w:rsidRPr="00687637">
              <w:rPr>
                <w:sz w:val="20"/>
                <w:szCs w:val="20"/>
              </w:rPr>
              <w:t>0.1</w:t>
            </w:r>
          </w:p>
        </w:tc>
      </w:tr>
      <w:tr w:rsidR="00704151" w:rsidRPr="00687637" w14:paraId="34549E85" w14:textId="77777777" w:rsidTr="00924B64">
        <w:tc>
          <w:tcPr>
            <w:tcW w:w="495" w:type="pct"/>
          </w:tcPr>
          <w:p w14:paraId="42A42041" w14:textId="77777777" w:rsidR="00704151" w:rsidRPr="00687637" w:rsidRDefault="00704151" w:rsidP="00924B64">
            <w:pPr>
              <w:rPr>
                <w:sz w:val="20"/>
                <w:szCs w:val="20"/>
              </w:rPr>
            </w:pPr>
            <w:r w:rsidRPr="00687637">
              <w:rPr>
                <w:sz w:val="20"/>
                <w:szCs w:val="20"/>
              </w:rPr>
              <w:t>5</w:t>
            </w:r>
          </w:p>
        </w:tc>
        <w:tc>
          <w:tcPr>
            <w:tcW w:w="1417" w:type="pct"/>
          </w:tcPr>
          <w:p w14:paraId="2D764132" w14:textId="77777777" w:rsidR="00704151" w:rsidRPr="00687637" w:rsidRDefault="00704151" w:rsidP="00924B64">
            <w:pPr>
              <w:rPr>
                <w:sz w:val="20"/>
                <w:szCs w:val="20"/>
              </w:rPr>
            </w:pPr>
            <w:r w:rsidRPr="00687637">
              <w:rPr>
                <w:sz w:val="20"/>
                <w:szCs w:val="20"/>
              </w:rPr>
              <w:t xml:space="preserve">Russian Federation </w:t>
            </w:r>
            <w:r w:rsidRPr="00687637">
              <w:rPr>
                <w:sz w:val="20"/>
                <w:szCs w:val="20"/>
              </w:rPr>
              <w:fldChar w:fldCharType="begin"/>
            </w:r>
            <w:r w:rsidRPr="00687637">
              <w:rPr>
                <w:sz w:val="20"/>
                <w:szCs w:val="20"/>
              </w:rPr>
              <w:instrText xml:space="preserve"> ADDIN ZOTERO_ITEM CSL_CITATION {"citationID":"382t4pcn6","properties":{"formattedCitation":"[36]","plainCitation":"[36]"},"citationItems":[{"id":1576,"uris":["http://zotero.org/users/714468/items/GC6A5T5J"],"uri":["http://zotero.org/users/714468/items/GC6A5T5J"],"itemData":{"id":1576,"type":"webpage","title":"Вакцинация против желтой лихорадки [Yellow fever vaccination]","URL":"http://www.mirtravel.com/spravochnik/vaktsinatsija_protiv_zheltoj_lixoradki","author":[{"family":"Mir Travel","given":""}],"issued":{"date-parts":[["2017"]]},"accessed":{"date-parts":[["2017",4,11]]}}}],"schema":"https://github.com/citation-style-language/schema/raw/master/csl-citation.json"} </w:instrText>
            </w:r>
            <w:r w:rsidRPr="00687637">
              <w:rPr>
                <w:sz w:val="20"/>
                <w:szCs w:val="20"/>
              </w:rPr>
              <w:fldChar w:fldCharType="separate"/>
            </w:r>
            <w:r w:rsidRPr="00687637">
              <w:t>[36]</w:t>
            </w:r>
            <w:r w:rsidRPr="00687637">
              <w:rPr>
                <w:sz w:val="20"/>
                <w:szCs w:val="20"/>
              </w:rPr>
              <w:fldChar w:fldCharType="end"/>
            </w:r>
          </w:p>
        </w:tc>
        <w:tc>
          <w:tcPr>
            <w:tcW w:w="956" w:type="pct"/>
          </w:tcPr>
          <w:p w14:paraId="2CAFDE00" w14:textId="77777777" w:rsidR="00704151" w:rsidRPr="00687637" w:rsidRDefault="00704151" w:rsidP="00924B64">
            <w:pPr>
              <w:jc w:val="center"/>
              <w:rPr>
                <w:sz w:val="20"/>
                <w:szCs w:val="20"/>
              </w:rPr>
            </w:pPr>
            <w:r w:rsidRPr="00687637">
              <w:rPr>
                <w:sz w:val="20"/>
                <w:szCs w:val="20"/>
              </w:rPr>
              <w:t>54.1</w:t>
            </w:r>
          </w:p>
        </w:tc>
        <w:tc>
          <w:tcPr>
            <w:tcW w:w="1067" w:type="pct"/>
          </w:tcPr>
          <w:p w14:paraId="71E480BC" w14:textId="77777777" w:rsidR="00704151" w:rsidRPr="00687637" w:rsidRDefault="00704151" w:rsidP="00924B64">
            <w:pPr>
              <w:jc w:val="center"/>
              <w:rPr>
                <w:sz w:val="20"/>
                <w:szCs w:val="20"/>
              </w:rPr>
            </w:pPr>
            <w:r w:rsidRPr="00687637">
              <w:rPr>
                <w:sz w:val="20"/>
                <w:szCs w:val="20"/>
              </w:rPr>
              <w:t>44</w:t>
            </w:r>
          </w:p>
        </w:tc>
        <w:tc>
          <w:tcPr>
            <w:tcW w:w="1066" w:type="pct"/>
          </w:tcPr>
          <w:p w14:paraId="662BAB39" w14:textId="77777777" w:rsidR="00704151" w:rsidRPr="00687637" w:rsidRDefault="00704151" w:rsidP="00924B64">
            <w:pPr>
              <w:jc w:val="center"/>
              <w:rPr>
                <w:sz w:val="20"/>
                <w:szCs w:val="20"/>
              </w:rPr>
            </w:pPr>
            <w:r w:rsidRPr="00687637">
              <w:rPr>
                <w:sz w:val="20"/>
                <w:szCs w:val="20"/>
              </w:rPr>
              <w:t>0.1</w:t>
            </w:r>
          </w:p>
        </w:tc>
      </w:tr>
      <w:tr w:rsidR="00704151" w:rsidRPr="00687637" w14:paraId="6FDFEF83" w14:textId="77777777" w:rsidTr="00924B64">
        <w:tc>
          <w:tcPr>
            <w:tcW w:w="495" w:type="pct"/>
          </w:tcPr>
          <w:p w14:paraId="2D5234FA" w14:textId="77777777" w:rsidR="00704151" w:rsidRPr="00687637" w:rsidRDefault="00704151" w:rsidP="00924B64">
            <w:pPr>
              <w:rPr>
                <w:sz w:val="20"/>
                <w:szCs w:val="20"/>
              </w:rPr>
            </w:pPr>
            <w:r w:rsidRPr="00687637">
              <w:rPr>
                <w:sz w:val="20"/>
                <w:szCs w:val="20"/>
              </w:rPr>
              <w:t>18</w:t>
            </w:r>
          </w:p>
        </w:tc>
        <w:tc>
          <w:tcPr>
            <w:tcW w:w="1417" w:type="pct"/>
          </w:tcPr>
          <w:p w14:paraId="45C71A6F" w14:textId="77777777" w:rsidR="00704151" w:rsidRPr="00687637" w:rsidRDefault="00704151" w:rsidP="00924B64">
            <w:pPr>
              <w:rPr>
                <w:sz w:val="20"/>
                <w:szCs w:val="20"/>
              </w:rPr>
            </w:pPr>
            <w:r w:rsidRPr="00687637">
              <w:rPr>
                <w:sz w:val="20"/>
                <w:szCs w:val="20"/>
              </w:rPr>
              <w:t xml:space="preserve">Mexico </w:t>
            </w:r>
            <w:r w:rsidRPr="00687637">
              <w:rPr>
                <w:sz w:val="20"/>
                <w:szCs w:val="20"/>
              </w:rPr>
              <w:fldChar w:fldCharType="begin"/>
            </w:r>
            <w:r w:rsidRPr="00687637">
              <w:rPr>
                <w:sz w:val="20"/>
                <w:szCs w:val="20"/>
              </w:rPr>
              <w:instrText xml:space="preserve"> ADDIN ZOTERO_ITEM CSL_CITATION {"citationID":"2b44drsvll","properties":{"formattedCitation":"[37]","plainCitation":"[37]"},"citationItems":[{"id":1589,"uris":["http://zotero.org/users/714468/items/DBGIIVE8"],"uri":["http://zotero.org/users/714468/items/DBGIIVE8"],"itemData":{"id":1589,"type":"webpage","title":"Vacunación para viajeros internacionales","container-title":"gob.mx","abstract":"Conoce qué vacunas aplicarte antes de viajar al extranjero y dónde acudir para vacunarte.","URL":"http://www.gob.mx/salud/acciones-y-programas/vacunacion-para-viajeros-internacionales","author":[{"family":"Secretaria de Salud","given":""}],"issued":{"date-parts":[["2017"]]},"accessed":{"date-parts":[["2017",4,11]]}}}],"schema":"https://github.com/citation-style-language/schema/raw/master/csl-citation.json"} </w:instrText>
            </w:r>
            <w:r w:rsidRPr="00687637">
              <w:rPr>
                <w:sz w:val="20"/>
                <w:szCs w:val="20"/>
              </w:rPr>
              <w:fldChar w:fldCharType="separate"/>
            </w:r>
            <w:r w:rsidRPr="00687637">
              <w:t>[37]</w:t>
            </w:r>
            <w:r w:rsidRPr="00687637">
              <w:rPr>
                <w:sz w:val="20"/>
                <w:szCs w:val="20"/>
              </w:rPr>
              <w:fldChar w:fldCharType="end"/>
            </w:r>
          </w:p>
        </w:tc>
        <w:tc>
          <w:tcPr>
            <w:tcW w:w="956" w:type="pct"/>
          </w:tcPr>
          <w:p w14:paraId="024DF656" w14:textId="77777777" w:rsidR="00704151" w:rsidRPr="00687637" w:rsidRDefault="00704151" w:rsidP="00924B64">
            <w:pPr>
              <w:jc w:val="center"/>
              <w:rPr>
                <w:sz w:val="20"/>
                <w:szCs w:val="20"/>
              </w:rPr>
            </w:pPr>
            <w:r w:rsidRPr="00687637">
              <w:rPr>
                <w:sz w:val="20"/>
                <w:szCs w:val="20"/>
              </w:rPr>
              <w:t>15.9</w:t>
            </w:r>
          </w:p>
        </w:tc>
        <w:tc>
          <w:tcPr>
            <w:tcW w:w="1067" w:type="pct"/>
          </w:tcPr>
          <w:p w14:paraId="03EFE4D6" w14:textId="77777777" w:rsidR="00704151" w:rsidRPr="00687637" w:rsidRDefault="00704151" w:rsidP="00924B64">
            <w:pPr>
              <w:jc w:val="center"/>
              <w:rPr>
                <w:sz w:val="20"/>
                <w:szCs w:val="20"/>
              </w:rPr>
            </w:pPr>
            <w:r w:rsidRPr="00687637">
              <w:rPr>
                <w:sz w:val="20"/>
                <w:szCs w:val="20"/>
              </w:rPr>
              <w:t>6</w:t>
            </w:r>
          </w:p>
        </w:tc>
        <w:tc>
          <w:tcPr>
            <w:tcW w:w="1066" w:type="pct"/>
          </w:tcPr>
          <w:p w14:paraId="252AA3F0" w14:textId="77777777" w:rsidR="00704151" w:rsidRPr="00687637" w:rsidRDefault="00704151" w:rsidP="00924B64">
            <w:pPr>
              <w:jc w:val="center"/>
              <w:rPr>
                <w:sz w:val="20"/>
                <w:szCs w:val="20"/>
              </w:rPr>
            </w:pPr>
            <w:r w:rsidRPr="00687637">
              <w:rPr>
                <w:sz w:val="20"/>
                <w:szCs w:val="20"/>
              </w:rPr>
              <w:t>&lt;0.1</w:t>
            </w:r>
          </w:p>
        </w:tc>
      </w:tr>
      <w:tr w:rsidR="00704151" w:rsidRPr="00687637" w14:paraId="07A1FABB" w14:textId="77777777" w:rsidTr="00924B64">
        <w:tc>
          <w:tcPr>
            <w:tcW w:w="495" w:type="pct"/>
          </w:tcPr>
          <w:p w14:paraId="7CF47487" w14:textId="77777777" w:rsidR="00704151" w:rsidRPr="00687637" w:rsidRDefault="00704151" w:rsidP="00924B64">
            <w:pPr>
              <w:rPr>
                <w:sz w:val="20"/>
                <w:szCs w:val="20"/>
              </w:rPr>
            </w:pPr>
            <w:r w:rsidRPr="00687637">
              <w:rPr>
                <w:sz w:val="20"/>
                <w:szCs w:val="20"/>
              </w:rPr>
              <w:t>3</w:t>
            </w:r>
          </w:p>
        </w:tc>
        <w:tc>
          <w:tcPr>
            <w:tcW w:w="1417" w:type="pct"/>
          </w:tcPr>
          <w:p w14:paraId="492751E8" w14:textId="77777777" w:rsidR="00704151" w:rsidRPr="00687637" w:rsidRDefault="00704151" w:rsidP="00924B64">
            <w:pPr>
              <w:rPr>
                <w:sz w:val="20"/>
                <w:szCs w:val="20"/>
              </w:rPr>
            </w:pPr>
            <w:r w:rsidRPr="00687637">
              <w:rPr>
                <w:sz w:val="20"/>
                <w:szCs w:val="20"/>
              </w:rPr>
              <w:t xml:space="preserve">Hong Kong SAR, China </w:t>
            </w:r>
            <w:r w:rsidRPr="00687637">
              <w:rPr>
                <w:sz w:val="20"/>
                <w:szCs w:val="20"/>
              </w:rPr>
              <w:fldChar w:fldCharType="begin"/>
            </w:r>
            <w:r w:rsidRPr="00687637">
              <w:rPr>
                <w:sz w:val="20"/>
                <w:szCs w:val="20"/>
              </w:rPr>
              <w:instrText xml:space="preserve"> ADDIN ZOTERO_ITEM CSL_CITATION {"citationID":"2jt2k2advl","properties":{"formattedCitation":"[38]","plainCitation":"[38]"},"citationItems":[{"id":1572,"uris":["http://zotero.org/users/714468/items/IAXZ7WNZ"],"uri":["http://zotero.org/users/714468/items/IAXZ7WNZ"],"itemData":{"id":1572,"type":"webpage","title":"Travel Health Service Yellow Fever","URL":"http://www.travelhealth.gov.hk/english/faqs/yell_fever.html","author":[{"family":"Hongkong Department of Health","given":""}],"issued":{"date-parts":[["2017"]]},"accessed":{"date-parts":[["2017",4,11]]}}}],"schema":"https://github.com/citation-style-language/schema/raw/master/csl-citation.json"} </w:instrText>
            </w:r>
            <w:r w:rsidRPr="00687637">
              <w:rPr>
                <w:sz w:val="20"/>
                <w:szCs w:val="20"/>
              </w:rPr>
              <w:fldChar w:fldCharType="separate"/>
            </w:r>
            <w:r w:rsidRPr="00687637">
              <w:t>[38]</w:t>
            </w:r>
            <w:r w:rsidRPr="00687637">
              <w:rPr>
                <w:sz w:val="20"/>
                <w:szCs w:val="20"/>
              </w:rPr>
              <w:fldChar w:fldCharType="end"/>
            </w:r>
          </w:p>
        </w:tc>
        <w:tc>
          <w:tcPr>
            <w:tcW w:w="956" w:type="pct"/>
          </w:tcPr>
          <w:p w14:paraId="047E1CA8" w14:textId="77777777" w:rsidR="00704151" w:rsidRPr="00687637" w:rsidRDefault="00704151" w:rsidP="00924B64">
            <w:pPr>
              <w:jc w:val="center"/>
              <w:rPr>
                <w:sz w:val="20"/>
                <w:szCs w:val="20"/>
              </w:rPr>
            </w:pPr>
            <w:r w:rsidRPr="00687637">
              <w:rPr>
                <w:sz w:val="20"/>
                <w:szCs w:val="20"/>
              </w:rPr>
              <w:t>84.4</w:t>
            </w:r>
          </w:p>
        </w:tc>
        <w:tc>
          <w:tcPr>
            <w:tcW w:w="1067" w:type="pct"/>
          </w:tcPr>
          <w:p w14:paraId="751E17AB" w14:textId="77777777" w:rsidR="00704151" w:rsidRPr="00687637" w:rsidRDefault="00704151" w:rsidP="00924B64">
            <w:pPr>
              <w:jc w:val="center"/>
              <w:rPr>
                <w:sz w:val="20"/>
                <w:szCs w:val="20"/>
              </w:rPr>
            </w:pPr>
            <w:r w:rsidRPr="00687637">
              <w:rPr>
                <w:sz w:val="20"/>
                <w:szCs w:val="20"/>
              </w:rPr>
              <w:t>2</w:t>
            </w:r>
          </w:p>
        </w:tc>
        <w:tc>
          <w:tcPr>
            <w:tcW w:w="1066" w:type="pct"/>
          </w:tcPr>
          <w:p w14:paraId="1E7EF5A2" w14:textId="77777777" w:rsidR="00704151" w:rsidRPr="00687637" w:rsidRDefault="00704151" w:rsidP="00924B64">
            <w:pPr>
              <w:jc w:val="center"/>
              <w:rPr>
                <w:sz w:val="20"/>
                <w:szCs w:val="20"/>
              </w:rPr>
            </w:pPr>
            <w:r w:rsidRPr="00687637">
              <w:rPr>
                <w:sz w:val="20"/>
                <w:szCs w:val="20"/>
              </w:rPr>
              <w:t>&lt;0.1</w:t>
            </w:r>
          </w:p>
        </w:tc>
      </w:tr>
      <w:tr w:rsidR="00704151" w:rsidRPr="00687637" w14:paraId="3423226B" w14:textId="77777777" w:rsidTr="00924B64">
        <w:tc>
          <w:tcPr>
            <w:tcW w:w="495" w:type="pct"/>
          </w:tcPr>
          <w:p w14:paraId="6C1C9838" w14:textId="77777777" w:rsidR="00704151" w:rsidRPr="00687637" w:rsidRDefault="00704151" w:rsidP="00924B64">
            <w:pPr>
              <w:rPr>
                <w:sz w:val="20"/>
                <w:szCs w:val="20"/>
              </w:rPr>
            </w:pPr>
            <w:r w:rsidRPr="00687637">
              <w:rPr>
                <w:sz w:val="20"/>
                <w:szCs w:val="20"/>
              </w:rPr>
              <w:t>11</w:t>
            </w:r>
          </w:p>
        </w:tc>
        <w:tc>
          <w:tcPr>
            <w:tcW w:w="1417" w:type="pct"/>
          </w:tcPr>
          <w:p w14:paraId="200896B4" w14:textId="77777777" w:rsidR="00704151" w:rsidRPr="00687637" w:rsidRDefault="00704151" w:rsidP="00924B64">
            <w:pPr>
              <w:rPr>
                <w:sz w:val="20"/>
                <w:szCs w:val="20"/>
              </w:rPr>
            </w:pPr>
            <w:r w:rsidRPr="00687637">
              <w:rPr>
                <w:sz w:val="20"/>
                <w:szCs w:val="20"/>
              </w:rPr>
              <w:t>Ukraine*</w:t>
            </w:r>
          </w:p>
        </w:tc>
        <w:tc>
          <w:tcPr>
            <w:tcW w:w="956" w:type="pct"/>
          </w:tcPr>
          <w:p w14:paraId="048A42B3" w14:textId="77777777" w:rsidR="00704151" w:rsidRPr="00687637" w:rsidRDefault="00704151" w:rsidP="00924B64">
            <w:pPr>
              <w:jc w:val="center"/>
              <w:rPr>
                <w:sz w:val="20"/>
                <w:szCs w:val="20"/>
              </w:rPr>
            </w:pPr>
            <w:r w:rsidRPr="00687637">
              <w:rPr>
                <w:sz w:val="20"/>
                <w:szCs w:val="20"/>
              </w:rPr>
              <w:t>23.8</w:t>
            </w:r>
          </w:p>
        </w:tc>
        <w:tc>
          <w:tcPr>
            <w:tcW w:w="1067" w:type="pct"/>
          </w:tcPr>
          <w:p w14:paraId="472D6F32" w14:textId="77777777" w:rsidR="00704151" w:rsidRPr="00687637" w:rsidRDefault="00704151" w:rsidP="00924B64">
            <w:pPr>
              <w:jc w:val="center"/>
              <w:rPr>
                <w:sz w:val="20"/>
                <w:szCs w:val="20"/>
              </w:rPr>
            </w:pPr>
            <w:r w:rsidRPr="00687637">
              <w:rPr>
                <w:sz w:val="20"/>
                <w:szCs w:val="20"/>
              </w:rPr>
              <w:t>.</w:t>
            </w:r>
          </w:p>
        </w:tc>
        <w:tc>
          <w:tcPr>
            <w:tcW w:w="1066" w:type="pct"/>
          </w:tcPr>
          <w:p w14:paraId="350FA469" w14:textId="77777777" w:rsidR="00704151" w:rsidRPr="00687637" w:rsidRDefault="00704151" w:rsidP="00924B64">
            <w:pPr>
              <w:jc w:val="center"/>
              <w:rPr>
                <w:sz w:val="20"/>
                <w:szCs w:val="20"/>
              </w:rPr>
            </w:pPr>
            <w:r w:rsidRPr="00687637">
              <w:rPr>
                <w:sz w:val="20"/>
                <w:szCs w:val="20"/>
              </w:rPr>
              <w:t>.</w:t>
            </w:r>
          </w:p>
        </w:tc>
      </w:tr>
      <w:tr w:rsidR="00704151" w:rsidRPr="00687637" w14:paraId="54645C04" w14:textId="77777777" w:rsidTr="00924B64">
        <w:tc>
          <w:tcPr>
            <w:tcW w:w="495" w:type="pct"/>
            <w:tcBorders>
              <w:bottom w:val="single" w:sz="4" w:space="0" w:color="auto"/>
            </w:tcBorders>
          </w:tcPr>
          <w:p w14:paraId="42EC2748" w14:textId="77777777" w:rsidR="00704151" w:rsidRPr="00687637" w:rsidRDefault="00704151" w:rsidP="00924B64">
            <w:pPr>
              <w:rPr>
                <w:sz w:val="20"/>
                <w:szCs w:val="20"/>
              </w:rPr>
            </w:pPr>
            <w:r w:rsidRPr="00687637">
              <w:rPr>
                <w:sz w:val="20"/>
                <w:szCs w:val="20"/>
              </w:rPr>
              <w:t>17</w:t>
            </w:r>
          </w:p>
        </w:tc>
        <w:tc>
          <w:tcPr>
            <w:tcW w:w="1417" w:type="pct"/>
            <w:tcBorders>
              <w:bottom w:val="single" w:sz="4" w:space="0" w:color="auto"/>
            </w:tcBorders>
          </w:tcPr>
          <w:p w14:paraId="78ABC8C6" w14:textId="77777777" w:rsidR="00704151" w:rsidRPr="00687637" w:rsidRDefault="00704151" w:rsidP="00924B64">
            <w:pPr>
              <w:rPr>
                <w:sz w:val="20"/>
                <w:szCs w:val="20"/>
              </w:rPr>
            </w:pPr>
            <w:r w:rsidRPr="00687637">
              <w:rPr>
                <w:sz w:val="20"/>
                <w:szCs w:val="20"/>
              </w:rPr>
              <w:t>Sweden**</w:t>
            </w:r>
          </w:p>
        </w:tc>
        <w:tc>
          <w:tcPr>
            <w:tcW w:w="956" w:type="pct"/>
            <w:tcBorders>
              <w:bottom w:val="single" w:sz="4" w:space="0" w:color="auto"/>
            </w:tcBorders>
          </w:tcPr>
          <w:p w14:paraId="7142490A" w14:textId="77777777" w:rsidR="00704151" w:rsidRPr="00687637" w:rsidRDefault="00704151" w:rsidP="00924B64">
            <w:pPr>
              <w:jc w:val="center"/>
              <w:rPr>
                <w:sz w:val="20"/>
                <w:szCs w:val="20"/>
              </w:rPr>
            </w:pPr>
            <w:r w:rsidRPr="00687637">
              <w:rPr>
                <w:sz w:val="20"/>
                <w:szCs w:val="20"/>
              </w:rPr>
              <w:t>15.9</w:t>
            </w:r>
          </w:p>
        </w:tc>
        <w:tc>
          <w:tcPr>
            <w:tcW w:w="1067" w:type="pct"/>
            <w:tcBorders>
              <w:bottom w:val="single" w:sz="4" w:space="0" w:color="auto"/>
            </w:tcBorders>
          </w:tcPr>
          <w:p w14:paraId="16F9013E" w14:textId="77777777" w:rsidR="00704151" w:rsidRPr="00687637" w:rsidRDefault="00704151" w:rsidP="00924B64">
            <w:pPr>
              <w:jc w:val="center"/>
              <w:rPr>
                <w:sz w:val="20"/>
                <w:szCs w:val="20"/>
              </w:rPr>
            </w:pPr>
            <w:r w:rsidRPr="00687637">
              <w:rPr>
                <w:sz w:val="20"/>
                <w:szCs w:val="20"/>
              </w:rPr>
              <w:t>.</w:t>
            </w:r>
          </w:p>
        </w:tc>
        <w:tc>
          <w:tcPr>
            <w:tcW w:w="1066" w:type="pct"/>
            <w:tcBorders>
              <w:bottom w:val="single" w:sz="4" w:space="0" w:color="auto"/>
            </w:tcBorders>
          </w:tcPr>
          <w:p w14:paraId="69B15DB2" w14:textId="77777777" w:rsidR="00704151" w:rsidRPr="00687637" w:rsidRDefault="00704151" w:rsidP="00924B64">
            <w:pPr>
              <w:jc w:val="center"/>
              <w:rPr>
                <w:sz w:val="20"/>
                <w:szCs w:val="20"/>
              </w:rPr>
            </w:pPr>
            <w:r w:rsidRPr="00687637">
              <w:rPr>
                <w:sz w:val="20"/>
                <w:szCs w:val="20"/>
              </w:rPr>
              <w:t>.</w:t>
            </w:r>
          </w:p>
        </w:tc>
      </w:tr>
    </w:tbl>
    <w:p w14:paraId="292AE3F0" w14:textId="77777777" w:rsidR="00704151" w:rsidRPr="00687637" w:rsidRDefault="00704151" w:rsidP="00704151">
      <w:pPr>
        <w:rPr>
          <w:sz w:val="18"/>
        </w:rPr>
      </w:pPr>
      <w:r w:rsidRPr="00687637">
        <w:rPr>
          <w:sz w:val="18"/>
        </w:rPr>
        <w:t>*) No data were obtained from Ukraine. **) The vaccine is in principle available from any vaccination centre including family doctors, hospitals and private travel clinics in Sweden.</w:t>
      </w:r>
    </w:p>
    <w:p w14:paraId="6D7749E6" w14:textId="77777777" w:rsidR="00704151" w:rsidRPr="00687637" w:rsidRDefault="00704151" w:rsidP="00704151">
      <w:pPr>
        <w:rPr>
          <w:sz w:val="18"/>
        </w:rPr>
      </w:pPr>
    </w:p>
    <w:p w14:paraId="145AE2FC" w14:textId="77777777" w:rsidR="00704151" w:rsidRPr="00687637" w:rsidRDefault="00704151" w:rsidP="00704151">
      <w:pPr>
        <w:spacing w:line="480" w:lineRule="auto"/>
        <w:rPr>
          <w:b/>
        </w:rPr>
      </w:pPr>
      <w:r w:rsidRPr="00687637">
        <w:rPr>
          <w:b/>
        </w:rPr>
        <w:t>4. Discussion</w:t>
      </w:r>
    </w:p>
    <w:p w14:paraId="7DC29CB5" w14:textId="77777777" w:rsidR="00704151" w:rsidRPr="00687637" w:rsidRDefault="00704151" w:rsidP="00704151">
      <w:pPr>
        <w:spacing w:line="480" w:lineRule="auto"/>
      </w:pPr>
      <w:r w:rsidRPr="00687637">
        <w:t xml:space="preserve">This is the first study to look at the geographical accessibility of yellow fever vaccination centres in England, Wales, and Northern Ireland. For comparison, recent studies of geographical accessibility to GP practices and pharmacies found that 84.8% of the general population in England and Wales lived within 1.6km of a GP practice </w:t>
      </w:r>
      <w:r w:rsidRPr="00687637">
        <w:fldChar w:fldCharType="begin"/>
      </w:r>
      <w:r w:rsidRPr="00687637">
        <w:instrText xml:space="preserve"> ADDIN ZOTERO_ITEM CSL_CITATION {"citationID":"2kd1plbanv","properties":{"formattedCitation":"[39]","plainCitation":"[39]"},"citationItems":[{"id":1298,"uris":["http://zotero.org/users/714468/items/ZTJID56I"],"uri":["http://zotero.org/users/714468/items/ZTJID56I"],"itemData":{"id":1298,"type":"article-journal","title":"Access all areas? An area-level analysis of accessibility to general practice and community pharmacy services in England by urbanity and social deprivation","container-title":"BMJ Open","page":"e007328","volume":"5","issue":"5","source":"bmjopen.bmj.com","abstract":"Objectives (1) To determine the percentage of the population in England that has access to a general practitioner (GP) premises within a 20 min walk (the accessibility); (2) explore the relationship between the walking distance to a GP premises and urbanity and social deprivation and (3) compare accessibility of a GP premises to that of a community pharmacy—and how this may vary by urbanity and social deprivation.\nDesign This area-level analysis spatial study used postcodes for all GP premises and community pharmacies in England. Each postcode was assigned to a population lookup table and Lower Super Output Area (LSOA). The LSOA was then matched to urbanity (urban, town and fringe, or village, hamlet and isolated dwellings) and deprivation decile (using the Index of Multiple Deprivation score 2010).\nPrimary outcome measure Living within a 20 min walk of a GP premises.\nResults Overall, 84.8% of the population is estimated to live within a 20 min walk of a GP premises: 81.2% in the most affluent areas, 98.2% in the most deprived areas, 94.2% in urban and 19.4% in rural areas. This is consistently lower when compared with the population living within a 20 min walk of a community pharmacy.\nConclusions Our study shows that the vast majority of the population live within a 20 min walk of a GP premises, with higher proportions in the most deprived areas—a positive primary care law. However, more people live within a 20 min walk of a community pharmacy compared with a GP premises, and this potentially has implications for the commissioning of future services from these healthcare providers in England.","DOI":"10.1136/bmjopen-2014-007328","ISSN":"2044-6055,","note":"PMID: 25956762","shortTitle":"Access all areas?","journalAbbreviation":"BMJ Open","language":"en","author":[{"family":"Todd","given":"Adam"},{"family":"Copeland","given":"Alison"},{"family":"Husband","given":"Andy"},{"family":"Kasim","given":"Adetayo"},{"family":"Bambra","given":"Clare"}],"issued":{"date-parts":[["2015",5,1]]}}}],"schema":"https://github.com/citation-style-language/schema/raw/master/csl-citation.json"} </w:instrText>
      </w:r>
      <w:r w:rsidRPr="00687637">
        <w:fldChar w:fldCharType="separate"/>
      </w:r>
      <w:r w:rsidRPr="00687637">
        <w:t>[39]</w:t>
      </w:r>
      <w:r w:rsidRPr="00687637">
        <w:fldChar w:fldCharType="end"/>
      </w:r>
      <w:r w:rsidRPr="00687637">
        <w:t xml:space="preserve">; for pharmacies it was 89.2% </w:t>
      </w:r>
      <w:r w:rsidRPr="00687637">
        <w:fldChar w:fldCharType="begin"/>
      </w:r>
      <w:r w:rsidRPr="00687637">
        <w:instrText xml:space="preserve"> ADDIN ZOTERO_ITEM CSL_CITATION {"citationID":"4khecb780","properties":{"formattedCitation":"[40]","plainCitation":"[40]"},"citationItems":[{"id":1396,"uris":["http://zotero.org/users/714468/items/VBEZNTIX"],"uri":["http://zotero.org/users/714468/items/VBEZNTIX"],"itemData":{"id":1396,"type":"article-journal","title":"The positive pharmacy care law: an area-level analysis of the relationship between community pharmacy distribution, urbanity and social deprivation in England","container-title":"BMJ open","page":"e005764","volume":"4","issue":"8","source":"PubMed","abstract":"OBJECTIVES: To: (1) determine the percentage of the population in England that have access to a community pharmacy within 20 min walk; (2) explore any relationship between the walking distance and urbanity; (3) explore any relationship between the walking distance and social deprivation; and (4) explore any interactions between urbanity, social deprivation and community pharmacy access.\nDESIGN: This area level analysis spatial study used postcodes for all community pharmacies in England. Each postcode was assigned to a population lookup table and lower super output area (LSOA). The LSOA was then matched to urbanity (urban, town and fringe or village, hamlet and isolated dwellings) and deprivation decile (using the Index of Multiple Deprivation score).\nPRIMARY OUTCOME MEASURE: Access to a community pharmacy within 20 min walk.\nRESULTS: Overall, 89.2% of the population is estimated to have access to a community pharmacy within 20 min walk. For urban areas, that is 98.3% of the population, for town and fringe, 79.9% of the population, while for rural areas, 18.9% of the population. For areas of lowest deprivation (deprivation decile 1) 90.2% of the population have access to a community pharmacy within 20 min walk, compared to 99.8% in areas of highest deprivation (deprivation decile 10), a percentage difference of 9.6% (8.2, 10.9).\nCONCLUSIONS: Our study shows that the majority of the population can access a community pharmacy within 20 min walk and crucially, access is greater in areas of highest deprivation--a positive pharmacy care law. More research is needed to explore the perceptions and experiences of people--from various levels of deprivation--around the accessibility of community pharmacy services.","DOI":"10.1136/bmjopen-2014-005764","ISSN":"2044-6055","note":"PMID: 25116456\nPMCID: PMC4156797","shortTitle":"The positive pharmacy care law","journalAbbreviation":"BMJ Open","language":"eng","author":[{"family":"Todd","given":"Adam"},{"family":"Copeland","given":"Alison"},{"family":"Husband","given":"Andy"},{"family":"Kasim","given":"Adetayo"},{"family":"Bambra","given":"Clare"}],"issued":{"date-parts":[["2014",8,12]]}}}],"schema":"https://github.com/citation-style-language/schema/raw/master/csl-citation.json"} </w:instrText>
      </w:r>
      <w:r w:rsidRPr="00687637">
        <w:fldChar w:fldCharType="separate"/>
      </w:r>
      <w:r w:rsidRPr="00687637">
        <w:t>[40]</w:t>
      </w:r>
      <w:r w:rsidRPr="00687637">
        <w:fldChar w:fldCharType="end"/>
      </w:r>
      <w:r w:rsidRPr="00687637">
        <w:t xml:space="preserve">. In the present study, only 56% of the population lived within 1.6km of a yellow fever vaccination centre. For comparison, the number of active GP practices in England and Wales in August 2016 was 11,456 </w:t>
      </w:r>
      <w:r w:rsidRPr="00687637">
        <w:fldChar w:fldCharType="begin"/>
      </w:r>
      <w:r w:rsidRPr="00687637">
        <w:instrText xml:space="preserve"> ADDIN ZOTERO_ITEM CSL_CITATION {"citationID":"1lp7if9ro9","properties":{"formattedCitation":"[41]","plainCitation":"[41]"},"citationItems":[{"id":1303,"uris":["http://zotero.org/users/714468/items/N7N8D3EP"],"uri":["http://zotero.org/users/714468/items/N7N8D3EP"],"itemData":{"id":1303,"type":"webpage","title":"GPs, GP Practices, Nurses and Pharmacies — NHS Digital","URL":"http://systems.digital.nhs.uk/data/ods/datadownloads/gppractice/index_html","author":[{"family":"NHS","given":""}],"issued":{"date-parts":[["2016"]]},"accessed":{"date-parts":[["2016",11,18]]}}}],"schema":"https://github.com/citation-style-language/schema/raw/master/csl-citation.json"} </w:instrText>
      </w:r>
      <w:r w:rsidRPr="00687637">
        <w:fldChar w:fldCharType="separate"/>
      </w:r>
      <w:r w:rsidRPr="00687637">
        <w:t>[41]</w:t>
      </w:r>
      <w:r w:rsidRPr="00687637">
        <w:fldChar w:fldCharType="end"/>
      </w:r>
      <w:r w:rsidRPr="00687637">
        <w:t xml:space="preserve"> and the number of pharmacies, 13,104 </w:t>
      </w:r>
      <w:r w:rsidRPr="00687637">
        <w:fldChar w:fldCharType="begin"/>
      </w:r>
      <w:r w:rsidRPr="00687637">
        <w:instrText xml:space="preserve"> ADDIN ZOTERO_ITEM CSL_CITATION {"citationID":"1nqev2i8c4","properties":{"formattedCitation":"[42]","plainCitation":"[42]"},"citationItems":[{"id":1398,"uris":["http://zotero.org/users/714468/items/Q4UA3J4V"],"uri":["http://zotero.org/users/714468/items/Q4UA3J4V"],"itemData":{"id":1398,"type":"webpage","title":"General Pharmaceutical Council, Registers","URL":"https://www.pharmacyregulation.org/registers","author":[{"family":"General Pharmaceutical Council","given":""}],"issued":{"date-parts":[["2017"]]},"accessed":{"date-parts":[["2017",2,21]]}}}],"schema":"https://github.com/citation-style-language/schema/raw/master/csl-citation.json"} </w:instrText>
      </w:r>
      <w:r w:rsidRPr="00687637">
        <w:fldChar w:fldCharType="separate"/>
      </w:r>
      <w:r w:rsidRPr="00687637">
        <w:t>[42]</w:t>
      </w:r>
      <w:r w:rsidRPr="00687637">
        <w:fldChar w:fldCharType="end"/>
      </w:r>
      <w:r w:rsidRPr="00687637">
        <w:t xml:space="preserve">, whereas only 3,208 yellow fever vaccination centres were registered in England and Wales in October 2016. Only 1% of the population lived more than 16.1km away from a yellow fever vaccination centre. So, while the geographical accessibility of yellow fever vaccination centres is poorer than for general medical services, it does not seem unreasonable taking into account that long-haul trips to countries with yellow fever risk are likely to be planned and are, typically, private undertakings </w:t>
      </w:r>
      <w:r w:rsidRPr="00687637">
        <w:fldChar w:fldCharType="begin"/>
      </w:r>
      <w:r w:rsidRPr="00687637">
        <w:instrText xml:space="preserve"> ADDIN ZOTERO_ITEM CSL_CITATION {"citationID":"rtm30vbil","properties":{"formattedCitation":"[43]","plainCitation":"[43]"},"citationItems":[{"id":1457,"uris":["http://zotero.org/users/714468/items/22WR5P36"],"uri":["http://zotero.org/users/714468/items/22WR5P36"],"itemData":{"id":1457,"type":"article-journal","title":"A guide to private prescribing","container-title":"Prescriber","page":"19-23","volume":"26","issue":"6","source":"Wiley Online Library","abstract":"Under what circumstances can healthcare professionals issue a private prescription? This article explores the various options.","DOI":"10.1002/psb.1324","ISSN":"1931-2253","journalAbbreviation":"Prescriber","language":"en","author":[{"family":"Steele","given":"Sarah"},{"family":"Freitag","given":"Andreas"},{"family":"McGettigan","given":"Patricia"},{"family":"Giovannoni","given":"Gavin"},{"family":"Pollock","given":"Allyson M"}],"issued":{"date-parts":[["2015",3,19]]}}}],"schema":"https://github.com/citation-style-language/schema/raw/master/csl-citation.json"} </w:instrText>
      </w:r>
      <w:r w:rsidRPr="00687637">
        <w:fldChar w:fldCharType="separate"/>
      </w:r>
      <w:r w:rsidRPr="00687637">
        <w:t>[43]</w:t>
      </w:r>
      <w:r w:rsidRPr="00687637">
        <w:fldChar w:fldCharType="end"/>
      </w:r>
      <w:r w:rsidRPr="00687637">
        <w:t xml:space="preserve">. </w:t>
      </w:r>
    </w:p>
    <w:p w14:paraId="2E02D0AE" w14:textId="77777777" w:rsidR="00704151" w:rsidRPr="00687637" w:rsidRDefault="00704151" w:rsidP="00704151">
      <w:pPr>
        <w:spacing w:line="480" w:lineRule="auto"/>
      </w:pPr>
      <w:r w:rsidRPr="00687637">
        <w:t>There was a linear relationship between the estimated number of yellow fever vaccines administered and the number of trips to countries with yellow fever risk by UK Region, which indicate that there is balance between supply and demand and hence an even service availability at the regional level. No under-served regions were – in other words – identified.</w:t>
      </w:r>
    </w:p>
    <w:p w14:paraId="3D0C5FAE" w14:textId="77777777" w:rsidR="00704151" w:rsidRPr="00687637" w:rsidRDefault="00704151" w:rsidP="00704151">
      <w:pPr>
        <w:spacing w:line="480" w:lineRule="auto"/>
      </w:pPr>
      <w:r w:rsidRPr="00687637">
        <w:t>The number of centres per 100,000 international trips abroad was 6.1 in England, Wales, and Northern Ireland, which was below that of United States (12.1) and above the rest of World Top20 countries in terms of trips abroad (</w:t>
      </w:r>
      <w:r w:rsidRPr="00687637">
        <w:fldChar w:fldCharType="begin"/>
      </w:r>
      <w:r w:rsidRPr="00687637">
        <w:instrText xml:space="preserve"> REF _Ref481232149 \h  \* MERGEFORMAT </w:instrText>
      </w:r>
      <w:r w:rsidRPr="00687637">
        <w:fldChar w:fldCharType="separate"/>
      </w:r>
      <w:r w:rsidRPr="00687637">
        <w:t xml:space="preserve">Table </w:t>
      </w:r>
      <w:r w:rsidRPr="00687637">
        <w:rPr>
          <w:noProof/>
        </w:rPr>
        <w:t>4</w:t>
      </w:r>
      <w:r w:rsidRPr="00687637">
        <w:fldChar w:fldCharType="end"/>
      </w:r>
      <w:r w:rsidRPr="00687637">
        <w:t>). The reasons for the large variation internationally are likely to be different travel patterns/demand and differences in healthcare system.</w:t>
      </w:r>
    </w:p>
    <w:p w14:paraId="1EBF6018" w14:textId="77777777" w:rsidR="00704151" w:rsidRPr="00687637" w:rsidRDefault="00704151" w:rsidP="00704151">
      <w:pPr>
        <w:spacing w:line="480" w:lineRule="auto"/>
      </w:pPr>
      <w:bookmarkStart w:id="25" w:name="_Hlk485730757"/>
      <w:r w:rsidRPr="00687637">
        <w:t xml:space="preserve">Scotland has its own yellow fever vaccination programme, which in 2014 counted 241 centres </w:t>
      </w:r>
      <w:r w:rsidRPr="00687637">
        <w:fldChar w:fldCharType="begin"/>
      </w:r>
      <w:r w:rsidRPr="00687637">
        <w:instrText xml:space="preserve"> ADDIN ZOTERO_ITEM CSL_CITATION {"citationID":"a1o030cisjv","properties":{"formattedCitation":"[44]","plainCitation":"[44]"},"citationItems":[{"id":1741,"uris":["http://zotero.org/users/714468/items/JW87VAI7"],"uri":["http://zotero.org/users/714468/items/JW87VAI7"],"itemData":{"id":1741,"type":"article-journal","title":"Travel health: Summary of yellow fever vaccinations given in Scotland, 2014","container-title":"HPS Weekly Report","volume":"49","issue":"2015/46","author":[{"family":"Munro","given":"James"},{"family":"Boyne","given":"Lorna"},{"family":"Redman","given":"Chris"}],"issued":{"date-parts":[["2015"]]}}}],"schema":"https://github.com/citation-style-language/schema/raw/master/csl-citation.json"} </w:instrText>
      </w:r>
      <w:r w:rsidRPr="00687637">
        <w:fldChar w:fldCharType="separate"/>
      </w:r>
      <w:r w:rsidRPr="00687637">
        <w:t>[44]</w:t>
      </w:r>
      <w:r w:rsidRPr="00687637">
        <w:fldChar w:fldCharType="end"/>
      </w:r>
      <w:r w:rsidRPr="00687637">
        <w:t xml:space="preserve">. This is equivalent to 5 centres per 100,000 population: similar to the average of 5.4 for England, Wales, and Northern Ireland (Table 3). In 2010-11, the Republic of Ireland had 655 designated centres </w:t>
      </w:r>
      <w:r w:rsidRPr="00687637">
        <w:fldChar w:fldCharType="begin"/>
      </w:r>
      <w:r w:rsidRPr="00687637">
        <w:instrText xml:space="preserve"> ADDIN ZOTERO_ITEM CSL_CITATION {"citationID":"a18e5ds5pli","properties":{"formattedCitation":"[45]","plainCitation":"[45]"},"citationItems":[{"id":1745,"uris":["http://zotero.org/users/714468/items/CJIM5WFV"],"uri":["http://zotero.org/users/714468/items/CJIM5WFV"],"itemData":{"id":1745,"type":"article-journal","title":"Standards of yellow fever vaccination and travel medicine practice in the Republic of Ireland: A questionnaire-based evaluation","container-title":"Travel Medicine and Infectious Disease","page":"409-414","volume":"13","issue":"5","source":"PubMed","abstract":"BACKGROUND: The Department of Health regulates the designation of yellow fever vaccination centres (YFVCs) in the Republic of Ireland to ensure appropriate standards in the safe, effective use of yellow fever vaccine for overseas travellers. The process of designation of YFVCs is delegated to Directors of Public Health who direct Principal Medical Officers. Variation in implementation of specific criteria for designation exists and no formal follow up inspection is carried out. This survey of all designated YFVCs in the Republic of Ireland aimed to assess compliance with standards to ensure the objectives of the national yellow fever vaccination programme were met.\nMETHODS: A piloted questionnaire devised from a United Kingdom (UK) YFVC survey was developed and tested in five YFVCs. The questionnaire was adapted for the postal survey and captured data on professional training, reference sources, services provided, physical facilities and supplies, and was distributed to 655 YFVCs in a stamped addressed envelope.\nRESULTS: During the period 2010-2011, there were 655 designated YFVCs in the Republic of Ireland. Responses were received from 246 centres (38% response rate), 91% of which were in general practice. Deficiencies were identified in respect of vaccine refrigeration protocols, record keeping, attendance at YFVC training sessions, and clinical protocols for adverse events.\nCONCLUSIONS: Specific deficiencies in relation to training, vaccine storage, administration and documentation should be addressed to ensure standardised YFVC practices and thus align them with best international practice.","DOI":"10.1016/j.tmaid.2015.06.007","ISSN":"1873-0442","note":"PMID: 26148651","shortTitle":"Standards of yellow fever vaccination and travel medicine practice in the Republic of Ireland","journalAbbreviation":"Travel Med Infect Dis","language":"eng","author":[{"family":"Noone","given":"Peter"},{"family":"Hamza","given":"Mohammed"},{"family":"Tang","given":"John"},{"family":"Flaherty","given":"Gerard"}],"issued":{"date-parts":[["2015",10]]}}}],"schema":"https://github.com/citation-style-language/schema/raw/master/csl-citation.json"} </w:instrText>
      </w:r>
      <w:r w:rsidRPr="00687637">
        <w:fldChar w:fldCharType="separate"/>
      </w:r>
      <w:r w:rsidRPr="00687637">
        <w:t>[45]</w:t>
      </w:r>
      <w:r w:rsidRPr="00687637">
        <w:fldChar w:fldCharType="end"/>
      </w:r>
      <w:r w:rsidRPr="00687637">
        <w:t xml:space="preserve">, which is close to 14 centres per 100,000 population. The same paper identified several issues with training, vaccine storage, administration, and documentation and recommended the introduction of new programme modelled on those in the UK and the Netherlands.  </w:t>
      </w:r>
    </w:p>
    <w:bookmarkEnd w:id="25"/>
    <w:p w14:paraId="2ED62FF1" w14:textId="77777777" w:rsidR="00704151" w:rsidRPr="00687637" w:rsidRDefault="00704151" w:rsidP="00704151">
      <w:pPr>
        <w:spacing w:line="480" w:lineRule="auto"/>
      </w:pPr>
      <w:r w:rsidRPr="00687637">
        <w:lastRenderedPageBreak/>
        <w:t xml:space="preserve">The detailed data of the accessibility of yellow fever vaccination centres, will allow the regulator to make contingency plans for future vaccine shortages to ensure that vaccination services can be accessed across all regions. It will, as an example, be possible to run various scenarios to see the impact on regional accessibility if the number of active centres were to drop during a shortage. The US regulator notably agreed on a tiered distribution plan with public and private partners to tackle a shortage in 2017 and the experience from this will be followed closely </w:t>
      </w:r>
      <w:r w:rsidRPr="00687637">
        <w:fldChar w:fldCharType="begin"/>
      </w:r>
      <w:r w:rsidRPr="00687637">
        <w:instrText xml:space="preserve"> ADDIN ZOTERO_ITEM CSL_CITATION {"citationID":"a6mnl8gd5f","properties":{"formattedCitation":"[46]","plainCitation":"[46]"},"citationItems":[{"id":1673,"uris":["http://zotero.org/users/714468/items/DUJ4S9B8"],"uri":["http://zotero.org/users/714468/items/DUJ4S9B8"],"itemData":{"id":1673,"type":"article-journal","title":"Addressing a Yellow Fever Vaccine Shortage — United States, 2016–2017","container-title":"MMWR. Morbidity and Mortality Weekly Report","volume":"66","source":"www.cdc.gov","abstract":"Recent manufacturing problems resulted in a shortage of the only U.S.-licensed yellow fever vaccine.","URL":"https://www.facebook.com/CDCMMWR","DOI":"10.15585/mmwr.mm6617e2","ISSN":"0149-21951545-861X","journalAbbreviation":"MMWR Morb Mortal Wkly Rep","author":[{"family":"Gershman","given":"Mark D."}],"issued":{"date-parts":[["2017"]]},"accessed":{"date-parts":[["2017",5,20]]}}}],"schema":"https://github.com/citation-style-language/schema/raw/master/csl-citation.json"} </w:instrText>
      </w:r>
      <w:r w:rsidRPr="00687637">
        <w:fldChar w:fldCharType="separate"/>
      </w:r>
      <w:r w:rsidRPr="00687637">
        <w:t>[46]</w:t>
      </w:r>
      <w:r w:rsidRPr="00687637">
        <w:fldChar w:fldCharType="end"/>
      </w:r>
      <w:r w:rsidRPr="00687637">
        <w:t xml:space="preserve">.  </w:t>
      </w:r>
    </w:p>
    <w:p w14:paraId="69FA055E" w14:textId="77777777" w:rsidR="00704151" w:rsidRPr="00687637" w:rsidRDefault="00704151" w:rsidP="00704151">
      <w:pPr>
        <w:spacing w:line="480" w:lineRule="auto"/>
      </w:pPr>
      <w:r w:rsidRPr="00687637">
        <w:t xml:space="preserve">There are a few limitations with using the International Passenger Survey (IPS) data to estimate the regional demand of yellow fever vaccinations. First, the IPS does not record all trips on cruise ships (not at all if embarkation was in the UK) and the trip may simply be recorded as ‘cruising’ as a generic, multi-country destination. In 2015, UK residents undertook an estimated 1.78 million cruise trips (7.7% of global figures) </w:t>
      </w:r>
      <w:r w:rsidRPr="00687637">
        <w:fldChar w:fldCharType="begin"/>
      </w:r>
      <w:r w:rsidRPr="00687637">
        <w:instrText xml:space="preserve"> ADDIN ZOTERO_ITEM CSL_CITATION {"citationID":"1pbc18adrf","properties":{"formattedCitation":"[47]","plainCitation":"[47]"},"citationItems":[{"id":1502,"uris":["http://zotero.org/users/714468/items/SQ86WAEV"],"uri":["http://zotero.org/users/714468/items/SQ86WAEV"],"itemData":{"id":1502,"type":"report","title":"The Global Economic Contribution of Cruise Tourism 2015","publisher-place":"Exton, Pennsylvania","event-place":"Exton, Pennsylvania","author":[{"family":"Business Research &amp; Economic Advisors","given":""}],"issued":{"date-parts":[["2016"]]}}}],"schema":"https://github.com/citation-style-language/schema/raw/master/csl-citation.json"} </w:instrText>
      </w:r>
      <w:r w:rsidRPr="00687637">
        <w:fldChar w:fldCharType="separate"/>
      </w:r>
      <w:r w:rsidRPr="00687637">
        <w:t>[47]</w:t>
      </w:r>
      <w:r w:rsidRPr="00687637">
        <w:fldChar w:fldCharType="end"/>
      </w:r>
      <w:r w:rsidRPr="00687637">
        <w:t xml:space="preserve">. More detailed UK data were not available to estimate the number of trips that would have required yellow fever vaccination either due to exposure risk or itinerary-based vaccination certificate requirements. Data on the cruise tourism industry as a whole in 2011, however, suggest that only a small fraction of cruise trips is likely to require yellow fever vaccination </w:t>
      </w:r>
      <w:r w:rsidRPr="00687637">
        <w:fldChar w:fldCharType="begin"/>
      </w:r>
      <w:r w:rsidRPr="00687637">
        <w:instrText xml:space="preserve"> ADDIN ZOTERO_ITEM CSL_CITATION {"citationID":"21uolaa75r","properties":{"formattedCitation":"[48]","plainCitation":"[48]"},"citationItems":[{"id":1505,"uris":["http://zotero.org/users/714468/items/XXEGPMXT"],"uri":["http://zotero.org/users/714468/items/XXEGPMXT"],"itemData":{"id":1505,"type":"article-journal","title":"The geography of cruises: Itineraries, not destinations","container-title":"Applied Geography","page":"31-42","volume":"38","source":"CrossRef","DOI":"10.1016/j.apgeog.2012.11.011","ISSN":"01436228","shortTitle":"The geography of cruises","language":"en","author":[{"family":"Rodrigue","given":"Jean-Paul"},{"family":"Notteboom","given":"Theo"}],"issued":{"date-parts":[["2013",3]]}}}],"schema":"https://github.com/citation-style-language/schema/raw/master/csl-citation.json"} </w:instrText>
      </w:r>
      <w:r w:rsidRPr="00687637">
        <w:fldChar w:fldCharType="separate"/>
      </w:r>
      <w:r w:rsidRPr="00687637">
        <w:t>[48]</w:t>
      </w:r>
      <w:r w:rsidRPr="00687637">
        <w:fldChar w:fldCharType="end"/>
      </w:r>
      <w:r w:rsidRPr="00687637">
        <w:t xml:space="preserve">. The Caribbean and the Mediterranean account for more than 70% of bed-days. Within the Caribbean most itineraries cover the ports in United States, Bahamas, Eastern and Western Caribbean and South American ports are much less visited. Most cruises only take seven days and use hub ports such as Miami, Fort Lauderdale, or San Juan, Puerto Rico, in the northern half of the Caribbean. South America accounts for 5.4% of the global number of bed-days and the majority of visits are to certain coastal regions outside the yellow fever risk areas. Future studies of actual itineraries (including inland trips and excursions) may be able to more realistically highlight any discrepancies between risk and protection, e.g. in South America and Eastern Panama </w:t>
      </w:r>
      <w:r w:rsidRPr="00687637">
        <w:fldChar w:fldCharType="begin"/>
      </w:r>
      <w:r w:rsidRPr="00687637">
        <w:instrText xml:space="preserve"> ADDIN ZOTERO_ITEM CSL_CITATION {"citationID":"2ae0tta3u0","properties":{"formattedCitation":"[49]","plainCitation":"[49]"},"citationItems":[{"id":1506,"uris":["http://zotero.org/users/714468/items/RUV595AC"],"uri":["http://zotero.org/users/714468/items/RUV595AC"],"itemData":{"id":1506,"type":"article-journal","title":"Cruise passengers' behavior at the destination: Investigation using GPS technology","container-title":"Tourism Management","page":"133-150","volume":"52","source":"CrossRef","DOI":"10.1016/j.tourman.2015.06.018","ISSN":"02615177","shortTitle":"Cruise passengers' behavior at the destination","language":"en","author":[{"family":"De Cantis","given":"Stefano"},{"family":"Ferrante","given":"Mauro"},{"family":"Kahani","given":"Alon"},{"family":"Shoval","given":"Noam"}],"issued":{"date-parts":[["2016",2]]}}}],"schema":"https://github.com/citation-style-language/schema/raw/master/csl-citation.json"} </w:instrText>
      </w:r>
      <w:r w:rsidRPr="00687637">
        <w:fldChar w:fldCharType="separate"/>
      </w:r>
      <w:r w:rsidRPr="00687637">
        <w:t>[49]</w:t>
      </w:r>
      <w:r w:rsidRPr="00687637">
        <w:fldChar w:fldCharType="end"/>
      </w:r>
      <w:r w:rsidRPr="00687637">
        <w:t xml:space="preserve">. Second, the data for yellow fever risk are provided by WHO at the country-level, whereas in practice it will, for countries only partly endemic, depend on a risk assessment of the individual traveller including regions to be visited within a country (which may change during large outbreaks), duration, and planned activities. Examples of countries that are only partly endemic are Brazil, Peru, and Kenya. Third, if a traveller plan to visit more than one country, the IPS record relate to the country where the traveller spend the most time. A travel </w:t>
      </w:r>
      <w:r w:rsidRPr="00687637">
        <w:lastRenderedPageBreak/>
        <w:t xml:space="preserve">itinerary where a yellow fever risk country is only a secondary destination would therefore not be counted. Fourth, the IPS only cover about 0.2% of all trips abroad </w:t>
      </w:r>
      <w:r w:rsidRPr="00687637">
        <w:fldChar w:fldCharType="begin"/>
      </w:r>
      <w:r w:rsidRPr="00687637">
        <w:instrText xml:space="preserve"> ADDIN ZOTERO_ITEM CSL_CITATION {"citationID":"1a5b854ao7","properties":{"formattedCitation":"[1]","plainCitation":"[1]"},"citationItems":[{"id":1402,"uris":["http://zotero.org/users/714468/items/VN58I2SV"],"uri":["http://zotero.org/users/714468/items/VN58I2SV"],"itemData":{"id":1402,"type":"webpage","title":"Travel trends","URL":"https://www.ons.gov.uk/peoplepopulationandcommunity/leisureandtourism/articles/traveltrends/2015","author":[{"family":"Office for National Statistics","given":""}],"issued":{"date-parts":[["2016"]]},"accessed":{"date-parts":[["2017",2,21]]}}}],"schema":"https://github.com/citation-style-language/schema/raw/master/csl-citation.json"} </w:instrText>
      </w:r>
      <w:r w:rsidRPr="00687637">
        <w:fldChar w:fldCharType="separate"/>
      </w:r>
      <w:r w:rsidRPr="00687637">
        <w:t>[1]</w:t>
      </w:r>
      <w:r w:rsidRPr="00687637">
        <w:fldChar w:fldCharType="end"/>
      </w:r>
      <w:r w:rsidRPr="00687637">
        <w:t xml:space="preserve"> and rarely visited destinations may not be detected.</w:t>
      </w:r>
    </w:p>
    <w:p w14:paraId="37ACD8AA" w14:textId="77777777" w:rsidR="00704151" w:rsidRPr="00687637" w:rsidRDefault="00704151" w:rsidP="00704151">
      <w:pPr>
        <w:spacing w:line="480" w:lineRule="auto"/>
        <w:rPr>
          <w:b/>
        </w:rPr>
      </w:pPr>
      <w:r w:rsidRPr="00687637">
        <w:rPr>
          <w:b/>
        </w:rPr>
        <w:t>5. Conclusion</w:t>
      </w:r>
    </w:p>
    <w:p w14:paraId="7D00D2B6" w14:textId="77777777" w:rsidR="00704151" w:rsidRPr="00687637" w:rsidRDefault="00704151" w:rsidP="00704151">
      <w:pPr>
        <w:spacing w:line="480" w:lineRule="auto"/>
      </w:pPr>
      <w:r w:rsidRPr="00687637">
        <w:t xml:space="preserve">The geographical accessibility of yellow fever vaccination centres was good across all major population centres considering that that long-haul trips to countries with yellow fever risk are likely to be planned. Vaccines administered was found correlated with the number of trips to yellow fever countries at regional level in England, Wales, and Northern Ireland, which indicate an even service availability. A large variation was found between countries in the number of yellow fever vaccination centres per trips abroad. England, Wales, and Northern Ireland were together with United States and the Netherlands among the countries with the most yellow fever vaccination centres per trips abroad. The reasons for the large variation internationally are likely to be different travel patterns/demand and differences in healthcare system. </w:t>
      </w:r>
    </w:p>
    <w:p w14:paraId="23A091F8" w14:textId="77777777" w:rsidR="00704151" w:rsidRPr="00687637" w:rsidRDefault="00704151" w:rsidP="00704151">
      <w:pPr>
        <w:spacing w:line="480" w:lineRule="auto"/>
        <w:rPr>
          <w:b/>
        </w:rPr>
      </w:pPr>
      <w:r w:rsidRPr="00687637">
        <w:rPr>
          <w:b/>
        </w:rPr>
        <w:t>Acknowledgement</w:t>
      </w:r>
    </w:p>
    <w:p w14:paraId="620CA8B0" w14:textId="77777777" w:rsidR="00704151" w:rsidRPr="00687637" w:rsidRDefault="00704151" w:rsidP="00704151">
      <w:pPr>
        <w:spacing w:line="480" w:lineRule="auto"/>
      </w:pPr>
      <w:r w:rsidRPr="00687637">
        <w:t>The authors are indebted to anonymous health professionals in various countries, who assisted with links to websites with information about yellow fever vaccination centres open to the general public.</w:t>
      </w:r>
    </w:p>
    <w:p w14:paraId="1AB060B9" w14:textId="77777777" w:rsidR="00704151" w:rsidRPr="00687637" w:rsidRDefault="00704151" w:rsidP="00704151">
      <w:pPr>
        <w:spacing w:line="480" w:lineRule="auto"/>
        <w:rPr>
          <w:b/>
        </w:rPr>
      </w:pPr>
      <w:r w:rsidRPr="00687637">
        <w:rPr>
          <w:b/>
        </w:rPr>
        <w:t>Funding</w:t>
      </w:r>
    </w:p>
    <w:p w14:paraId="7B7B6B8D" w14:textId="77777777" w:rsidR="00704151" w:rsidRPr="00687637" w:rsidRDefault="00704151" w:rsidP="00704151">
      <w:pPr>
        <w:spacing w:line="480" w:lineRule="auto"/>
      </w:pPr>
      <w:r w:rsidRPr="00687637">
        <w:t>This research did not receive any specific grant from funding agencies in the public, commercial, or not-for-profit sectors.</w:t>
      </w:r>
    </w:p>
    <w:p w14:paraId="48D9F1F7" w14:textId="77777777" w:rsidR="00704151" w:rsidRPr="00687637" w:rsidRDefault="00704151" w:rsidP="00704151">
      <w:pPr>
        <w:rPr>
          <w:b/>
        </w:rPr>
      </w:pPr>
      <w:r w:rsidRPr="00687637">
        <w:rPr>
          <w:b/>
        </w:rPr>
        <w:t>References</w:t>
      </w:r>
    </w:p>
    <w:p w14:paraId="6C246060" w14:textId="77777777" w:rsidR="00704151" w:rsidRPr="00687637" w:rsidRDefault="00704151" w:rsidP="00704151">
      <w:pPr>
        <w:pStyle w:val="Bibliography"/>
      </w:pPr>
      <w:r w:rsidRPr="00687637">
        <w:fldChar w:fldCharType="begin"/>
      </w:r>
      <w:r w:rsidRPr="00687637">
        <w:instrText xml:space="preserve"> ADDIN ZOTERO_BIBL {"custom":[]} CSL_BIBLIOGRAPHY </w:instrText>
      </w:r>
      <w:r w:rsidRPr="00687637">
        <w:fldChar w:fldCharType="separate"/>
      </w:r>
      <w:r w:rsidRPr="00687637">
        <w:t>[1]</w:t>
      </w:r>
      <w:r w:rsidRPr="00687637">
        <w:tab/>
        <w:t>Office for National Statistics. Travel trends 2016. https://www.ons.gov.uk/peoplepopulationandcommunity/leisureandtourism/articles/traveltrends/2015 (accessed February 21, 2017).</w:t>
      </w:r>
    </w:p>
    <w:p w14:paraId="4A92464D" w14:textId="77777777" w:rsidR="00704151" w:rsidRPr="00687637" w:rsidRDefault="00704151" w:rsidP="00704151">
      <w:pPr>
        <w:pStyle w:val="Bibliography"/>
      </w:pPr>
      <w:r w:rsidRPr="00687637">
        <w:t>[2]</w:t>
      </w:r>
      <w:r w:rsidRPr="00687637">
        <w:tab/>
        <w:t>Gostin LO, Katz R. The International Health Regulations: The Governing Framework for Global Health Security. Milbank Q 2016;94:264–313. doi:10.1111/1468-0009.12186.</w:t>
      </w:r>
    </w:p>
    <w:p w14:paraId="689FC286" w14:textId="77777777" w:rsidR="00704151" w:rsidRPr="00687637" w:rsidRDefault="00704151" w:rsidP="00704151">
      <w:pPr>
        <w:pStyle w:val="Bibliography"/>
      </w:pPr>
      <w:r w:rsidRPr="00687637">
        <w:t>[3]</w:t>
      </w:r>
      <w:r w:rsidRPr="00687637">
        <w:tab/>
        <w:t>WHO. Yellow fever fact sheet. WHO 2016. http://www.who.int/mediacentre/factsheets/fs100/en/ (accessed February 21, 2017).</w:t>
      </w:r>
    </w:p>
    <w:p w14:paraId="53F6849E" w14:textId="77777777" w:rsidR="00704151" w:rsidRPr="00687637" w:rsidRDefault="00704151" w:rsidP="00704151">
      <w:pPr>
        <w:pStyle w:val="Bibliography"/>
      </w:pPr>
      <w:r w:rsidRPr="00687637">
        <w:t>[4]</w:t>
      </w:r>
      <w:r w:rsidRPr="00687637">
        <w:tab/>
        <w:t>Schönenberger S, Hatz C, Bühler S. Unpredictable checks of yellow fever vaccination certificates upon arrival in Tanzania. J Travel Med 2016;23. doi:10.1093/jtm/taw035.</w:t>
      </w:r>
    </w:p>
    <w:p w14:paraId="334A777E" w14:textId="77777777" w:rsidR="00704151" w:rsidRPr="00687637" w:rsidRDefault="00704151" w:rsidP="00704151">
      <w:pPr>
        <w:pStyle w:val="Bibliography"/>
      </w:pPr>
      <w:r w:rsidRPr="00687637">
        <w:t>[5]</w:t>
      </w:r>
      <w:r w:rsidRPr="00687637">
        <w:tab/>
        <w:t>Simons H, Patel D. International Health Regulations in practice: Focus on yellow fever and poliomyelitis. Hum Vaccines Immunother 2016;12:2690–3. doi:10.1080/21645515.2016.1218100.</w:t>
      </w:r>
    </w:p>
    <w:p w14:paraId="4AD6EB4C" w14:textId="77777777" w:rsidR="00704151" w:rsidRPr="00687637" w:rsidRDefault="00704151" w:rsidP="00704151">
      <w:pPr>
        <w:pStyle w:val="Bibliography"/>
      </w:pPr>
      <w:r w:rsidRPr="00687637">
        <w:t>[6]</w:t>
      </w:r>
      <w:r w:rsidRPr="00687637">
        <w:tab/>
        <w:t>WHO. The yellow fever outbreak in Angola and Democratic Republic of the Congo ends 2017. http://www.afro.who.int/media-centre/pressreleases/item/9377-the-yellow-fever-outbreak-in-angola-and-democratic-republic-of-the-congo-ends.html?lang=en (accessed February 21, 2017).</w:t>
      </w:r>
    </w:p>
    <w:p w14:paraId="320DAA3D" w14:textId="77777777" w:rsidR="00704151" w:rsidRPr="00687637" w:rsidRDefault="00704151" w:rsidP="00704151">
      <w:pPr>
        <w:pStyle w:val="Bibliography"/>
      </w:pPr>
      <w:r w:rsidRPr="00687637">
        <w:lastRenderedPageBreak/>
        <w:t>[7]</w:t>
      </w:r>
      <w:r w:rsidRPr="00687637">
        <w:tab/>
        <w:t>Wilder-Smith A, Monath TP. Responding to the threat of urban yellow fever outbreaks. Lancet Infect Dis 2016. doi:10.1016/S1473-3099(16)30588-6.</w:t>
      </w:r>
    </w:p>
    <w:p w14:paraId="5148A1A7" w14:textId="77777777" w:rsidR="00704151" w:rsidRPr="00687637" w:rsidRDefault="00704151" w:rsidP="00704151">
      <w:pPr>
        <w:pStyle w:val="Bibliography"/>
      </w:pPr>
      <w:r w:rsidRPr="00687637">
        <w:t>[8]</w:t>
      </w:r>
      <w:r w:rsidRPr="00687637">
        <w:tab/>
        <w:t>Vasconcelos PFC, Monath TP. Yellow Fever Remains a Potential Threat to Public Health. Vector Borne Zoonotic Dis Larchmt N 2016;16:566–7. doi:10.1089/vbz.2016.2031.</w:t>
      </w:r>
    </w:p>
    <w:p w14:paraId="6A6E660C" w14:textId="77777777" w:rsidR="00704151" w:rsidRPr="00687637" w:rsidRDefault="00704151" w:rsidP="00704151">
      <w:pPr>
        <w:pStyle w:val="Bibliography"/>
        <w:rPr>
          <w:lang w:val="es-ES"/>
        </w:rPr>
      </w:pPr>
      <w:r w:rsidRPr="00687637">
        <w:t>[9]</w:t>
      </w:r>
      <w:r w:rsidRPr="00687637">
        <w:tab/>
        <w:t xml:space="preserve">Paules CI, Fauci AS. Yellow Fever - Once Again on the Radar Screen in the Americas. </w:t>
      </w:r>
      <w:r w:rsidRPr="00687637">
        <w:rPr>
          <w:lang w:val="es-ES"/>
        </w:rPr>
        <w:t>N Engl J Med 2017;376:1397–9. doi:10.1056/NEJMp1702172.</w:t>
      </w:r>
    </w:p>
    <w:p w14:paraId="284DC728" w14:textId="77777777" w:rsidR="00704151" w:rsidRPr="00687637" w:rsidRDefault="00704151" w:rsidP="00704151">
      <w:pPr>
        <w:pStyle w:val="Bibliography"/>
      </w:pPr>
      <w:r w:rsidRPr="00687637">
        <w:rPr>
          <w:lang w:val="es-ES"/>
        </w:rPr>
        <w:t>[10]</w:t>
      </w:r>
      <w:r w:rsidRPr="00687637">
        <w:rPr>
          <w:lang w:val="es-ES"/>
        </w:rPr>
        <w:tab/>
        <w:t xml:space="preserve">Ministério da Saúde. Febre Amarela - Informação e orientação. Monitoramento dos casos e óbitos de Febre Amarela no Brasil - Informe 43. </w:t>
      </w:r>
      <w:r w:rsidRPr="00687637">
        <w:t>Portal Saúde – Minist Saúde – Wwwsaudegovbr 2017. http://portalsaude.saude.gov.br/index.php/o-ministerio/principal/leia-mais-o-ministerio/619-secretaria-svs/l1-svs/27300-febre-amarela-informacao-e-orientacao (accessed June 20, 2017).</w:t>
      </w:r>
    </w:p>
    <w:p w14:paraId="4ADE197B" w14:textId="77777777" w:rsidR="00704151" w:rsidRPr="00687637" w:rsidRDefault="00704151" w:rsidP="00704151">
      <w:pPr>
        <w:pStyle w:val="Bibliography"/>
      </w:pPr>
      <w:r w:rsidRPr="00687637">
        <w:t>[11]</w:t>
      </w:r>
      <w:r w:rsidRPr="00687637">
        <w:tab/>
        <w:t>Boddington NL, Simons H, Launders N, Gawthrop M, Stillwell A, Wong C, et al. Evaluation of travel medicine practice by yellow fever vaccination centers in England, Wales, and Northern Ireland. J Travel Med 2012;19:84–91. doi:10.1111/j.1708-8305.2011.00587.x.</w:t>
      </w:r>
    </w:p>
    <w:p w14:paraId="45845641" w14:textId="77777777" w:rsidR="00704151" w:rsidRPr="00687637" w:rsidRDefault="00704151" w:rsidP="00704151">
      <w:pPr>
        <w:pStyle w:val="Bibliography"/>
      </w:pPr>
      <w:r w:rsidRPr="00687637">
        <w:t>[12]</w:t>
      </w:r>
      <w:r w:rsidRPr="00687637">
        <w:tab/>
        <w:t>Cromley EK, McLafferty SL. GIS and Public Health, Second Edition. Guilford Press; 2011.</w:t>
      </w:r>
    </w:p>
    <w:p w14:paraId="00EDDBE6" w14:textId="77777777" w:rsidR="00704151" w:rsidRPr="00687637" w:rsidRDefault="00704151" w:rsidP="00704151">
      <w:pPr>
        <w:pStyle w:val="Bibliography"/>
      </w:pPr>
      <w:r w:rsidRPr="00687637">
        <w:t>[13]</w:t>
      </w:r>
      <w:r w:rsidRPr="00687637">
        <w:tab/>
        <w:t>Office for National Statistics. ONS Postcode Directory, August 2016 (v2). 2016.</w:t>
      </w:r>
    </w:p>
    <w:p w14:paraId="4019C9B1" w14:textId="77777777" w:rsidR="00704151" w:rsidRPr="00687637" w:rsidRDefault="00704151" w:rsidP="00704151">
      <w:pPr>
        <w:pStyle w:val="Bibliography"/>
      </w:pPr>
      <w:r w:rsidRPr="00687637">
        <w:t>[14]</w:t>
      </w:r>
      <w:r w:rsidRPr="00687637">
        <w:tab/>
        <w:t>Office for National Statistics. Population estimates - Office for National Statistics 2016. http://www.ons.gov.uk/peoplepopulationandcommunity/populationandmigration/populationestimates (accessed November 18, 2016).</w:t>
      </w:r>
    </w:p>
    <w:p w14:paraId="385B5B8D" w14:textId="77777777" w:rsidR="00704151" w:rsidRPr="00687637" w:rsidRDefault="00704151" w:rsidP="00704151">
      <w:pPr>
        <w:pStyle w:val="Bibliography"/>
      </w:pPr>
      <w:r w:rsidRPr="00687637">
        <w:t>[15]</w:t>
      </w:r>
      <w:r w:rsidRPr="00687637">
        <w:tab/>
        <w:t>Northern Ireland Statistics and Research Agency. NISRA - Demography 2016. http://www.nisra.gov.uk/demography/default.asp17.htm (accessed November 18, 2016).</w:t>
      </w:r>
    </w:p>
    <w:p w14:paraId="23D403C5" w14:textId="77777777" w:rsidR="00704151" w:rsidRPr="00687637" w:rsidRDefault="00704151" w:rsidP="00704151">
      <w:pPr>
        <w:pStyle w:val="Bibliography"/>
      </w:pPr>
      <w:r w:rsidRPr="00687637">
        <w:t>[16]</w:t>
      </w:r>
      <w:r w:rsidRPr="00687637">
        <w:tab/>
        <w:t>Picard R. GEODIST: Stata module to compute geodetic distances. Stat Softw Compon 2012.</w:t>
      </w:r>
    </w:p>
    <w:p w14:paraId="17A1645A" w14:textId="77777777" w:rsidR="00704151" w:rsidRPr="00687637" w:rsidRDefault="00704151" w:rsidP="00704151">
      <w:pPr>
        <w:pStyle w:val="Bibliography"/>
      </w:pPr>
      <w:r w:rsidRPr="00687637">
        <w:t>[17]</w:t>
      </w:r>
      <w:r w:rsidRPr="00687637">
        <w:tab/>
        <w:t>Edinburgh University Data Library. EDINA 2016. http://edina.ac.uk/ (accessed November 18, 2016).</w:t>
      </w:r>
    </w:p>
    <w:p w14:paraId="2593849F" w14:textId="77777777" w:rsidR="00704151" w:rsidRPr="00687637" w:rsidRDefault="00704151" w:rsidP="00704151">
      <w:pPr>
        <w:pStyle w:val="Bibliography"/>
      </w:pPr>
      <w:r w:rsidRPr="00687637">
        <w:t>[18]</w:t>
      </w:r>
      <w:r w:rsidRPr="00687637">
        <w:tab/>
        <w:t>Quantum GIS. Quantum GIS (QGIS) 2016. http://www.qgis.org/en/site/ (accessed November 18, 2016).</w:t>
      </w:r>
    </w:p>
    <w:p w14:paraId="27539CE2" w14:textId="77777777" w:rsidR="00704151" w:rsidRPr="00687637" w:rsidRDefault="00704151" w:rsidP="00704151">
      <w:pPr>
        <w:pStyle w:val="Bibliography"/>
      </w:pPr>
      <w:r w:rsidRPr="00687637">
        <w:t>[19]</w:t>
      </w:r>
      <w:r w:rsidRPr="00687637">
        <w:tab/>
        <w:t>WHO. Annex 1 - Countries with risk of yellow fever transmission and countries requiring yellow fever vaccination: 2016 updates. WHO 2016. http://www.who.int/ith/en/ (accessed January 3, 2017).</w:t>
      </w:r>
    </w:p>
    <w:p w14:paraId="4DB64AC4" w14:textId="77777777" w:rsidR="00704151" w:rsidRPr="00687637" w:rsidRDefault="00704151" w:rsidP="00704151">
      <w:pPr>
        <w:pStyle w:val="Bibliography"/>
      </w:pPr>
      <w:r w:rsidRPr="00687637">
        <w:t>[20]</w:t>
      </w:r>
      <w:r w:rsidRPr="00687637">
        <w:tab/>
        <w:t>Worldbank. International tourism, number of departures 2017. http://data.worldbank.org/indicator/ST.INT.DPRT (accessed April 11, 2017).</w:t>
      </w:r>
    </w:p>
    <w:p w14:paraId="655F11AD" w14:textId="77777777" w:rsidR="00704151" w:rsidRPr="00687637" w:rsidRDefault="00704151" w:rsidP="00704151">
      <w:pPr>
        <w:pStyle w:val="Bibliography"/>
      </w:pPr>
      <w:r w:rsidRPr="00687637">
        <w:t>[21]</w:t>
      </w:r>
      <w:r w:rsidRPr="00687637">
        <w:tab/>
        <w:t>StataCorp. Stata Statistical Software: Release 14. 2015.</w:t>
      </w:r>
    </w:p>
    <w:p w14:paraId="0B35F6D6" w14:textId="77777777" w:rsidR="00704151" w:rsidRPr="00687637" w:rsidRDefault="00704151" w:rsidP="00704151">
      <w:pPr>
        <w:pStyle w:val="Bibliography"/>
      </w:pPr>
      <w:r w:rsidRPr="00687637">
        <w:t>[22]</w:t>
      </w:r>
      <w:r w:rsidRPr="00687637">
        <w:tab/>
        <w:t>CDC. Search for Yellow Fever Vaccination Clinics,  Travelers’ Health 2017. https://wwwnc.cdc.gov/travel/yellow-fever-vaccination-clinics/search (accessed March 21, 2017).</w:t>
      </w:r>
    </w:p>
    <w:p w14:paraId="304B332E" w14:textId="77777777" w:rsidR="00704151" w:rsidRPr="00687637" w:rsidRDefault="00704151" w:rsidP="00704151">
      <w:pPr>
        <w:pStyle w:val="Bibliography"/>
      </w:pPr>
      <w:r w:rsidRPr="00687637">
        <w:t>[23]</w:t>
      </w:r>
      <w:r w:rsidRPr="00687637">
        <w:tab/>
        <w:t>Landelijk Coördinatiecentrum Reizigersadvisering. Vaccinatie-adressen 2017. https://www.lcr.nl/Vaccinatie-adressen (accessed April 11, 2017).</w:t>
      </w:r>
    </w:p>
    <w:p w14:paraId="4FF73178" w14:textId="77777777" w:rsidR="00704151" w:rsidRPr="00687637" w:rsidRDefault="00704151" w:rsidP="00704151">
      <w:pPr>
        <w:pStyle w:val="Bibliography"/>
      </w:pPr>
      <w:r w:rsidRPr="00687637">
        <w:t>[24]</w:t>
      </w:r>
      <w:r w:rsidRPr="00687637">
        <w:tab/>
        <w:t>Public Health Agency of Canada. Yellow Fever Vaccination Centres in Canada - Travel Health 2017. http://www.phac-aspc.gc.ca/tmp-pmv/yf-fj/index-eng.php (accessed March 21, 2017).</w:t>
      </w:r>
    </w:p>
    <w:p w14:paraId="5931A68D" w14:textId="77777777" w:rsidR="00704151" w:rsidRPr="00687637" w:rsidRDefault="00704151" w:rsidP="00704151">
      <w:pPr>
        <w:pStyle w:val="Bibliography"/>
      </w:pPr>
      <w:r w:rsidRPr="00687637">
        <w:t>[25]</w:t>
      </w:r>
      <w:r w:rsidRPr="00687637">
        <w:tab/>
        <w:t>Centrum für Reisemedizin (CRM). Reisemedizinische Beratungsstellen 2017. http://www.crm.de/beratungsstellen/index.asp (accessed April 11, 2017).</w:t>
      </w:r>
    </w:p>
    <w:p w14:paraId="60CF66E2" w14:textId="77777777" w:rsidR="00704151" w:rsidRPr="00687637" w:rsidRDefault="00704151" w:rsidP="00704151">
      <w:pPr>
        <w:pStyle w:val="Bibliography"/>
      </w:pPr>
      <w:r w:rsidRPr="00687637">
        <w:t>[26]</w:t>
      </w:r>
      <w:r w:rsidRPr="00687637">
        <w:tab/>
        <w:t>Daleeli.com. Hospitals in Saudi Arabia – KSA – Online Business Directory 2017. http://www.daleeli.com/en/category/all/all/Hospitals/12300 (accessed April 11, 2017).</w:t>
      </w:r>
    </w:p>
    <w:p w14:paraId="0FAAC904" w14:textId="77777777" w:rsidR="00704151" w:rsidRPr="00687637" w:rsidRDefault="00704151" w:rsidP="00704151">
      <w:pPr>
        <w:pStyle w:val="Bibliography"/>
      </w:pPr>
      <w:r w:rsidRPr="00687637">
        <w:t>[27]</w:t>
      </w:r>
      <w:r w:rsidRPr="00687637">
        <w:tab/>
        <w:t>Salute M della. Vaccinazione Febbre gialla [Yellow fever vaccination] 2017. http://www.salute.gov.it/portale/temi/p2_6.jsp?id=765&amp;area=Malattie%20infettive&amp;menu=viaggiatori (accessed April 11, 2017).</w:t>
      </w:r>
    </w:p>
    <w:p w14:paraId="25EE5AEC" w14:textId="77777777" w:rsidR="00704151" w:rsidRPr="00687637" w:rsidRDefault="00704151" w:rsidP="00704151">
      <w:pPr>
        <w:pStyle w:val="Bibliography"/>
      </w:pPr>
      <w:r w:rsidRPr="00687637">
        <w:t>[28]</w:t>
      </w:r>
      <w:r w:rsidRPr="00687637">
        <w:tab/>
        <w:t>Safetravel.ch. Lieux de vaccination 2017. http://www.safetravel.ch/safetravel2/servlet/ch.ofac.wv.wv205j.pages.Wv205LieuxVaccinationCtrl?action=recherche (accessed April 11, 2017).</w:t>
      </w:r>
    </w:p>
    <w:p w14:paraId="4422D99D" w14:textId="77777777" w:rsidR="00704151" w:rsidRPr="00687637" w:rsidRDefault="00704151" w:rsidP="00704151">
      <w:pPr>
        <w:pStyle w:val="Bibliography"/>
      </w:pPr>
      <w:r w:rsidRPr="00687637">
        <w:rPr>
          <w:lang w:val="es-ES"/>
        </w:rPr>
        <w:t>[29]</w:t>
      </w:r>
      <w:r w:rsidRPr="00687637">
        <w:rPr>
          <w:lang w:val="es-ES"/>
        </w:rPr>
        <w:tab/>
        <w:t xml:space="preserve">Ministère des Affaires sociales et de la Santé. Liste des centres de vaccination habilités à effectuer la vaccination contre la fièvre jaune (anti-amarile). </w:t>
      </w:r>
      <w:r w:rsidRPr="00687637">
        <w:t>Ministère Aff Soc Santé 2017. http://social-sante.gouv.fr/prevention-en-sante/preserver-sa-sante/vaccination-fievre-jaune (accessed March 21, 2017).</w:t>
      </w:r>
    </w:p>
    <w:p w14:paraId="080339A0" w14:textId="77777777" w:rsidR="00704151" w:rsidRPr="00687637" w:rsidRDefault="00704151" w:rsidP="00704151">
      <w:pPr>
        <w:pStyle w:val="Bibliography"/>
      </w:pPr>
      <w:r w:rsidRPr="00687637">
        <w:t>[30]</w:t>
      </w:r>
      <w:r w:rsidRPr="00687637">
        <w:tab/>
        <w:t>CCMP. Polish certified travel medicine network 2017. http://ccmp.pl/126/117/lista-placowek-ccmp.html (accessed May 6, 2017).</w:t>
      </w:r>
    </w:p>
    <w:p w14:paraId="7EC65D94" w14:textId="77777777" w:rsidR="00704151" w:rsidRPr="00687637" w:rsidRDefault="00704151" w:rsidP="00704151">
      <w:pPr>
        <w:pStyle w:val="Bibliography"/>
      </w:pPr>
      <w:r w:rsidRPr="00687637">
        <w:lastRenderedPageBreak/>
        <w:t>[31]</w:t>
      </w:r>
      <w:r w:rsidRPr="00687637">
        <w:tab/>
        <w:t>Ministry of Health &amp; Family Welfare. Yellow Fever 2017. http://www.mohfw.nic.in/index1.php?lang=1&amp;level=1&amp;sublinkid=1342&amp;lid=1259 (accessed April 11, 2017).</w:t>
      </w:r>
    </w:p>
    <w:p w14:paraId="1B00E849" w14:textId="77777777" w:rsidR="00704151" w:rsidRPr="00687637" w:rsidRDefault="00704151" w:rsidP="00704151">
      <w:pPr>
        <w:pStyle w:val="Bibliography"/>
      </w:pPr>
      <w:r w:rsidRPr="00687637">
        <w:t>[32]</w:t>
      </w:r>
      <w:r w:rsidRPr="00687637">
        <w:tab/>
        <w:t>Personal communication. Yellow fever vaccination centres in Hungary, Dr. Peter Felkai, March 2017 2017.</w:t>
      </w:r>
    </w:p>
    <w:p w14:paraId="0CDBF331" w14:textId="77777777" w:rsidR="00704151" w:rsidRPr="00687637" w:rsidRDefault="00704151" w:rsidP="00704151">
      <w:pPr>
        <w:pStyle w:val="Bibliography"/>
      </w:pPr>
      <w:r w:rsidRPr="00687637">
        <w:t>[33]</w:t>
      </w:r>
      <w:r w:rsidRPr="00687637">
        <w:tab/>
        <w:t>China General Administration of Quality Supervision,Inspection and Quarantine of the PRC(AQSIQ). International Travel Health Care Centers 2017. http://english.aqsiq.gov.cn/SpecialTopics/InternationalTravelHealthCare/InfoResources/200708/t20070816_36048.htm (accessed April 11, 2017).</w:t>
      </w:r>
    </w:p>
    <w:p w14:paraId="6D0D5AE4" w14:textId="77777777" w:rsidR="00704151" w:rsidRPr="00687637" w:rsidRDefault="00704151" w:rsidP="00704151">
      <w:pPr>
        <w:pStyle w:val="Bibliography"/>
      </w:pPr>
      <w:r w:rsidRPr="00687637">
        <w:t>[34]</w:t>
      </w:r>
      <w:r w:rsidRPr="00687637">
        <w:tab/>
        <w:t>Republic of Korea Ministry of Health. Infectious disease management - Rio Olympics 2017. http://www.mohw.go.kr/front_new/al/sal0301vw.jsp?PAR_MENU_ID=04&amp;MENU_ID=0403&amp;page=1&amp;CONT_SEQ=333281&amp;SEARCHKEY=TITLE&amp;SEARCHVALUE=%B8%AE%BF%EC (accessed April 11, 2017).</w:t>
      </w:r>
    </w:p>
    <w:p w14:paraId="3464D098" w14:textId="77777777" w:rsidR="00704151" w:rsidRPr="00687637" w:rsidRDefault="00704151" w:rsidP="00704151">
      <w:pPr>
        <w:pStyle w:val="Bibliography"/>
      </w:pPr>
      <w:r w:rsidRPr="00687637">
        <w:t>[35]</w:t>
      </w:r>
      <w:r w:rsidRPr="00687637">
        <w:tab/>
        <w:t xml:space="preserve">FORTH. </w:t>
      </w:r>
      <w:r w:rsidRPr="00687637">
        <w:rPr>
          <w:rFonts w:eastAsia="MS Gothic"/>
        </w:rPr>
        <w:t>黄熱の予防接種を行っている検疫所</w:t>
      </w:r>
      <w:r w:rsidRPr="00687637">
        <w:t xml:space="preserve"> [Yellow fever vaccination quarantine station] 2017. http://www.forth.go.jp/useful/yellowfever.html#list (accessed April 11, 2017).</w:t>
      </w:r>
    </w:p>
    <w:p w14:paraId="1AA32320" w14:textId="77777777" w:rsidR="00704151" w:rsidRPr="00687637" w:rsidRDefault="00704151" w:rsidP="00704151">
      <w:pPr>
        <w:pStyle w:val="Bibliography"/>
      </w:pPr>
      <w:r w:rsidRPr="00687637">
        <w:t>[36]</w:t>
      </w:r>
      <w:r w:rsidRPr="00687637">
        <w:tab/>
        <w:t>Mir Travel. Вакцинация против желтой лихорадки [Yellow fever vaccination] 2017. http://www.mirtravel.com/spravochnik/vaktsinatsija_protiv_zheltoj_lixoradki (accessed April 11, 2017).</w:t>
      </w:r>
    </w:p>
    <w:p w14:paraId="7F87362C" w14:textId="77777777" w:rsidR="00704151" w:rsidRPr="00687637" w:rsidRDefault="00704151" w:rsidP="00704151">
      <w:pPr>
        <w:pStyle w:val="Bibliography"/>
      </w:pPr>
      <w:r w:rsidRPr="00687637">
        <w:rPr>
          <w:lang w:val="es-ES"/>
        </w:rPr>
        <w:t>[37]</w:t>
      </w:r>
      <w:r w:rsidRPr="00687637">
        <w:rPr>
          <w:lang w:val="es-ES"/>
        </w:rPr>
        <w:tab/>
        <w:t xml:space="preserve">Secretaria de Salud. Vacunación para viajeros internacionales. </w:t>
      </w:r>
      <w:r w:rsidRPr="00687637">
        <w:t>Gob.mx 2017. http://www.gob.mx/salud/acciones-y-programas/vacunacion-para-viajeros-internacionales (accessed April 11, 2017).</w:t>
      </w:r>
    </w:p>
    <w:p w14:paraId="013634FE" w14:textId="77777777" w:rsidR="00704151" w:rsidRPr="00687637" w:rsidRDefault="00704151" w:rsidP="00704151">
      <w:pPr>
        <w:pStyle w:val="Bibliography"/>
      </w:pPr>
      <w:r w:rsidRPr="00687637">
        <w:t>[38]</w:t>
      </w:r>
      <w:r w:rsidRPr="00687637">
        <w:tab/>
        <w:t>Hongkong Department of Health. Travel Health Service Yellow Fever 2017. http://www.travelhealth.gov.hk/english/faqs/yell_fever.html (accessed April 11, 2017).</w:t>
      </w:r>
    </w:p>
    <w:p w14:paraId="179BA342" w14:textId="77777777" w:rsidR="00704151" w:rsidRPr="00687637" w:rsidRDefault="00704151" w:rsidP="00704151">
      <w:pPr>
        <w:pStyle w:val="Bibliography"/>
      </w:pPr>
      <w:r w:rsidRPr="00687637">
        <w:t>[39]</w:t>
      </w:r>
      <w:r w:rsidRPr="00687637">
        <w:tab/>
        <w:t>Todd A, Copeland A, Husband A, Kasim A, Bambra C. Access all areas? An area-level analysis of accessibility to general practice and community pharmacy services in England by urbanity and social deprivation. BMJ Open 2015;5:e007328. doi:10.1136/bmjopen-2014-007328.</w:t>
      </w:r>
    </w:p>
    <w:p w14:paraId="48D2CA2F" w14:textId="77777777" w:rsidR="00704151" w:rsidRPr="00687637" w:rsidRDefault="00704151" w:rsidP="00704151">
      <w:pPr>
        <w:pStyle w:val="Bibliography"/>
      </w:pPr>
      <w:r w:rsidRPr="00687637">
        <w:t>[40]</w:t>
      </w:r>
      <w:r w:rsidRPr="00687637">
        <w:tab/>
        <w:t>Todd A, Copeland A, Husband A, Kasim A, Bambra C. The positive pharmacy care law: an area-level analysis of the relationship between community pharmacy distribution, urbanity and social deprivation in England. BMJ Open 2014;4:e005764. doi:10.1136/bmjopen-2014-005764.</w:t>
      </w:r>
    </w:p>
    <w:p w14:paraId="59A33CAF" w14:textId="77777777" w:rsidR="00704151" w:rsidRPr="00687637" w:rsidRDefault="00704151" w:rsidP="00704151">
      <w:pPr>
        <w:pStyle w:val="Bibliography"/>
      </w:pPr>
      <w:r w:rsidRPr="00687637">
        <w:t>[41]</w:t>
      </w:r>
      <w:r w:rsidRPr="00687637">
        <w:tab/>
        <w:t>NHS. GPs, GP Practices, Nurses and Pharmacies — NHS Digital 2016. http://systems.digital.nhs.uk/data/ods/datadownloads/gppractice/index_html (accessed November 18, 2016).</w:t>
      </w:r>
    </w:p>
    <w:p w14:paraId="665BF25E" w14:textId="77777777" w:rsidR="00704151" w:rsidRPr="00687637" w:rsidRDefault="00704151" w:rsidP="00704151">
      <w:pPr>
        <w:pStyle w:val="Bibliography"/>
      </w:pPr>
      <w:r w:rsidRPr="00687637">
        <w:t>[42]</w:t>
      </w:r>
      <w:r w:rsidRPr="00687637">
        <w:tab/>
        <w:t>General Pharmaceutical Council. General Pharmaceutical Council, Registers 2017. https://www.pharmacyregulation.org/registers (accessed February 21, 2017).</w:t>
      </w:r>
    </w:p>
    <w:p w14:paraId="706DF675" w14:textId="77777777" w:rsidR="00704151" w:rsidRPr="00687637" w:rsidRDefault="00704151" w:rsidP="00704151">
      <w:pPr>
        <w:pStyle w:val="Bibliography"/>
      </w:pPr>
      <w:r w:rsidRPr="00687637">
        <w:t>[43]</w:t>
      </w:r>
      <w:r w:rsidRPr="00687637">
        <w:tab/>
        <w:t>Steele S, Freitag A, McGettigan P, Giovannoni G, Pollock AM. A guide to private prescribing. Prescriber 2015;26:19–23. doi:10.1002/psb.1324.</w:t>
      </w:r>
    </w:p>
    <w:p w14:paraId="4594DF70" w14:textId="77777777" w:rsidR="00704151" w:rsidRPr="00687637" w:rsidRDefault="00704151" w:rsidP="00704151">
      <w:pPr>
        <w:pStyle w:val="Bibliography"/>
      </w:pPr>
      <w:r w:rsidRPr="00687637">
        <w:t>[44]</w:t>
      </w:r>
      <w:r w:rsidRPr="00687637">
        <w:tab/>
        <w:t>Munro J, Boyne L, Redman C. Travel health: Summary of yellow fever vaccinations given in Scotland, 2014. HPS Wkly Rep 2015;49.</w:t>
      </w:r>
    </w:p>
    <w:p w14:paraId="7B4CAC1E" w14:textId="77777777" w:rsidR="00704151" w:rsidRPr="00687637" w:rsidRDefault="00704151" w:rsidP="00704151">
      <w:pPr>
        <w:pStyle w:val="Bibliography"/>
      </w:pPr>
      <w:r w:rsidRPr="00687637">
        <w:t>[45]</w:t>
      </w:r>
      <w:r w:rsidRPr="00687637">
        <w:tab/>
        <w:t>Noone P, Hamza M, Tang J, Flaherty G. Standards of yellow fever vaccination and travel medicine practice in the Republic of Ireland: A questionnaire-based evaluation. Travel Med Infect Dis 2015;13:409–14. doi:10.1016/j.tmaid.2015.06.007.</w:t>
      </w:r>
    </w:p>
    <w:p w14:paraId="4773F256" w14:textId="77777777" w:rsidR="00704151" w:rsidRPr="00687637" w:rsidRDefault="00704151" w:rsidP="00704151">
      <w:pPr>
        <w:pStyle w:val="Bibliography"/>
      </w:pPr>
      <w:r w:rsidRPr="00687637">
        <w:t>[46]</w:t>
      </w:r>
      <w:r w:rsidRPr="00687637">
        <w:tab/>
        <w:t>Gershman MD. Addressing a Yellow Fever Vaccine Shortage — United States, 2016–2017. MMWR Morb Mortal Wkly Rep 2017;66. doi:10.15585/mmwr.mm6617e2.</w:t>
      </w:r>
    </w:p>
    <w:p w14:paraId="46249566" w14:textId="77777777" w:rsidR="00704151" w:rsidRPr="00687637" w:rsidRDefault="00704151" w:rsidP="00704151">
      <w:pPr>
        <w:pStyle w:val="Bibliography"/>
      </w:pPr>
      <w:r w:rsidRPr="00687637">
        <w:t>[47]</w:t>
      </w:r>
      <w:r w:rsidRPr="00687637">
        <w:tab/>
        <w:t>Business Research &amp; Economic Advisors. The Global Economic Contribution of Cruise Tourism 2015. Exton, Pennsylvania: 2016.</w:t>
      </w:r>
    </w:p>
    <w:p w14:paraId="048440D3" w14:textId="77777777" w:rsidR="00704151" w:rsidRPr="00687637" w:rsidRDefault="00704151" w:rsidP="00704151">
      <w:pPr>
        <w:pStyle w:val="Bibliography"/>
      </w:pPr>
      <w:r w:rsidRPr="00687637">
        <w:t>[48]</w:t>
      </w:r>
      <w:r w:rsidRPr="00687637">
        <w:tab/>
        <w:t>Rodrigue J-P, Notteboom T. The geography of cruises: Itineraries, not destinations. Appl Geogr 2013;38:31–42. doi:10.1016/j.apgeog.2012.11.011.</w:t>
      </w:r>
    </w:p>
    <w:p w14:paraId="60B79F2A" w14:textId="77777777" w:rsidR="00704151" w:rsidRPr="00687637" w:rsidRDefault="00704151" w:rsidP="00704151">
      <w:pPr>
        <w:pStyle w:val="Bibliography"/>
      </w:pPr>
      <w:r w:rsidRPr="00687637">
        <w:t>[49]</w:t>
      </w:r>
      <w:r w:rsidRPr="00687637">
        <w:tab/>
        <w:t>De Cantis S, Ferrante M, Kahani A, Shoval N. Cruise passengers’ behavior at the destination: Investigation using GPS technology. Tour Manag 2016;52:133–50. doi:10.1016/j.tourman.2015.06.018.</w:t>
      </w:r>
    </w:p>
    <w:p w14:paraId="7F61F727" w14:textId="77777777" w:rsidR="00704151" w:rsidRPr="00687637" w:rsidRDefault="00704151" w:rsidP="00704151">
      <w:r w:rsidRPr="00687637">
        <w:fldChar w:fldCharType="end"/>
      </w:r>
    </w:p>
    <w:p w14:paraId="6C539EC2" w14:textId="77777777" w:rsidR="00704151" w:rsidRPr="00687637" w:rsidRDefault="00704151" w:rsidP="00704151">
      <w:pPr>
        <w:rPr>
          <w:b/>
        </w:rPr>
      </w:pPr>
      <w:r w:rsidRPr="00687637">
        <w:rPr>
          <w:b/>
        </w:rPr>
        <w:t>FIGURE LEGENDS</w:t>
      </w:r>
    </w:p>
    <w:p w14:paraId="5EFE6199" w14:textId="77777777" w:rsidR="00704151" w:rsidRPr="00687637" w:rsidRDefault="00704151" w:rsidP="00704151">
      <w:pPr>
        <w:pStyle w:val="Caption"/>
        <w:rPr>
          <w:rFonts w:ascii="Times New Roman" w:hAnsi="Times New Roman" w:cs="Times New Roman"/>
          <w:color w:val="auto"/>
        </w:rPr>
      </w:pPr>
      <w:bookmarkStart w:id="26" w:name="_Ref467246652"/>
      <w:r w:rsidRPr="00687637">
        <w:rPr>
          <w:rFonts w:ascii="Times New Roman" w:hAnsi="Times New Roman" w:cs="Times New Roman"/>
          <w:color w:val="auto"/>
        </w:rPr>
        <w:t xml:space="preserve">Figure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Figure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1</w:t>
      </w:r>
      <w:r w:rsidRPr="00687637">
        <w:rPr>
          <w:rFonts w:ascii="Times New Roman" w:hAnsi="Times New Roman" w:cs="Times New Roman"/>
          <w:noProof/>
          <w:color w:val="auto"/>
        </w:rPr>
        <w:fldChar w:fldCharType="end"/>
      </w:r>
      <w:bookmarkEnd w:id="26"/>
      <w:r w:rsidRPr="00687637">
        <w:rPr>
          <w:rFonts w:ascii="Times New Roman" w:hAnsi="Times New Roman" w:cs="Times New Roman"/>
          <w:color w:val="auto"/>
        </w:rPr>
        <w:t xml:space="preserve">    Distance to nearest yellow fever vaccination centre for the general population by UK Region (km).</w:t>
      </w:r>
    </w:p>
    <w:p w14:paraId="5FF324CA" w14:textId="77777777" w:rsidR="00704151" w:rsidRPr="00687637" w:rsidRDefault="00704151" w:rsidP="00704151">
      <w:pPr>
        <w:pStyle w:val="Caption"/>
        <w:rPr>
          <w:rFonts w:ascii="Times New Roman" w:hAnsi="Times New Roman" w:cs="Times New Roman"/>
          <w:color w:val="auto"/>
        </w:rPr>
      </w:pPr>
      <w:bookmarkStart w:id="27" w:name="_Ref481222235"/>
      <w:r w:rsidRPr="00687637">
        <w:rPr>
          <w:rFonts w:ascii="Times New Roman" w:hAnsi="Times New Roman" w:cs="Times New Roman"/>
          <w:color w:val="auto"/>
        </w:rPr>
        <w:lastRenderedPageBreak/>
        <w:t xml:space="preserve">Figure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Figure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2</w:t>
      </w:r>
      <w:r w:rsidRPr="00687637">
        <w:rPr>
          <w:rFonts w:ascii="Times New Roman" w:hAnsi="Times New Roman" w:cs="Times New Roman"/>
          <w:noProof/>
          <w:color w:val="auto"/>
        </w:rPr>
        <w:fldChar w:fldCharType="end"/>
      </w:r>
      <w:bookmarkEnd w:id="27"/>
      <w:r w:rsidRPr="00687637">
        <w:rPr>
          <w:rFonts w:ascii="Times New Roman" w:hAnsi="Times New Roman" w:cs="Times New Roman"/>
          <w:color w:val="auto"/>
        </w:rPr>
        <w:t xml:space="preserve">   Distance (km) to nearest yellow fever vaccination centre in England, Wales, and Northern Ireland (lower layer super output area level).</w:t>
      </w:r>
    </w:p>
    <w:p w14:paraId="0DD73D0A" w14:textId="77777777" w:rsidR="00704151" w:rsidRPr="00687637" w:rsidRDefault="00704151" w:rsidP="00704151">
      <w:pPr>
        <w:pStyle w:val="Caption"/>
        <w:rPr>
          <w:rFonts w:ascii="Times New Roman" w:hAnsi="Times New Roman" w:cs="Times New Roman"/>
          <w:color w:val="auto"/>
        </w:rPr>
      </w:pPr>
      <w:bookmarkStart w:id="28" w:name="_Ref481222492"/>
      <w:r w:rsidRPr="00687637">
        <w:rPr>
          <w:rFonts w:ascii="Times New Roman" w:hAnsi="Times New Roman" w:cs="Times New Roman"/>
          <w:color w:val="auto"/>
        </w:rPr>
        <w:t xml:space="preserve">Figure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Figure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3</w:t>
      </w:r>
      <w:r w:rsidRPr="00687637">
        <w:rPr>
          <w:rFonts w:ascii="Times New Roman" w:hAnsi="Times New Roman" w:cs="Times New Roman"/>
          <w:color w:val="auto"/>
        </w:rPr>
        <w:fldChar w:fldCharType="end"/>
      </w:r>
      <w:bookmarkEnd w:id="28"/>
      <w:r w:rsidRPr="00687637">
        <w:rPr>
          <w:rFonts w:ascii="Times New Roman" w:hAnsi="Times New Roman" w:cs="Times New Roman"/>
          <w:color w:val="auto"/>
        </w:rPr>
        <w:t xml:space="preserve">   Estimated number of yellow fever vaccinations and trips to countries with yellow fever risk by region of residence in England, Wales, and Northern Ireland. Labels: North East (NE), North West (NW), Yorkshire &amp; The Humber (YH), East Midlands (EM), West Midlands (WM), East of England (EE), London (LO), South East (SE), South West (SW), Wales (WA), Northern Ireland (NI).</w:t>
      </w:r>
    </w:p>
    <w:p w14:paraId="0EBF06C7" w14:textId="77777777" w:rsidR="00C55F20" w:rsidRPr="00687637" w:rsidRDefault="00C55F20" w:rsidP="00C55F20"/>
    <w:p w14:paraId="4FF55368" w14:textId="77777777" w:rsidR="00C55F20" w:rsidRPr="00687637" w:rsidRDefault="00C55F20" w:rsidP="00C55F20"/>
    <w:p w14:paraId="60D929F8" w14:textId="77777777" w:rsidR="002B21AA" w:rsidRPr="00687637" w:rsidRDefault="002B21AA" w:rsidP="002B21AA">
      <w:pPr>
        <w:pStyle w:val="Heading1"/>
        <w:rPr>
          <w:rFonts w:ascii="Times New Roman" w:hAnsi="Times New Roman" w:cs="Times New Roman"/>
        </w:rPr>
      </w:pPr>
      <w:bookmarkStart w:id="29" w:name="_Toc504483938"/>
      <w:r w:rsidRPr="00687637">
        <w:rPr>
          <w:rFonts w:ascii="Times New Roman" w:hAnsi="Times New Roman" w:cs="Times New Roman"/>
        </w:rPr>
        <w:t xml:space="preserve">Petersen, J., Simons, H., Patel, D. (2016) TravelHealthPro – a new online resource for the travel health sector </w:t>
      </w:r>
      <w:r w:rsidRPr="00687637">
        <w:rPr>
          <w:rFonts w:ascii="Times New Roman" w:hAnsi="Times New Roman" w:cs="Times New Roman"/>
          <w:i/>
        </w:rPr>
        <w:t>Journal of British Global and Travel Health Association</w:t>
      </w:r>
      <w:r w:rsidRPr="00687637">
        <w:rPr>
          <w:rFonts w:ascii="Times New Roman" w:hAnsi="Times New Roman" w:cs="Times New Roman"/>
        </w:rPr>
        <w:t xml:space="preserve"> 18</w:t>
      </w:r>
      <w:bookmarkEnd w:id="29"/>
    </w:p>
    <w:p w14:paraId="354E33E1" w14:textId="753F8147" w:rsidR="00D1764A" w:rsidRPr="00687637" w:rsidRDefault="00D1764A"/>
    <w:p w14:paraId="3DD663F9" w14:textId="77777777" w:rsidR="00704151" w:rsidRPr="00687637" w:rsidRDefault="00704151" w:rsidP="00704151">
      <w:pPr>
        <w:rPr>
          <w:b/>
        </w:rPr>
      </w:pPr>
      <w:r w:rsidRPr="00687637">
        <w:rPr>
          <w:b/>
        </w:rPr>
        <w:t>TravelHealthPro – a new online resource for the travel health sector</w:t>
      </w:r>
    </w:p>
    <w:p w14:paraId="2F2B3F96" w14:textId="77777777" w:rsidR="00704151" w:rsidRPr="00687637" w:rsidRDefault="00704151" w:rsidP="00704151">
      <w:pPr>
        <w:rPr>
          <w:b/>
        </w:rPr>
      </w:pPr>
    </w:p>
    <w:p w14:paraId="1CBF3766" w14:textId="2EDB53D1" w:rsidR="00704151" w:rsidRPr="00687637" w:rsidRDefault="00704151" w:rsidP="00704151">
      <w:pPr>
        <w:rPr>
          <w:b/>
        </w:rPr>
      </w:pPr>
      <w:r w:rsidRPr="00687637">
        <w:rPr>
          <w:b/>
        </w:rPr>
        <w:t>Introduction</w:t>
      </w:r>
    </w:p>
    <w:p w14:paraId="6EBD16EC" w14:textId="77777777" w:rsidR="00704151" w:rsidRPr="00687637" w:rsidRDefault="00704151" w:rsidP="00704151">
      <w:r w:rsidRPr="00687637">
        <w:t xml:space="preserve">The National Travel Health Network and Centre (NaTHNaC) is a government commissioned clinical advisory service supporting travel health services in England, Wales, and Northern Ireland in consultation with Public Health England’s Travel and Migrant Health unit since 2002. </w:t>
      </w:r>
    </w:p>
    <w:p w14:paraId="672557E3" w14:textId="77777777" w:rsidR="00704151" w:rsidRPr="00687637" w:rsidRDefault="00704151" w:rsidP="00704151">
      <w:r w:rsidRPr="00687637">
        <w:t>In September 2015, NaTHNaC launched a new website, TravelHealthPro.org.uk, with up-to-date information for the travel health sector. The new design was designed building on 13 years of experience running an online information service as well as input from a user survey and focus groups involving both health professionals and travellers in 2015 (REF Bramham et a. 2016).</w:t>
      </w:r>
    </w:p>
    <w:p w14:paraId="1EA99EEC" w14:textId="77777777" w:rsidR="00704151" w:rsidRPr="00687637" w:rsidRDefault="00704151" w:rsidP="00704151">
      <w:r w:rsidRPr="00687637">
        <w:t>With this paper, we would like to take stock of which parts of the content have been accessed the most and in which way throughout the inception year from September 2015 to August 2016. A major new threat emerged during this period, i.e. the Zika virus outbreak in the Americas, and this offers a possibility to study the type of information that comes to the fore during crises. Finally, we discuss the next steps in the development of a resource, we hope will continue to improve and grow in the coming years.</w:t>
      </w:r>
    </w:p>
    <w:p w14:paraId="3D4A4D3F" w14:textId="77777777" w:rsidR="00704151" w:rsidRPr="00687637" w:rsidRDefault="00704151" w:rsidP="00704151"/>
    <w:p w14:paraId="6C427615" w14:textId="6B01C0B2" w:rsidR="00704151" w:rsidRPr="00687637" w:rsidRDefault="00704151" w:rsidP="00704151">
      <w:pPr>
        <w:rPr>
          <w:b/>
        </w:rPr>
      </w:pPr>
      <w:r w:rsidRPr="00687637">
        <w:rPr>
          <w:b/>
        </w:rPr>
        <w:t>Methods</w:t>
      </w:r>
    </w:p>
    <w:p w14:paraId="433EBEDE" w14:textId="77777777" w:rsidR="00704151" w:rsidRPr="00687637" w:rsidRDefault="00704151" w:rsidP="00704151">
      <w:r w:rsidRPr="00687637">
        <w:t xml:space="preserve">Data on the usage of the content on TravelHealthPro were obtained using Google Analytics from 6 September 2015 to 3 September 2016 (52 weeks). A small proportion of pages created for internal testing purposes were excluded (associated with 5,279 unique pageviews or 0.13% of all unique pageviews). The content was categorised according the structure of the URL for the different sections of the website. The majority of outbreaks, news, and factsheet items were matched on titles and the remaining items with ten or more unique pageviews were coded clerically. The remaining pages were associated with 5,291 unique pageviews or 0.1% of all unique pageviews and categorised as “Other”. The time spent on each page in days was calculated from the total number of views and average time spent on each page. International traffic to the website was analysed as all other countries than United Kingdom. A small proportion of sessions (2,275 or 0.16% of all sessions) had no known country origin and was dropped from the analysis. The relative increase in sessions over the year was </w:t>
      </w:r>
    </w:p>
    <w:p w14:paraId="4CB9063A" w14:textId="6A8674E1" w:rsidR="00704151" w:rsidRPr="00687637" w:rsidRDefault="00704151" w:rsidP="00704151">
      <w:r w:rsidRPr="00687637">
        <w:t>calculated from the linear predictions of sessions at week 1 and week 52, respectively.</w:t>
      </w:r>
    </w:p>
    <w:p w14:paraId="7197C441" w14:textId="77777777" w:rsidR="00704151" w:rsidRPr="00687637" w:rsidRDefault="00704151" w:rsidP="00704151"/>
    <w:p w14:paraId="7130CFFC" w14:textId="3D6BF4B6" w:rsidR="00704151" w:rsidRPr="00687637" w:rsidRDefault="00704151" w:rsidP="00704151">
      <w:pPr>
        <w:rPr>
          <w:b/>
        </w:rPr>
      </w:pPr>
      <w:r w:rsidRPr="00687637">
        <w:rPr>
          <w:b/>
        </w:rPr>
        <w:t>Results</w:t>
      </w:r>
    </w:p>
    <w:p w14:paraId="78A7EC7B" w14:textId="77777777" w:rsidR="00704151" w:rsidRPr="00687637" w:rsidRDefault="00704151" w:rsidP="00704151">
      <w:r w:rsidRPr="00687637">
        <w:t>The website has a number of sections presented as tabs on the front page including Country Information and Latest News (</w:t>
      </w:r>
      <w:r w:rsidRPr="00687637">
        <w:fldChar w:fldCharType="begin"/>
      </w:r>
      <w:r w:rsidRPr="00687637">
        <w:instrText xml:space="preserve"> REF _Ref468197150 \h  \* MERGEFORMAT </w:instrText>
      </w:r>
      <w:r w:rsidRPr="00687637">
        <w:fldChar w:fldCharType="separate"/>
      </w:r>
      <w:r w:rsidRPr="00687637">
        <w:t xml:space="preserve">Figure </w:t>
      </w:r>
      <w:r w:rsidRPr="00687637">
        <w:rPr>
          <w:noProof/>
        </w:rPr>
        <w:t>1</w:t>
      </w:r>
      <w:r w:rsidRPr="00687637">
        <w:fldChar w:fldCharType="end"/>
      </w:r>
      <w:r w:rsidRPr="00687637">
        <w:t>). The website was overall associated with 3.9 million unique pageviews in the first year (unique pageviews will be referred to as views hereinafter) (</w:t>
      </w:r>
      <w:r w:rsidRPr="00687637">
        <w:fldChar w:fldCharType="begin"/>
      </w:r>
      <w:r w:rsidRPr="00687637">
        <w:instrText xml:space="preserve"> REF _Ref468196404 \h  \* MERGEFORMAT </w:instrText>
      </w:r>
      <w:r w:rsidRPr="00687637">
        <w:fldChar w:fldCharType="separate"/>
      </w:r>
      <w:r w:rsidRPr="00687637">
        <w:t xml:space="preserve">Table </w:t>
      </w:r>
      <w:r w:rsidRPr="00687637">
        <w:rPr>
          <w:noProof/>
        </w:rPr>
        <w:t>1</w:t>
      </w:r>
      <w:r w:rsidRPr="00687637">
        <w:fldChar w:fldCharType="end"/>
      </w:r>
      <w:r w:rsidRPr="00687637">
        <w:t xml:space="preserve">). The time spent on the web pages exceeded 19 person-years, i.e. equivalent to 19 persons browsing the website continuously for a year. The most popular sections were the information pages for individual countries (country items), which accounted for nearly a third of all views (31.3%), the portal to individual countries (21.8%), the front page (14.7%) followed by news items (8.2%) and factsheet items (7.2%). Of the various ways to search for information on </w:t>
      </w:r>
      <w:r w:rsidRPr="00687637">
        <w:lastRenderedPageBreak/>
        <w:t xml:space="preserve">the website, the filtering through forms (news and outbreaks), sub-sections (factsheets), or A-Z lists (country pages) were more popular than free search options within a section. The free search facility in the top bar was however the second most popular search method overall. </w:t>
      </w:r>
    </w:p>
    <w:p w14:paraId="5D28274A" w14:textId="77777777" w:rsidR="00704151" w:rsidRPr="00687637" w:rsidRDefault="00704151" w:rsidP="00704151">
      <w:r w:rsidRPr="00687637">
        <w:t>The traffic originating from outside the UK accounted for 9.4% of all sessions (</w:t>
      </w:r>
      <w:r w:rsidRPr="00687637">
        <w:fldChar w:fldCharType="begin"/>
      </w:r>
      <w:r w:rsidRPr="00687637">
        <w:instrText xml:space="preserve"> REF _Ref468197316 \h  \* MERGEFORMAT </w:instrText>
      </w:r>
      <w:r w:rsidRPr="00687637">
        <w:fldChar w:fldCharType="separate"/>
      </w:r>
      <w:r w:rsidRPr="00687637">
        <w:t xml:space="preserve">Table </w:t>
      </w:r>
      <w:r w:rsidRPr="00687637">
        <w:rPr>
          <w:noProof/>
        </w:rPr>
        <w:t>2</w:t>
      </w:r>
      <w:r w:rsidRPr="00687637">
        <w:fldChar w:fldCharType="end"/>
      </w:r>
      <w:r w:rsidRPr="00687637">
        <w:t xml:space="preserve">). Overall, the number of sessions increased by 76% over the first year, whereas international sessions alone increased with 115%. </w:t>
      </w:r>
    </w:p>
    <w:p w14:paraId="68781E6B" w14:textId="77777777" w:rsidR="00704151" w:rsidRPr="00687637" w:rsidRDefault="00704151" w:rsidP="00704151">
      <w:r w:rsidRPr="00687637">
        <w:t>The number of views increased dramatically during the first quarter of 2016 in connection with Zika virus outbreak culminating the week of the World Health Organization (WHO) public health emergency of international concern (PHEIC) on 1 February 2016 (</w:t>
      </w:r>
      <w:r w:rsidRPr="00687637">
        <w:fldChar w:fldCharType="begin"/>
      </w:r>
      <w:r w:rsidRPr="00687637">
        <w:instrText xml:space="preserve"> REF _Ref468197589 \h  \* MERGEFORMAT </w:instrText>
      </w:r>
      <w:r w:rsidRPr="00687637">
        <w:fldChar w:fldCharType="separate"/>
      </w:r>
      <w:r w:rsidRPr="00687637">
        <w:t xml:space="preserve">Figure </w:t>
      </w:r>
      <w:r w:rsidRPr="00687637">
        <w:rPr>
          <w:noProof/>
        </w:rPr>
        <w:t>2</w:t>
      </w:r>
      <w:r w:rsidRPr="00687637">
        <w:fldChar w:fldCharType="end"/>
      </w:r>
      <w:r w:rsidRPr="00687637">
        <w:t>). Interestingly, the usage of news items spiked in this period. At other periods and increasingly, the country pages attract the most views (</w:t>
      </w:r>
      <w:r w:rsidRPr="00687637">
        <w:fldChar w:fldCharType="begin"/>
      </w:r>
      <w:r w:rsidRPr="00687637">
        <w:instrText xml:space="preserve"> REF _Ref468197897 \h  \* MERGEFORMAT </w:instrText>
      </w:r>
      <w:r w:rsidRPr="00687637">
        <w:fldChar w:fldCharType="separate"/>
      </w:r>
      <w:r w:rsidRPr="00687637">
        <w:t xml:space="preserve">Figure </w:t>
      </w:r>
      <w:r w:rsidRPr="00687637">
        <w:rPr>
          <w:noProof/>
        </w:rPr>
        <w:t>3</w:t>
      </w:r>
      <w:r w:rsidRPr="00687637">
        <w:fldChar w:fldCharType="end"/>
      </w:r>
      <w:r w:rsidRPr="00687637">
        <w:t xml:space="preserve">).   </w:t>
      </w:r>
    </w:p>
    <w:p w14:paraId="6333D539" w14:textId="77777777" w:rsidR="00704151" w:rsidRPr="00687637" w:rsidRDefault="00704151" w:rsidP="00704151">
      <w:r w:rsidRPr="00687637">
        <w:t>The most popular country pages were for Thailand (6.9% of country page views), India (6%), and Mexico (4.6%) (</w:t>
      </w:r>
      <w:r w:rsidRPr="00687637">
        <w:fldChar w:fldCharType="begin"/>
      </w:r>
      <w:r w:rsidRPr="00687637">
        <w:instrText xml:space="preserve"> REF _Ref468198438 \h  \* MERGEFORMAT </w:instrText>
      </w:r>
      <w:r w:rsidRPr="00687637">
        <w:fldChar w:fldCharType="separate"/>
      </w:r>
      <w:r w:rsidRPr="00687637">
        <w:t xml:space="preserve">Table </w:t>
      </w:r>
      <w:r w:rsidRPr="00687637">
        <w:rPr>
          <w:noProof/>
        </w:rPr>
        <w:t>3</w:t>
      </w:r>
      <w:r w:rsidRPr="00687637">
        <w:fldChar w:fldCharType="end"/>
      </w:r>
      <w:r w:rsidRPr="00687637">
        <w:t>). The most popular news items were dominated by the Zika virus outbreak and risk to pregnant travellers, of which a single news item accounted for 40% of all views of news items. More than half of the total views of factsheets were attributable to insect and tick bite avoidance (37%) and food and water hygiene (17%).</w:t>
      </w:r>
    </w:p>
    <w:p w14:paraId="10B07058" w14:textId="77777777" w:rsidR="00704151" w:rsidRPr="00687637" w:rsidRDefault="00704151" w:rsidP="00704151">
      <w:pPr>
        <w:rPr>
          <w:b/>
        </w:rPr>
      </w:pPr>
    </w:p>
    <w:p w14:paraId="5687CA31" w14:textId="024448FB" w:rsidR="00704151" w:rsidRPr="00687637" w:rsidRDefault="00704151" w:rsidP="00704151">
      <w:pPr>
        <w:rPr>
          <w:b/>
        </w:rPr>
      </w:pPr>
      <w:r w:rsidRPr="00687637">
        <w:rPr>
          <w:b/>
        </w:rPr>
        <w:t>Discussion</w:t>
      </w:r>
    </w:p>
    <w:p w14:paraId="32649584" w14:textId="77777777" w:rsidR="00704151" w:rsidRPr="00687637" w:rsidRDefault="00704151" w:rsidP="00704151">
      <w:r w:rsidRPr="00687637">
        <w:t xml:space="preserve">The new website is the product of years of development and in recent years also more formal consultation. The usage of the inception year of the new website have demonstrated that the country information pages is the ‘work horse’ of the website and they are attracting an increasing number of views – nationally and internationally. News items on the other hand playing a different role as demonstrated by the spike in the use of news items during the emergence of the Zika virus as novel global threat. </w:t>
      </w:r>
    </w:p>
    <w:p w14:paraId="57C8A904" w14:textId="77777777" w:rsidR="00704151" w:rsidRPr="00687637" w:rsidRDefault="00704151" w:rsidP="00704151">
      <w:r w:rsidRPr="00687637">
        <w:t xml:space="preserve">Interactive maps were one of the additions that were included on the website as a result of consultation. Notably, the new world overview map only attracted a fraction of views overall. We hope that further user testing will reveal whether this and other new areas of the website are ‘fit for purpose’ and whether we can do more make the many new features easier to find and use. It should be noted that outbreak notices can be read directly from the country information page, but their usage are only captured when searched and browsed in the outbreak surveillance section itself.  </w:t>
      </w:r>
    </w:p>
    <w:p w14:paraId="4808E3E8" w14:textId="77777777" w:rsidR="00704151" w:rsidRPr="00687637" w:rsidRDefault="00704151" w:rsidP="00704151">
      <w:r w:rsidRPr="00687637">
        <w:t xml:space="preserve">The next phase in the development of the TravelHealthPro website will be to carry out user testing and focus groups with the travel health sector to gain more specific feedback on the new design. Alongside consultation, we will continue to develop the range and depth of the information that are offered. One example of this is a new range of antimalarial recommendation maps for countries with sub-national variation. We are also researching new areas for our factsheets. In the past year, we have for instance produced factsheets for medical tourism and female genital mutilation.   </w:t>
      </w:r>
    </w:p>
    <w:p w14:paraId="65966E31" w14:textId="77777777" w:rsidR="00704151" w:rsidRPr="00687637" w:rsidRDefault="00704151" w:rsidP="00704151">
      <w:pPr>
        <w:rPr>
          <w:b/>
        </w:rPr>
      </w:pPr>
    </w:p>
    <w:p w14:paraId="181C12E0" w14:textId="37F24D90" w:rsidR="00704151" w:rsidRPr="00687637" w:rsidRDefault="00704151" w:rsidP="00704151">
      <w:pPr>
        <w:rPr>
          <w:b/>
        </w:rPr>
      </w:pPr>
      <w:r w:rsidRPr="00687637">
        <w:rPr>
          <w:b/>
        </w:rPr>
        <w:t>Conclusion</w:t>
      </w:r>
    </w:p>
    <w:p w14:paraId="080CDBD1" w14:textId="77777777" w:rsidR="00704151" w:rsidRPr="00687637" w:rsidRDefault="00704151" w:rsidP="00704151">
      <w:r w:rsidRPr="00687637">
        <w:t xml:space="preserve">Travel health practice depend on day-to-day updates on emerging threats as well as the latest recommendations on vaccination on other protection. This paper has shown that country information pages is the undisputed core of this information service. Further user testing will be required to establish whether essential content can be made even easier to find. We are also planning focus groups to identify areas for further development.    </w:t>
      </w:r>
    </w:p>
    <w:p w14:paraId="70599C7E" w14:textId="77777777" w:rsidR="00704151" w:rsidRPr="00687637" w:rsidRDefault="00704151" w:rsidP="00704151"/>
    <w:p w14:paraId="38D57720" w14:textId="77777777" w:rsidR="00704151" w:rsidRPr="00687637" w:rsidRDefault="00704151" w:rsidP="00704151">
      <w:pPr>
        <w:rPr>
          <w:b/>
        </w:rPr>
      </w:pPr>
      <w:r w:rsidRPr="00687637">
        <w:rPr>
          <w:b/>
        </w:rPr>
        <w:t>References</w:t>
      </w:r>
    </w:p>
    <w:p w14:paraId="7047C915" w14:textId="77777777" w:rsidR="00704151" w:rsidRPr="00687637" w:rsidRDefault="00704151" w:rsidP="00704151">
      <w:r w:rsidRPr="00687637">
        <w:t xml:space="preserve"> </w:t>
      </w:r>
    </w:p>
    <w:p w14:paraId="0CFA2F41" w14:textId="77777777" w:rsidR="00704151" w:rsidRPr="00687637" w:rsidRDefault="00704151" w:rsidP="00704151"/>
    <w:p w14:paraId="74F39791" w14:textId="77777777" w:rsidR="00704151" w:rsidRPr="00687637" w:rsidRDefault="00704151" w:rsidP="00704151">
      <w:r w:rsidRPr="00687637">
        <w:br w:type="page"/>
      </w:r>
    </w:p>
    <w:p w14:paraId="400A9667" w14:textId="77777777" w:rsidR="00704151" w:rsidRPr="00687637" w:rsidRDefault="00704151" w:rsidP="00704151"/>
    <w:p w14:paraId="7138C9A7" w14:textId="77777777" w:rsidR="00704151" w:rsidRPr="00687637" w:rsidRDefault="00704151" w:rsidP="00704151">
      <w:pPr>
        <w:pStyle w:val="Caption"/>
        <w:keepNext/>
        <w:rPr>
          <w:rFonts w:ascii="Times New Roman" w:hAnsi="Times New Roman" w:cs="Times New Roman"/>
          <w:color w:val="auto"/>
        </w:rPr>
      </w:pPr>
      <w:bookmarkStart w:id="30" w:name="_Ref468196404"/>
      <w:r w:rsidRPr="00687637">
        <w:rPr>
          <w:rFonts w:ascii="Times New Roman" w:hAnsi="Times New Roman" w:cs="Times New Roman"/>
          <w:color w:val="auto"/>
        </w:rPr>
        <w:t xml:space="preserve">Table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Table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1</w:t>
      </w:r>
      <w:r w:rsidRPr="00687637">
        <w:rPr>
          <w:rFonts w:ascii="Times New Roman" w:hAnsi="Times New Roman" w:cs="Times New Roman"/>
          <w:noProof/>
          <w:color w:val="auto"/>
        </w:rPr>
        <w:fldChar w:fldCharType="end"/>
      </w:r>
      <w:bookmarkEnd w:id="30"/>
      <w:r w:rsidRPr="00687637">
        <w:rPr>
          <w:rFonts w:ascii="Times New Roman" w:hAnsi="Times New Roman" w:cs="Times New Roman"/>
          <w:color w:val="auto"/>
        </w:rPr>
        <w:t xml:space="preserve">   Views and time spent on TravelHealthPro.org.uk web pages by content category, September 2015 - August 2016.</w:t>
      </w:r>
    </w:p>
    <w:tbl>
      <w:tblPr>
        <w:tblW w:w="5000" w:type="pct"/>
        <w:tblLook w:val="04A0" w:firstRow="1" w:lastRow="0" w:firstColumn="1" w:lastColumn="0" w:noHBand="0" w:noVBand="1"/>
      </w:tblPr>
      <w:tblGrid>
        <w:gridCol w:w="4080"/>
        <w:gridCol w:w="2233"/>
        <w:gridCol w:w="699"/>
        <w:gridCol w:w="508"/>
        <w:gridCol w:w="2463"/>
        <w:gridCol w:w="699"/>
      </w:tblGrid>
      <w:tr w:rsidR="00704151" w:rsidRPr="00687637" w14:paraId="4ED8072C" w14:textId="77777777" w:rsidTr="00924B64">
        <w:trPr>
          <w:trHeight w:val="300"/>
        </w:trPr>
        <w:tc>
          <w:tcPr>
            <w:tcW w:w="1910" w:type="pct"/>
            <w:tcBorders>
              <w:top w:val="single" w:sz="4" w:space="0" w:color="auto"/>
              <w:left w:val="nil"/>
              <w:bottom w:val="single" w:sz="4" w:space="0" w:color="auto"/>
              <w:right w:val="nil"/>
            </w:tcBorders>
            <w:shd w:val="clear" w:color="auto" w:fill="auto"/>
            <w:noWrap/>
            <w:vAlign w:val="bottom"/>
            <w:hideMark/>
          </w:tcPr>
          <w:p w14:paraId="2A9CFC83" w14:textId="77777777" w:rsidR="00704151" w:rsidRPr="00687637" w:rsidRDefault="00704151" w:rsidP="00924B64">
            <w:pPr>
              <w:rPr>
                <w:b/>
                <w:sz w:val="20"/>
                <w:szCs w:val="20"/>
                <w:lang w:eastAsia="en-GB"/>
              </w:rPr>
            </w:pPr>
            <w:r w:rsidRPr="00687637">
              <w:rPr>
                <w:b/>
                <w:sz w:val="20"/>
                <w:szCs w:val="20"/>
                <w:lang w:eastAsia="en-GB"/>
              </w:rPr>
              <w:t>Content category</w:t>
            </w:r>
          </w:p>
        </w:tc>
        <w:tc>
          <w:tcPr>
            <w:tcW w:w="1045" w:type="pct"/>
            <w:tcBorders>
              <w:top w:val="single" w:sz="4" w:space="0" w:color="auto"/>
              <w:left w:val="nil"/>
              <w:bottom w:val="single" w:sz="4" w:space="0" w:color="auto"/>
              <w:right w:val="nil"/>
            </w:tcBorders>
            <w:shd w:val="clear" w:color="auto" w:fill="auto"/>
            <w:noWrap/>
            <w:vAlign w:val="bottom"/>
            <w:hideMark/>
          </w:tcPr>
          <w:p w14:paraId="638FF658" w14:textId="77777777" w:rsidR="00704151" w:rsidRPr="00687637" w:rsidRDefault="00704151" w:rsidP="00924B64">
            <w:pPr>
              <w:jc w:val="center"/>
              <w:rPr>
                <w:b/>
                <w:sz w:val="20"/>
                <w:szCs w:val="20"/>
                <w:lang w:eastAsia="en-GB"/>
              </w:rPr>
            </w:pPr>
            <w:r w:rsidRPr="00687637">
              <w:rPr>
                <w:b/>
                <w:sz w:val="20"/>
                <w:szCs w:val="20"/>
                <w:lang w:eastAsia="en-GB"/>
              </w:rPr>
              <w:t>Unique pageviews</w:t>
            </w:r>
          </w:p>
        </w:tc>
        <w:tc>
          <w:tcPr>
            <w:tcW w:w="327" w:type="pct"/>
            <w:tcBorders>
              <w:top w:val="single" w:sz="4" w:space="0" w:color="auto"/>
              <w:left w:val="nil"/>
              <w:bottom w:val="single" w:sz="4" w:space="0" w:color="auto"/>
              <w:right w:val="nil"/>
            </w:tcBorders>
            <w:shd w:val="clear" w:color="auto" w:fill="auto"/>
            <w:noWrap/>
            <w:vAlign w:val="bottom"/>
            <w:hideMark/>
          </w:tcPr>
          <w:p w14:paraId="24EA761F" w14:textId="77777777" w:rsidR="00704151" w:rsidRPr="00687637" w:rsidRDefault="00704151" w:rsidP="00924B64">
            <w:pPr>
              <w:jc w:val="center"/>
              <w:rPr>
                <w:b/>
                <w:sz w:val="20"/>
                <w:szCs w:val="20"/>
                <w:lang w:eastAsia="en-GB"/>
              </w:rPr>
            </w:pPr>
            <w:r w:rsidRPr="00687637">
              <w:rPr>
                <w:b/>
                <w:sz w:val="20"/>
                <w:szCs w:val="20"/>
                <w:lang w:eastAsia="en-GB"/>
              </w:rPr>
              <w:t>%</w:t>
            </w:r>
          </w:p>
        </w:tc>
        <w:tc>
          <w:tcPr>
            <w:tcW w:w="238" w:type="pct"/>
            <w:tcBorders>
              <w:top w:val="single" w:sz="4" w:space="0" w:color="auto"/>
              <w:left w:val="nil"/>
              <w:bottom w:val="single" w:sz="4" w:space="0" w:color="auto"/>
              <w:right w:val="nil"/>
            </w:tcBorders>
            <w:shd w:val="clear" w:color="auto" w:fill="auto"/>
            <w:noWrap/>
            <w:vAlign w:val="bottom"/>
            <w:hideMark/>
          </w:tcPr>
          <w:p w14:paraId="51C2492B" w14:textId="77777777" w:rsidR="00704151" w:rsidRPr="00687637" w:rsidRDefault="00704151" w:rsidP="00924B64">
            <w:pPr>
              <w:jc w:val="center"/>
              <w:rPr>
                <w:b/>
                <w:sz w:val="20"/>
                <w:szCs w:val="20"/>
                <w:lang w:eastAsia="en-GB"/>
              </w:rPr>
            </w:pPr>
          </w:p>
        </w:tc>
        <w:tc>
          <w:tcPr>
            <w:tcW w:w="1153" w:type="pct"/>
            <w:tcBorders>
              <w:top w:val="single" w:sz="4" w:space="0" w:color="auto"/>
              <w:left w:val="nil"/>
              <w:bottom w:val="single" w:sz="4" w:space="0" w:color="auto"/>
              <w:right w:val="nil"/>
            </w:tcBorders>
            <w:shd w:val="clear" w:color="auto" w:fill="auto"/>
            <w:noWrap/>
            <w:vAlign w:val="bottom"/>
            <w:hideMark/>
          </w:tcPr>
          <w:p w14:paraId="257DE285" w14:textId="77777777" w:rsidR="00704151" w:rsidRPr="00687637" w:rsidRDefault="00704151" w:rsidP="00924B64">
            <w:pPr>
              <w:jc w:val="center"/>
              <w:rPr>
                <w:b/>
                <w:sz w:val="20"/>
                <w:szCs w:val="20"/>
                <w:lang w:eastAsia="en-GB"/>
              </w:rPr>
            </w:pPr>
            <w:r w:rsidRPr="00687637">
              <w:rPr>
                <w:b/>
                <w:sz w:val="20"/>
                <w:szCs w:val="20"/>
                <w:lang w:eastAsia="en-GB"/>
              </w:rPr>
              <w:t>Time on page (days)</w:t>
            </w:r>
          </w:p>
        </w:tc>
        <w:tc>
          <w:tcPr>
            <w:tcW w:w="327" w:type="pct"/>
            <w:tcBorders>
              <w:top w:val="single" w:sz="4" w:space="0" w:color="auto"/>
              <w:left w:val="nil"/>
              <w:bottom w:val="single" w:sz="4" w:space="0" w:color="auto"/>
              <w:right w:val="nil"/>
            </w:tcBorders>
            <w:shd w:val="clear" w:color="auto" w:fill="auto"/>
            <w:noWrap/>
            <w:vAlign w:val="bottom"/>
            <w:hideMark/>
          </w:tcPr>
          <w:p w14:paraId="6967D15F" w14:textId="77777777" w:rsidR="00704151" w:rsidRPr="00687637" w:rsidRDefault="00704151" w:rsidP="00924B64">
            <w:pPr>
              <w:jc w:val="center"/>
              <w:rPr>
                <w:b/>
                <w:sz w:val="20"/>
                <w:szCs w:val="20"/>
                <w:lang w:eastAsia="en-GB"/>
              </w:rPr>
            </w:pPr>
            <w:r w:rsidRPr="00687637">
              <w:rPr>
                <w:b/>
                <w:sz w:val="20"/>
                <w:szCs w:val="20"/>
                <w:lang w:eastAsia="en-GB"/>
              </w:rPr>
              <w:t>%</w:t>
            </w:r>
          </w:p>
        </w:tc>
      </w:tr>
      <w:tr w:rsidR="00704151" w:rsidRPr="00687637" w14:paraId="091CFD13" w14:textId="77777777" w:rsidTr="00924B64">
        <w:trPr>
          <w:trHeight w:val="300"/>
        </w:trPr>
        <w:tc>
          <w:tcPr>
            <w:tcW w:w="1910" w:type="pct"/>
            <w:tcBorders>
              <w:top w:val="single" w:sz="4" w:space="0" w:color="auto"/>
              <w:left w:val="nil"/>
              <w:bottom w:val="single" w:sz="4" w:space="0" w:color="auto"/>
              <w:right w:val="nil"/>
            </w:tcBorders>
            <w:shd w:val="clear" w:color="auto" w:fill="auto"/>
            <w:noWrap/>
            <w:vAlign w:val="bottom"/>
            <w:hideMark/>
          </w:tcPr>
          <w:p w14:paraId="5097FEC5" w14:textId="77777777" w:rsidR="00704151" w:rsidRPr="00687637" w:rsidRDefault="00704151" w:rsidP="00924B64">
            <w:pPr>
              <w:rPr>
                <w:sz w:val="20"/>
                <w:szCs w:val="20"/>
                <w:lang w:eastAsia="en-GB"/>
              </w:rPr>
            </w:pPr>
            <w:r w:rsidRPr="00687637">
              <w:rPr>
                <w:sz w:val="20"/>
                <w:szCs w:val="20"/>
                <w:lang w:eastAsia="en-GB"/>
              </w:rPr>
              <w:t>FRONT PAGE</w:t>
            </w:r>
          </w:p>
        </w:tc>
        <w:tc>
          <w:tcPr>
            <w:tcW w:w="1045" w:type="pct"/>
            <w:tcBorders>
              <w:top w:val="single" w:sz="4" w:space="0" w:color="auto"/>
              <w:left w:val="nil"/>
              <w:bottom w:val="single" w:sz="4" w:space="0" w:color="auto"/>
              <w:right w:val="nil"/>
            </w:tcBorders>
            <w:shd w:val="clear" w:color="auto" w:fill="auto"/>
            <w:noWrap/>
            <w:vAlign w:val="bottom"/>
            <w:hideMark/>
          </w:tcPr>
          <w:p w14:paraId="7215B8F5" w14:textId="77777777" w:rsidR="00704151" w:rsidRPr="00687637" w:rsidRDefault="00704151" w:rsidP="00924B64">
            <w:pPr>
              <w:jc w:val="center"/>
              <w:rPr>
                <w:sz w:val="20"/>
                <w:szCs w:val="20"/>
                <w:lang w:eastAsia="en-GB"/>
              </w:rPr>
            </w:pPr>
            <w:r w:rsidRPr="00687637">
              <w:rPr>
                <w:sz w:val="20"/>
                <w:szCs w:val="20"/>
                <w:lang w:eastAsia="en-GB"/>
              </w:rPr>
              <w:t>575,868</w:t>
            </w:r>
          </w:p>
        </w:tc>
        <w:tc>
          <w:tcPr>
            <w:tcW w:w="327" w:type="pct"/>
            <w:tcBorders>
              <w:top w:val="single" w:sz="4" w:space="0" w:color="auto"/>
              <w:left w:val="nil"/>
              <w:bottom w:val="single" w:sz="4" w:space="0" w:color="auto"/>
              <w:right w:val="nil"/>
            </w:tcBorders>
            <w:shd w:val="clear" w:color="auto" w:fill="auto"/>
            <w:noWrap/>
            <w:vAlign w:val="bottom"/>
            <w:hideMark/>
          </w:tcPr>
          <w:p w14:paraId="466596B3" w14:textId="77777777" w:rsidR="00704151" w:rsidRPr="00687637" w:rsidRDefault="00704151" w:rsidP="00924B64">
            <w:pPr>
              <w:jc w:val="center"/>
              <w:rPr>
                <w:sz w:val="20"/>
                <w:szCs w:val="20"/>
                <w:lang w:eastAsia="en-GB"/>
              </w:rPr>
            </w:pPr>
            <w:r w:rsidRPr="00687637">
              <w:rPr>
                <w:sz w:val="20"/>
                <w:szCs w:val="20"/>
                <w:lang w:eastAsia="en-GB"/>
              </w:rPr>
              <w:t>14.7</w:t>
            </w:r>
          </w:p>
        </w:tc>
        <w:tc>
          <w:tcPr>
            <w:tcW w:w="238" w:type="pct"/>
            <w:tcBorders>
              <w:top w:val="single" w:sz="4" w:space="0" w:color="auto"/>
              <w:left w:val="nil"/>
              <w:bottom w:val="single" w:sz="4" w:space="0" w:color="auto"/>
              <w:right w:val="nil"/>
            </w:tcBorders>
            <w:shd w:val="clear" w:color="auto" w:fill="auto"/>
            <w:noWrap/>
            <w:vAlign w:val="bottom"/>
            <w:hideMark/>
          </w:tcPr>
          <w:p w14:paraId="42532911" w14:textId="77777777" w:rsidR="00704151" w:rsidRPr="00687637" w:rsidRDefault="00704151" w:rsidP="00924B64">
            <w:pPr>
              <w:jc w:val="center"/>
              <w:rPr>
                <w:sz w:val="20"/>
                <w:szCs w:val="20"/>
                <w:lang w:eastAsia="en-GB"/>
              </w:rPr>
            </w:pPr>
          </w:p>
        </w:tc>
        <w:tc>
          <w:tcPr>
            <w:tcW w:w="1153" w:type="pct"/>
            <w:tcBorders>
              <w:top w:val="single" w:sz="4" w:space="0" w:color="auto"/>
              <w:left w:val="nil"/>
              <w:bottom w:val="single" w:sz="4" w:space="0" w:color="auto"/>
              <w:right w:val="nil"/>
            </w:tcBorders>
            <w:shd w:val="clear" w:color="auto" w:fill="auto"/>
            <w:noWrap/>
            <w:vAlign w:val="bottom"/>
            <w:hideMark/>
          </w:tcPr>
          <w:p w14:paraId="0B5B5B6D" w14:textId="77777777" w:rsidR="00704151" w:rsidRPr="00687637" w:rsidRDefault="00704151" w:rsidP="00924B64">
            <w:pPr>
              <w:jc w:val="center"/>
              <w:rPr>
                <w:sz w:val="20"/>
                <w:szCs w:val="20"/>
                <w:lang w:eastAsia="en-GB"/>
              </w:rPr>
            </w:pPr>
            <w:r w:rsidRPr="00687637">
              <w:rPr>
                <w:sz w:val="20"/>
                <w:szCs w:val="20"/>
                <w:lang w:eastAsia="en-GB"/>
              </w:rPr>
              <w:t>329</w:t>
            </w:r>
          </w:p>
        </w:tc>
        <w:tc>
          <w:tcPr>
            <w:tcW w:w="327" w:type="pct"/>
            <w:tcBorders>
              <w:top w:val="single" w:sz="4" w:space="0" w:color="auto"/>
              <w:left w:val="nil"/>
              <w:bottom w:val="single" w:sz="4" w:space="0" w:color="auto"/>
              <w:right w:val="nil"/>
            </w:tcBorders>
            <w:shd w:val="clear" w:color="auto" w:fill="auto"/>
            <w:noWrap/>
            <w:vAlign w:val="bottom"/>
            <w:hideMark/>
          </w:tcPr>
          <w:p w14:paraId="4ACF2DCD" w14:textId="77777777" w:rsidR="00704151" w:rsidRPr="00687637" w:rsidRDefault="00704151" w:rsidP="00924B64">
            <w:pPr>
              <w:jc w:val="center"/>
              <w:rPr>
                <w:sz w:val="20"/>
                <w:szCs w:val="20"/>
                <w:lang w:eastAsia="en-GB"/>
              </w:rPr>
            </w:pPr>
            <w:r w:rsidRPr="00687637">
              <w:rPr>
                <w:sz w:val="20"/>
                <w:szCs w:val="20"/>
                <w:lang w:eastAsia="en-GB"/>
              </w:rPr>
              <w:t>5.2</w:t>
            </w:r>
          </w:p>
        </w:tc>
      </w:tr>
      <w:tr w:rsidR="00704151" w:rsidRPr="00687637" w14:paraId="7B7041BE" w14:textId="77777777" w:rsidTr="00924B64">
        <w:trPr>
          <w:trHeight w:val="300"/>
        </w:trPr>
        <w:tc>
          <w:tcPr>
            <w:tcW w:w="1910" w:type="pct"/>
            <w:tcBorders>
              <w:top w:val="single" w:sz="4" w:space="0" w:color="auto"/>
              <w:left w:val="nil"/>
              <w:bottom w:val="nil"/>
              <w:right w:val="nil"/>
            </w:tcBorders>
            <w:shd w:val="clear" w:color="auto" w:fill="auto"/>
            <w:noWrap/>
            <w:vAlign w:val="bottom"/>
            <w:hideMark/>
          </w:tcPr>
          <w:p w14:paraId="38256F16" w14:textId="77777777" w:rsidR="00704151" w:rsidRPr="00687637" w:rsidRDefault="00704151" w:rsidP="00924B64">
            <w:pPr>
              <w:rPr>
                <w:sz w:val="20"/>
                <w:szCs w:val="20"/>
                <w:lang w:eastAsia="en-GB"/>
              </w:rPr>
            </w:pPr>
            <w:r w:rsidRPr="00687637">
              <w:rPr>
                <w:sz w:val="20"/>
                <w:szCs w:val="20"/>
                <w:lang w:eastAsia="en-GB"/>
              </w:rPr>
              <w:t>COUNTRY INFORMATION</w:t>
            </w:r>
          </w:p>
        </w:tc>
        <w:tc>
          <w:tcPr>
            <w:tcW w:w="1045" w:type="pct"/>
            <w:tcBorders>
              <w:top w:val="single" w:sz="4" w:space="0" w:color="auto"/>
              <w:left w:val="nil"/>
              <w:bottom w:val="nil"/>
              <w:right w:val="nil"/>
            </w:tcBorders>
            <w:shd w:val="clear" w:color="auto" w:fill="auto"/>
            <w:noWrap/>
            <w:vAlign w:val="bottom"/>
            <w:hideMark/>
          </w:tcPr>
          <w:p w14:paraId="0F2366C7" w14:textId="77777777" w:rsidR="00704151" w:rsidRPr="00687637" w:rsidRDefault="00704151" w:rsidP="00924B64">
            <w:pPr>
              <w:jc w:val="center"/>
              <w:rPr>
                <w:sz w:val="20"/>
                <w:szCs w:val="20"/>
                <w:lang w:eastAsia="en-GB"/>
              </w:rPr>
            </w:pPr>
            <w:r w:rsidRPr="00687637">
              <w:rPr>
                <w:sz w:val="20"/>
                <w:szCs w:val="20"/>
                <w:lang w:eastAsia="en-GB"/>
              </w:rPr>
              <w:t>854,999</w:t>
            </w:r>
          </w:p>
        </w:tc>
        <w:tc>
          <w:tcPr>
            <w:tcW w:w="327" w:type="pct"/>
            <w:tcBorders>
              <w:top w:val="single" w:sz="4" w:space="0" w:color="auto"/>
              <w:left w:val="nil"/>
              <w:bottom w:val="nil"/>
              <w:right w:val="nil"/>
            </w:tcBorders>
            <w:shd w:val="clear" w:color="auto" w:fill="auto"/>
            <w:noWrap/>
            <w:vAlign w:val="bottom"/>
            <w:hideMark/>
          </w:tcPr>
          <w:p w14:paraId="5C2A9438" w14:textId="77777777" w:rsidR="00704151" w:rsidRPr="00687637" w:rsidRDefault="00704151" w:rsidP="00924B64">
            <w:pPr>
              <w:jc w:val="center"/>
              <w:rPr>
                <w:sz w:val="20"/>
                <w:szCs w:val="20"/>
                <w:lang w:eastAsia="en-GB"/>
              </w:rPr>
            </w:pPr>
            <w:r w:rsidRPr="00687637">
              <w:rPr>
                <w:sz w:val="20"/>
                <w:szCs w:val="20"/>
                <w:lang w:eastAsia="en-GB"/>
              </w:rPr>
              <w:t>21.8</w:t>
            </w:r>
          </w:p>
        </w:tc>
        <w:tc>
          <w:tcPr>
            <w:tcW w:w="238" w:type="pct"/>
            <w:tcBorders>
              <w:top w:val="single" w:sz="4" w:space="0" w:color="auto"/>
              <w:left w:val="nil"/>
              <w:bottom w:val="nil"/>
              <w:right w:val="nil"/>
            </w:tcBorders>
            <w:shd w:val="clear" w:color="auto" w:fill="auto"/>
            <w:noWrap/>
            <w:vAlign w:val="bottom"/>
            <w:hideMark/>
          </w:tcPr>
          <w:p w14:paraId="6884FD76" w14:textId="77777777" w:rsidR="00704151" w:rsidRPr="00687637" w:rsidRDefault="00704151" w:rsidP="00924B64">
            <w:pPr>
              <w:jc w:val="center"/>
              <w:rPr>
                <w:sz w:val="20"/>
                <w:szCs w:val="20"/>
                <w:lang w:eastAsia="en-GB"/>
              </w:rPr>
            </w:pPr>
          </w:p>
        </w:tc>
        <w:tc>
          <w:tcPr>
            <w:tcW w:w="1153" w:type="pct"/>
            <w:tcBorders>
              <w:top w:val="single" w:sz="4" w:space="0" w:color="auto"/>
              <w:left w:val="nil"/>
              <w:bottom w:val="nil"/>
              <w:right w:val="nil"/>
            </w:tcBorders>
            <w:shd w:val="clear" w:color="auto" w:fill="auto"/>
            <w:noWrap/>
            <w:vAlign w:val="bottom"/>
            <w:hideMark/>
          </w:tcPr>
          <w:p w14:paraId="50FC7EE5" w14:textId="77777777" w:rsidR="00704151" w:rsidRPr="00687637" w:rsidRDefault="00704151" w:rsidP="00924B64">
            <w:pPr>
              <w:jc w:val="center"/>
              <w:rPr>
                <w:sz w:val="20"/>
                <w:szCs w:val="20"/>
                <w:lang w:eastAsia="en-GB"/>
              </w:rPr>
            </w:pPr>
            <w:r w:rsidRPr="00687637">
              <w:rPr>
                <w:sz w:val="20"/>
                <w:szCs w:val="20"/>
                <w:lang w:eastAsia="en-GB"/>
              </w:rPr>
              <w:t>566</w:t>
            </w:r>
          </w:p>
        </w:tc>
        <w:tc>
          <w:tcPr>
            <w:tcW w:w="327" w:type="pct"/>
            <w:tcBorders>
              <w:top w:val="single" w:sz="4" w:space="0" w:color="auto"/>
              <w:left w:val="nil"/>
              <w:bottom w:val="nil"/>
              <w:right w:val="nil"/>
            </w:tcBorders>
            <w:shd w:val="clear" w:color="auto" w:fill="auto"/>
            <w:noWrap/>
            <w:vAlign w:val="bottom"/>
            <w:hideMark/>
          </w:tcPr>
          <w:p w14:paraId="019CE7AB" w14:textId="77777777" w:rsidR="00704151" w:rsidRPr="00687637" w:rsidRDefault="00704151" w:rsidP="00924B64">
            <w:pPr>
              <w:jc w:val="center"/>
              <w:rPr>
                <w:sz w:val="20"/>
                <w:szCs w:val="20"/>
                <w:lang w:eastAsia="en-GB"/>
              </w:rPr>
            </w:pPr>
            <w:r w:rsidRPr="00687637">
              <w:rPr>
                <w:sz w:val="20"/>
                <w:szCs w:val="20"/>
                <w:lang w:eastAsia="en-GB"/>
              </w:rPr>
              <w:t>9.0</w:t>
            </w:r>
          </w:p>
        </w:tc>
      </w:tr>
      <w:tr w:rsidR="00704151" w:rsidRPr="00687637" w14:paraId="4912E50F" w14:textId="77777777" w:rsidTr="00924B64">
        <w:trPr>
          <w:trHeight w:val="300"/>
        </w:trPr>
        <w:tc>
          <w:tcPr>
            <w:tcW w:w="1910" w:type="pct"/>
            <w:tcBorders>
              <w:top w:val="nil"/>
              <w:left w:val="nil"/>
              <w:right w:val="nil"/>
            </w:tcBorders>
            <w:shd w:val="clear" w:color="auto" w:fill="auto"/>
            <w:noWrap/>
            <w:vAlign w:val="bottom"/>
            <w:hideMark/>
          </w:tcPr>
          <w:p w14:paraId="1C96FFD3" w14:textId="77777777" w:rsidR="00704151" w:rsidRPr="00687637" w:rsidRDefault="00704151" w:rsidP="00924B64">
            <w:pPr>
              <w:rPr>
                <w:sz w:val="20"/>
                <w:szCs w:val="20"/>
                <w:lang w:eastAsia="en-GB"/>
              </w:rPr>
            </w:pPr>
            <w:r w:rsidRPr="00687637">
              <w:rPr>
                <w:sz w:val="20"/>
                <w:szCs w:val="20"/>
                <w:lang w:eastAsia="en-GB"/>
              </w:rPr>
              <w:t>Country - free search</w:t>
            </w:r>
          </w:p>
        </w:tc>
        <w:tc>
          <w:tcPr>
            <w:tcW w:w="1045" w:type="pct"/>
            <w:tcBorders>
              <w:top w:val="nil"/>
              <w:left w:val="nil"/>
              <w:right w:val="nil"/>
            </w:tcBorders>
            <w:shd w:val="clear" w:color="auto" w:fill="auto"/>
            <w:noWrap/>
            <w:vAlign w:val="bottom"/>
            <w:hideMark/>
          </w:tcPr>
          <w:p w14:paraId="67E112F3" w14:textId="77777777" w:rsidR="00704151" w:rsidRPr="00687637" w:rsidRDefault="00704151" w:rsidP="00924B64">
            <w:pPr>
              <w:jc w:val="center"/>
              <w:rPr>
                <w:sz w:val="20"/>
                <w:szCs w:val="20"/>
                <w:lang w:eastAsia="en-GB"/>
              </w:rPr>
            </w:pPr>
            <w:r w:rsidRPr="00687637">
              <w:rPr>
                <w:sz w:val="20"/>
                <w:szCs w:val="20"/>
                <w:lang w:eastAsia="en-GB"/>
              </w:rPr>
              <w:t>33,910</w:t>
            </w:r>
          </w:p>
        </w:tc>
        <w:tc>
          <w:tcPr>
            <w:tcW w:w="327" w:type="pct"/>
            <w:tcBorders>
              <w:top w:val="nil"/>
              <w:left w:val="nil"/>
              <w:right w:val="nil"/>
            </w:tcBorders>
            <w:shd w:val="clear" w:color="auto" w:fill="auto"/>
            <w:noWrap/>
            <w:vAlign w:val="bottom"/>
            <w:hideMark/>
          </w:tcPr>
          <w:p w14:paraId="40A0D130" w14:textId="77777777" w:rsidR="00704151" w:rsidRPr="00687637" w:rsidRDefault="00704151" w:rsidP="00924B64">
            <w:pPr>
              <w:jc w:val="center"/>
              <w:rPr>
                <w:sz w:val="20"/>
                <w:szCs w:val="20"/>
                <w:lang w:eastAsia="en-GB"/>
              </w:rPr>
            </w:pPr>
            <w:r w:rsidRPr="00687637">
              <w:rPr>
                <w:sz w:val="20"/>
                <w:szCs w:val="20"/>
                <w:lang w:eastAsia="en-GB"/>
              </w:rPr>
              <w:t>0.9</w:t>
            </w:r>
          </w:p>
        </w:tc>
        <w:tc>
          <w:tcPr>
            <w:tcW w:w="238" w:type="pct"/>
            <w:tcBorders>
              <w:top w:val="nil"/>
              <w:left w:val="nil"/>
              <w:right w:val="nil"/>
            </w:tcBorders>
            <w:shd w:val="clear" w:color="auto" w:fill="auto"/>
            <w:noWrap/>
            <w:vAlign w:val="bottom"/>
            <w:hideMark/>
          </w:tcPr>
          <w:p w14:paraId="74860144" w14:textId="77777777" w:rsidR="00704151" w:rsidRPr="00687637" w:rsidRDefault="00704151" w:rsidP="00924B64">
            <w:pPr>
              <w:jc w:val="center"/>
              <w:rPr>
                <w:sz w:val="20"/>
                <w:szCs w:val="20"/>
                <w:lang w:eastAsia="en-GB"/>
              </w:rPr>
            </w:pPr>
          </w:p>
        </w:tc>
        <w:tc>
          <w:tcPr>
            <w:tcW w:w="1153" w:type="pct"/>
            <w:tcBorders>
              <w:top w:val="nil"/>
              <w:left w:val="nil"/>
              <w:right w:val="nil"/>
            </w:tcBorders>
            <w:shd w:val="clear" w:color="auto" w:fill="auto"/>
            <w:noWrap/>
            <w:vAlign w:val="bottom"/>
            <w:hideMark/>
          </w:tcPr>
          <w:p w14:paraId="53EB7DF2" w14:textId="77777777" w:rsidR="00704151" w:rsidRPr="00687637" w:rsidRDefault="00704151" w:rsidP="00924B64">
            <w:pPr>
              <w:jc w:val="center"/>
              <w:rPr>
                <w:sz w:val="20"/>
                <w:szCs w:val="20"/>
                <w:lang w:eastAsia="en-GB"/>
              </w:rPr>
            </w:pPr>
            <w:r w:rsidRPr="00687637">
              <w:rPr>
                <w:sz w:val="20"/>
                <w:szCs w:val="20"/>
                <w:lang w:eastAsia="en-GB"/>
              </w:rPr>
              <w:t>15</w:t>
            </w:r>
          </w:p>
        </w:tc>
        <w:tc>
          <w:tcPr>
            <w:tcW w:w="327" w:type="pct"/>
            <w:tcBorders>
              <w:top w:val="nil"/>
              <w:left w:val="nil"/>
              <w:right w:val="nil"/>
            </w:tcBorders>
            <w:shd w:val="clear" w:color="auto" w:fill="auto"/>
            <w:noWrap/>
            <w:vAlign w:val="bottom"/>
            <w:hideMark/>
          </w:tcPr>
          <w:p w14:paraId="0C4B8AA7" w14:textId="77777777" w:rsidR="00704151" w:rsidRPr="00687637" w:rsidRDefault="00704151" w:rsidP="00924B64">
            <w:pPr>
              <w:jc w:val="center"/>
              <w:rPr>
                <w:sz w:val="20"/>
                <w:szCs w:val="20"/>
                <w:lang w:eastAsia="en-GB"/>
              </w:rPr>
            </w:pPr>
            <w:r w:rsidRPr="00687637">
              <w:rPr>
                <w:sz w:val="20"/>
                <w:szCs w:val="20"/>
                <w:lang w:eastAsia="en-GB"/>
              </w:rPr>
              <w:t>0.2</w:t>
            </w:r>
          </w:p>
        </w:tc>
      </w:tr>
      <w:tr w:rsidR="00704151" w:rsidRPr="00687637" w14:paraId="0E35204A" w14:textId="77777777" w:rsidTr="00924B64">
        <w:trPr>
          <w:trHeight w:val="300"/>
        </w:trPr>
        <w:tc>
          <w:tcPr>
            <w:tcW w:w="1910" w:type="pct"/>
            <w:tcBorders>
              <w:top w:val="nil"/>
              <w:left w:val="nil"/>
              <w:bottom w:val="single" w:sz="4" w:space="0" w:color="auto"/>
              <w:right w:val="nil"/>
            </w:tcBorders>
            <w:shd w:val="clear" w:color="auto" w:fill="auto"/>
            <w:noWrap/>
            <w:vAlign w:val="bottom"/>
            <w:hideMark/>
          </w:tcPr>
          <w:p w14:paraId="74EA59B8" w14:textId="77777777" w:rsidR="00704151" w:rsidRPr="00687637" w:rsidRDefault="00704151" w:rsidP="00924B64">
            <w:pPr>
              <w:rPr>
                <w:sz w:val="20"/>
                <w:szCs w:val="20"/>
                <w:lang w:eastAsia="en-GB"/>
              </w:rPr>
            </w:pPr>
            <w:r w:rsidRPr="00687637">
              <w:rPr>
                <w:sz w:val="20"/>
                <w:szCs w:val="20"/>
                <w:lang w:eastAsia="en-GB"/>
              </w:rPr>
              <w:t>Country item</w:t>
            </w:r>
          </w:p>
        </w:tc>
        <w:tc>
          <w:tcPr>
            <w:tcW w:w="1045" w:type="pct"/>
            <w:tcBorders>
              <w:top w:val="nil"/>
              <w:left w:val="nil"/>
              <w:bottom w:val="single" w:sz="4" w:space="0" w:color="auto"/>
              <w:right w:val="nil"/>
            </w:tcBorders>
            <w:shd w:val="clear" w:color="auto" w:fill="auto"/>
            <w:noWrap/>
            <w:vAlign w:val="bottom"/>
            <w:hideMark/>
          </w:tcPr>
          <w:p w14:paraId="5D80EFE9" w14:textId="77777777" w:rsidR="00704151" w:rsidRPr="00687637" w:rsidRDefault="00704151" w:rsidP="00924B64">
            <w:pPr>
              <w:jc w:val="center"/>
              <w:rPr>
                <w:sz w:val="20"/>
                <w:szCs w:val="20"/>
                <w:lang w:eastAsia="en-GB"/>
              </w:rPr>
            </w:pPr>
            <w:r w:rsidRPr="00687637">
              <w:rPr>
                <w:sz w:val="20"/>
                <w:szCs w:val="20"/>
                <w:lang w:eastAsia="en-GB"/>
              </w:rPr>
              <w:t>1,227,100</w:t>
            </w:r>
          </w:p>
        </w:tc>
        <w:tc>
          <w:tcPr>
            <w:tcW w:w="327" w:type="pct"/>
            <w:tcBorders>
              <w:top w:val="nil"/>
              <w:left w:val="nil"/>
              <w:bottom w:val="single" w:sz="4" w:space="0" w:color="auto"/>
              <w:right w:val="nil"/>
            </w:tcBorders>
            <w:shd w:val="clear" w:color="auto" w:fill="auto"/>
            <w:noWrap/>
            <w:vAlign w:val="bottom"/>
            <w:hideMark/>
          </w:tcPr>
          <w:p w14:paraId="3680B874" w14:textId="77777777" w:rsidR="00704151" w:rsidRPr="00687637" w:rsidRDefault="00704151" w:rsidP="00924B64">
            <w:pPr>
              <w:jc w:val="center"/>
              <w:rPr>
                <w:sz w:val="20"/>
                <w:szCs w:val="20"/>
                <w:lang w:eastAsia="en-GB"/>
              </w:rPr>
            </w:pPr>
            <w:r w:rsidRPr="00687637">
              <w:rPr>
                <w:sz w:val="20"/>
                <w:szCs w:val="20"/>
                <w:lang w:eastAsia="en-GB"/>
              </w:rPr>
              <w:t>31.3</w:t>
            </w:r>
          </w:p>
        </w:tc>
        <w:tc>
          <w:tcPr>
            <w:tcW w:w="238" w:type="pct"/>
            <w:tcBorders>
              <w:top w:val="nil"/>
              <w:left w:val="nil"/>
              <w:bottom w:val="single" w:sz="4" w:space="0" w:color="auto"/>
              <w:right w:val="nil"/>
            </w:tcBorders>
            <w:shd w:val="clear" w:color="auto" w:fill="auto"/>
            <w:noWrap/>
            <w:vAlign w:val="bottom"/>
            <w:hideMark/>
          </w:tcPr>
          <w:p w14:paraId="033108D2" w14:textId="77777777" w:rsidR="00704151" w:rsidRPr="00687637" w:rsidRDefault="00704151" w:rsidP="00924B64">
            <w:pPr>
              <w:jc w:val="center"/>
              <w:rPr>
                <w:sz w:val="20"/>
                <w:szCs w:val="20"/>
                <w:lang w:eastAsia="en-GB"/>
              </w:rPr>
            </w:pPr>
          </w:p>
        </w:tc>
        <w:tc>
          <w:tcPr>
            <w:tcW w:w="1153" w:type="pct"/>
            <w:tcBorders>
              <w:top w:val="nil"/>
              <w:left w:val="nil"/>
              <w:bottom w:val="single" w:sz="4" w:space="0" w:color="auto"/>
              <w:right w:val="nil"/>
            </w:tcBorders>
            <w:shd w:val="clear" w:color="auto" w:fill="auto"/>
            <w:noWrap/>
            <w:vAlign w:val="bottom"/>
            <w:hideMark/>
          </w:tcPr>
          <w:p w14:paraId="0B2C0921" w14:textId="77777777" w:rsidR="00704151" w:rsidRPr="00687637" w:rsidRDefault="00704151" w:rsidP="00924B64">
            <w:pPr>
              <w:jc w:val="center"/>
              <w:rPr>
                <w:sz w:val="20"/>
                <w:szCs w:val="20"/>
                <w:lang w:eastAsia="en-GB"/>
              </w:rPr>
            </w:pPr>
            <w:r w:rsidRPr="00687637">
              <w:rPr>
                <w:sz w:val="20"/>
                <w:szCs w:val="20"/>
                <w:lang w:eastAsia="en-GB"/>
              </w:rPr>
              <w:t>3,584</w:t>
            </w:r>
          </w:p>
        </w:tc>
        <w:tc>
          <w:tcPr>
            <w:tcW w:w="327" w:type="pct"/>
            <w:tcBorders>
              <w:top w:val="nil"/>
              <w:left w:val="nil"/>
              <w:bottom w:val="single" w:sz="4" w:space="0" w:color="auto"/>
              <w:right w:val="nil"/>
            </w:tcBorders>
            <w:shd w:val="clear" w:color="auto" w:fill="auto"/>
            <w:noWrap/>
            <w:vAlign w:val="bottom"/>
            <w:hideMark/>
          </w:tcPr>
          <w:p w14:paraId="3366EA3E" w14:textId="77777777" w:rsidR="00704151" w:rsidRPr="00687637" w:rsidRDefault="00704151" w:rsidP="00924B64">
            <w:pPr>
              <w:jc w:val="center"/>
              <w:rPr>
                <w:sz w:val="20"/>
                <w:szCs w:val="20"/>
                <w:lang w:eastAsia="en-GB"/>
              </w:rPr>
            </w:pPr>
            <w:r w:rsidRPr="00687637">
              <w:rPr>
                <w:sz w:val="20"/>
                <w:szCs w:val="20"/>
                <w:lang w:eastAsia="en-GB"/>
              </w:rPr>
              <w:t>56.7</w:t>
            </w:r>
          </w:p>
        </w:tc>
      </w:tr>
      <w:tr w:rsidR="00704151" w:rsidRPr="00687637" w14:paraId="5307C991" w14:textId="77777777" w:rsidTr="00924B64">
        <w:trPr>
          <w:trHeight w:val="300"/>
        </w:trPr>
        <w:tc>
          <w:tcPr>
            <w:tcW w:w="1910" w:type="pct"/>
            <w:tcBorders>
              <w:top w:val="single" w:sz="4" w:space="0" w:color="auto"/>
              <w:left w:val="nil"/>
              <w:bottom w:val="nil"/>
              <w:right w:val="nil"/>
            </w:tcBorders>
            <w:shd w:val="clear" w:color="auto" w:fill="auto"/>
            <w:noWrap/>
            <w:vAlign w:val="bottom"/>
            <w:hideMark/>
          </w:tcPr>
          <w:p w14:paraId="27245DF6" w14:textId="77777777" w:rsidR="00704151" w:rsidRPr="00687637" w:rsidRDefault="00704151" w:rsidP="00924B64">
            <w:pPr>
              <w:rPr>
                <w:sz w:val="20"/>
                <w:szCs w:val="20"/>
                <w:lang w:eastAsia="en-GB"/>
              </w:rPr>
            </w:pPr>
            <w:r w:rsidRPr="00687637">
              <w:rPr>
                <w:sz w:val="20"/>
                <w:szCs w:val="20"/>
                <w:lang w:eastAsia="en-GB"/>
              </w:rPr>
              <w:t>LATEST NEWS</w:t>
            </w:r>
          </w:p>
        </w:tc>
        <w:tc>
          <w:tcPr>
            <w:tcW w:w="1045" w:type="pct"/>
            <w:tcBorders>
              <w:top w:val="single" w:sz="4" w:space="0" w:color="auto"/>
              <w:left w:val="nil"/>
              <w:bottom w:val="nil"/>
              <w:right w:val="nil"/>
            </w:tcBorders>
            <w:shd w:val="clear" w:color="auto" w:fill="auto"/>
            <w:noWrap/>
            <w:vAlign w:val="bottom"/>
            <w:hideMark/>
          </w:tcPr>
          <w:p w14:paraId="3935627F" w14:textId="77777777" w:rsidR="00704151" w:rsidRPr="00687637" w:rsidRDefault="00704151" w:rsidP="00924B64">
            <w:pPr>
              <w:jc w:val="center"/>
              <w:rPr>
                <w:sz w:val="20"/>
                <w:szCs w:val="20"/>
                <w:lang w:eastAsia="en-GB"/>
              </w:rPr>
            </w:pPr>
            <w:r w:rsidRPr="00687637">
              <w:rPr>
                <w:sz w:val="20"/>
                <w:szCs w:val="20"/>
                <w:lang w:eastAsia="en-GB"/>
              </w:rPr>
              <w:t>38,915</w:t>
            </w:r>
          </w:p>
        </w:tc>
        <w:tc>
          <w:tcPr>
            <w:tcW w:w="327" w:type="pct"/>
            <w:tcBorders>
              <w:top w:val="single" w:sz="4" w:space="0" w:color="auto"/>
              <w:left w:val="nil"/>
              <w:bottom w:val="nil"/>
              <w:right w:val="nil"/>
            </w:tcBorders>
            <w:shd w:val="clear" w:color="auto" w:fill="auto"/>
            <w:noWrap/>
            <w:vAlign w:val="bottom"/>
            <w:hideMark/>
          </w:tcPr>
          <w:p w14:paraId="50108634" w14:textId="77777777" w:rsidR="00704151" w:rsidRPr="00687637" w:rsidRDefault="00704151" w:rsidP="00924B64">
            <w:pPr>
              <w:jc w:val="center"/>
              <w:rPr>
                <w:sz w:val="20"/>
                <w:szCs w:val="20"/>
                <w:lang w:eastAsia="en-GB"/>
              </w:rPr>
            </w:pPr>
            <w:r w:rsidRPr="00687637">
              <w:rPr>
                <w:sz w:val="20"/>
                <w:szCs w:val="20"/>
                <w:lang w:eastAsia="en-GB"/>
              </w:rPr>
              <w:t>1.0</w:t>
            </w:r>
          </w:p>
        </w:tc>
        <w:tc>
          <w:tcPr>
            <w:tcW w:w="238" w:type="pct"/>
            <w:tcBorders>
              <w:top w:val="single" w:sz="4" w:space="0" w:color="auto"/>
              <w:left w:val="nil"/>
              <w:bottom w:val="nil"/>
              <w:right w:val="nil"/>
            </w:tcBorders>
            <w:shd w:val="clear" w:color="auto" w:fill="auto"/>
            <w:noWrap/>
            <w:vAlign w:val="bottom"/>
            <w:hideMark/>
          </w:tcPr>
          <w:p w14:paraId="24F955CE" w14:textId="77777777" w:rsidR="00704151" w:rsidRPr="00687637" w:rsidRDefault="00704151" w:rsidP="00924B64">
            <w:pPr>
              <w:jc w:val="center"/>
              <w:rPr>
                <w:sz w:val="20"/>
                <w:szCs w:val="20"/>
                <w:lang w:eastAsia="en-GB"/>
              </w:rPr>
            </w:pPr>
          </w:p>
        </w:tc>
        <w:tc>
          <w:tcPr>
            <w:tcW w:w="1153" w:type="pct"/>
            <w:tcBorders>
              <w:top w:val="single" w:sz="4" w:space="0" w:color="auto"/>
              <w:left w:val="nil"/>
              <w:bottom w:val="nil"/>
              <w:right w:val="nil"/>
            </w:tcBorders>
            <w:shd w:val="clear" w:color="auto" w:fill="auto"/>
            <w:noWrap/>
            <w:vAlign w:val="bottom"/>
            <w:hideMark/>
          </w:tcPr>
          <w:p w14:paraId="0C5D7C4E" w14:textId="77777777" w:rsidR="00704151" w:rsidRPr="00687637" w:rsidRDefault="00704151" w:rsidP="00924B64">
            <w:pPr>
              <w:jc w:val="center"/>
              <w:rPr>
                <w:sz w:val="20"/>
                <w:szCs w:val="20"/>
                <w:lang w:eastAsia="en-GB"/>
              </w:rPr>
            </w:pPr>
            <w:r w:rsidRPr="00687637">
              <w:rPr>
                <w:sz w:val="20"/>
                <w:szCs w:val="20"/>
                <w:lang w:eastAsia="en-GB"/>
              </w:rPr>
              <w:t>28</w:t>
            </w:r>
          </w:p>
        </w:tc>
        <w:tc>
          <w:tcPr>
            <w:tcW w:w="327" w:type="pct"/>
            <w:tcBorders>
              <w:top w:val="single" w:sz="4" w:space="0" w:color="auto"/>
              <w:left w:val="nil"/>
              <w:bottom w:val="nil"/>
              <w:right w:val="nil"/>
            </w:tcBorders>
            <w:shd w:val="clear" w:color="auto" w:fill="auto"/>
            <w:noWrap/>
            <w:vAlign w:val="bottom"/>
            <w:hideMark/>
          </w:tcPr>
          <w:p w14:paraId="79768636" w14:textId="77777777" w:rsidR="00704151" w:rsidRPr="00687637" w:rsidRDefault="00704151" w:rsidP="00924B64">
            <w:pPr>
              <w:jc w:val="center"/>
              <w:rPr>
                <w:sz w:val="20"/>
                <w:szCs w:val="20"/>
                <w:lang w:eastAsia="en-GB"/>
              </w:rPr>
            </w:pPr>
            <w:r w:rsidRPr="00687637">
              <w:rPr>
                <w:sz w:val="20"/>
                <w:szCs w:val="20"/>
                <w:lang w:eastAsia="en-GB"/>
              </w:rPr>
              <w:t>0.4</w:t>
            </w:r>
          </w:p>
        </w:tc>
      </w:tr>
      <w:tr w:rsidR="00704151" w:rsidRPr="00687637" w14:paraId="30567609" w14:textId="77777777" w:rsidTr="00924B64">
        <w:trPr>
          <w:trHeight w:val="300"/>
        </w:trPr>
        <w:tc>
          <w:tcPr>
            <w:tcW w:w="1910" w:type="pct"/>
            <w:tcBorders>
              <w:top w:val="nil"/>
              <w:left w:val="nil"/>
              <w:bottom w:val="nil"/>
              <w:right w:val="nil"/>
            </w:tcBorders>
            <w:shd w:val="clear" w:color="auto" w:fill="auto"/>
            <w:noWrap/>
            <w:vAlign w:val="bottom"/>
            <w:hideMark/>
          </w:tcPr>
          <w:p w14:paraId="6CCC9491" w14:textId="77777777" w:rsidR="00704151" w:rsidRPr="00687637" w:rsidRDefault="00704151" w:rsidP="00924B64">
            <w:pPr>
              <w:rPr>
                <w:sz w:val="20"/>
                <w:szCs w:val="20"/>
                <w:lang w:eastAsia="en-GB"/>
              </w:rPr>
            </w:pPr>
            <w:r w:rsidRPr="00687637">
              <w:rPr>
                <w:sz w:val="20"/>
                <w:szCs w:val="20"/>
                <w:lang w:eastAsia="en-GB"/>
              </w:rPr>
              <w:t>News - free search</w:t>
            </w:r>
          </w:p>
        </w:tc>
        <w:tc>
          <w:tcPr>
            <w:tcW w:w="1045" w:type="pct"/>
            <w:tcBorders>
              <w:top w:val="nil"/>
              <w:left w:val="nil"/>
              <w:bottom w:val="nil"/>
              <w:right w:val="nil"/>
            </w:tcBorders>
            <w:shd w:val="clear" w:color="auto" w:fill="auto"/>
            <w:noWrap/>
            <w:vAlign w:val="bottom"/>
            <w:hideMark/>
          </w:tcPr>
          <w:p w14:paraId="7F6C7728" w14:textId="77777777" w:rsidR="00704151" w:rsidRPr="00687637" w:rsidRDefault="00704151" w:rsidP="00924B64">
            <w:pPr>
              <w:jc w:val="center"/>
              <w:rPr>
                <w:sz w:val="20"/>
                <w:szCs w:val="20"/>
                <w:lang w:eastAsia="en-GB"/>
              </w:rPr>
            </w:pPr>
            <w:r w:rsidRPr="00687637">
              <w:rPr>
                <w:sz w:val="20"/>
                <w:szCs w:val="20"/>
                <w:lang w:eastAsia="en-GB"/>
              </w:rPr>
              <w:t>7,174</w:t>
            </w:r>
          </w:p>
        </w:tc>
        <w:tc>
          <w:tcPr>
            <w:tcW w:w="327" w:type="pct"/>
            <w:tcBorders>
              <w:top w:val="nil"/>
              <w:left w:val="nil"/>
              <w:bottom w:val="nil"/>
              <w:right w:val="nil"/>
            </w:tcBorders>
            <w:shd w:val="clear" w:color="auto" w:fill="auto"/>
            <w:noWrap/>
            <w:vAlign w:val="bottom"/>
            <w:hideMark/>
          </w:tcPr>
          <w:p w14:paraId="7F243CBA" w14:textId="77777777" w:rsidR="00704151" w:rsidRPr="00687637" w:rsidRDefault="00704151" w:rsidP="00924B64">
            <w:pPr>
              <w:jc w:val="center"/>
              <w:rPr>
                <w:sz w:val="20"/>
                <w:szCs w:val="20"/>
                <w:lang w:eastAsia="en-GB"/>
              </w:rPr>
            </w:pPr>
            <w:r w:rsidRPr="00687637">
              <w:rPr>
                <w:sz w:val="20"/>
                <w:szCs w:val="20"/>
                <w:lang w:eastAsia="en-GB"/>
              </w:rPr>
              <w:t>0.2</w:t>
            </w:r>
          </w:p>
        </w:tc>
        <w:tc>
          <w:tcPr>
            <w:tcW w:w="238" w:type="pct"/>
            <w:tcBorders>
              <w:top w:val="nil"/>
              <w:left w:val="nil"/>
              <w:bottom w:val="nil"/>
              <w:right w:val="nil"/>
            </w:tcBorders>
            <w:shd w:val="clear" w:color="auto" w:fill="auto"/>
            <w:noWrap/>
            <w:vAlign w:val="bottom"/>
            <w:hideMark/>
          </w:tcPr>
          <w:p w14:paraId="2C3AADDF"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622D190E" w14:textId="77777777" w:rsidR="00704151" w:rsidRPr="00687637" w:rsidRDefault="00704151" w:rsidP="00924B64">
            <w:pPr>
              <w:jc w:val="center"/>
              <w:rPr>
                <w:sz w:val="20"/>
                <w:szCs w:val="20"/>
                <w:lang w:eastAsia="en-GB"/>
              </w:rPr>
            </w:pPr>
            <w:r w:rsidRPr="00687637">
              <w:rPr>
                <w:sz w:val="20"/>
                <w:szCs w:val="20"/>
                <w:lang w:eastAsia="en-GB"/>
              </w:rPr>
              <w:t>3</w:t>
            </w:r>
          </w:p>
        </w:tc>
        <w:tc>
          <w:tcPr>
            <w:tcW w:w="327" w:type="pct"/>
            <w:tcBorders>
              <w:top w:val="nil"/>
              <w:left w:val="nil"/>
              <w:bottom w:val="nil"/>
              <w:right w:val="nil"/>
            </w:tcBorders>
            <w:shd w:val="clear" w:color="auto" w:fill="auto"/>
            <w:noWrap/>
            <w:vAlign w:val="bottom"/>
            <w:hideMark/>
          </w:tcPr>
          <w:p w14:paraId="77270E24"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21DEF9DA" w14:textId="77777777" w:rsidTr="00924B64">
        <w:trPr>
          <w:trHeight w:val="300"/>
        </w:trPr>
        <w:tc>
          <w:tcPr>
            <w:tcW w:w="1910" w:type="pct"/>
            <w:tcBorders>
              <w:top w:val="nil"/>
              <w:left w:val="nil"/>
              <w:bottom w:val="nil"/>
              <w:right w:val="nil"/>
            </w:tcBorders>
            <w:shd w:val="clear" w:color="auto" w:fill="auto"/>
            <w:noWrap/>
            <w:vAlign w:val="bottom"/>
            <w:hideMark/>
          </w:tcPr>
          <w:p w14:paraId="7FFB13F4" w14:textId="77777777" w:rsidR="00704151" w:rsidRPr="00687637" w:rsidRDefault="00704151" w:rsidP="00924B64">
            <w:pPr>
              <w:rPr>
                <w:sz w:val="20"/>
                <w:szCs w:val="20"/>
                <w:lang w:eastAsia="en-GB"/>
              </w:rPr>
            </w:pPr>
            <w:r w:rsidRPr="00687637">
              <w:rPr>
                <w:sz w:val="20"/>
                <w:szCs w:val="20"/>
                <w:lang w:eastAsia="en-GB"/>
              </w:rPr>
              <w:t>News - form search</w:t>
            </w:r>
          </w:p>
        </w:tc>
        <w:tc>
          <w:tcPr>
            <w:tcW w:w="1045" w:type="pct"/>
            <w:tcBorders>
              <w:top w:val="nil"/>
              <w:left w:val="nil"/>
              <w:bottom w:val="nil"/>
              <w:right w:val="nil"/>
            </w:tcBorders>
            <w:shd w:val="clear" w:color="auto" w:fill="auto"/>
            <w:noWrap/>
            <w:vAlign w:val="bottom"/>
            <w:hideMark/>
          </w:tcPr>
          <w:p w14:paraId="5E396BEE" w14:textId="77777777" w:rsidR="00704151" w:rsidRPr="00687637" w:rsidRDefault="00704151" w:rsidP="00924B64">
            <w:pPr>
              <w:jc w:val="center"/>
              <w:rPr>
                <w:sz w:val="20"/>
                <w:szCs w:val="20"/>
                <w:lang w:eastAsia="en-GB"/>
              </w:rPr>
            </w:pPr>
            <w:r w:rsidRPr="00687637">
              <w:rPr>
                <w:sz w:val="20"/>
                <w:szCs w:val="20"/>
                <w:lang w:eastAsia="en-GB"/>
              </w:rPr>
              <w:t>142,612</w:t>
            </w:r>
          </w:p>
        </w:tc>
        <w:tc>
          <w:tcPr>
            <w:tcW w:w="327" w:type="pct"/>
            <w:tcBorders>
              <w:top w:val="nil"/>
              <w:left w:val="nil"/>
              <w:bottom w:val="nil"/>
              <w:right w:val="nil"/>
            </w:tcBorders>
            <w:shd w:val="clear" w:color="auto" w:fill="auto"/>
            <w:noWrap/>
            <w:vAlign w:val="bottom"/>
            <w:hideMark/>
          </w:tcPr>
          <w:p w14:paraId="5BEE5FB4" w14:textId="77777777" w:rsidR="00704151" w:rsidRPr="00687637" w:rsidRDefault="00704151" w:rsidP="00924B64">
            <w:pPr>
              <w:jc w:val="center"/>
              <w:rPr>
                <w:sz w:val="20"/>
                <w:szCs w:val="20"/>
                <w:lang w:eastAsia="en-GB"/>
              </w:rPr>
            </w:pPr>
            <w:r w:rsidRPr="00687637">
              <w:rPr>
                <w:sz w:val="20"/>
                <w:szCs w:val="20"/>
                <w:lang w:eastAsia="en-GB"/>
              </w:rPr>
              <w:t>3.6</w:t>
            </w:r>
          </w:p>
        </w:tc>
        <w:tc>
          <w:tcPr>
            <w:tcW w:w="238" w:type="pct"/>
            <w:tcBorders>
              <w:top w:val="nil"/>
              <w:left w:val="nil"/>
              <w:bottom w:val="nil"/>
              <w:right w:val="nil"/>
            </w:tcBorders>
            <w:shd w:val="clear" w:color="auto" w:fill="auto"/>
            <w:noWrap/>
            <w:vAlign w:val="bottom"/>
            <w:hideMark/>
          </w:tcPr>
          <w:p w14:paraId="62DA58DA"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6D8F8294" w14:textId="77777777" w:rsidR="00704151" w:rsidRPr="00687637" w:rsidRDefault="00704151" w:rsidP="00924B64">
            <w:pPr>
              <w:jc w:val="center"/>
              <w:rPr>
                <w:sz w:val="20"/>
                <w:szCs w:val="20"/>
                <w:lang w:eastAsia="en-GB"/>
              </w:rPr>
            </w:pPr>
            <w:r w:rsidRPr="00687637">
              <w:rPr>
                <w:sz w:val="20"/>
                <w:szCs w:val="20"/>
                <w:lang w:eastAsia="en-GB"/>
              </w:rPr>
              <w:t>100</w:t>
            </w:r>
          </w:p>
        </w:tc>
        <w:tc>
          <w:tcPr>
            <w:tcW w:w="327" w:type="pct"/>
            <w:tcBorders>
              <w:top w:val="nil"/>
              <w:left w:val="nil"/>
              <w:bottom w:val="nil"/>
              <w:right w:val="nil"/>
            </w:tcBorders>
            <w:shd w:val="clear" w:color="auto" w:fill="auto"/>
            <w:noWrap/>
            <w:vAlign w:val="bottom"/>
            <w:hideMark/>
          </w:tcPr>
          <w:p w14:paraId="35914A5F" w14:textId="77777777" w:rsidR="00704151" w:rsidRPr="00687637" w:rsidRDefault="00704151" w:rsidP="00924B64">
            <w:pPr>
              <w:jc w:val="center"/>
              <w:rPr>
                <w:sz w:val="20"/>
                <w:szCs w:val="20"/>
                <w:lang w:eastAsia="en-GB"/>
              </w:rPr>
            </w:pPr>
            <w:r w:rsidRPr="00687637">
              <w:rPr>
                <w:sz w:val="20"/>
                <w:szCs w:val="20"/>
                <w:lang w:eastAsia="en-GB"/>
              </w:rPr>
              <w:t>1.6</w:t>
            </w:r>
          </w:p>
        </w:tc>
      </w:tr>
      <w:tr w:rsidR="00704151" w:rsidRPr="00687637" w14:paraId="589C0380" w14:textId="77777777" w:rsidTr="00924B64">
        <w:trPr>
          <w:trHeight w:val="300"/>
        </w:trPr>
        <w:tc>
          <w:tcPr>
            <w:tcW w:w="1910" w:type="pct"/>
            <w:tcBorders>
              <w:top w:val="nil"/>
              <w:left w:val="nil"/>
              <w:right w:val="nil"/>
            </w:tcBorders>
            <w:shd w:val="clear" w:color="auto" w:fill="auto"/>
            <w:noWrap/>
            <w:vAlign w:val="bottom"/>
            <w:hideMark/>
          </w:tcPr>
          <w:p w14:paraId="0223E3C9" w14:textId="77777777" w:rsidR="00704151" w:rsidRPr="00687637" w:rsidRDefault="00704151" w:rsidP="00924B64">
            <w:pPr>
              <w:rPr>
                <w:sz w:val="20"/>
                <w:szCs w:val="20"/>
                <w:lang w:eastAsia="en-GB"/>
              </w:rPr>
            </w:pPr>
            <w:r w:rsidRPr="00687637">
              <w:rPr>
                <w:sz w:val="20"/>
                <w:szCs w:val="20"/>
                <w:lang w:eastAsia="en-GB"/>
              </w:rPr>
              <w:t>News - A-Z search</w:t>
            </w:r>
          </w:p>
        </w:tc>
        <w:tc>
          <w:tcPr>
            <w:tcW w:w="1045" w:type="pct"/>
            <w:tcBorders>
              <w:top w:val="nil"/>
              <w:left w:val="nil"/>
              <w:right w:val="nil"/>
            </w:tcBorders>
            <w:shd w:val="clear" w:color="auto" w:fill="auto"/>
            <w:noWrap/>
            <w:vAlign w:val="bottom"/>
            <w:hideMark/>
          </w:tcPr>
          <w:p w14:paraId="35E6435A" w14:textId="77777777" w:rsidR="00704151" w:rsidRPr="00687637" w:rsidRDefault="00704151" w:rsidP="00924B64">
            <w:pPr>
              <w:jc w:val="center"/>
              <w:rPr>
                <w:sz w:val="20"/>
                <w:szCs w:val="20"/>
                <w:lang w:eastAsia="en-GB"/>
              </w:rPr>
            </w:pPr>
            <w:r w:rsidRPr="00687637">
              <w:rPr>
                <w:sz w:val="20"/>
                <w:szCs w:val="20"/>
                <w:lang w:eastAsia="en-GB"/>
              </w:rPr>
              <w:t>24,676</w:t>
            </w:r>
          </w:p>
        </w:tc>
        <w:tc>
          <w:tcPr>
            <w:tcW w:w="327" w:type="pct"/>
            <w:tcBorders>
              <w:top w:val="nil"/>
              <w:left w:val="nil"/>
              <w:right w:val="nil"/>
            </w:tcBorders>
            <w:shd w:val="clear" w:color="auto" w:fill="auto"/>
            <w:noWrap/>
            <w:vAlign w:val="bottom"/>
            <w:hideMark/>
          </w:tcPr>
          <w:p w14:paraId="5DB2A96A" w14:textId="77777777" w:rsidR="00704151" w:rsidRPr="00687637" w:rsidRDefault="00704151" w:rsidP="00924B64">
            <w:pPr>
              <w:jc w:val="center"/>
              <w:rPr>
                <w:sz w:val="20"/>
                <w:szCs w:val="20"/>
                <w:lang w:eastAsia="en-GB"/>
              </w:rPr>
            </w:pPr>
            <w:r w:rsidRPr="00687637">
              <w:rPr>
                <w:sz w:val="20"/>
                <w:szCs w:val="20"/>
                <w:lang w:eastAsia="en-GB"/>
              </w:rPr>
              <w:t>0.6</w:t>
            </w:r>
          </w:p>
        </w:tc>
        <w:tc>
          <w:tcPr>
            <w:tcW w:w="238" w:type="pct"/>
            <w:tcBorders>
              <w:top w:val="nil"/>
              <w:left w:val="nil"/>
              <w:right w:val="nil"/>
            </w:tcBorders>
            <w:shd w:val="clear" w:color="auto" w:fill="auto"/>
            <w:noWrap/>
            <w:vAlign w:val="bottom"/>
            <w:hideMark/>
          </w:tcPr>
          <w:p w14:paraId="2A1A308F" w14:textId="77777777" w:rsidR="00704151" w:rsidRPr="00687637" w:rsidRDefault="00704151" w:rsidP="00924B64">
            <w:pPr>
              <w:jc w:val="center"/>
              <w:rPr>
                <w:sz w:val="20"/>
                <w:szCs w:val="20"/>
                <w:lang w:eastAsia="en-GB"/>
              </w:rPr>
            </w:pPr>
          </w:p>
        </w:tc>
        <w:tc>
          <w:tcPr>
            <w:tcW w:w="1153" w:type="pct"/>
            <w:tcBorders>
              <w:top w:val="nil"/>
              <w:left w:val="nil"/>
              <w:right w:val="nil"/>
            </w:tcBorders>
            <w:shd w:val="clear" w:color="auto" w:fill="auto"/>
            <w:noWrap/>
            <w:vAlign w:val="bottom"/>
            <w:hideMark/>
          </w:tcPr>
          <w:p w14:paraId="49C5AAC0" w14:textId="77777777" w:rsidR="00704151" w:rsidRPr="00687637" w:rsidRDefault="00704151" w:rsidP="00924B64">
            <w:pPr>
              <w:jc w:val="center"/>
              <w:rPr>
                <w:sz w:val="20"/>
                <w:szCs w:val="20"/>
                <w:lang w:eastAsia="en-GB"/>
              </w:rPr>
            </w:pPr>
            <w:r w:rsidRPr="00687637">
              <w:rPr>
                <w:sz w:val="20"/>
                <w:szCs w:val="20"/>
                <w:lang w:eastAsia="en-GB"/>
              </w:rPr>
              <w:t>13</w:t>
            </w:r>
          </w:p>
        </w:tc>
        <w:tc>
          <w:tcPr>
            <w:tcW w:w="327" w:type="pct"/>
            <w:tcBorders>
              <w:top w:val="nil"/>
              <w:left w:val="nil"/>
              <w:right w:val="nil"/>
            </w:tcBorders>
            <w:shd w:val="clear" w:color="auto" w:fill="auto"/>
            <w:noWrap/>
            <w:vAlign w:val="bottom"/>
            <w:hideMark/>
          </w:tcPr>
          <w:p w14:paraId="3F34688F" w14:textId="77777777" w:rsidR="00704151" w:rsidRPr="00687637" w:rsidRDefault="00704151" w:rsidP="00924B64">
            <w:pPr>
              <w:jc w:val="center"/>
              <w:rPr>
                <w:sz w:val="20"/>
                <w:szCs w:val="20"/>
                <w:lang w:eastAsia="en-GB"/>
              </w:rPr>
            </w:pPr>
            <w:r w:rsidRPr="00687637">
              <w:rPr>
                <w:sz w:val="20"/>
                <w:szCs w:val="20"/>
                <w:lang w:eastAsia="en-GB"/>
              </w:rPr>
              <w:t>0.2</w:t>
            </w:r>
          </w:p>
        </w:tc>
      </w:tr>
      <w:tr w:rsidR="00704151" w:rsidRPr="00687637" w14:paraId="7732DEF4" w14:textId="77777777" w:rsidTr="00924B64">
        <w:trPr>
          <w:trHeight w:val="300"/>
        </w:trPr>
        <w:tc>
          <w:tcPr>
            <w:tcW w:w="1910" w:type="pct"/>
            <w:tcBorders>
              <w:top w:val="nil"/>
              <w:left w:val="nil"/>
              <w:bottom w:val="single" w:sz="4" w:space="0" w:color="auto"/>
              <w:right w:val="nil"/>
            </w:tcBorders>
            <w:shd w:val="clear" w:color="auto" w:fill="auto"/>
            <w:noWrap/>
            <w:vAlign w:val="bottom"/>
            <w:hideMark/>
          </w:tcPr>
          <w:p w14:paraId="743F1F43" w14:textId="77777777" w:rsidR="00704151" w:rsidRPr="00687637" w:rsidRDefault="00704151" w:rsidP="00924B64">
            <w:pPr>
              <w:rPr>
                <w:sz w:val="20"/>
                <w:szCs w:val="20"/>
                <w:lang w:eastAsia="en-GB"/>
              </w:rPr>
            </w:pPr>
            <w:r w:rsidRPr="00687637">
              <w:rPr>
                <w:sz w:val="20"/>
                <w:szCs w:val="20"/>
                <w:lang w:eastAsia="en-GB"/>
              </w:rPr>
              <w:t>News item</w:t>
            </w:r>
          </w:p>
        </w:tc>
        <w:tc>
          <w:tcPr>
            <w:tcW w:w="1045" w:type="pct"/>
            <w:tcBorders>
              <w:top w:val="nil"/>
              <w:left w:val="nil"/>
              <w:bottom w:val="single" w:sz="4" w:space="0" w:color="auto"/>
              <w:right w:val="nil"/>
            </w:tcBorders>
            <w:shd w:val="clear" w:color="auto" w:fill="auto"/>
            <w:noWrap/>
            <w:vAlign w:val="bottom"/>
            <w:hideMark/>
          </w:tcPr>
          <w:p w14:paraId="349F3E68" w14:textId="77777777" w:rsidR="00704151" w:rsidRPr="00687637" w:rsidRDefault="00704151" w:rsidP="00924B64">
            <w:pPr>
              <w:jc w:val="center"/>
              <w:rPr>
                <w:sz w:val="20"/>
                <w:szCs w:val="20"/>
                <w:lang w:eastAsia="en-GB"/>
              </w:rPr>
            </w:pPr>
            <w:r w:rsidRPr="00687637">
              <w:rPr>
                <w:sz w:val="20"/>
                <w:szCs w:val="20"/>
                <w:lang w:eastAsia="en-GB"/>
              </w:rPr>
              <w:t>321,812</w:t>
            </w:r>
          </w:p>
        </w:tc>
        <w:tc>
          <w:tcPr>
            <w:tcW w:w="327" w:type="pct"/>
            <w:tcBorders>
              <w:top w:val="nil"/>
              <w:left w:val="nil"/>
              <w:bottom w:val="single" w:sz="4" w:space="0" w:color="auto"/>
              <w:right w:val="nil"/>
            </w:tcBorders>
            <w:shd w:val="clear" w:color="auto" w:fill="auto"/>
            <w:noWrap/>
            <w:vAlign w:val="bottom"/>
            <w:hideMark/>
          </w:tcPr>
          <w:p w14:paraId="5C29F95E" w14:textId="77777777" w:rsidR="00704151" w:rsidRPr="00687637" w:rsidRDefault="00704151" w:rsidP="00924B64">
            <w:pPr>
              <w:jc w:val="center"/>
              <w:rPr>
                <w:sz w:val="20"/>
                <w:szCs w:val="20"/>
                <w:lang w:eastAsia="en-GB"/>
              </w:rPr>
            </w:pPr>
            <w:r w:rsidRPr="00687637">
              <w:rPr>
                <w:sz w:val="20"/>
                <w:szCs w:val="20"/>
                <w:lang w:eastAsia="en-GB"/>
              </w:rPr>
              <w:t>8.2</w:t>
            </w:r>
          </w:p>
        </w:tc>
        <w:tc>
          <w:tcPr>
            <w:tcW w:w="238" w:type="pct"/>
            <w:tcBorders>
              <w:top w:val="nil"/>
              <w:left w:val="nil"/>
              <w:bottom w:val="single" w:sz="4" w:space="0" w:color="auto"/>
              <w:right w:val="nil"/>
            </w:tcBorders>
            <w:shd w:val="clear" w:color="auto" w:fill="auto"/>
            <w:noWrap/>
            <w:vAlign w:val="bottom"/>
            <w:hideMark/>
          </w:tcPr>
          <w:p w14:paraId="51505FF7" w14:textId="77777777" w:rsidR="00704151" w:rsidRPr="00687637" w:rsidRDefault="00704151" w:rsidP="00924B64">
            <w:pPr>
              <w:jc w:val="center"/>
              <w:rPr>
                <w:sz w:val="20"/>
                <w:szCs w:val="20"/>
                <w:lang w:eastAsia="en-GB"/>
              </w:rPr>
            </w:pPr>
          </w:p>
        </w:tc>
        <w:tc>
          <w:tcPr>
            <w:tcW w:w="1153" w:type="pct"/>
            <w:tcBorders>
              <w:top w:val="nil"/>
              <w:left w:val="nil"/>
              <w:bottom w:val="single" w:sz="4" w:space="0" w:color="auto"/>
              <w:right w:val="nil"/>
            </w:tcBorders>
            <w:shd w:val="clear" w:color="auto" w:fill="auto"/>
            <w:noWrap/>
            <w:vAlign w:val="bottom"/>
            <w:hideMark/>
          </w:tcPr>
          <w:p w14:paraId="137E7840" w14:textId="77777777" w:rsidR="00704151" w:rsidRPr="00687637" w:rsidRDefault="00704151" w:rsidP="00924B64">
            <w:pPr>
              <w:jc w:val="center"/>
              <w:rPr>
                <w:sz w:val="20"/>
                <w:szCs w:val="20"/>
                <w:lang w:eastAsia="en-GB"/>
              </w:rPr>
            </w:pPr>
            <w:r w:rsidRPr="00687637">
              <w:rPr>
                <w:sz w:val="20"/>
                <w:szCs w:val="20"/>
                <w:lang w:eastAsia="en-GB"/>
              </w:rPr>
              <w:t>660</w:t>
            </w:r>
          </w:p>
        </w:tc>
        <w:tc>
          <w:tcPr>
            <w:tcW w:w="327" w:type="pct"/>
            <w:tcBorders>
              <w:top w:val="nil"/>
              <w:left w:val="nil"/>
              <w:bottom w:val="single" w:sz="4" w:space="0" w:color="auto"/>
              <w:right w:val="nil"/>
            </w:tcBorders>
            <w:shd w:val="clear" w:color="auto" w:fill="auto"/>
            <w:noWrap/>
            <w:vAlign w:val="bottom"/>
            <w:hideMark/>
          </w:tcPr>
          <w:p w14:paraId="75D7E9D7" w14:textId="77777777" w:rsidR="00704151" w:rsidRPr="00687637" w:rsidRDefault="00704151" w:rsidP="00924B64">
            <w:pPr>
              <w:jc w:val="center"/>
              <w:rPr>
                <w:sz w:val="20"/>
                <w:szCs w:val="20"/>
                <w:lang w:eastAsia="en-GB"/>
              </w:rPr>
            </w:pPr>
            <w:r w:rsidRPr="00687637">
              <w:rPr>
                <w:sz w:val="20"/>
                <w:szCs w:val="20"/>
                <w:lang w:eastAsia="en-GB"/>
              </w:rPr>
              <w:t>10.4</w:t>
            </w:r>
          </w:p>
        </w:tc>
      </w:tr>
      <w:tr w:rsidR="00704151" w:rsidRPr="00687637" w14:paraId="5F5C6C9F" w14:textId="77777777" w:rsidTr="00924B64">
        <w:trPr>
          <w:trHeight w:val="300"/>
        </w:trPr>
        <w:tc>
          <w:tcPr>
            <w:tcW w:w="1910" w:type="pct"/>
            <w:tcBorders>
              <w:top w:val="single" w:sz="4" w:space="0" w:color="auto"/>
              <w:left w:val="nil"/>
              <w:bottom w:val="nil"/>
              <w:right w:val="nil"/>
            </w:tcBorders>
            <w:shd w:val="clear" w:color="auto" w:fill="auto"/>
            <w:noWrap/>
            <w:vAlign w:val="bottom"/>
            <w:hideMark/>
          </w:tcPr>
          <w:p w14:paraId="75A02E99" w14:textId="77777777" w:rsidR="00704151" w:rsidRPr="00687637" w:rsidRDefault="00704151" w:rsidP="00924B64">
            <w:pPr>
              <w:rPr>
                <w:sz w:val="20"/>
                <w:szCs w:val="20"/>
                <w:lang w:eastAsia="en-GB"/>
              </w:rPr>
            </w:pPr>
            <w:r w:rsidRPr="00687637">
              <w:rPr>
                <w:sz w:val="20"/>
                <w:szCs w:val="20"/>
                <w:lang w:eastAsia="en-GB"/>
              </w:rPr>
              <w:t>OUTBREAK SURVEILLANCE</w:t>
            </w:r>
          </w:p>
        </w:tc>
        <w:tc>
          <w:tcPr>
            <w:tcW w:w="1045" w:type="pct"/>
            <w:tcBorders>
              <w:top w:val="single" w:sz="4" w:space="0" w:color="auto"/>
              <w:left w:val="nil"/>
              <w:bottom w:val="nil"/>
              <w:right w:val="nil"/>
            </w:tcBorders>
            <w:shd w:val="clear" w:color="auto" w:fill="auto"/>
            <w:noWrap/>
            <w:vAlign w:val="bottom"/>
            <w:hideMark/>
          </w:tcPr>
          <w:p w14:paraId="1D289C72" w14:textId="77777777" w:rsidR="00704151" w:rsidRPr="00687637" w:rsidRDefault="00704151" w:rsidP="00924B64">
            <w:pPr>
              <w:jc w:val="center"/>
              <w:rPr>
                <w:sz w:val="20"/>
                <w:szCs w:val="20"/>
                <w:lang w:eastAsia="en-GB"/>
              </w:rPr>
            </w:pPr>
            <w:r w:rsidRPr="00687637">
              <w:rPr>
                <w:sz w:val="20"/>
                <w:szCs w:val="20"/>
                <w:lang w:eastAsia="en-GB"/>
              </w:rPr>
              <w:t>30,937</w:t>
            </w:r>
          </w:p>
        </w:tc>
        <w:tc>
          <w:tcPr>
            <w:tcW w:w="327" w:type="pct"/>
            <w:tcBorders>
              <w:top w:val="single" w:sz="4" w:space="0" w:color="auto"/>
              <w:left w:val="nil"/>
              <w:bottom w:val="nil"/>
              <w:right w:val="nil"/>
            </w:tcBorders>
            <w:shd w:val="clear" w:color="auto" w:fill="auto"/>
            <w:noWrap/>
            <w:vAlign w:val="bottom"/>
            <w:hideMark/>
          </w:tcPr>
          <w:p w14:paraId="3A067471" w14:textId="77777777" w:rsidR="00704151" w:rsidRPr="00687637" w:rsidRDefault="00704151" w:rsidP="00924B64">
            <w:pPr>
              <w:jc w:val="center"/>
              <w:rPr>
                <w:sz w:val="20"/>
                <w:szCs w:val="20"/>
                <w:lang w:eastAsia="en-GB"/>
              </w:rPr>
            </w:pPr>
            <w:r w:rsidRPr="00687637">
              <w:rPr>
                <w:sz w:val="20"/>
                <w:szCs w:val="20"/>
                <w:lang w:eastAsia="en-GB"/>
              </w:rPr>
              <w:t>0.8</w:t>
            </w:r>
          </w:p>
        </w:tc>
        <w:tc>
          <w:tcPr>
            <w:tcW w:w="238" w:type="pct"/>
            <w:tcBorders>
              <w:top w:val="single" w:sz="4" w:space="0" w:color="auto"/>
              <w:left w:val="nil"/>
              <w:bottom w:val="nil"/>
              <w:right w:val="nil"/>
            </w:tcBorders>
            <w:shd w:val="clear" w:color="auto" w:fill="auto"/>
            <w:noWrap/>
            <w:vAlign w:val="bottom"/>
            <w:hideMark/>
          </w:tcPr>
          <w:p w14:paraId="24ADE147" w14:textId="77777777" w:rsidR="00704151" w:rsidRPr="00687637" w:rsidRDefault="00704151" w:rsidP="00924B64">
            <w:pPr>
              <w:jc w:val="center"/>
              <w:rPr>
                <w:sz w:val="20"/>
                <w:szCs w:val="20"/>
                <w:lang w:eastAsia="en-GB"/>
              </w:rPr>
            </w:pPr>
          </w:p>
        </w:tc>
        <w:tc>
          <w:tcPr>
            <w:tcW w:w="1153" w:type="pct"/>
            <w:tcBorders>
              <w:top w:val="single" w:sz="4" w:space="0" w:color="auto"/>
              <w:left w:val="nil"/>
              <w:bottom w:val="nil"/>
              <w:right w:val="nil"/>
            </w:tcBorders>
            <w:shd w:val="clear" w:color="auto" w:fill="auto"/>
            <w:noWrap/>
            <w:vAlign w:val="bottom"/>
            <w:hideMark/>
          </w:tcPr>
          <w:p w14:paraId="3DA82C8C" w14:textId="77777777" w:rsidR="00704151" w:rsidRPr="00687637" w:rsidRDefault="00704151" w:rsidP="00924B64">
            <w:pPr>
              <w:jc w:val="center"/>
              <w:rPr>
                <w:sz w:val="20"/>
                <w:szCs w:val="20"/>
                <w:lang w:eastAsia="en-GB"/>
              </w:rPr>
            </w:pPr>
            <w:r w:rsidRPr="00687637">
              <w:rPr>
                <w:sz w:val="20"/>
                <w:szCs w:val="20"/>
                <w:lang w:eastAsia="en-GB"/>
              </w:rPr>
              <w:t>31</w:t>
            </w:r>
          </w:p>
        </w:tc>
        <w:tc>
          <w:tcPr>
            <w:tcW w:w="327" w:type="pct"/>
            <w:tcBorders>
              <w:top w:val="single" w:sz="4" w:space="0" w:color="auto"/>
              <w:left w:val="nil"/>
              <w:bottom w:val="nil"/>
              <w:right w:val="nil"/>
            </w:tcBorders>
            <w:shd w:val="clear" w:color="auto" w:fill="auto"/>
            <w:noWrap/>
            <w:vAlign w:val="bottom"/>
            <w:hideMark/>
          </w:tcPr>
          <w:p w14:paraId="77C1C2D5" w14:textId="77777777" w:rsidR="00704151" w:rsidRPr="00687637" w:rsidRDefault="00704151" w:rsidP="00924B64">
            <w:pPr>
              <w:jc w:val="center"/>
              <w:rPr>
                <w:sz w:val="20"/>
                <w:szCs w:val="20"/>
                <w:lang w:eastAsia="en-GB"/>
              </w:rPr>
            </w:pPr>
            <w:r w:rsidRPr="00687637">
              <w:rPr>
                <w:sz w:val="20"/>
                <w:szCs w:val="20"/>
                <w:lang w:eastAsia="en-GB"/>
              </w:rPr>
              <w:t>0.5</w:t>
            </w:r>
          </w:p>
        </w:tc>
      </w:tr>
      <w:tr w:rsidR="00704151" w:rsidRPr="00687637" w14:paraId="6233BC8E" w14:textId="77777777" w:rsidTr="00924B64">
        <w:trPr>
          <w:trHeight w:val="300"/>
        </w:trPr>
        <w:tc>
          <w:tcPr>
            <w:tcW w:w="1910" w:type="pct"/>
            <w:tcBorders>
              <w:top w:val="nil"/>
              <w:left w:val="nil"/>
              <w:bottom w:val="nil"/>
              <w:right w:val="nil"/>
            </w:tcBorders>
            <w:shd w:val="clear" w:color="auto" w:fill="auto"/>
            <w:noWrap/>
            <w:vAlign w:val="bottom"/>
            <w:hideMark/>
          </w:tcPr>
          <w:p w14:paraId="77C00AB7" w14:textId="77777777" w:rsidR="00704151" w:rsidRPr="00687637" w:rsidRDefault="00704151" w:rsidP="00924B64">
            <w:pPr>
              <w:rPr>
                <w:sz w:val="20"/>
                <w:szCs w:val="20"/>
                <w:lang w:eastAsia="en-GB"/>
              </w:rPr>
            </w:pPr>
            <w:r w:rsidRPr="00687637">
              <w:rPr>
                <w:sz w:val="20"/>
                <w:szCs w:val="20"/>
                <w:lang w:eastAsia="en-GB"/>
              </w:rPr>
              <w:t>Outbreak - free search</w:t>
            </w:r>
          </w:p>
        </w:tc>
        <w:tc>
          <w:tcPr>
            <w:tcW w:w="1045" w:type="pct"/>
            <w:tcBorders>
              <w:top w:val="nil"/>
              <w:left w:val="nil"/>
              <w:bottom w:val="nil"/>
              <w:right w:val="nil"/>
            </w:tcBorders>
            <w:shd w:val="clear" w:color="auto" w:fill="auto"/>
            <w:noWrap/>
            <w:vAlign w:val="bottom"/>
            <w:hideMark/>
          </w:tcPr>
          <w:p w14:paraId="1D681175" w14:textId="77777777" w:rsidR="00704151" w:rsidRPr="00687637" w:rsidRDefault="00704151" w:rsidP="00924B64">
            <w:pPr>
              <w:jc w:val="center"/>
              <w:rPr>
                <w:sz w:val="20"/>
                <w:szCs w:val="20"/>
                <w:lang w:eastAsia="en-GB"/>
              </w:rPr>
            </w:pPr>
            <w:r w:rsidRPr="00687637">
              <w:rPr>
                <w:sz w:val="20"/>
                <w:szCs w:val="20"/>
                <w:lang w:eastAsia="en-GB"/>
              </w:rPr>
              <w:t>2,131</w:t>
            </w:r>
          </w:p>
        </w:tc>
        <w:tc>
          <w:tcPr>
            <w:tcW w:w="327" w:type="pct"/>
            <w:tcBorders>
              <w:top w:val="nil"/>
              <w:left w:val="nil"/>
              <w:bottom w:val="nil"/>
              <w:right w:val="nil"/>
            </w:tcBorders>
            <w:shd w:val="clear" w:color="auto" w:fill="auto"/>
            <w:noWrap/>
            <w:vAlign w:val="bottom"/>
            <w:hideMark/>
          </w:tcPr>
          <w:p w14:paraId="3C727C76" w14:textId="77777777" w:rsidR="00704151" w:rsidRPr="00687637" w:rsidRDefault="00704151" w:rsidP="00924B64">
            <w:pPr>
              <w:jc w:val="center"/>
              <w:rPr>
                <w:sz w:val="20"/>
                <w:szCs w:val="20"/>
                <w:lang w:eastAsia="en-GB"/>
              </w:rPr>
            </w:pPr>
            <w:r w:rsidRPr="00687637">
              <w:rPr>
                <w:sz w:val="20"/>
                <w:szCs w:val="20"/>
                <w:lang w:eastAsia="en-GB"/>
              </w:rPr>
              <w:t>0.1</w:t>
            </w:r>
          </w:p>
        </w:tc>
        <w:tc>
          <w:tcPr>
            <w:tcW w:w="238" w:type="pct"/>
            <w:tcBorders>
              <w:top w:val="nil"/>
              <w:left w:val="nil"/>
              <w:bottom w:val="nil"/>
              <w:right w:val="nil"/>
            </w:tcBorders>
            <w:shd w:val="clear" w:color="auto" w:fill="auto"/>
            <w:noWrap/>
            <w:vAlign w:val="bottom"/>
            <w:hideMark/>
          </w:tcPr>
          <w:p w14:paraId="0F1D953C"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7CF2D484" w14:textId="77777777" w:rsidR="00704151" w:rsidRPr="00687637" w:rsidRDefault="00704151" w:rsidP="00924B64">
            <w:pPr>
              <w:jc w:val="center"/>
              <w:rPr>
                <w:sz w:val="20"/>
                <w:szCs w:val="20"/>
                <w:lang w:eastAsia="en-GB"/>
              </w:rPr>
            </w:pPr>
            <w:r w:rsidRPr="00687637">
              <w:rPr>
                <w:sz w:val="20"/>
                <w:szCs w:val="20"/>
                <w:lang w:eastAsia="en-GB"/>
              </w:rPr>
              <w:t>3</w:t>
            </w:r>
          </w:p>
        </w:tc>
        <w:tc>
          <w:tcPr>
            <w:tcW w:w="327" w:type="pct"/>
            <w:tcBorders>
              <w:top w:val="nil"/>
              <w:left w:val="nil"/>
              <w:bottom w:val="nil"/>
              <w:right w:val="nil"/>
            </w:tcBorders>
            <w:shd w:val="clear" w:color="auto" w:fill="auto"/>
            <w:noWrap/>
            <w:vAlign w:val="bottom"/>
            <w:hideMark/>
          </w:tcPr>
          <w:p w14:paraId="0ACFD53A"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6B6D5E7C" w14:textId="77777777" w:rsidTr="00924B64">
        <w:trPr>
          <w:trHeight w:val="300"/>
        </w:trPr>
        <w:tc>
          <w:tcPr>
            <w:tcW w:w="1910" w:type="pct"/>
            <w:tcBorders>
              <w:top w:val="nil"/>
              <w:left w:val="nil"/>
              <w:bottom w:val="nil"/>
              <w:right w:val="nil"/>
            </w:tcBorders>
            <w:shd w:val="clear" w:color="auto" w:fill="auto"/>
            <w:noWrap/>
            <w:vAlign w:val="bottom"/>
            <w:hideMark/>
          </w:tcPr>
          <w:p w14:paraId="75D56D0C" w14:textId="77777777" w:rsidR="00704151" w:rsidRPr="00687637" w:rsidRDefault="00704151" w:rsidP="00924B64">
            <w:pPr>
              <w:rPr>
                <w:sz w:val="20"/>
                <w:szCs w:val="20"/>
                <w:lang w:eastAsia="en-GB"/>
              </w:rPr>
            </w:pPr>
            <w:r w:rsidRPr="00687637">
              <w:rPr>
                <w:sz w:val="20"/>
                <w:szCs w:val="20"/>
                <w:lang w:eastAsia="en-GB"/>
              </w:rPr>
              <w:t>Outbreak - form search</w:t>
            </w:r>
          </w:p>
        </w:tc>
        <w:tc>
          <w:tcPr>
            <w:tcW w:w="1045" w:type="pct"/>
            <w:tcBorders>
              <w:top w:val="nil"/>
              <w:left w:val="nil"/>
              <w:bottom w:val="nil"/>
              <w:right w:val="nil"/>
            </w:tcBorders>
            <w:shd w:val="clear" w:color="auto" w:fill="auto"/>
            <w:noWrap/>
            <w:vAlign w:val="bottom"/>
            <w:hideMark/>
          </w:tcPr>
          <w:p w14:paraId="17C560EB" w14:textId="77777777" w:rsidR="00704151" w:rsidRPr="00687637" w:rsidRDefault="00704151" w:rsidP="00924B64">
            <w:pPr>
              <w:jc w:val="center"/>
              <w:rPr>
                <w:sz w:val="20"/>
                <w:szCs w:val="20"/>
                <w:lang w:eastAsia="en-GB"/>
              </w:rPr>
            </w:pPr>
            <w:r w:rsidRPr="00687637">
              <w:rPr>
                <w:sz w:val="20"/>
                <w:szCs w:val="20"/>
                <w:lang w:eastAsia="en-GB"/>
              </w:rPr>
              <w:t>22,114</w:t>
            </w:r>
          </w:p>
        </w:tc>
        <w:tc>
          <w:tcPr>
            <w:tcW w:w="327" w:type="pct"/>
            <w:tcBorders>
              <w:top w:val="nil"/>
              <w:left w:val="nil"/>
              <w:bottom w:val="nil"/>
              <w:right w:val="nil"/>
            </w:tcBorders>
            <w:shd w:val="clear" w:color="auto" w:fill="auto"/>
            <w:noWrap/>
            <w:vAlign w:val="bottom"/>
            <w:hideMark/>
          </w:tcPr>
          <w:p w14:paraId="0A23DF15" w14:textId="77777777" w:rsidR="00704151" w:rsidRPr="00687637" w:rsidRDefault="00704151" w:rsidP="00924B64">
            <w:pPr>
              <w:jc w:val="center"/>
              <w:rPr>
                <w:sz w:val="20"/>
                <w:szCs w:val="20"/>
                <w:lang w:eastAsia="en-GB"/>
              </w:rPr>
            </w:pPr>
            <w:r w:rsidRPr="00687637">
              <w:rPr>
                <w:sz w:val="20"/>
                <w:szCs w:val="20"/>
                <w:lang w:eastAsia="en-GB"/>
              </w:rPr>
              <w:t>0.6</w:t>
            </w:r>
          </w:p>
        </w:tc>
        <w:tc>
          <w:tcPr>
            <w:tcW w:w="238" w:type="pct"/>
            <w:tcBorders>
              <w:top w:val="nil"/>
              <w:left w:val="nil"/>
              <w:bottom w:val="nil"/>
              <w:right w:val="nil"/>
            </w:tcBorders>
            <w:shd w:val="clear" w:color="auto" w:fill="auto"/>
            <w:noWrap/>
            <w:vAlign w:val="bottom"/>
            <w:hideMark/>
          </w:tcPr>
          <w:p w14:paraId="1D31D597"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1BDBB4BC" w14:textId="77777777" w:rsidR="00704151" w:rsidRPr="00687637" w:rsidRDefault="00704151" w:rsidP="00924B64">
            <w:pPr>
              <w:jc w:val="center"/>
              <w:rPr>
                <w:sz w:val="20"/>
                <w:szCs w:val="20"/>
                <w:lang w:eastAsia="en-GB"/>
              </w:rPr>
            </w:pPr>
            <w:r w:rsidRPr="00687637">
              <w:rPr>
                <w:sz w:val="20"/>
                <w:szCs w:val="20"/>
                <w:lang w:eastAsia="en-GB"/>
              </w:rPr>
              <w:t>24</w:t>
            </w:r>
          </w:p>
        </w:tc>
        <w:tc>
          <w:tcPr>
            <w:tcW w:w="327" w:type="pct"/>
            <w:tcBorders>
              <w:top w:val="nil"/>
              <w:left w:val="nil"/>
              <w:bottom w:val="nil"/>
              <w:right w:val="nil"/>
            </w:tcBorders>
            <w:shd w:val="clear" w:color="auto" w:fill="auto"/>
            <w:noWrap/>
            <w:vAlign w:val="bottom"/>
            <w:hideMark/>
          </w:tcPr>
          <w:p w14:paraId="56B15096" w14:textId="77777777" w:rsidR="00704151" w:rsidRPr="00687637" w:rsidRDefault="00704151" w:rsidP="00924B64">
            <w:pPr>
              <w:jc w:val="center"/>
              <w:rPr>
                <w:sz w:val="20"/>
                <w:szCs w:val="20"/>
                <w:lang w:eastAsia="en-GB"/>
              </w:rPr>
            </w:pPr>
            <w:r w:rsidRPr="00687637">
              <w:rPr>
                <w:sz w:val="20"/>
                <w:szCs w:val="20"/>
                <w:lang w:eastAsia="en-GB"/>
              </w:rPr>
              <w:t>0.4</w:t>
            </w:r>
          </w:p>
        </w:tc>
      </w:tr>
      <w:tr w:rsidR="00704151" w:rsidRPr="00687637" w14:paraId="549901C3" w14:textId="77777777" w:rsidTr="00924B64">
        <w:trPr>
          <w:trHeight w:val="300"/>
        </w:trPr>
        <w:tc>
          <w:tcPr>
            <w:tcW w:w="1910" w:type="pct"/>
            <w:tcBorders>
              <w:top w:val="nil"/>
              <w:left w:val="nil"/>
              <w:right w:val="nil"/>
            </w:tcBorders>
            <w:shd w:val="clear" w:color="auto" w:fill="auto"/>
            <w:noWrap/>
            <w:vAlign w:val="bottom"/>
            <w:hideMark/>
          </w:tcPr>
          <w:p w14:paraId="5DCEACA3" w14:textId="77777777" w:rsidR="00704151" w:rsidRPr="00687637" w:rsidRDefault="00704151" w:rsidP="00924B64">
            <w:pPr>
              <w:rPr>
                <w:sz w:val="20"/>
                <w:szCs w:val="20"/>
                <w:lang w:eastAsia="en-GB"/>
              </w:rPr>
            </w:pPr>
            <w:r w:rsidRPr="00687637">
              <w:rPr>
                <w:sz w:val="20"/>
                <w:szCs w:val="20"/>
                <w:lang w:eastAsia="en-GB"/>
              </w:rPr>
              <w:t>Outbreak - linked search</w:t>
            </w:r>
          </w:p>
        </w:tc>
        <w:tc>
          <w:tcPr>
            <w:tcW w:w="1045" w:type="pct"/>
            <w:tcBorders>
              <w:top w:val="nil"/>
              <w:left w:val="nil"/>
              <w:right w:val="nil"/>
            </w:tcBorders>
            <w:shd w:val="clear" w:color="auto" w:fill="auto"/>
            <w:noWrap/>
            <w:vAlign w:val="bottom"/>
            <w:hideMark/>
          </w:tcPr>
          <w:p w14:paraId="5CC1D124" w14:textId="77777777" w:rsidR="00704151" w:rsidRPr="00687637" w:rsidRDefault="00704151" w:rsidP="00924B64">
            <w:pPr>
              <w:jc w:val="center"/>
              <w:rPr>
                <w:sz w:val="20"/>
                <w:szCs w:val="20"/>
                <w:lang w:eastAsia="en-GB"/>
              </w:rPr>
            </w:pPr>
            <w:r w:rsidRPr="00687637">
              <w:rPr>
                <w:sz w:val="20"/>
                <w:szCs w:val="20"/>
                <w:lang w:eastAsia="en-GB"/>
              </w:rPr>
              <w:t>2,207</w:t>
            </w:r>
          </w:p>
        </w:tc>
        <w:tc>
          <w:tcPr>
            <w:tcW w:w="327" w:type="pct"/>
            <w:tcBorders>
              <w:top w:val="nil"/>
              <w:left w:val="nil"/>
              <w:right w:val="nil"/>
            </w:tcBorders>
            <w:shd w:val="clear" w:color="auto" w:fill="auto"/>
            <w:noWrap/>
            <w:vAlign w:val="bottom"/>
            <w:hideMark/>
          </w:tcPr>
          <w:p w14:paraId="12812973" w14:textId="77777777" w:rsidR="00704151" w:rsidRPr="00687637" w:rsidRDefault="00704151" w:rsidP="00924B64">
            <w:pPr>
              <w:jc w:val="center"/>
              <w:rPr>
                <w:sz w:val="20"/>
                <w:szCs w:val="20"/>
                <w:lang w:eastAsia="en-GB"/>
              </w:rPr>
            </w:pPr>
            <w:r w:rsidRPr="00687637">
              <w:rPr>
                <w:sz w:val="20"/>
                <w:szCs w:val="20"/>
                <w:lang w:eastAsia="en-GB"/>
              </w:rPr>
              <w:t>0.1</w:t>
            </w:r>
          </w:p>
        </w:tc>
        <w:tc>
          <w:tcPr>
            <w:tcW w:w="238" w:type="pct"/>
            <w:tcBorders>
              <w:top w:val="nil"/>
              <w:left w:val="nil"/>
              <w:right w:val="nil"/>
            </w:tcBorders>
            <w:shd w:val="clear" w:color="auto" w:fill="auto"/>
            <w:noWrap/>
            <w:vAlign w:val="bottom"/>
            <w:hideMark/>
          </w:tcPr>
          <w:p w14:paraId="001FCC51" w14:textId="77777777" w:rsidR="00704151" w:rsidRPr="00687637" w:rsidRDefault="00704151" w:rsidP="00924B64">
            <w:pPr>
              <w:jc w:val="center"/>
              <w:rPr>
                <w:sz w:val="20"/>
                <w:szCs w:val="20"/>
                <w:lang w:eastAsia="en-GB"/>
              </w:rPr>
            </w:pPr>
          </w:p>
        </w:tc>
        <w:tc>
          <w:tcPr>
            <w:tcW w:w="1153" w:type="pct"/>
            <w:tcBorders>
              <w:top w:val="nil"/>
              <w:left w:val="nil"/>
              <w:right w:val="nil"/>
            </w:tcBorders>
            <w:shd w:val="clear" w:color="auto" w:fill="auto"/>
            <w:noWrap/>
            <w:vAlign w:val="bottom"/>
            <w:hideMark/>
          </w:tcPr>
          <w:p w14:paraId="5EEDE0FE" w14:textId="77777777" w:rsidR="00704151" w:rsidRPr="00687637" w:rsidRDefault="00704151" w:rsidP="00924B64">
            <w:pPr>
              <w:jc w:val="center"/>
              <w:rPr>
                <w:sz w:val="20"/>
                <w:szCs w:val="20"/>
                <w:lang w:eastAsia="en-GB"/>
              </w:rPr>
            </w:pPr>
            <w:r w:rsidRPr="00687637">
              <w:rPr>
                <w:sz w:val="20"/>
                <w:szCs w:val="20"/>
                <w:lang w:eastAsia="en-GB"/>
              </w:rPr>
              <w:t>3</w:t>
            </w:r>
          </w:p>
        </w:tc>
        <w:tc>
          <w:tcPr>
            <w:tcW w:w="327" w:type="pct"/>
            <w:tcBorders>
              <w:top w:val="nil"/>
              <w:left w:val="nil"/>
              <w:right w:val="nil"/>
            </w:tcBorders>
            <w:shd w:val="clear" w:color="auto" w:fill="auto"/>
            <w:noWrap/>
            <w:vAlign w:val="bottom"/>
            <w:hideMark/>
          </w:tcPr>
          <w:p w14:paraId="66DD5880"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2E41E315" w14:textId="77777777" w:rsidTr="00924B64">
        <w:trPr>
          <w:trHeight w:val="300"/>
        </w:trPr>
        <w:tc>
          <w:tcPr>
            <w:tcW w:w="1910" w:type="pct"/>
            <w:tcBorders>
              <w:top w:val="nil"/>
              <w:left w:val="nil"/>
              <w:bottom w:val="single" w:sz="4" w:space="0" w:color="auto"/>
              <w:right w:val="nil"/>
            </w:tcBorders>
            <w:shd w:val="clear" w:color="auto" w:fill="auto"/>
            <w:noWrap/>
            <w:vAlign w:val="bottom"/>
            <w:hideMark/>
          </w:tcPr>
          <w:p w14:paraId="0CE578D3" w14:textId="77777777" w:rsidR="00704151" w:rsidRPr="00687637" w:rsidRDefault="00704151" w:rsidP="00924B64">
            <w:pPr>
              <w:rPr>
                <w:sz w:val="20"/>
                <w:szCs w:val="20"/>
                <w:lang w:eastAsia="en-GB"/>
              </w:rPr>
            </w:pPr>
            <w:r w:rsidRPr="00687637">
              <w:rPr>
                <w:sz w:val="20"/>
                <w:szCs w:val="20"/>
                <w:lang w:eastAsia="en-GB"/>
              </w:rPr>
              <w:t>Outbreak item</w:t>
            </w:r>
          </w:p>
        </w:tc>
        <w:tc>
          <w:tcPr>
            <w:tcW w:w="1045" w:type="pct"/>
            <w:tcBorders>
              <w:top w:val="nil"/>
              <w:left w:val="nil"/>
              <w:bottom w:val="single" w:sz="4" w:space="0" w:color="auto"/>
              <w:right w:val="nil"/>
            </w:tcBorders>
            <w:shd w:val="clear" w:color="auto" w:fill="auto"/>
            <w:noWrap/>
            <w:vAlign w:val="bottom"/>
            <w:hideMark/>
          </w:tcPr>
          <w:p w14:paraId="5A58E81B" w14:textId="77777777" w:rsidR="00704151" w:rsidRPr="00687637" w:rsidRDefault="00704151" w:rsidP="00924B64">
            <w:pPr>
              <w:jc w:val="center"/>
              <w:rPr>
                <w:sz w:val="20"/>
                <w:szCs w:val="20"/>
                <w:lang w:eastAsia="en-GB"/>
              </w:rPr>
            </w:pPr>
            <w:r w:rsidRPr="00687637">
              <w:rPr>
                <w:sz w:val="20"/>
                <w:szCs w:val="20"/>
                <w:lang w:eastAsia="en-GB"/>
              </w:rPr>
              <w:t>14,568</w:t>
            </w:r>
          </w:p>
        </w:tc>
        <w:tc>
          <w:tcPr>
            <w:tcW w:w="327" w:type="pct"/>
            <w:tcBorders>
              <w:top w:val="nil"/>
              <w:left w:val="nil"/>
              <w:bottom w:val="single" w:sz="4" w:space="0" w:color="auto"/>
              <w:right w:val="nil"/>
            </w:tcBorders>
            <w:shd w:val="clear" w:color="auto" w:fill="auto"/>
            <w:noWrap/>
            <w:vAlign w:val="bottom"/>
            <w:hideMark/>
          </w:tcPr>
          <w:p w14:paraId="1FCD2927" w14:textId="77777777" w:rsidR="00704151" w:rsidRPr="00687637" w:rsidRDefault="00704151" w:rsidP="00924B64">
            <w:pPr>
              <w:jc w:val="center"/>
              <w:rPr>
                <w:sz w:val="20"/>
                <w:szCs w:val="20"/>
                <w:lang w:eastAsia="en-GB"/>
              </w:rPr>
            </w:pPr>
            <w:r w:rsidRPr="00687637">
              <w:rPr>
                <w:sz w:val="20"/>
                <w:szCs w:val="20"/>
                <w:lang w:eastAsia="en-GB"/>
              </w:rPr>
              <w:t>0.4</w:t>
            </w:r>
          </w:p>
        </w:tc>
        <w:tc>
          <w:tcPr>
            <w:tcW w:w="238" w:type="pct"/>
            <w:tcBorders>
              <w:top w:val="nil"/>
              <w:left w:val="nil"/>
              <w:bottom w:val="single" w:sz="4" w:space="0" w:color="auto"/>
              <w:right w:val="nil"/>
            </w:tcBorders>
            <w:shd w:val="clear" w:color="auto" w:fill="auto"/>
            <w:noWrap/>
            <w:vAlign w:val="bottom"/>
            <w:hideMark/>
          </w:tcPr>
          <w:p w14:paraId="1CB092BD" w14:textId="77777777" w:rsidR="00704151" w:rsidRPr="00687637" w:rsidRDefault="00704151" w:rsidP="00924B64">
            <w:pPr>
              <w:jc w:val="center"/>
              <w:rPr>
                <w:sz w:val="20"/>
                <w:szCs w:val="20"/>
                <w:lang w:eastAsia="en-GB"/>
              </w:rPr>
            </w:pPr>
          </w:p>
        </w:tc>
        <w:tc>
          <w:tcPr>
            <w:tcW w:w="1153" w:type="pct"/>
            <w:tcBorders>
              <w:top w:val="nil"/>
              <w:left w:val="nil"/>
              <w:bottom w:val="single" w:sz="4" w:space="0" w:color="auto"/>
              <w:right w:val="nil"/>
            </w:tcBorders>
            <w:shd w:val="clear" w:color="auto" w:fill="auto"/>
            <w:noWrap/>
            <w:vAlign w:val="bottom"/>
            <w:hideMark/>
          </w:tcPr>
          <w:p w14:paraId="3CFA20C5" w14:textId="77777777" w:rsidR="00704151" w:rsidRPr="00687637" w:rsidRDefault="00704151" w:rsidP="00924B64">
            <w:pPr>
              <w:jc w:val="center"/>
              <w:rPr>
                <w:sz w:val="20"/>
                <w:szCs w:val="20"/>
                <w:lang w:eastAsia="en-GB"/>
              </w:rPr>
            </w:pPr>
            <w:r w:rsidRPr="00687637">
              <w:rPr>
                <w:sz w:val="20"/>
                <w:szCs w:val="20"/>
                <w:lang w:eastAsia="en-GB"/>
              </w:rPr>
              <w:t>11</w:t>
            </w:r>
          </w:p>
        </w:tc>
        <w:tc>
          <w:tcPr>
            <w:tcW w:w="327" w:type="pct"/>
            <w:tcBorders>
              <w:top w:val="nil"/>
              <w:left w:val="nil"/>
              <w:bottom w:val="single" w:sz="4" w:space="0" w:color="auto"/>
              <w:right w:val="nil"/>
            </w:tcBorders>
            <w:shd w:val="clear" w:color="auto" w:fill="auto"/>
            <w:noWrap/>
            <w:vAlign w:val="bottom"/>
            <w:hideMark/>
          </w:tcPr>
          <w:p w14:paraId="62C803AD" w14:textId="77777777" w:rsidR="00704151" w:rsidRPr="00687637" w:rsidRDefault="00704151" w:rsidP="00924B64">
            <w:pPr>
              <w:jc w:val="center"/>
              <w:rPr>
                <w:sz w:val="20"/>
                <w:szCs w:val="20"/>
                <w:lang w:eastAsia="en-GB"/>
              </w:rPr>
            </w:pPr>
            <w:r w:rsidRPr="00687637">
              <w:rPr>
                <w:sz w:val="20"/>
                <w:szCs w:val="20"/>
                <w:lang w:eastAsia="en-GB"/>
              </w:rPr>
              <w:t>0.2</w:t>
            </w:r>
          </w:p>
        </w:tc>
      </w:tr>
      <w:tr w:rsidR="00704151" w:rsidRPr="00687637" w14:paraId="1D294F4F" w14:textId="77777777" w:rsidTr="00924B64">
        <w:trPr>
          <w:trHeight w:val="300"/>
        </w:trPr>
        <w:tc>
          <w:tcPr>
            <w:tcW w:w="1910" w:type="pct"/>
            <w:tcBorders>
              <w:top w:val="single" w:sz="4" w:space="0" w:color="auto"/>
              <w:left w:val="nil"/>
              <w:right w:val="nil"/>
            </w:tcBorders>
            <w:shd w:val="clear" w:color="auto" w:fill="auto"/>
            <w:noWrap/>
            <w:vAlign w:val="bottom"/>
            <w:hideMark/>
          </w:tcPr>
          <w:p w14:paraId="30B1714D" w14:textId="77777777" w:rsidR="00704151" w:rsidRPr="00687637" w:rsidRDefault="00704151" w:rsidP="00924B64">
            <w:pPr>
              <w:rPr>
                <w:sz w:val="20"/>
                <w:szCs w:val="20"/>
                <w:lang w:eastAsia="en-GB"/>
              </w:rPr>
            </w:pPr>
            <w:r w:rsidRPr="00687637">
              <w:rPr>
                <w:sz w:val="20"/>
                <w:szCs w:val="20"/>
                <w:lang w:eastAsia="en-GB"/>
              </w:rPr>
              <w:t>DISEASES IN BRIEF</w:t>
            </w:r>
          </w:p>
        </w:tc>
        <w:tc>
          <w:tcPr>
            <w:tcW w:w="1045" w:type="pct"/>
            <w:tcBorders>
              <w:top w:val="single" w:sz="4" w:space="0" w:color="auto"/>
              <w:left w:val="nil"/>
              <w:right w:val="nil"/>
            </w:tcBorders>
            <w:shd w:val="clear" w:color="auto" w:fill="auto"/>
            <w:noWrap/>
            <w:vAlign w:val="bottom"/>
            <w:hideMark/>
          </w:tcPr>
          <w:p w14:paraId="22545431" w14:textId="77777777" w:rsidR="00704151" w:rsidRPr="00687637" w:rsidRDefault="00704151" w:rsidP="00924B64">
            <w:pPr>
              <w:jc w:val="center"/>
              <w:rPr>
                <w:sz w:val="20"/>
                <w:szCs w:val="20"/>
                <w:lang w:eastAsia="en-GB"/>
              </w:rPr>
            </w:pPr>
            <w:r w:rsidRPr="00687637">
              <w:rPr>
                <w:sz w:val="20"/>
                <w:szCs w:val="20"/>
                <w:lang w:eastAsia="en-GB"/>
              </w:rPr>
              <w:t>20,994</w:t>
            </w:r>
          </w:p>
        </w:tc>
        <w:tc>
          <w:tcPr>
            <w:tcW w:w="327" w:type="pct"/>
            <w:tcBorders>
              <w:top w:val="single" w:sz="4" w:space="0" w:color="auto"/>
              <w:left w:val="nil"/>
              <w:right w:val="nil"/>
            </w:tcBorders>
            <w:shd w:val="clear" w:color="auto" w:fill="auto"/>
            <w:noWrap/>
            <w:vAlign w:val="bottom"/>
            <w:hideMark/>
          </w:tcPr>
          <w:p w14:paraId="182E9EA4" w14:textId="77777777" w:rsidR="00704151" w:rsidRPr="00687637" w:rsidRDefault="00704151" w:rsidP="00924B64">
            <w:pPr>
              <w:jc w:val="center"/>
              <w:rPr>
                <w:sz w:val="20"/>
                <w:szCs w:val="20"/>
                <w:lang w:eastAsia="en-GB"/>
              </w:rPr>
            </w:pPr>
            <w:r w:rsidRPr="00687637">
              <w:rPr>
                <w:sz w:val="20"/>
                <w:szCs w:val="20"/>
                <w:lang w:eastAsia="en-GB"/>
              </w:rPr>
              <w:t>0.5</w:t>
            </w:r>
          </w:p>
        </w:tc>
        <w:tc>
          <w:tcPr>
            <w:tcW w:w="238" w:type="pct"/>
            <w:tcBorders>
              <w:top w:val="single" w:sz="4" w:space="0" w:color="auto"/>
              <w:left w:val="nil"/>
              <w:right w:val="nil"/>
            </w:tcBorders>
            <w:shd w:val="clear" w:color="auto" w:fill="auto"/>
            <w:noWrap/>
            <w:vAlign w:val="bottom"/>
            <w:hideMark/>
          </w:tcPr>
          <w:p w14:paraId="4F88ADF4" w14:textId="77777777" w:rsidR="00704151" w:rsidRPr="00687637" w:rsidRDefault="00704151" w:rsidP="00924B64">
            <w:pPr>
              <w:jc w:val="center"/>
              <w:rPr>
                <w:sz w:val="20"/>
                <w:szCs w:val="20"/>
                <w:lang w:eastAsia="en-GB"/>
              </w:rPr>
            </w:pPr>
          </w:p>
        </w:tc>
        <w:tc>
          <w:tcPr>
            <w:tcW w:w="1153" w:type="pct"/>
            <w:tcBorders>
              <w:top w:val="single" w:sz="4" w:space="0" w:color="auto"/>
              <w:left w:val="nil"/>
              <w:right w:val="nil"/>
            </w:tcBorders>
            <w:shd w:val="clear" w:color="auto" w:fill="auto"/>
            <w:noWrap/>
            <w:vAlign w:val="bottom"/>
            <w:hideMark/>
          </w:tcPr>
          <w:p w14:paraId="49864235" w14:textId="77777777" w:rsidR="00704151" w:rsidRPr="00687637" w:rsidRDefault="00704151" w:rsidP="00924B64">
            <w:pPr>
              <w:jc w:val="center"/>
              <w:rPr>
                <w:sz w:val="20"/>
                <w:szCs w:val="20"/>
                <w:lang w:eastAsia="en-GB"/>
              </w:rPr>
            </w:pPr>
            <w:r w:rsidRPr="00687637">
              <w:rPr>
                <w:sz w:val="20"/>
                <w:szCs w:val="20"/>
                <w:lang w:eastAsia="en-GB"/>
              </w:rPr>
              <w:t>9</w:t>
            </w:r>
          </w:p>
        </w:tc>
        <w:tc>
          <w:tcPr>
            <w:tcW w:w="327" w:type="pct"/>
            <w:tcBorders>
              <w:top w:val="single" w:sz="4" w:space="0" w:color="auto"/>
              <w:left w:val="nil"/>
              <w:right w:val="nil"/>
            </w:tcBorders>
            <w:shd w:val="clear" w:color="auto" w:fill="auto"/>
            <w:noWrap/>
            <w:vAlign w:val="bottom"/>
            <w:hideMark/>
          </w:tcPr>
          <w:p w14:paraId="3EA6B98E" w14:textId="77777777" w:rsidR="00704151" w:rsidRPr="00687637" w:rsidRDefault="00704151" w:rsidP="00924B64">
            <w:pPr>
              <w:jc w:val="center"/>
              <w:rPr>
                <w:sz w:val="20"/>
                <w:szCs w:val="20"/>
                <w:lang w:eastAsia="en-GB"/>
              </w:rPr>
            </w:pPr>
            <w:r w:rsidRPr="00687637">
              <w:rPr>
                <w:sz w:val="20"/>
                <w:szCs w:val="20"/>
                <w:lang w:eastAsia="en-GB"/>
              </w:rPr>
              <w:t>0.1</w:t>
            </w:r>
          </w:p>
        </w:tc>
      </w:tr>
      <w:tr w:rsidR="00704151" w:rsidRPr="00687637" w14:paraId="53FB0BDB" w14:textId="77777777" w:rsidTr="00924B64">
        <w:trPr>
          <w:trHeight w:val="300"/>
        </w:trPr>
        <w:tc>
          <w:tcPr>
            <w:tcW w:w="1910" w:type="pct"/>
            <w:tcBorders>
              <w:top w:val="nil"/>
              <w:left w:val="nil"/>
              <w:bottom w:val="single" w:sz="4" w:space="0" w:color="auto"/>
              <w:right w:val="nil"/>
            </w:tcBorders>
            <w:shd w:val="clear" w:color="auto" w:fill="auto"/>
            <w:noWrap/>
            <w:vAlign w:val="bottom"/>
            <w:hideMark/>
          </w:tcPr>
          <w:p w14:paraId="54D4518E" w14:textId="77777777" w:rsidR="00704151" w:rsidRPr="00687637" w:rsidRDefault="00704151" w:rsidP="00924B64">
            <w:pPr>
              <w:rPr>
                <w:sz w:val="20"/>
                <w:szCs w:val="20"/>
                <w:lang w:eastAsia="en-GB"/>
              </w:rPr>
            </w:pPr>
            <w:r w:rsidRPr="00687637">
              <w:rPr>
                <w:sz w:val="20"/>
                <w:szCs w:val="20"/>
                <w:lang w:eastAsia="en-GB"/>
              </w:rPr>
              <w:t>Disease item</w:t>
            </w:r>
          </w:p>
        </w:tc>
        <w:tc>
          <w:tcPr>
            <w:tcW w:w="1045" w:type="pct"/>
            <w:tcBorders>
              <w:top w:val="nil"/>
              <w:left w:val="nil"/>
              <w:bottom w:val="single" w:sz="4" w:space="0" w:color="auto"/>
              <w:right w:val="nil"/>
            </w:tcBorders>
            <w:shd w:val="clear" w:color="auto" w:fill="auto"/>
            <w:noWrap/>
            <w:vAlign w:val="bottom"/>
            <w:hideMark/>
          </w:tcPr>
          <w:p w14:paraId="704995D7" w14:textId="77777777" w:rsidR="00704151" w:rsidRPr="00687637" w:rsidRDefault="00704151" w:rsidP="00924B64">
            <w:pPr>
              <w:jc w:val="center"/>
              <w:rPr>
                <w:sz w:val="20"/>
                <w:szCs w:val="20"/>
                <w:lang w:eastAsia="en-GB"/>
              </w:rPr>
            </w:pPr>
            <w:r w:rsidRPr="00687637">
              <w:rPr>
                <w:sz w:val="20"/>
                <w:szCs w:val="20"/>
                <w:lang w:eastAsia="en-GB"/>
              </w:rPr>
              <w:t>87,541</w:t>
            </w:r>
          </w:p>
        </w:tc>
        <w:tc>
          <w:tcPr>
            <w:tcW w:w="327" w:type="pct"/>
            <w:tcBorders>
              <w:top w:val="nil"/>
              <w:left w:val="nil"/>
              <w:bottom w:val="single" w:sz="4" w:space="0" w:color="auto"/>
              <w:right w:val="nil"/>
            </w:tcBorders>
            <w:shd w:val="clear" w:color="auto" w:fill="auto"/>
            <w:noWrap/>
            <w:vAlign w:val="bottom"/>
            <w:hideMark/>
          </w:tcPr>
          <w:p w14:paraId="52065077" w14:textId="77777777" w:rsidR="00704151" w:rsidRPr="00687637" w:rsidRDefault="00704151" w:rsidP="00924B64">
            <w:pPr>
              <w:jc w:val="center"/>
              <w:rPr>
                <w:sz w:val="20"/>
                <w:szCs w:val="20"/>
                <w:lang w:eastAsia="en-GB"/>
              </w:rPr>
            </w:pPr>
            <w:r w:rsidRPr="00687637">
              <w:rPr>
                <w:sz w:val="20"/>
                <w:szCs w:val="20"/>
                <w:lang w:eastAsia="en-GB"/>
              </w:rPr>
              <w:t>2.2</w:t>
            </w:r>
          </w:p>
        </w:tc>
        <w:tc>
          <w:tcPr>
            <w:tcW w:w="238" w:type="pct"/>
            <w:tcBorders>
              <w:top w:val="nil"/>
              <w:left w:val="nil"/>
              <w:bottom w:val="single" w:sz="4" w:space="0" w:color="auto"/>
              <w:right w:val="nil"/>
            </w:tcBorders>
            <w:shd w:val="clear" w:color="auto" w:fill="auto"/>
            <w:noWrap/>
            <w:vAlign w:val="bottom"/>
            <w:hideMark/>
          </w:tcPr>
          <w:p w14:paraId="5749CCB5" w14:textId="77777777" w:rsidR="00704151" w:rsidRPr="00687637" w:rsidRDefault="00704151" w:rsidP="00924B64">
            <w:pPr>
              <w:jc w:val="center"/>
              <w:rPr>
                <w:sz w:val="20"/>
                <w:szCs w:val="20"/>
                <w:lang w:eastAsia="en-GB"/>
              </w:rPr>
            </w:pPr>
          </w:p>
        </w:tc>
        <w:tc>
          <w:tcPr>
            <w:tcW w:w="1153" w:type="pct"/>
            <w:tcBorders>
              <w:top w:val="nil"/>
              <w:left w:val="nil"/>
              <w:bottom w:val="single" w:sz="4" w:space="0" w:color="auto"/>
              <w:right w:val="nil"/>
            </w:tcBorders>
            <w:shd w:val="clear" w:color="auto" w:fill="auto"/>
            <w:noWrap/>
            <w:vAlign w:val="bottom"/>
            <w:hideMark/>
          </w:tcPr>
          <w:p w14:paraId="453F0FAC" w14:textId="77777777" w:rsidR="00704151" w:rsidRPr="00687637" w:rsidRDefault="00704151" w:rsidP="00924B64">
            <w:pPr>
              <w:jc w:val="center"/>
              <w:rPr>
                <w:sz w:val="20"/>
                <w:szCs w:val="20"/>
                <w:lang w:eastAsia="en-GB"/>
              </w:rPr>
            </w:pPr>
            <w:r w:rsidRPr="00687637">
              <w:rPr>
                <w:sz w:val="20"/>
                <w:szCs w:val="20"/>
                <w:lang w:eastAsia="en-GB"/>
              </w:rPr>
              <w:t>175</w:t>
            </w:r>
          </w:p>
        </w:tc>
        <w:tc>
          <w:tcPr>
            <w:tcW w:w="327" w:type="pct"/>
            <w:tcBorders>
              <w:top w:val="nil"/>
              <w:left w:val="nil"/>
              <w:bottom w:val="single" w:sz="4" w:space="0" w:color="auto"/>
              <w:right w:val="nil"/>
            </w:tcBorders>
            <w:shd w:val="clear" w:color="auto" w:fill="auto"/>
            <w:noWrap/>
            <w:vAlign w:val="bottom"/>
            <w:hideMark/>
          </w:tcPr>
          <w:p w14:paraId="1F49241C" w14:textId="77777777" w:rsidR="00704151" w:rsidRPr="00687637" w:rsidRDefault="00704151" w:rsidP="00924B64">
            <w:pPr>
              <w:jc w:val="center"/>
              <w:rPr>
                <w:sz w:val="20"/>
                <w:szCs w:val="20"/>
                <w:lang w:eastAsia="en-GB"/>
              </w:rPr>
            </w:pPr>
            <w:r w:rsidRPr="00687637">
              <w:rPr>
                <w:sz w:val="20"/>
                <w:szCs w:val="20"/>
                <w:lang w:eastAsia="en-GB"/>
              </w:rPr>
              <w:t>2.8</w:t>
            </w:r>
          </w:p>
        </w:tc>
      </w:tr>
      <w:tr w:rsidR="00704151" w:rsidRPr="00687637" w14:paraId="59720656" w14:textId="77777777" w:rsidTr="00924B64">
        <w:trPr>
          <w:trHeight w:val="300"/>
        </w:trPr>
        <w:tc>
          <w:tcPr>
            <w:tcW w:w="1910" w:type="pct"/>
            <w:tcBorders>
              <w:top w:val="single" w:sz="4" w:space="0" w:color="auto"/>
              <w:left w:val="nil"/>
              <w:bottom w:val="nil"/>
              <w:right w:val="nil"/>
            </w:tcBorders>
            <w:shd w:val="clear" w:color="auto" w:fill="auto"/>
            <w:noWrap/>
            <w:vAlign w:val="bottom"/>
            <w:hideMark/>
          </w:tcPr>
          <w:p w14:paraId="6102A78C" w14:textId="77777777" w:rsidR="00704151" w:rsidRPr="00687637" w:rsidRDefault="00704151" w:rsidP="00924B64">
            <w:pPr>
              <w:rPr>
                <w:sz w:val="20"/>
                <w:szCs w:val="20"/>
                <w:lang w:eastAsia="en-GB"/>
              </w:rPr>
            </w:pPr>
            <w:r w:rsidRPr="00687637">
              <w:rPr>
                <w:sz w:val="20"/>
                <w:szCs w:val="20"/>
                <w:lang w:eastAsia="en-GB"/>
              </w:rPr>
              <w:t>FACTSHEETS A-Z</w:t>
            </w:r>
          </w:p>
        </w:tc>
        <w:tc>
          <w:tcPr>
            <w:tcW w:w="1045" w:type="pct"/>
            <w:tcBorders>
              <w:top w:val="single" w:sz="4" w:space="0" w:color="auto"/>
              <w:left w:val="nil"/>
              <w:bottom w:val="nil"/>
              <w:right w:val="nil"/>
            </w:tcBorders>
            <w:shd w:val="clear" w:color="auto" w:fill="auto"/>
            <w:noWrap/>
            <w:vAlign w:val="bottom"/>
            <w:hideMark/>
          </w:tcPr>
          <w:p w14:paraId="3DE2A1A4" w14:textId="77777777" w:rsidR="00704151" w:rsidRPr="00687637" w:rsidRDefault="00704151" w:rsidP="00924B64">
            <w:pPr>
              <w:jc w:val="center"/>
              <w:rPr>
                <w:sz w:val="20"/>
                <w:szCs w:val="20"/>
                <w:lang w:eastAsia="en-GB"/>
              </w:rPr>
            </w:pPr>
            <w:r w:rsidRPr="00687637">
              <w:rPr>
                <w:sz w:val="20"/>
                <w:szCs w:val="20"/>
                <w:lang w:eastAsia="en-GB"/>
              </w:rPr>
              <w:t>49,423</w:t>
            </w:r>
          </w:p>
        </w:tc>
        <w:tc>
          <w:tcPr>
            <w:tcW w:w="327" w:type="pct"/>
            <w:tcBorders>
              <w:top w:val="single" w:sz="4" w:space="0" w:color="auto"/>
              <w:left w:val="nil"/>
              <w:bottom w:val="nil"/>
              <w:right w:val="nil"/>
            </w:tcBorders>
            <w:shd w:val="clear" w:color="auto" w:fill="auto"/>
            <w:noWrap/>
            <w:vAlign w:val="bottom"/>
            <w:hideMark/>
          </w:tcPr>
          <w:p w14:paraId="3A5FED1E" w14:textId="77777777" w:rsidR="00704151" w:rsidRPr="00687637" w:rsidRDefault="00704151" w:rsidP="00924B64">
            <w:pPr>
              <w:jc w:val="center"/>
              <w:rPr>
                <w:sz w:val="20"/>
                <w:szCs w:val="20"/>
                <w:lang w:eastAsia="en-GB"/>
              </w:rPr>
            </w:pPr>
            <w:r w:rsidRPr="00687637">
              <w:rPr>
                <w:sz w:val="20"/>
                <w:szCs w:val="20"/>
                <w:lang w:eastAsia="en-GB"/>
              </w:rPr>
              <w:t>1.3</w:t>
            </w:r>
          </w:p>
        </w:tc>
        <w:tc>
          <w:tcPr>
            <w:tcW w:w="238" w:type="pct"/>
            <w:tcBorders>
              <w:top w:val="single" w:sz="4" w:space="0" w:color="auto"/>
              <w:left w:val="nil"/>
              <w:bottom w:val="nil"/>
              <w:right w:val="nil"/>
            </w:tcBorders>
            <w:shd w:val="clear" w:color="auto" w:fill="auto"/>
            <w:noWrap/>
            <w:vAlign w:val="bottom"/>
            <w:hideMark/>
          </w:tcPr>
          <w:p w14:paraId="0D1857E4" w14:textId="77777777" w:rsidR="00704151" w:rsidRPr="00687637" w:rsidRDefault="00704151" w:rsidP="00924B64">
            <w:pPr>
              <w:jc w:val="center"/>
              <w:rPr>
                <w:sz w:val="20"/>
                <w:szCs w:val="20"/>
                <w:lang w:eastAsia="en-GB"/>
              </w:rPr>
            </w:pPr>
          </w:p>
        </w:tc>
        <w:tc>
          <w:tcPr>
            <w:tcW w:w="1153" w:type="pct"/>
            <w:tcBorders>
              <w:top w:val="single" w:sz="4" w:space="0" w:color="auto"/>
              <w:left w:val="nil"/>
              <w:bottom w:val="nil"/>
              <w:right w:val="nil"/>
            </w:tcBorders>
            <w:shd w:val="clear" w:color="auto" w:fill="auto"/>
            <w:noWrap/>
            <w:vAlign w:val="bottom"/>
            <w:hideMark/>
          </w:tcPr>
          <w:p w14:paraId="79F07DF2" w14:textId="77777777" w:rsidR="00704151" w:rsidRPr="00687637" w:rsidRDefault="00704151" w:rsidP="00924B64">
            <w:pPr>
              <w:jc w:val="center"/>
              <w:rPr>
                <w:sz w:val="20"/>
                <w:szCs w:val="20"/>
                <w:lang w:eastAsia="en-GB"/>
              </w:rPr>
            </w:pPr>
            <w:r w:rsidRPr="00687637">
              <w:rPr>
                <w:sz w:val="20"/>
                <w:szCs w:val="20"/>
                <w:lang w:eastAsia="en-GB"/>
              </w:rPr>
              <w:t>26</w:t>
            </w:r>
          </w:p>
        </w:tc>
        <w:tc>
          <w:tcPr>
            <w:tcW w:w="327" w:type="pct"/>
            <w:tcBorders>
              <w:top w:val="single" w:sz="4" w:space="0" w:color="auto"/>
              <w:left w:val="nil"/>
              <w:bottom w:val="nil"/>
              <w:right w:val="nil"/>
            </w:tcBorders>
            <w:shd w:val="clear" w:color="auto" w:fill="auto"/>
            <w:noWrap/>
            <w:vAlign w:val="bottom"/>
            <w:hideMark/>
          </w:tcPr>
          <w:p w14:paraId="1A1CAEFE" w14:textId="77777777" w:rsidR="00704151" w:rsidRPr="00687637" w:rsidRDefault="00704151" w:rsidP="00924B64">
            <w:pPr>
              <w:jc w:val="center"/>
              <w:rPr>
                <w:sz w:val="20"/>
                <w:szCs w:val="20"/>
                <w:lang w:eastAsia="en-GB"/>
              </w:rPr>
            </w:pPr>
            <w:r w:rsidRPr="00687637">
              <w:rPr>
                <w:sz w:val="20"/>
                <w:szCs w:val="20"/>
                <w:lang w:eastAsia="en-GB"/>
              </w:rPr>
              <w:t>0.4</w:t>
            </w:r>
          </w:p>
        </w:tc>
      </w:tr>
      <w:tr w:rsidR="00704151" w:rsidRPr="00687637" w14:paraId="3EAB24FB" w14:textId="77777777" w:rsidTr="00924B64">
        <w:trPr>
          <w:trHeight w:val="300"/>
        </w:trPr>
        <w:tc>
          <w:tcPr>
            <w:tcW w:w="1910" w:type="pct"/>
            <w:tcBorders>
              <w:top w:val="nil"/>
              <w:left w:val="nil"/>
              <w:bottom w:val="nil"/>
              <w:right w:val="nil"/>
            </w:tcBorders>
            <w:shd w:val="clear" w:color="auto" w:fill="auto"/>
            <w:noWrap/>
            <w:vAlign w:val="bottom"/>
            <w:hideMark/>
          </w:tcPr>
          <w:p w14:paraId="0669F6B3" w14:textId="77777777" w:rsidR="00704151" w:rsidRPr="00687637" w:rsidRDefault="00704151" w:rsidP="00924B64">
            <w:pPr>
              <w:rPr>
                <w:sz w:val="20"/>
                <w:szCs w:val="20"/>
                <w:lang w:eastAsia="en-GB"/>
              </w:rPr>
            </w:pPr>
            <w:r w:rsidRPr="00687637">
              <w:rPr>
                <w:sz w:val="20"/>
                <w:szCs w:val="20"/>
                <w:lang w:eastAsia="en-GB"/>
              </w:rPr>
              <w:t>Factsheets – free search</w:t>
            </w:r>
          </w:p>
        </w:tc>
        <w:tc>
          <w:tcPr>
            <w:tcW w:w="1045" w:type="pct"/>
            <w:tcBorders>
              <w:top w:val="nil"/>
              <w:left w:val="nil"/>
              <w:bottom w:val="nil"/>
              <w:right w:val="nil"/>
            </w:tcBorders>
            <w:shd w:val="clear" w:color="auto" w:fill="auto"/>
            <w:noWrap/>
            <w:vAlign w:val="bottom"/>
            <w:hideMark/>
          </w:tcPr>
          <w:p w14:paraId="2A29E242" w14:textId="77777777" w:rsidR="00704151" w:rsidRPr="00687637" w:rsidRDefault="00704151" w:rsidP="00924B64">
            <w:pPr>
              <w:jc w:val="center"/>
              <w:rPr>
                <w:sz w:val="20"/>
                <w:szCs w:val="20"/>
                <w:lang w:eastAsia="en-GB"/>
              </w:rPr>
            </w:pPr>
            <w:r w:rsidRPr="00687637">
              <w:rPr>
                <w:sz w:val="20"/>
                <w:szCs w:val="20"/>
                <w:lang w:eastAsia="en-GB"/>
              </w:rPr>
              <w:t>781</w:t>
            </w:r>
          </w:p>
        </w:tc>
        <w:tc>
          <w:tcPr>
            <w:tcW w:w="327" w:type="pct"/>
            <w:tcBorders>
              <w:top w:val="nil"/>
              <w:left w:val="nil"/>
              <w:bottom w:val="nil"/>
              <w:right w:val="nil"/>
            </w:tcBorders>
            <w:shd w:val="clear" w:color="auto" w:fill="auto"/>
            <w:noWrap/>
            <w:vAlign w:val="bottom"/>
            <w:hideMark/>
          </w:tcPr>
          <w:p w14:paraId="23D9BE6B" w14:textId="77777777" w:rsidR="00704151" w:rsidRPr="00687637" w:rsidRDefault="00704151" w:rsidP="00924B64">
            <w:pPr>
              <w:jc w:val="center"/>
              <w:rPr>
                <w:sz w:val="20"/>
                <w:szCs w:val="20"/>
                <w:lang w:eastAsia="en-GB"/>
              </w:rPr>
            </w:pPr>
            <w:r w:rsidRPr="00687637">
              <w:rPr>
                <w:sz w:val="20"/>
                <w:szCs w:val="20"/>
                <w:lang w:eastAsia="en-GB"/>
              </w:rPr>
              <w:t>&lt;0.1</w:t>
            </w:r>
          </w:p>
        </w:tc>
        <w:tc>
          <w:tcPr>
            <w:tcW w:w="238" w:type="pct"/>
            <w:tcBorders>
              <w:top w:val="nil"/>
              <w:left w:val="nil"/>
              <w:bottom w:val="nil"/>
              <w:right w:val="nil"/>
            </w:tcBorders>
            <w:shd w:val="clear" w:color="auto" w:fill="auto"/>
            <w:noWrap/>
            <w:vAlign w:val="bottom"/>
            <w:hideMark/>
          </w:tcPr>
          <w:p w14:paraId="736ACA70"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62E51409" w14:textId="77777777" w:rsidR="00704151" w:rsidRPr="00687637" w:rsidRDefault="00704151" w:rsidP="00924B64">
            <w:pPr>
              <w:jc w:val="center"/>
              <w:rPr>
                <w:sz w:val="20"/>
                <w:szCs w:val="20"/>
                <w:lang w:eastAsia="en-GB"/>
              </w:rPr>
            </w:pPr>
            <w:r w:rsidRPr="00687637">
              <w:rPr>
                <w:sz w:val="20"/>
                <w:szCs w:val="20"/>
                <w:lang w:eastAsia="en-GB"/>
              </w:rPr>
              <w:t>&lt;1</w:t>
            </w:r>
          </w:p>
        </w:tc>
        <w:tc>
          <w:tcPr>
            <w:tcW w:w="327" w:type="pct"/>
            <w:tcBorders>
              <w:top w:val="nil"/>
              <w:left w:val="nil"/>
              <w:bottom w:val="nil"/>
              <w:right w:val="nil"/>
            </w:tcBorders>
            <w:shd w:val="clear" w:color="auto" w:fill="auto"/>
            <w:noWrap/>
            <w:vAlign w:val="bottom"/>
            <w:hideMark/>
          </w:tcPr>
          <w:p w14:paraId="093E8619"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4825B478" w14:textId="77777777" w:rsidTr="00924B64">
        <w:trPr>
          <w:trHeight w:val="300"/>
        </w:trPr>
        <w:tc>
          <w:tcPr>
            <w:tcW w:w="1910" w:type="pct"/>
            <w:tcBorders>
              <w:top w:val="nil"/>
              <w:left w:val="nil"/>
              <w:bottom w:val="nil"/>
              <w:right w:val="nil"/>
            </w:tcBorders>
            <w:shd w:val="clear" w:color="auto" w:fill="auto"/>
            <w:noWrap/>
            <w:vAlign w:val="bottom"/>
            <w:hideMark/>
          </w:tcPr>
          <w:p w14:paraId="46B677FE" w14:textId="77777777" w:rsidR="00704151" w:rsidRPr="00687637" w:rsidRDefault="00704151" w:rsidP="00924B64">
            <w:pPr>
              <w:rPr>
                <w:sz w:val="20"/>
                <w:szCs w:val="20"/>
                <w:lang w:eastAsia="en-GB"/>
              </w:rPr>
            </w:pPr>
            <w:r w:rsidRPr="00687637">
              <w:rPr>
                <w:sz w:val="20"/>
                <w:szCs w:val="20"/>
                <w:lang w:eastAsia="en-GB"/>
              </w:rPr>
              <w:t>Factsheet section - infectious diseases</w:t>
            </w:r>
          </w:p>
        </w:tc>
        <w:tc>
          <w:tcPr>
            <w:tcW w:w="1045" w:type="pct"/>
            <w:tcBorders>
              <w:top w:val="nil"/>
              <w:left w:val="nil"/>
              <w:bottom w:val="nil"/>
              <w:right w:val="nil"/>
            </w:tcBorders>
            <w:shd w:val="clear" w:color="auto" w:fill="auto"/>
            <w:noWrap/>
            <w:vAlign w:val="bottom"/>
            <w:hideMark/>
          </w:tcPr>
          <w:p w14:paraId="612617B3" w14:textId="77777777" w:rsidR="00704151" w:rsidRPr="00687637" w:rsidRDefault="00704151" w:rsidP="00924B64">
            <w:pPr>
              <w:jc w:val="center"/>
              <w:rPr>
                <w:sz w:val="20"/>
                <w:szCs w:val="20"/>
                <w:lang w:eastAsia="en-GB"/>
              </w:rPr>
            </w:pPr>
            <w:r w:rsidRPr="00687637">
              <w:rPr>
                <w:sz w:val="20"/>
                <w:szCs w:val="20"/>
                <w:lang w:eastAsia="en-GB"/>
              </w:rPr>
              <w:t>6,431</w:t>
            </w:r>
          </w:p>
        </w:tc>
        <w:tc>
          <w:tcPr>
            <w:tcW w:w="327" w:type="pct"/>
            <w:tcBorders>
              <w:top w:val="nil"/>
              <w:left w:val="nil"/>
              <w:bottom w:val="nil"/>
              <w:right w:val="nil"/>
            </w:tcBorders>
            <w:shd w:val="clear" w:color="auto" w:fill="auto"/>
            <w:noWrap/>
            <w:vAlign w:val="bottom"/>
            <w:hideMark/>
          </w:tcPr>
          <w:p w14:paraId="0D68125C" w14:textId="77777777" w:rsidR="00704151" w:rsidRPr="00687637" w:rsidRDefault="00704151" w:rsidP="00924B64">
            <w:pPr>
              <w:jc w:val="center"/>
              <w:rPr>
                <w:sz w:val="20"/>
                <w:szCs w:val="20"/>
                <w:lang w:eastAsia="en-GB"/>
              </w:rPr>
            </w:pPr>
            <w:r w:rsidRPr="00687637">
              <w:rPr>
                <w:sz w:val="20"/>
                <w:szCs w:val="20"/>
                <w:lang w:eastAsia="en-GB"/>
              </w:rPr>
              <w:t>0.2</w:t>
            </w:r>
          </w:p>
        </w:tc>
        <w:tc>
          <w:tcPr>
            <w:tcW w:w="238" w:type="pct"/>
            <w:tcBorders>
              <w:top w:val="nil"/>
              <w:left w:val="nil"/>
              <w:bottom w:val="nil"/>
              <w:right w:val="nil"/>
            </w:tcBorders>
            <w:shd w:val="clear" w:color="auto" w:fill="auto"/>
            <w:noWrap/>
            <w:vAlign w:val="bottom"/>
            <w:hideMark/>
          </w:tcPr>
          <w:p w14:paraId="6C950F36"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2D7588DF" w14:textId="77777777" w:rsidR="00704151" w:rsidRPr="00687637" w:rsidRDefault="00704151" w:rsidP="00924B64">
            <w:pPr>
              <w:jc w:val="center"/>
              <w:rPr>
                <w:sz w:val="20"/>
                <w:szCs w:val="20"/>
                <w:lang w:eastAsia="en-GB"/>
              </w:rPr>
            </w:pPr>
            <w:r w:rsidRPr="00687637">
              <w:rPr>
                <w:sz w:val="20"/>
                <w:szCs w:val="20"/>
                <w:lang w:eastAsia="en-GB"/>
              </w:rPr>
              <w:t>3</w:t>
            </w:r>
          </w:p>
        </w:tc>
        <w:tc>
          <w:tcPr>
            <w:tcW w:w="327" w:type="pct"/>
            <w:tcBorders>
              <w:top w:val="nil"/>
              <w:left w:val="nil"/>
              <w:bottom w:val="nil"/>
              <w:right w:val="nil"/>
            </w:tcBorders>
            <w:shd w:val="clear" w:color="auto" w:fill="auto"/>
            <w:noWrap/>
            <w:vAlign w:val="bottom"/>
            <w:hideMark/>
          </w:tcPr>
          <w:p w14:paraId="1110AF67"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757FEEA6" w14:textId="77777777" w:rsidTr="00924B64">
        <w:trPr>
          <w:trHeight w:val="300"/>
        </w:trPr>
        <w:tc>
          <w:tcPr>
            <w:tcW w:w="1910" w:type="pct"/>
            <w:tcBorders>
              <w:top w:val="nil"/>
              <w:left w:val="nil"/>
              <w:bottom w:val="nil"/>
              <w:right w:val="nil"/>
            </w:tcBorders>
            <w:shd w:val="clear" w:color="auto" w:fill="auto"/>
            <w:noWrap/>
            <w:vAlign w:val="bottom"/>
            <w:hideMark/>
          </w:tcPr>
          <w:p w14:paraId="69894651" w14:textId="77777777" w:rsidR="00704151" w:rsidRPr="00687637" w:rsidRDefault="00704151" w:rsidP="00924B64">
            <w:pPr>
              <w:rPr>
                <w:sz w:val="20"/>
                <w:szCs w:val="20"/>
                <w:lang w:eastAsia="en-GB"/>
              </w:rPr>
            </w:pPr>
            <w:r w:rsidRPr="00687637">
              <w:rPr>
                <w:sz w:val="20"/>
                <w:szCs w:val="20"/>
                <w:lang w:eastAsia="en-GB"/>
              </w:rPr>
              <w:t>Factsheet section - healthy travel</w:t>
            </w:r>
          </w:p>
        </w:tc>
        <w:tc>
          <w:tcPr>
            <w:tcW w:w="1045" w:type="pct"/>
            <w:tcBorders>
              <w:top w:val="nil"/>
              <w:left w:val="nil"/>
              <w:bottom w:val="nil"/>
              <w:right w:val="nil"/>
            </w:tcBorders>
            <w:shd w:val="clear" w:color="auto" w:fill="auto"/>
            <w:noWrap/>
            <w:vAlign w:val="bottom"/>
            <w:hideMark/>
          </w:tcPr>
          <w:p w14:paraId="525B92C0" w14:textId="77777777" w:rsidR="00704151" w:rsidRPr="00687637" w:rsidRDefault="00704151" w:rsidP="00924B64">
            <w:pPr>
              <w:jc w:val="center"/>
              <w:rPr>
                <w:sz w:val="20"/>
                <w:szCs w:val="20"/>
                <w:lang w:eastAsia="en-GB"/>
              </w:rPr>
            </w:pPr>
            <w:r w:rsidRPr="00687637">
              <w:rPr>
                <w:sz w:val="20"/>
                <w:szCs w:val="20"/>
                <w:lang w:eastAsia="en-GB"/>
              </w:rPr>
              <w:t>3,029</w:t>
            </w:r>
          </w:p>
        </w:tc>
        <w:tc>
          <w:tcPr>
            <w:tcW w:w="327" w:type="pct"/>
            <w:tcBorders>
              <w:top w:val="nil"/>
              <w:left w:val="nil"/>
              <w:bottom w:val="nil"/>
              <w:right w:val="nil"/>
            </w:tcBorders>
            <w:shd w:val="clear" w:color="auto" w:fill="auto"/>
            <w:noWrap/>
            <w:vAlign w:val="bottom"/>
            <w:hideMark/>
          </w:tcPr>
          <w:p w14:paraId="1E19BD39" w14:textId="77777777" w:rsidR="00704151" w:rsidRPr="00687637" w:rsidRDefault="00704151" w:rsidP="00924B64">
            <w:pPr>
              <w:jc w:val="center"/>
              <w:rPr>
                <w:sz w:val="20"/>
                <w:szCs w:val="20"/>
                <w:lang w:eastAsia="en-GB"/>
              </w:rPr>
            </w:pPr>
            <w:r w:rsidRPr="00687637">
              <w:rPr>
                <w:sz w:val="20"/>
                <w:szCs w:val="20"/>
                <w:lang w:eastAsia="en-GB"/>
              </w:rPr>
              <w:t>0.1</w:t>
            </w:r>
          </w:p>
        </w:tc>
        <w:tc>
          <w:tcPr>
            <w:tcW w:w="238" w:type="pct"/>
            <w:tcBorders>
              <w:top w:val="nil"/>
              <w:left w:val="nil"/>
              <w:bottom w:val="nil"/>
              <w:right w:val="nil"/>
            </w:tcBorders>
            <w:shd w:val="clear" w:color="auto" w:fill="auto"/>
            <w:noWrap/>
            <w:vAlign w:val="bottom"/>
            <w:hideMark/>
          </w:tcPr>
          <w:p w14:paraId="5C7CF5A4"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40E88EC9" w14:textId="77777777" w:rsidR="00704151" w:rsidRPr="00687637" w:rsidRDefault="00704151" w:rsidP="00924B64">
            <w:pPr>
              <w:jc w:val="center"/>
              <w:rPr>
                <w:sz w:val="20"/>
                <w:szCs w:val="20"/>
                <w:lang w:eastAsia="en-GB"/>
              </w:rPr>
            </w:pPr>
            <w:r w:rsidRPr="00687637">
              <w:rPr>
                <w:sz w:val="20"/>
                <w:szCs w:val="20"/>
                <w:lang w:eastAsia="en-GB"/>
              </w:rPr>
              <w:t>2</w:t>
            </w:r>
          </w:p>
        </w:tc>
        <w:tc>
          <w:tcPr>
            <w:tcW w:w="327" w:type="pct"/>
            <w:tcBorders>
              <w:top w:val="nil"/>
              <w:left w:val="nil"/>
              <w:bottom w:val="nil"/>
              <w:right w:val="nil"/>
            </w:tcBorders>
            <w:shd w:val="clear" w:color="auto" w:fill="auto"/>
            <w:noWrap/>
            <w:vAlign w:val="bottom"/>
            <w:hideMark/>
          </w:tcPr>
          <w:p w14:paraId="34BA98AD"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45EDD44D" w14:textId="77777777" w:rsidTr="00924B64">
        <w:trPr>
          <w:trHeight w:val="300"/>
        </w:trPr>
        <w:tc>
          <w:tcPr>
            <w:tcW w:w="1910" w:type="pct"/>
            <w:tcBorders>
              <w:top w:val="nil"/>
              <w:left w:val="nil"/>
              <w:bottom w:val="nil"/>
              <w:right w:val="nil"/>
            </w:tcBorders>
            <w:shd w:val="clear" w:color="auto" w:fill="auto"/>
            <w:noWrap/>
            <w:vAlign w:val="bottom"/>
            <w:hideMark/>
          </w:tcPr>
          <w:p w14:paraId="47F35349" w14:textId="77777777" w:rsidR="00704151" w:rsidRPr="00687637" w:rsidRDefault="00704151" w:rsidP="00924B64">
            <w:pPr>
              <w:rPr>
                <w:sz w:val="20"/>
                <w:szCs w:val="20"/>
                <w:lang w:eastAsia="en-GB"/>
              </w:rPr>
            </w:pPr>
            <w:r w:rsidRPr="00687637">
              <w:rPr>
                <w:sz w:val="20"/>
                <w:szCs w:val="20"/>
                <w:lang w:eastAsia="en-GB"/>
              </w:rPr>
              <w:t>Factsheet section - special traveller</w:t>
            </w:r>
          </w:p>
        </w:tc>
        <w:tc>
          <w:tcPr>
            <w:tcW w:w="1045" w:type="pct"/>
            <w:tcBorders>
              <w:top w:val="nil"/>
              <w:left w:val="nil"/>
              <w:bottom w:val="nil"/>
              <w:right w:val="nil"/>
            </w:tcBorders>
            <w:shd w:val="clear" w:color="auto" w:fill="auto"/>
            <w:noWrap/>
            <w:vAlign w:val="bottom"/>
            <w:hideMark/>
          </w:tcPr>
          <w:p w14:paraId="5CCEF075" w14:textId="77777777" w:rsidR="00704151" w:rsidRPr="00687637" w:rsidRDefault="00704151" w:rsidP="00924B64">
            <w:pPr>
              <w:jc w:val="center"/>
              <w:rPr>
                <w:sz w:val="20"/>
                <w:szCs w:val="20"/>
                <w:lang w:eastAsia="en-GB"/>
              </w:rPr>
            </w:pPr>
            <w:r w:rsidRPr="00687637">
              <w:rPr>
                <w:sz w:val="20"/>
                <w:szCs w:val="20"/>
                <w:lang w:eastAsia="en-GB"/>
              </w:rPr>
              <w:t>1,884</w:t>
            </w:r>
          </w:p>
        </w:tc>
        <w:tc>
          <w:tcPr>
            <w:tcW w:w="327" w:type="pct"/>
            <w:tcBorders>
              <w:top w:val="nil"/>
              <w:left w:val="nil"/>
              <w:bottom w:val="nil"/>
              <w:right w:val="nil"/>
            </w:tcBorders>
            <w:shd w:val="clear" w:color="auto" w:fill="auto"/>
            <w:noWrap/>
            <w:vAlign w:val="bottom"/>
            <w:hideMark/>
          </w:tcPr>
          <w:p w14:paraId="09EBA9A6" w14:textId="77777777" w:rsidR="00704151" w:rsidRPr="00687637" w:rsidRDefault="00704151" w:rsidP="00924B64">
            <w:pPr>
              <w:jc w:val="center"/>
              <w:rPr>
                <w:sz w:val="20"/>
                <w:szCs w:val="20"/>
                <w:lang w:eastAsia="en-GB"/>
              </w:rPr>
            </w:pPr>
            <w:r w:rsidRPr="00687637">
              <w:rPr>
                <w:sz w:val="20"/>
                <w:szCs w:val="20"/>
                <w:lang w:eastAsia="en-GB"/>
              </w:rPr>
              <w:t>&lt;0.1</w:t>
            </w:r>
          </w:p>
        </w:tc>
        <w:tc>
          <w:tcPr>
            <w:tcW w:w="238" w:type="pct"/>
            <w:tcBorders>
              <w:top w:val="nil"/>
              <w:left w:val="nil"/>
              <w:bottom w:val="nil"/>
              <w:right w:val="nil"/>
            </w:tcBorders>
            <w:shd w:val="clear" w:color="auto" w:fill="auto"/>
            <w:noWrap/>
            <w:vAlign w:val="bottom"/>
            <w:hideMark/>
          </w:tcPr>
          <w:p w14:paraId="30D8036C"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6A080FF6" w14:textId="77777777" w:rsidR="00704151" w:rsidRPr="00687637" w:rsidRDefault="00704151" w:rsidP="00924B64">
            <w:pPr>
              <w:jc w:val="center"/>
              <w:rPr>
                <w:sz w:val="20"/>
                <w:szCs w:val="20"/>
                <w:lang w:eastAsia="en-GB"/>
              </w:rPr>
            </w:pPr>
            <w:r w:rsidRPr="00687637">
              <w:rPr>
                <w:sz w:val="20"/>
                <w:szCs w:val="20"/>
                <w:lang w:eastAsia="en-GB"/>
              </w:rPr>
              <w:t>1</w:t>
            </w:r>
          </w:p>
        </w:tc>
        <w:tc>
          <w:tcPr>
            <w:tcW w:w="327" w:type="pct"/>
            <w:tcBorders>
              <w:top w:val="nil"/>
              <w:left w:val="nil"/>
              <w:bottom w:val="nil"/>
              <w:right w:val="nil"/>
            </w:tcBorders>
            <w:shd w:val="clear" w:color="auto" w:fill="auto"/>
            <w:noWrap/>
            <w:vAlign w:val="bottom"/>
            <w:hideMark/>
          </w:tcPr>
          <w:p w14:paraId="52594661"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53998BBD" w14:textId="77777777" w:rsidTr="00924B64">
        <w:trPr>
          <w:trHeight w:val="300"/>
        </w:trPr>
        <w:tc>
          <w:tcPr>
            <w:tcW w:w="1910" w:type="pct"/>
            <w:tcBorders>
              <w:top w:val="nil"/>
              <w:left w:val="nil"/>
              <w:right w:val="nil"/>
            </w:tcBorders>
            <w:shd w:val="clear" w:color="auto" w:fill="auto"/>
            <w:noWrap/>
            <w:vAlign w:val="bottom"/>
            <w:hideMark/>
          </w:tcPr>
          <w:p w14:paraId="4FF65860" w14:textId="77777777" w:rsidR="00704151" w:rsidRPr="00687637" w:rsidRDefault="00704151" w:rsidP="00924B64">
            <w:pPr>
              <w:rPr>
                <w:sz w:val="20"/>
                <w:szCs w:val="20"/>
                <w:lang w:eastAsia="en-GB"/>
              </w:rPr>
            </w:pPr>
            <w:r w:rsidRPr="00687637">
              <w:rPr>
                <w:sz w:val="20"/>
                <w:szCs w:val="20"/>
                <w:lang w:eastAsia="en-GB"/>
              </w:rPr>
              <w:t>Factsheet section - clinical resources</w:t>
            </w:r>
          </w:p>
        </w:tc>
        <w:tc>
          <w:tcPr>
            <w:tcW w:w="1045" w:type="pct"/>
            <w:tcBorders>
              <w:top w:val="nil"/>
              <w:left w:val="nil"/>
              <w:right w:val="nil"/>
            </w:tcBorders>
            <w:shd w:val="clear" w:color="auto" w:fill="auto"/>
            <w:noWrap/>
            <w:vAlign w:val="bottom"/>
            <w:hideMark/>
          </w:tcPr>
          <w:p w14:paraId="38A942E0" w14:textId="77777777" w:rsidR="00704151" w:rsidRPr="00687637" w:rsidRDefault="00704151" w:rsidP="00924B64">
            <w:pPr>
              <w:jc w:val="center"/>
              <w:rPr>
                <w:sz w:val="20"/>
                <w:szCs w:val="20"/>
                <w:lang w:eastAsia="en-GB"/>
              </w:rPr>
            </w:pPr>
            <w:r w:rsidRPr="00687637">
              <w:rPr>
                <w:sz w:val="20"/>
                <w:szCs w:val="20"/>
                <w:lang w:eastAsia="en-GB"/>
              </w:rPr>
              <w:t>2,160</w:t>
            </w:r>
          </w:p>
        </w:tc>
        <w:tc>
          <w:tcPr>
            <w:tcW w:w="327" w:type="pct"/>
            <w:tcBorders>
              <w:top w:val="nil"/>
              <w:left w:val="nil"/>
              <w:right w:val="nil"/>
            </w:tcBorders>
            <w:shd w:val="clear" w:color="auto" w:fill="auto"/>
            <w:noWrap/>
            <w:vAlign w:val="bottom"/>
            <w:hideMark/>
          </w:tcPr>
          <w:p w14:paraId="507769B6" w14:textId="77777777" w:rsidR="00704151" w:rsidRPr="00687637" w:rsidRDefault="00704151" w:rsidP="00924B64">
            <w:pPr>
              <w:jc w:val="center"/>
              <w:rPr>
                <w:sz w:val="20"/>
                <w:szCs w:val="20"/>
                <w:lang w:eastAsia="en-GB"/>
              </w:rPr>
            </w:pPr>
            <w:r w:rsidRPr="00687637">
              <w:rPr>
                <w:sz w:val="20"/>
                <w:szCs w:val="20"/>
                <w:lang w:eastAsia="en-GB"/>
              </w:rPr>
              <w:t>0.1</w:t>
            </w:r>
          </w:p>
        </w:tc>
        <w:tc>
          <w:tcPr>
            <w:tcW w:w="238" w:type="pct"/>
            <w:tcBorders>
              <w:top w:val="nil"/>
              <w:left w:val="nil"/>
              <w:right w:val="nil"/>
            </w:tcBorders>
            <w:shd w:val="clear" w:color="auto" w:fill="auto"/>
            <w:noWrap/>
            <w:vAlign w:val="bottom"/>
            <w:hideMark/>
          </w:tcPr>
          <w:p w14:paraId="101F38E5" w14:textId="77777777" w:rsidR="00704151" w:rsidRPr="00687637" w:rsidRDefault="00704151" w:rsidP="00924B64">
            <w:pPr>
              <w:jc w:val="center"/>
              <w:rPr>
                <w:sz w:val="20"/>
                <w:szCs w:val="20"/>
                <w:lang w:eastAsia="en-GB"/>
              </w:rPr>
            </w:pPr>
          </w:p>
        </w:tc>
        <w:tc>
          <w:tcPr>
            <w:tcW w:w="1153" w:type="pct"/>
            <w:tcBorders>
              <w:top w:val="nil"/>
              <w:left w:val="nil"/>
              <w:right w:val="nil"/>
            </w:tcBorders>
            <w:shd w:val="clear" w:color="auto" w:fill="auto"/>
            <w:noWrap/>
            <w:vAlign w:val="bottom"/>
            <w:hideMark/>
          </w:tcPr>
          <w:p w14:paraId="18D67180" w14:textId="77777777" w:rsidR="00704151" w:rsidRPr="00687637" w:rsidRDefault="00704151" w:rsidP="00924B64">
            <w:pPr>
              <w:jc w:val="center"/>
              <w:rPr>
                <w:sz w:val="20"/>
                <w:szCs w:val="20"/>
                <w:lang w:eastAsia="en-GB"/>
              </w:rPr>
            </w:pPr>
            <w:r w:rsidRPr="00687637">
              <w:rPr>
                <w:sz w:val="20"/>
                <w:szCs w:val="20"/>
                <w:lang w:eastAsia="en-GB"/>
              </w:rPr>
              <w:t>2</w:t>
            </w:r>
          </w:p>
        </w:tc>
        <w:tc>
          <w:tcPr>
            <w:tcW w:w="327" w:type="pct"/>
            <w:tcBorders>
              <w:top w:val="nil"/>
              <w:left w:val="nil"/>
              <w:right w:val="nil"/>
            </w:tcBorders>
            <w:shd w:val="clear" w:color="auto" w:fill="auto"/>
            <w:noWrap/>
            <w:vAlign w:val="bottom"/>
            <w:hideMark/>
          </w:tcPr>
          <w:p w14:paraId="75CCF9D6"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102CE87E" w14:textId="77777777" w:rsidTr="00924B64">
        <w:trPr>
          <w:trHeight w:val="300"/>
        </w:trPr>
        <w:tc>
          <w:tcPr>
            <w:tcW w:w="1910" w:type="pct"/>
            <w:tcBorders>
              <w:top w:val="nil"/>
              <w:left w:val="nil"/>
              <w:bottom w:val="single" w:sz="4" w:space="0" w:color="auto"/>
              <w:right w:val="nil"/>
            </w:tcBorders>
            <w:shd w:val="clear" w:color="auto" w:fill="auto"/>
            <w:noWrap/>
            <w:vAlign w:val="bottom"/>
            <w:hideMark/>
          </w:tcPr>
          <w:p w14:paraId="4492BB62" w14:textId="77777777" w:rsidR="00704151" w:rsidRPr="00687637" w:rsidRDefault="00704151" w:rsidP="00924B64">
            <w:pPr>
              <w:rPr>
                <w:sz w:val="20"/>
                <w:szCs w:val="20"/>
                <w:lang w:eastAsia="en-GB"/>
              </w:rPr>
            </w:pPr>
            <w:r w:rsidRPr="00687637">
              <w:rPr>
                <w:sz w:val="20"/>
                <w:szCs w:val="20"/>
                <w:lang w:eastAsia="en-GB"/>
              </w:rPr>
              <w:t>Factsheet item</w:t>
            </w:r>
          </w:p>
        </w:tc>
        <w:tc>
          <w:tcPr>
            <w:tcW w:w="1045" w:type="pct"/>
            <w:tcBorders>
              <w:top w:val="nil"/>
              <w:left w:val="nil"/>
              <w:bottom w:val="single" w:sz="4" w:space="0" w:color="auto"/>
              <w:right w:val="nil"/>
            </w:tcBorders>
            <w:shd w:val="clear" w:color="auto" w:fill="auto"/>
            <w:noWrap/>
            <w:vAlign w:val="bottom"/>
            <w:hideMark/>
          </w:tcPr>
          <w:p w14:paraId="4C2B83C1" w14:textId="77777777" w:rsidR="00704151" w:rsidRPr="00687637" w:rsidRDefault="00704151" w:rsidP="00924B64">
            <w:pPr>
              <w:jc w:val="center"/>
              <w:rPr>
                <w:sz w:val="20"/>
                <w:szCs w:val="20"/>
                <w:lang w:eastAsia="en-GB"/>
              </w:rPr>
            </w:pPr>
            <w:r w:rsidRPr="00687637">
              <w:rPr>
                <w:sz w:val="20"/>
                <w:szCs w:val="20"/>
                <w:lang w:eastAsia="en-GB"/>
              </w:rPr>
              <w:t>281,362</w:t>
            </w:r>
          </w:p>
        </w:tc>
        <w:tc>
          <w:tcPr>
            <w:tcW w:w="327" w:type="pct"/>
            <w:tcBorders>
              <w:top w:val="nil"/>
              <w:left w:val="nil"/>
              <w:bottom w:val="single" w:sz="4" w:space="0" w:color="auto"/>
              <w:right w:val="nil"/>
            </w:tcBorders>
            <w:shd w:val="clear" w:color="auto" w:fill="auto"/>
            <w:noWrap/>
            <w:vAlign w:val="bottom"/>
            <w:hideMark/>
          </w:tcPr>
          <w:p w14:paraId="3C6A6532" w14:textId="77777777" w:rsidR="00704151" w:rsidRPr="00687637" w:rsidRDefault="00704151" w:rsidP="00924B64">
            <w:pPr>
              <w:jc w:val="center"/>
              <w:rPr>
                <w:sz w:val="20"/>
                <w:szCs w:val="20"/>
                <w:lang w:eastAsia="en-GB"/>
              </w:rPr>
            </w:pPr>
            <w:r w:rsidRPr="00687637">
              <w:rPr>
                <w:sz w:val="20"/>
                <w:szCs w:val="20"/>
                <w:lang w:eastAsia="en-GB"/>
              </w:rPr>
              <w:t>7.2</w:t>
            </w:r>
          </w:p>
        </w:tc>
        <w:tc>
          <w:tcPr>
            <w:tcW w:w="238" w:type="pct"/>
            <w:tcBorders>
              <w:top w:val="nil"/>
              <w:left w:val="nil"/>
              <w:bottom w:val="single" w:sz="4" w:space="0" w:color="auto"/>
              <w:right w:val="nil"/>
            </w:tcBorders>
            <w:shd w:val="clear" w:color="auto" w:fill="auto"/>
            <w:noWrap/>
            <w:vAlign w:val="bottom"/>
            <w:hideMark/>
          </w:tcPr>
          <w:p w14:paraId="58B90016" w14:textId="77777777" w:rsidR="00704151" w:rsidRPr="00687637" w:rsidRDefault="00704151" w:rsidP="00924B64">
            <w:pPr>
              <w:jc w:val="center"/>
              <w:rPr>
                <w:sz w:val="20"/>
                <w:szCs w:val="20"/>
                <w:lang w:eastAsia="en-GB"/>
              </w:rPr>
            </w:pPr>
          </w:p>
        </w:tc>
        <w:tc>
          <w:tcPr>
            <w:tcW w:w="1153" w:type="pct"/>
            <w:tcBorders>
              <w:top w:val="nil"/>
              <w:left w:val="nil"/>
              <w:bottom w:val="single" w:sz="4" w:space="0" w:color="auto"/>
              <w:right w:val="nil"/>
            </w:tcBorders>
            <w:shd w:val="clear" w:color="auto" w:fill="auto"/>
            <w:noWrap/>
            <w:vAlign w:val="bottom"/>
            <w:hideMark/>
          </w:tcPr>
          <w:p w14:paraId="4C452C6D" w14:textId="77777777" w:rsidR="00704151" w:rsidRPr="00687637" w:rsidRDefault="00704151" w:rsidP="00924B64">
            <w:pPr>
              <w:jc w:val="center"/>
              <w:rPr>
                <w:sz w:val="20"/>
                <w:szCs w:val="20"/>
                <w:lang w:eastAsia="en-GB"/>
              </w:rPr>
            </w:pPr>
            <w:r w:rsidRPr="00687637">
              <w:rPr>
                <w:sz w:val="20"/>
                <w:szCs w:val="20"/>
                <w:lang w:eastAsia="en-GB"/>
              </w:rPr>
              <w:t>601</w:t>
            </w:r>
          </w:p>
        </w:tc>
        <w:tc>
          <w:tcPr>
            <w:tcW w:w="327" w:type="pct"/>
            <w:tcBorders>
              <w:top w:val="nil"/>
              <w:left w:val="nil"/>
              <w:bottom w:val="single" w:sz="4" w:space="0" w:color="auto"/>
              <w:right w:val="nil"/>
            </w:tcBorders>
            <w:shd w:val="clear" w:color="auto" w:fill="auto"/>
            <w:noWrap/>
            <w:vAlign w:val="bottom"/>
            <w:hideMark/>
          </w:tcPr>
          <w:p w14:paraId="14C622AC" w14:textId="77777777" w:rsidR="00704151" w:rsidRPr="00687637" w:rsidRDefault="00704151" w:rsidP="00924B64">
            <w:pPr>
              <w:jc w:val="center"/>
              <w:rPr>
                <w:sz w:val="20"/>
                <w:szCs w:val="20"/>
                <w:lang w:eastAsia="en-GB"/>
              </w:rPr>
            </w:pPr>
            <w:r w:rsidRPr="00687637">
              <w:rPr>
                <w:sz w:val="20"/>
                <w:szCs w:val="20"/>
                <w:lang w:eastAsia="en-GB"/>
              </w:rPr>
              <w:t>9.5</w:t>
            </w:r>
          </w:p>
        </w:tc>
      </w:tr>
      <w:tr w:rsidR="00704151" w:rsidRPr="00687637" w14:paraId="291407CB" w14:textId="77777777" w:rsidTr="00924B64">
        <w:trPr>
          <w:trHeight w:val="300"/>
        </w:trPr>
        <w:tc>
          <w:tcPr>
            <w:tcW w:w="1910" w:type="pct"/>
            <w:tcBorders>
              <w:top w:val="single" w:sz="4" w:space="0" w:color="auto"/>
              <w:left w:val="nil"/>
              <w:right w:val="nil"/>
            </w:tcBorders>
            <w:shd w:val="clear" w:color="auto" w:fill="auto"/>
            <w:noWrap/>
            <w:vAlign w:val="bottom"/>
            <w:hideMark/>
          </w:tcPr>
          <w:p w14:paraId="25DFF29B" w14:textId="77777777" w:rsidR="00704151" w:rsidRPr="00687637" w:rsidRDefault="00704151" w:rsidP="00924B64">
            <w:pPr>
              <w:rPr>
                <w:sz w:val="20"/>
                <w:szCs w:val="20"/>
                <w:lang w:eastAsia="en-GB"/>
              </w:rPr>
            </w:pPr>
            <w:r w:rsidRPr="00687637">
              <w:rPr>
                <w:sz w:val="20"/>
                <w:szCs w:val="20"/>
                <w:lang w:eastAsia="en-GB"/>
              </w:rPr>
              <w:t>WORLD OVERVIEW MAP</w:t>
            </w:r>
          </w:p>
        </w:tc>
        <w:tc>
          <w:tcPr>
            <w:tcW w:w="1045" w:type="pct"/>
            <w:tcBorders>
              <w:top w:val="single" w:sz="4" w:space="0" w:color="auto"/>
              <w:left w:val="nil"/>
              <w:right w:val="nil"/>
            </w:tcBorders>
            <w:shd w:val="clear" w:color="auto" w:fill="auto"/>
            <w:noWrap/>
            <w:vAlign w:val="bottom"/>
            <w:hideMark/>
          </w:tcPr>
          <w:p w14:paraId="1B6AED11" w14:textId="77777777" w:rsidR="00704151" w:rsidRPr="00687637" w:rsidRDefault="00704151" w:rsidP="00924B64">
            <w:pPr>
              <w:jc w:val="center"/>
              <w:rPr>
                <w:sz w:val="20"/>
                <w:szCs w:val="20"/>
                <w:lang w:eastAsia="en-GB"/>
              </w:rPr>
            </w:pPr>
            <w:r w:rsidRPr="00687637">
              <w:rPr>
                <w:sz w:val="20"/>
                <w:szCs w:val="20"/>
                <w:lang w:eastAsia="en-GB"/>
              </w:rPr>
              <w:t>13,650</w:t>
            </w:r>
          </w:p>
        </w:tc>
        <w:tc>
          <w:tcPr>
            <w:tcW w:w="327" w:type="pct"/>
            <w:tcBorders>
              <w:top w:val="single" w:sz="4" w:space="0" w:color="auto"/>
              <w:left w:val="nil"/>
              <w:right w:val="nil"/>
            </w:tcBorders>
            <w:shd w:val="clear" w:color="auto" w:fill="auto"/>
            <w:noWrap/>
            <w:vAlign w:val="bottom"/>
            <w:hideMark/>
          </w:tcPr>
          <w:p w14:paraId="701566F6" w14:textId="77777777" w:rsidR="00704151" w:rsidRPr="00687637" w:rsidRDefault="00704151" w:rsidP="00924B64">
            <w:pPr>
              <w:jc w:val="center"/>
              <w:rPr>
                <w:sz w:val="20"/>
                <w:szCs w:val="20"/>
                <w:lang w:eastAsia="en-GB"/>
              </w:rPr>
            </w:pPr>
            <w:r w:rsidRPr="00687637">
              <w:rPr>
                <w:sz w:val="20"/>
                <w:szCs w:val="20"/>
                <w:lang w:eastAsia="en-GB"/>
              </w:rPr>
              <w:t>0.3</w:t>
            </w:r>
          </w:p>
        </w:tc>
        <w:tc>
          <w:tcPr>
            <w:tcW w:w="238" w:type="pct"/>
            <w:tcBorders>
              <w:top w:val="single" w:sz="4" w:space="0" w:color="auto"/>
              <w:left w:val="nil"/>
              <w:right w:val="nil"/>
            </w:tcBorders>
            <w:shd w:val="clear" w:color="auto" w:fill="auto"/>
            <w:noWrap/>
            <w:vAlign w:val="bottom"/>
            <w:hideMark/>
          </w:tcPr>
          <w:p w14:paraId="001BD7A5" w14:textId="77777777" w:rsidR="00704151" w:rsidRPr="00687637" w:rsidRDefault="00704151" w:rsidP="00924B64">
            <w:pPr>
              <w:jc w:val="center"/>
              <w:rPr>
                <w:sz w:val="20"/>
                <w:szCs w:val="20"/>
                <w:lang w:eastAsia="en-GB"/>
              </w:rPr>
            </w:pPr>
          </w:p>
        </w:tc>
        <w:tc>
          <w:tcPr>
            <w:tcW w:w="1153" w:type="pct"/>
            <w:tcBorders>
              <w:top w:val="single" w:sz="4" w:space="0" w:color="auto"/>
              <w:left w:val="nil"/>
              <w:right w:val="nil"/>
            </w:tcBorders>
            <w:shd w:val="clear" w:color="auto" w:fill="auto"/>
            <w:noWrap/>
            <w:vAlign w:val="bottom"/>
            <w:hideMark/>
          </w:tcPr>
          <w:p w14:paraId="472C7430" w14:textId="77777777" w:rsidR="00704151" w:rsidRPr="00687637" w:rsidRDefault="00704151" w:rsidP="00924B64">
            <w:pPr>
              <w:jc w:val="center"/>
              <w:rPr>
                <w:sz w:val="20"/>
                <w:szCs w:val="20"/>
                <w:lang w:eastAsia="en-GB"/>
              </w:rPr>
            </w:pPr>
            <w:r w:rsidRPr="00687637">
              <w:rPr>
                <w:sz w:val="20"/>
                <w:szCs w:val="20"/>
                <w:lang w:eastAsia="en-GB"/>
              </w:rPr>
              <w:t>16</w:t>
            </w:r>
          </w:p>
        </w:tc>
        <w:tc>
          <w:tcPr>
            <w:tcW w:w="327" w:type="pct"/>
            <w:tcBorders>
              <w:top w:val="single" w:sz="4" w:space="0" w:color="auto"/>
              <w:left w:val="nil"/>
              <w:right w:val="nil"/>
            </w:tcBorders>
            <w:shd w:val="clear" w:color="auto" w:fill="auto"/>
            <w:noWrap/>
            <w:vAlign w:val="bottom"/>
            <w:hideMark/>
          </w:tcPr>
          <w:p w14:paraId="0F722577" w14:textId="77777777" w:rsidR="00704151" w:rsidRPr="00687637" w:rsidRDefault="00704151" w:rsidP="00924B64">
            <w:pPr>
              <w:jc w:val="center"/>
              <w:rPr>
                <w:sz w:val="20"/>
                <w:szCs w:val="20"/>
                <w:lang w:eastAsia="en-GB"/>
              </w:rPr>
            </w:pPr>
            <w:r w:rsidRPr="00687637">
              <w:rPr>
                <w:sz w:val="20"/>
                <w:szCs w:val="20"/>
                <w:lang w:eastAsia="en-GB"/>
              </w:rPr>
              <w:t>0.3</w:t>
            </w:r>
          </w:p>
        </w:tc>
      </w:tr>
      <w:tr w:rsidR="00704151" w:rsidRPr="00687637" w14:paraId="395137E8" w14:textId="77777777" w:rsidTr="00924B64">
        <w:trPr>
          <w:trHeight w:val="300"/>
        </w:trPr>
        <w:tc>
          <w:tcPr>
            <w:tcW w:w="1910" w:type="pct"/>
            <w:tcBorders>
              <w:top w:val="nil"/>
              <w:left w:val="nil"/>
              <w:bottom w:val="single" w:sz="4" w:space="0" w:color="auto"/>
              <w:right w:val="nil"/>
            </w:tcBorders>
            <w:shd w:val="clear" w:color="auto" w:fill="auto"/>
            <w:noWrap/>
            <w:vAlign w:val="bottom"/>
            <w:hideMark/>
          </w:tcPr>
          <w:p w14:paraId="007BCE1E" w14:textId="77777777" w:rsidR="00704151" w:rsidRPr="00687637" w:rsidRDefault="00704151" w:rsidP="00924B64">
            <w:pPr>
              <w:rPr>
                <w:sz w:val="20"/>
                <w:szCs w:val="20"/>
                <w:lang w:eastAsia="en-GB"/>
              </w:rPr>
            </w:pPr>
            <w:r w:rsidRPr="00687637">
              <w:rPr>
                <w:sz w:val="20"/>
                <w:szCs w:val="20"/>
                <w:lang w:eastAsia="en-GB"/>
              </w:rPr>
              <w:t>World overview - form search</w:t>
            </w:r>
          </w:p>
        </w:tc>
        <w:tc>
          <w:tcPr>
            <w:tcW w:w="1045" w:type="pct"/>
            <w:tcBorders>
              <w:top w:val="nil"/>
              <w:left w:val="nil"/>
              <w:bottom w:val="single" w:sz="4" w:space="0" w:color="auto"/>
              <w:right w:val="nil"/>
            </w:tcBorders>
            <w:shd w:val="clear" w:color="auto" w:fill="auto"/>
            <w:noWrap/>
            <w:vAlign w:val="bottom"/>
            <w:hideMark/>
          </w:tcPr>
          <w:p w14:paraId="289F006F" w14:textId="77777777" w:rsidR="00704151" w:rsidRPr="00687637" w:rsidRDefault="00704151" w:rsidP="00924B64">
            <w:pPr>
              <w:jc w:val="center"/>
              <w:rPr>
                <w:sz w:val="20"/>
                <w:szCs w:val="20"/>
                <w:lang w:eastAsia="en-GB"/>
              </w:rPr>
            </w:pPr>
            <w:r w:rsidRPr="00687637">
              <w:rPr>
                <w:sz w:val="20"/>
                <w:szCs w:val="20"/>
                <w:lang w:eastAsia="en-GB"/>
              </w:rPr>
              <w:t>5,566</w:t>
            </w:r>
          </w:p>
        </w:tc>
        <w:tc>
          <w:tcPr>
            <w:tcW w:w="327" w:type="pct"/>
            <w:tcBorders>
              <w:top w:val="nil"/>
              <w:left w:val="nil"/>
              <w:bottom w:val="single" w:sz="4" w:space="0" w:color="auto"/>
              <w:right w:val="nil"/>
            </w:tcBorders>
            <w:shd w:val="clear" w:color="auto" w:fill="auto"/>
            <w:noWrap/>
            <w:vAlign w:val="bottom"/>
            <w:hideMark/>
          </w:tcPr>
          <w:p w14:paraId="76E06A41" w14:textId="77777777" w:rsidR="00704151" w:rsidRPr="00687637" w:rsidRDefault="00704151" w:rsidP="00924B64">
            <w:pPr>
              <w:jc w:val="center"/>
              <w:rPr>
                <w:sz w:val="20"/>
                <w:szCs w:val="20"/>
                <w:lang w:eastAsia="en-GB"/>
              </w:rPr>
            </w:pPr>
            <w:r w:rsidRPr="00687637">
              <w:rPr>
                <w:sz w:val="20"/>
                <w:szCs w:val="20"/>
                <w:lang w:eastAsia="en-GB"/>
              </w:rPr>
              <w:t>0.1</w:t>
            </w:r>
          </w:p>
        </w:tc>
        <w:tc>
          <w:tcPr>
            <w:tcW w:w="238" w:type="pct"/>
            <w:tcBorders>
              <w:top w:val="nil"/>
              <w:left w:val="nil"/>
              <w:bottom w:val="single" w:sz="4" w:space="0" w:color="auto"/>
              <w:right w:val="nil"/>
            </w:tcBorders>
            <w:shd w:val="clear" w:color="auto" w:fill="auto"/>
            <w:noWrap/>
            <w:vAlign w:val="bottom"/>
            <w:hideMark/>
          </w:tcPr>
          <w:p w14:paraId="1A593358" w14:textId="77777777" w:rsidR="00704151" w:rsidRPr="00687637" w:rsidRDefault="00704151" w:rsidP="00924B64">
            <w:pPr>
              <w:jc w:val="center"/>
              <w:rPr>
                <w:sz w:val="20"/>
                <w:szCs w:val="20"/>
                <w:lang w:eastAsia="en-GB"/>
              </w:rPr>
            </w:pPr>
          </w:p>
        </w:tc>
        <w:tc>
          <w:tcPr>
            <w:tcW w:w="1153" w:type="pct"/>
            <w:tcBorders>
              <w:top w:val="nil"/>
              <w:left w:val="nil"/>
              <w:bottom w:val="single" w:sz="4" w:space="0" w:color="auto"/>
              <w:right w:val="nil"/>
            </w:tcBorders>
            <w:shd w:val="clear" w:color="auto" w:fill="auto"/>
            <w:noWrap/>
            <w:vAlign w:val="bottom"/>
            <w:hideMark/>
          </w:tcPr>
          <w:p w14:paraId="6B136C3E" w14:textId="77777777" w:rsidR="00704151" w:rsidRPr="00687637" w:rsidRDefault="00704151" w:rsidP="00924B64">
            <w:pPr>
              <w:jc w:val="center"/>
              <w:rPr>
                <w:sz w:val="20"/>
                <w:szCs w:val="20"/>
                <w:lang w:eastAsia="en-GB"/>
              </w:rPr>
            </w:pPr>
            <w:r w:rsidRPr="00687637">
              <w:rPr>
                <w:sz w:val="20"/>
                <w:szCs w:val="20"/>
                <w:lang w:eastAsia="en-GB"/>
              </w:rPr>
              <w:t>6</w:t>
            </w:r>
          </w:p>
        </w:tc>
        <w:tc>
          <w:tcPr>
            <w:tcW w:w="327" w:type="pct"/>
            <w:tcBorders>
              <w:top w:val="nil"/>
              <w:left w:val="nil"/>
              <w:bottom w:val="single" w:sz="4" w:space="0" w:color="auto"/>
              <w:right w:val="nil"/>
            </w:tcBorders>
            <w:shd w:val="clear" w:color="auto" w:fill="auto"/>
            <w:noWrap/>
            <w:vAlign w:val="bottom"/>
            <w:hideMark/>
          </w:tcPr>
          <w:p w14:paraId="632C65FB" w14:textId="77777777" w:rsidR="00704151" w:rsidRPr="00687637" w:rsidRDefault="00704151" w:rsidP="00924B64">
            <w:pPr>
              <w:jc w:val="center"/>
              <w:rPr>
                <w:sz w:val="20"/>
                <w:szCs w:val="20"/>
                <w:lang w:eastAsia="en-GB"/>
              </w:rPr>
            </w:pPr>
            <w:r w:rsidRPr="00687637">
              <w:rPr>
                <w:sz w:val="20"/>
                <w:szCs w:val="20"/>
                <w:lang w:eastAsia="en-GB"/>
              </w:rPr>
              <w:t>0.1</w:t>
            </w:r>
          </w:p>
        </w:tc>
      </w:tr>
      <w:tr w:rsidR="00704151" w:rsidRPr="00687637" w14:paraId="418E5AF7" w14:textId="77777777" w:rsidTr="00924B64">
        <w:trPr>
          <w:trHeight w:val="300"/>
        </w:trPr>
        <w:tc>
          <w:tcPr>
            <w:tcW w:w="1910" w:type="pct"/>
            <w:tcBorders>
              <w:top w:val="single" w:sz="4" w:space="0" w:color="auto"/>
              <w:left w:val="nil"/>
              <w:bottom w:val="nil"/>
              <w:right w:val="nil"/>
            </w:tcBorders>
            <w:shd w:val="clear" w:color="auto" w:fill="auto"/>
            <w:noWrap/>
            <w:vAlign w:val="bottom"/>
            <w:hideMark/>
          </w:tcPr>
          <w:p w14:paraId="7BDAA46E" w14:textId="77777777" w:rsidR="00704151" w:rsidRPr="00687637" w:rsidRDefault="00704151" w:rsidP="00924B64">
            <w:pPr>
              <w:rPr>
                <w:sz w:val="20"/>
                <w:szCs w:val="20"/>
                <w:lang w:eastAsia="en-GB"/>
              </w:rPr>
            </w:pPr>
            <w:r w:rsidRPr="00687637">
              <w:rPr>
                <w:sz w:val="20"/>
                <w:szCs w:val="20"/>
                <w:lang w:eastAsia="en-GB"/>
              </w:rPr>
              <w:t>ABOUT/CONTACT US</w:t>
            </w:r>
          </w:p>
        </w:tc>
        <w:tc>
          <w:tcPr>
            <w:tcW w:w="1045" w:type="pct"/>
            <w:tcBorders>
              <w:top w:val="single" w:sz="4" w:space="0" w:color="auto"/>
              <w:left w:val="nil"/>
              <w:bottom w:val="nil"/>
              <w:right w:val="nil"/>
            </w:tcBorders>
            <w:shd w:val="clear" w:color="auto" w:fill="auto"/>
            <w:noWrap/>
            <w:vAlign w:val="bottom"/>
            <w:hideMark/>
          </w:tcPr>
          <w:p w14:paraId="0DE31869" w14:textId="77777777" w:rsidR="00704151" w:rsidRPr="00687637" w:rsidRDefault="00704151" w:rsidP="00924B64">
            <w:pPr>
              <w:jc w:val="center"/>
              <w:rPr>
                <w:sz w:val="20"/>
                <w:szCs w:val="20"/>
                <w:lang w:eastAsia="en-GB"/>
              </w:rPr>
            </w:pPr>
            <w:r w:rsidRPr="00687637">
              <w:rPr>
                <w:sz w:val="20"/>
                <w:szCs w:val="20"/>
                <w:lang w:eastAsia="en-GB"/>
              </w:rPr>
              <w:t>36,082</w:t>
            </w:r>
          </w:p>
        </w:tc>
        <w:tc>
          <w:tcPr>
            <w:tcW w:w="327" w:type="pct"/>
            <w:tcBorders>
              <w:top w:val="single" w:sz="4" w:space="0" w:color="auto"/>
              <w:left w:val="nil"/>
              <w:bottom w:val="nil"/>
              <w:right w:val="nil"/>
            </w:tcBorders>
            <w:shd w:val="clear" w:color="auto" w:fill="auto"/>
            <w:noWrap/>
            <w:vAlign w:val="bottom"/>
            <w:hideMark/>
          </w:tcPr>
          <w:p w14:paraId="5C2C1EC7" w14:textId="77777777" w:rsidR="00704151" w:rsidRPr="00687637" w:rsidRDefault="00704151" w:rsidP="00924B64">
            <w:pPr>
              <w:jc w:val="center"/>
              <w:rPr>
                <w:sz w:val="20"/>
                <w:szCs w:val="20"/>
                <w:lang w:eastAsia="en-GB"/>
              </w:rPr>
            </w:pPr>
            <w:r w:rsidRPr="00687637">
              <w:rPr>
                <w:sz w:val="20"/>
                <w:szCs w:val="20"/>
                <w:lang w:eastAsia="en-GB"/>
              </w:rPr>
              <w:t>0.9</w:t>
            </w:r>
          </w:p>
        </w:tc>
        <w:tc>
          <w:tcPr>
            <w:tcW w:w="238" w:type="pct"/>
            <w:tcBorders>
              <w:top w:val="single" w:sz="4" w:space="0" w:color="auto"/>
              <w:left w:val="nil"/>
              <w:bottom w:val="nil"/>
              <w:right w:val="nil"/>
            </w:tcBorders>
            <w:shd w:val="clear" w:color="auto" w:fill="auto"/>
            <w:noWrap/>
            <w:vAlign w:val="bottom"/>
            <w:hideMark/>
          </w:tcPr>
          <w:p w14:paraId="23A59FB2" w14:textId="77777777" w:rsidR="00704151" w:rsidRPr="00687637" w:rsidRDefault="00704151" w:rsidP="00924B64">
            <w:pPr>
              <w:jc w:val="center"/>
              <w:rPr>
                <w:sz w:val="20"/>
                <w:szCs w:val="20"/>
                <w:lang w:eastAsia="en-GB"/>
              </w:rPr>
            </w:pPr>
          </w:p>
        </w:tc>
        <w:tc>
          <w:tcPr>
            <w:tcW w:w="1153" w:type="pct"/>
            <w:tcBorders>
              <w:top w:val="single" w:sz="4" w:space="0" w:color="auto"/>
              <w:left w:val="nil"/>
              <w:bottom w:val="nil"/>
              <w:right w:val="nil"/>
            </w:tcBorders>
            <w:shd w:val="clear" w:color="auto" w:fill="auto"/>
            <w:noWrap/>
            <w:vAlign w:val="bottom"/>
            <w:hideMark/>
          </w:tcPr>
          <w:p w14:paraId="23EC3C9E" w14:textId="77777777" w:rsidR="00704151" w:rsidRPr="00687637" w:rsidRDefault="00704151" w:rsidP="00924B64">
            <w:pPr>
              <w:jc w:val="center"/>
              <w:rPr>
                <w:sz w:val="20"/>
                <w:szCs w:val="20"/>
                <w:lang w:eastAsia="en-GB"/>
              </w:rPr>
            </w:pPr>
            <w:r w:rsidRPr="00687637">
              <w:rPr>
                <w:sz w:val="20"/>
                <w:szCs w:val="20"/>
                <w:lang w:eastAsia="en-GB"/>
              </w:rPr>
              <w:t>46</w:t>
            </w:r>
          </w:p>
        </w:tc>
        <w:tc>
          <w:tcPr>
            <w:tcW w:w="327" w:type="pct"/>
            <w:tcBorders>
              <w:top w:val="single" w:sz="4" w:space="0" w:color="auto"/>
              <w:left w:val="nil"/>
              <w:bottom w:val="nil"/>
              <w:right w:val="nil"/>
            </w:tcBorders>
            <w:shd w:val="clear" w:color="auto" w:fill="auto"/>
            <w:noWrap/>
            <w:vAlign w:val="bottom"/>
            <w:hideMark/>
          </w:tcPr>
          <w:p w14:paraId="38DE41C8" w14:textId="77777777" w:rsidR="00704151" w:rsidRPr="00687637" w:rsidRDefault="00704151" w:rsidP="00924B64">
            <w:pPr>
              <w:jc w:val="center"/>
              <w:rPr>
                <w:sz w:val="20"/>
                <w:szCs w:val="20"/>
                <w:lang w:eastAsia="en-GB"/>
              </w:rPr>
            </w:pPr>
            <w:r w:rsidRPr="00687637">
              <w:rPr>
                <w:sz w:val="20"/>
                <w:szCs w:val="20"/>
                <w:lang w:eastAsia="en-GB"/>
              </w:rPr>
              <w:t>0.7</w:t>
            </w:r>
          </w:p>
        </w:tc>
      </w:tr>
      <w:tr w:rsidR="00704151" w:rsidRPr="00687637" w14:paraId="6EC06EE4" w14:textId="77777777" w:rsidTr="00924B64">
        <w:trPr>
          <w:trHeight w:val="300"/>
        </w:trPr>
        <w:tc>
          <w:tcPr>
            <w:tcW w:w="1910" w:type="pct"/>
            <w:tcBorders>
              <w:top w:val="nil"/>
              <w:left w:val="nil"/>
              <w:bottom w:val="nil"/>
              <w:right w:val="nil"/>
            </w:tcBorders>
            <w:shd w:val="clear" w:color="auto" w:fill="auto"/>
            <w:noWrap/>
            <w:vAlign w:val="bottom"/>
            <w:hideMark/>
          </w:tcPr>
          <w:p w14:paraId="0D44903F" w14:textId="77777777" w:rsidR="00704151" w:rsidRPr="00687637" w:rsidRDefault="00704151" w:rsidP="00924B64">
            <w:pPr>
              <w:rPr>
                <w:sz w:val="20"/>
                <w:szCs w:val="20"/>
                <w:lang w:eastAsia="en-GB"/>
              </w:rPr>
            </w:pPr>
            <w:r w:rsidRPr="00687637">
              <w:rPr>
                <w:sz w:val="20"/>
                <w:szCs w:val="20"/>
                <w:lang w:eastAsia="en-GB"/>
              </w:rPr>
              <w:t>Free Search</w:t>
            </w:r>
          </w:p>
        </w:tc>
        <w:tc>
          <w:tcPr>
            <w:tcW w:w="1045" w:type="pct"/>
            <w:tcBorders>
              <w:top w:val="nil"/>
              <w:left w:val="nil"/>
              <w:bottom w:val="nil"/>
              <w:right w:val="nil"/>
            </w:tcBorders>
            <w:shd w:val="clear" w:color="auto" w:fill="auto"/>
            <w:noWrap/>
            <w:vAlign w:val="bottom"/>
            <w:hideMark/>
          </w:tcPr>
          <w:p w14:paraId="1A5E848D" w14:textId="77777777" w:rsidR="00704151" w:rsidRPr="00687637" w:rsidRDefault="00704151" w:rsidP="00924B64">
            <w:pPr>
              <w:jc w:val="center"/>
              <w:rPr>
                <w:sz w:val="20"/>
                <w:szCs w:val="20"/>
                <w:lang w:eastAsia="en-GB"/>
              </w:rPr>
            </w:pPr>
            <w:r w:rsidRPr="00687637">
              <w:rPr>
                <w:sz w:val="20"/>
                <w:szCs w:val="20"/>
                <w:lang w:eastAsia="en-GB"/>
              </w:rPr>
              <w:t>54,832</w:t>
            </w:r>
          </w:p>
        </w:tc>
        <w:tc>
          <w:tcPr>
            <w:tcW w:w="327" w:type="pct"/>
            <w:tcBorders>
              <w:top w:val="nil"/>
              <w:left w:val="nil"/>
              <w:bottom w:val="nil"/>
              <w:right w:val="nil"/>
            </w:tcBorders>
            <w:shd w:val="clear" w:color="auto" w:fill="auto"/>
            <w:noWrap/>
            <w:vAlign w:val="bottom"/>
            <w:hideMark/>
          </w:tcPr>
          <w:p w14:paraId="370FC986" w14:textId="77777777" w:rsidR="00704151" w:rsidRPr="00687637" w:rsidRDefault="00704151" w:rsidP="00924B64">
            <w:pPr>
              <w:jc w:val="center"/>
              <w:rPr>
                <w:sz w:val="20"/>
                <w:szCs w:val="20"/>
                <w:lang w:eastAsia="en-GB"/>
              </w:rPr>
            </w:pPr>
            <w:r w:rsidRPr="00687637">
              <w:rPr>
                <w:sz w:val="20"/>
                <w:szCs w:val="20"/>
                <w:lang w:eastAsia="en-GB"/>
              </w:rPr>
              <w:t>1.4</w:t>
            </w:r>
          </w:p>
        </w:tc>
        <w:tc>
          <w:tcPr>
            <w:tcW w:w="238" w:type="pct"/>
            <w:tcBorders>
              <w:top w:val="nil"/>
              <w:left w:val="nil"/>
              <w:bottom w:val="nil"/>
              <w:right w:val="nil"/>
            </w:tcBorders>
            <w:shd w:val="clear" w:color="auto" w:fill="auto"/>
            <w:noWrap/>
            <w:vAlign w:val="bottom"/>
            <w:hideMark/>
          </w:tcPr>
          <w:p w14:paraId="73B2EB46"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31F8D537" w14:textId="77777777" w:rsidR="00704151" w:rsidRPr="00687637" w:rsidRDefault="00704151" w:rsidP="00924B64">
            <w:pPr>
              <w:jc w:val="center"/>
              <w:rPr>
                <w:sz w:val="20"/>
                <w:szCs w:val="20"/>
                <w:lang w:eastAsia="en-GB"/>
              </w:rPr>
            </w:pPr>
            <w:r w:rsidRPr="00687637">
              <w:rPr>
                <w:sz w:val="20"/>
                <w:szCs w:val="20"/>
                <w:lang w:eastAsia="en-GB"/>
              </w:rPr>
              <w:t>26</w:t>
            </w:r>
          </w:p>
        </w:tc>
        <w:tc>
          <w:tcPr>
            <w:tcW w:w="327" w:type="pct"/>
            <w:tcBorders>
              <w:top w:val="nil"/>
              <w:left w:val="nil"/>
              <w:bottom w:val="nil"/>
              <w:right w:val="nil"/>
            </w:tcBorders>
            <w:shd w:val="clear" w:color="auto" w:fill="auto"/>
            <w:noWrap/>
            <w:vAlign w:val="bottom"/>
            <w:hideMark/>
          </w:tcPr>
          <w:p w14:paraId="32187154" w14:textId="77777777" w:rsidR="00704151" w:rsidRPr="00687637" w:rsidRDefault="00704151" w:rsidP="00924B64">
            <w:pPr>
              <w:jc w:val="center"/>
              <w:rPr>
                <w:sz w:val="20"/>
                <w:szCs w:val="20"/>
                <w:lang w:eastAsia="en-GB"/>
              </w:rPr>
            </w:pPr>
            <w:r w:rsidRPr="00687637">
              <w:rPr>
                <w:sz w:val="20"/>
                <w:szCs w:val="20"/>
                <w:lang w:eastAsia="en-GB"/>
              </w:rPr>
              <w:t>0.4</w:t>
            </w:r>
          </w:p>
        </w:tc>
      </w:tr>
      <w:tr w:rsidR="00704151" w:rsidRPr="00687637" w14:paraId="36C4D9A9" w14:textId="77777777" w:rsidTr="00924B64">
        <w:trPr>
          <w:trHeight w:val="300"/>
        </w:trPr>
        <w:tc>
          <w:tcPr>
            <w:tcW w:w="1910" w:type="pct"/>
            <w:tcBorders>
              <w:top w:val="nil"/>
              <w:left w:val="nil"/>
              <w:bottom w:val="nil"/>
              <w:right w:val="nil"/>
            </w:tcBorders>
            <w:shd w:val="clear" w:color="auto" w:fill="auto"/>
            <w:noWrap/>
            <w:vAlign w:val="bottom"/>
            <w:hideMark/>
          </w:tcPr>
          <w:p w14:paraId="676B16B0" w14:textId="77777777" w:rsidR="00704151" w:rsidRPr="00687637" w:rsidRDefault="00704151" w:rsidP="00924B64">
            <w:pPr>
              <w:rPr>
                <w:sz w:val="20"/>
                <w:szCs w:val="20"/>
                <w:lang w:eastAsia="en-GB"/>
              </w:rPr>
            </w:pPr>
            <w:r w:rsidRPr="00687637">
              <w:rPr>
                <w:sz w:val="20"/>
                <w:szCs w:val="20"/>
                <w:lang w:eastAsia="en-GB"/>
              </w:rPr>
              <w:t>Tag cloud</w:t>
            </w:r>
          </w:p>
        </w:tc>
        <w:tc>
          <w:tcPr>
            <w:tcW w:w="1045" w:type="pct"/>
            <w:tcBorders>
              <w:top w:val="nil"/>
              <w:left w:val="nil"/>
              <w:bottom w:val="nil"/>
              <w:right w:val="nil"/>
            </w:tcBorders>
            <w:shd w:val="clear" w:color="auto" w:fill="auto"/>
            <w:noWrap/>
            <w:vAlign w:val="bottom"/>
            <w:hideMark/>
          </w:tcPr>
          <w:p w14:paraId="12525381" w14:textId="77777777" w:rsidR="00704151" w:rsidRPr="00687637" w:rsidRDefault="00704151" w:rsidP="00924B64">
            <w:pPr>
              <w:jc w:val="center"/>
              <w:rPr>
                <w:sz w:val="20"/>
                <w:szCs w:val="20"/>
                <w:lang w:eastAsia="en-GB"/>
              </w:rPr>
            </w:pPr>
            <w:r w:rsidRPr="00687637">
              <w:rPr>
                <w:sz w:val="20"/>
                <w:szCs w:val="20"/>
                <w:lang w:eastAsia="en-GB"/>
              </w:rPr>
              <w:t>48,640</w:t>
            </w:r>
          </w:p>
        </w:tc>
        <w:tc>
          <w:tcPr>
            <w:tcW w:w="327" w:type="pct"/>
            <w:tcBorders>
              <w:top w:val="nil"/>
              <w:left w:val="nil"/>
              <w:bottom w:val="nil"/>
              <w:right w:val="nil"/>
            </w:tcBorders>
            <w:shd w:val="clear" w:color="auto" w:fill="auto"/>
            <w:noWrap/>
            <w:vAlign w:val="bottom"/>
            <w:hideMark/>
          </w:tcPr>
          <w:p w14:paraId="7B5A2F1C" w14:textId="77777777" w:rsidR="00704151" w:rsidRPr="00687637" w:rsidRDefault="00704151" w:rsidP="00924B64">
            <w:pPr>
              <w:jc w:val="center"/>
              <w:rPr>
                <w:sz w:val="20"/>
                <w:szCs w:val="20"/>
                <w:lang w:eastAsia="en-GB"/>
              </w:rPr>
            </w:pPr>
            <w:r w:rsidRPr="00687637">
              <w:rPr>
                <w:sz w:val="20"/>
                <w:szCs w:val="20"/>
                <w:lang w:eastAsia="en-GB"/>
              </w:rPr>
              <w:t>1.2</w:t>
            </w:r>
          </w:p>
        </w:tc>
        <w:tc>
          <w:tcPr>
            <w:tcW w:w="238" w:type="pct"/>
            <w:tcBorders>
              <w:top w:val="nil"/>
              <w:left w:val="nil"/>
              <w:bottom w:val="nil"/>
              <w:right w:val="nil"/>
            </w:tcBorders>
            <w:shd w:val="clear" w:color="auto" w:fill="auto"/>
            <w:noWrap/>
            <w:vAlign w:val="bottom"/>
            <w:hideMark/>
          </w:tcPr>
          <w:p w14:paraId="4DCE4EAA"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7EACB595" w14:textId="77777777" w:rsidR="00704151" w:rsidRPr="00687637" w:rsidRDefault="00704151" w:rsidP="00924B64">
            <w:pPr>
              <w:jc w:val="center"/>
              <w:rPr>
                <w:sz w:val="20"/>
                <w:szCs w:val="20"/>
                <w:lang w:eastAsia="en-GB"/>
              </w:rPr>
            </w:pPr>
            <w:r w:rsidRPr="00687637">
              <w:rPr>
                <w:sz w:val="20"/>
                <w:szCs w:val="20"/>
                <w:lang w:eastAsia="en-GB"/>
              </w:rPr>
              <w:t>23</w:t>
            </w:r>
          </w:p>
        </w:tc>
        <w:tc>
          <w:tcPr>
            <w:tcW w:w="327" w:type="pct"/>
            <w:tcBorders>
              <w:top w:val="nil"/>
              <w:left w:val="nil"/>
              <w:bottom w:val="nil"/>
              <w:right w:val="nil"/>
            </w:tcBorders>
            <w:shd w:val="clear" w:color="auto" w:fill="auto"/>
            <w:noWrap/>
            <w:vAlign w:val="bottom"/>
            <w:hideMark/>
          </w:tcPr>
          <w:p w14:paraId="42BF0F90" w14:textId="77777777" w:rsidR="00704151" w:rsidRPr="00687637" w:rsidRDefault="00704151" w:rsidP="00924B64">
            <w:pPr>
              <w:jc w:val="center"/>
              <w:rPr>
                <w:sz w:val="20"/>
                <w:szCs w:val="20"/>
                <w:lang w:eastAsia="en-GB"/>
              </w:rPr>
            </w:pPr>
            <w:r w:rsidRPr="00687637">
              <w:rPr>
                <w:sz w:val="20"/>
                <w:szCs w:val="20"/>
                <w:lang w:eastAsia="en-GB"/>
              </w:rPr>
              <w:t>0.4</w:t>
            </w:r>
          </w:p>
        </w:tc>
      </w:tr>
      <w:tr w:rsidR="00704151" w:rsidRPr="00687637" w14:paraId="19F2224C" w14:textId="77777777" w:rsidTr="00924B64">
        <w:trPr>
          <w:trHeight w:val="300"/>
        </w:trPr>
        <w:tc>
          <w:tcPr>
            <w:tcW w:w="1910" w:type="pct"/>
            <w:tcBorders>
              <w:top w:val="nil"/>
              <w:left w:val="nil"/>
              <w:bottom w:val="nil"/>
              <w:right w:val="nil"/>
            </w:tcBorders>
            <w:shd w:val="clear" w:color="auto" w:fill="auto"/>
            <w:noWrap/>
            <w:vAlign w:val="bottom"/>
            <w:hideMark/>
          </w:tcPr>
          <w:p w14:paraId="38DEF3C6" w14:textId="77777777" w:rsidR="00704151" w:rsidRPr="00687637" w:rsidRDefault="00704151" w:rsidP="00924B64">
            <w:pPr>
              <w:rPr>
                <w:sz w:val="20"/>
                <w:szCs w:val="20"/>
                <w:lang w:eastAsia="en-GB"/>
              </w:rPr>
            </w:pPr>
            <w:r w:rsidRPr="00687637">
              <w:rPr>
                <w:sz w:val="20"/>
                <w:szCs w:val="20"/>
                <w:lang w:eastAsia="en-GB"/>
              </w:rPr>
              <w:t>Disclaimer/Terms of use</w:t>
            </w:r>
          </w:p>
        </w:tc>
        <w:tc>
          <w:tcPr>
            <w:tcW w:w="1045" w:type="pct"/>
            <w:tcBorders>
              <w:top w:val="nil"/>
              <w:left w:val="nil"/>
              <w:bottom w:val="nil"/>
              <w:right w:val="nil"/>
            </w:tcBorders>
            <w:shd w:val="clear" w:color="auto" w:fill="auto"/>
            <w:noWrap/>
            <w:vAlign w:val="bottom"/>
            <w:hideMark/>
          </w:tcPr>
          <w:p w14:paraId="5C3AC26D" w14:textId="77777777" w:rsidR="00704151" w:rsidRPr="00687637" w:rsidRDefault="00704151" w:rsidP="00924B64">
            <w:pPr>
              <w:jc w:val="center"/>
              <w:rPr>
                <w:sz w:val="20"/>
                <w:szCs w:val="20"/>
                <w:lang w:eastAsia="en-GB"/>
              </w:rPr>
            </w:pPr>
            <w:r w:rsidRPr="00687637">
              <w:rPr>
                <w:sz w:val="20"/>
                <w:szCs w:val="20"/>
                <w:lang w:eastAsia="en-GB"/>
              </w:rPr>
              <w:t>179</w:t>
            </w:r>
          </w:p>
        </w:tc>
        <w:tc>
          <w:tcPr>
            <w:tcW w:w="327" w:type="pct"/>
            <w:tcBorders>
              <w:top w:val="nil"/>
              <w:left w:val="nil"/>
              <w:bottom w:val="nil"/>
              <w:right w:val="nil"/>
            </w:tcBorders>
            <w:shd w:val="clear" w:color="auto" w:fill="auto"/>
            <w:noWrap/>
            <w:vAlign w:val="bottom"/>
            <w:hideMark/>
          </w:tcPr>
          <w:p w14:paraId="5541C516" w14:textId="77777777" w:rsidR="00704151" w:rsidRPr="00687637" w:rsidRDefault="00704151" w:rsidP="00924B64">
            <w:pPr>
              <w:jc w:val="center"/>
              <w:rPr>
                <w:sz w:val="20"/>
                <w:szCs w:val="20"/>
                <w:lang w:eastAsia="en-GB"/>
              </w:rPr>
            </w:pPr>
            <w:r w:rsidRPr="00687637">
              <w:rPr>
                <w:sz w:val="20"/>
                <w:szCs w:val="20"/>
                <w:lang w:eastAsia="en-GB"/>
              </w:rPr>
              <w:t>&lt;0.1</w:t>
            </w:r>
          </w:p>
        </w:tc>
        <w:tc>
          <w:tcPr>
            <w:tcW w:w="238" w:type="pct"/>
            <w:tcBorders>
              <w:top w:val="nil"/>
              <w:left w:val="nil"/>
              <w:bottom w:val="nil"/>
              <w:right w:val="nil"/>
            </w:tcBorders>
            <w:shd w:val="clear" w:color="auto" w:fill="auto"/>
            <w:noWrap/>
            <w:vAlign w:val="bottom"/>
            <w:hideMark/>
          </w:tcPr>
          <w:p w14:paraId="5732AFA3" w14:textId="77777777" w:rsidR="00704151" w:rsidRPr="00687637" w:rsidRDefault="00704151" w:rsidP="00924B64">
            <w:pPr>
              <w:jc w:val="center"/>
              <w:rPr>
                <w:sz w:val="20"/>
                <w:szCs w:val="20"/>
                <w:lang w:eastAsia="en-GB"/>
              </w:rPr>
            </w:pPr>
          </w:p>
        </w:tc>
        <w:tc>
          <w:tcPr>
            <w:tcW w:w="1153" w:type="pct"/>
            <w:tcBorders>
              <w:top w:val="nil"/>
              <w:left w:val="nil"/>
              <w:bottom w:val="nil"/>
              <w:right w:val="nil"/>
            </w:tcBorders>
            <w:shd w:val="clear" w:color="auto" w:fill="auto"/>
            <w:noWrap/>
            <w:vAlign w:val="bottom"/>
            <w:hideMark/>
          </w:tcPr>
          <w:p w14:paraId="4E88E777" w14:textId="77777777" w:rsidR="00704151" w:rsidRPr="00687637" w:rsidRDefault="00704151" w:rsidP="00924B64">
            <w:pPr>
              <w:jc w:val="center"/>
              <w:rPr>
                <w:sz w:val="20"/>
                <w:szCs w:val="20"/>
                <w:lang w:eastAsia="en-GB"/>
              </w:rPr>
            </w:pPr>
            <w:r w:rsidRPr="00687637">
              <w:rPr>
                <w:sz w:val="20"/>
                <w:szCs w:val="20"/>
                <w:lang w:eastAsia="en-GB"/>
              </w:rPr>
              <w:t>&lt;1</w:t>
            </w:r>
          </w:p>
        </w:tc>
        <w:tc>
          <w:tcPr>
            <w:tcW w:w="327" w:type="pct"/>
            <w:tcBorders>
              <w:top w:val="nil"/>
              <w:left w:val="nil"/>
              <w:bottom w:val="nil"/>
              <w:right w:val="nil"/>
            </w:tcBorders>
            <w:shd w:val="clear" w:color="auto" w:fill="auto"/>
            <w:noWrap/>
            <w:vAlign w:val="bottom"/>
            <w:hideMark/>
          </w:tcPr>
          <w:p w14:paraId="7524A59B" w14:textId="77777777" w:rsidR="00704151" w:rsidRPr="00687637" w:rsidRDefault="00704151" w:rsidP="00924B64">
            <w:pPr>
              <w:jc w:val="center"/>
              <w:rPr>
                <w:sz w:val="20"/>
                <w:szCs w:val="20"/>
                <w:lang w:eastAsia="en-GB"/>
              </w:rPr>
            </w:pPr>
            <w:r w:rsidRPr="00687637">
              <w:rPr>
                <w:sz w:val="20"/>
                <w:szCs w:val="20"/>
                <w:lang w:eastAsia="en-GB"/>
              </w:rPr>
              <w:t>&lt;0.1</w:t>
            </w:r>
          </w:p>
        </w:tc>
      </w:tr>
      <w:tr w:rsidR="00704151" w:rsidRPr="00687637" w14:paraId="4C019921" w14:textId="77777777" w:rsidTr="00924B64">
        <w:trPr>
          <w:trHeight w:val="300"/>
        </w:trPr>
        <w:tc>
          <w:tcPr>
            <w:tcW w:w="1910" w:type="pct"/>
            <w:tcBorders>
              <w:top w:val="nil"/>
              <w:left w:val="nil"/>
              <w:bottom w:val="single" w:sz="4" w:space="0" w:color="auto"/>
              <w:right w:val="nil"/>
            </w:tcBorders>
            <w:shd w:val="clear" w:color="auto" w:fill="auto"/>
            <w:noWrap/>
            <w:vAlign w:val="bottom"/>
            <w:hideMark/>
          </w:tcPr>
          <w:p w14:paraId="791A822A" w14:textId="77777777" w:rsidR="00704151" w:rsidRPr="00687637" w:rsidRDefault="00704151" w:rsidP="00924B64">
            <w:pPr>
              <w:rPr>
                <w:sz w:val="20"/>
                <w:szCs w:val="20"/>
                <w:lang w:eastAsia="en-GB"/>
              </w:rPr>
            </w:pPr>
            <w:r w:rsidRPr="00687637">
              <w:rPr>
                <w:sz w:val="20"/>
                <w:szCs w:val="20"/>
                <w:lang w:eastAsia="en-GB"/>
              </w:rPr>
              <w:t>Other</w:t>
            </w:r>
          </w:p>
        </w:tc>
        <w:tc>
          <w:tcPr>
            <w:tcW w:w="1045" w:type="pct"/>
            <w:tcBorders>
              <w:top w:val="nil"/>
              <w:left w:val="nil"/>
              <w:bottom w:val="single" w:sz="4" w:space="0" w:color="auto"/>
              <w:right w:val="nil"/>
            </w:tcBorders>
            <w:shd w:val="clear" w:color="auto" w:fill="auto"/>
            <w:noWrap/>
            <w:vAlign w:val="bottom"/>
            <w:hideMark/>
          </w:tcPr>
          <w:p w14:paraId="09008D2E" w14:textId="77777777" w:rsidR="00704151" w:rsidRPr="00687637" w:rsidRDefault="00704151" w:rsidP="00924B64">
            <w:pPr>
              <w:jc w:val="center"/>
              <w:rPr>
                <w:sz w:val="20"/>
                <w:szCs w:val="20"/>
                <w:lang w:eastAsia="en-GB"/>
              </w:rPr>
            </w:pPr>
            <w:r w:rsidRPr="00687637">
              <w:rPr>
                <w:sz w:val="20"/>
                <w:szCs w:val="20"/>
                <w:lang w:eastAsia="en-GB"/>
              </w:rPr>
              <w:t>5,291</w:t>
            </w:r>
          </w:p>
        </w:tc>
        <w:tc>
          <w:tcPr>
            <w:tcW w:w="327" w:type="pct"/>
            <w:tcBorders>
              <w:top w:val="nil"/>
              <w:left w:val="nil"/>
              <w:bottom w:val="single" w:sz="4" w:space="0" w:color="auto"/>
              <w:right w:val="nil"/>
            </w:tcBorders>
            <w:shd w:val="clear" w:color="auto" w:fill="auto"/>
            <w:noWrap/>
            <w:vAlign w:val="bottom"/>
            <w:hideMark/>
          </w:tcPr>
          <w:p w14:paraId="7534E45E" w14:textId="77777777" w:rsidR="00704151" w:rsidRPr="00687637" w:rsidRDefault="00704151" w:rsidP="00924B64">
            <w:pPr>
              <w:jc w:val="center"/>
              <w:rPr>
                <w:sz w:val="20"/>
                <w:szCs w:val="20"/>
                <w:lang w:eastAsia="en-GB"/>
              </w:rPr>
            </w:pPr>
            <w:r w:rsidRPr="00687637">
              <w:rPr>
                <w:sz w:val="20"/>
                <w:szCs w:val="20"/>
                <w:lang w:eastAsia="en-GB"/>
              </w:rPr>
              <w:t>0.1</w:t>
            </w:r>
          </w:p>
        </w:tc>
        <w:tc>
          <w:tcPr>
            <w:tcW w:w="238" w:type="pct"/>
            <w:tcBorders>
              <w:top w:val="nil"/>
              <w:left w:val="nil"/>
              <w:bottom w:val="single" w:sz="4" w:space="0" w:color="auto"/>
              <w:right w:val="nil"/>
            </w:tcBorders>
            <w:shd w:val="clear" w:color="auto" w:fill="auto"/>
            <w:noWrap/>
            <w:vAlign w:val="bottom"/>
            <w:hideMark/>
          </w:tcPr>
          <w:p w14:paraId="0929CF01" w14:textId="77777777" w:rsidR="00704151" w:rsidRPr="00687637" w:rsidRDefault="00704151" w:rsidP="00924B64">
            <w:pPr>
              <w:jc w:val="center"/>
              <w:rPr>
                <w:sz w:val="20"/>
                <w:szCs w:val="20"/>
                <w:lang w:eastAsia="en-GB"/>
              </w:rPr>
            </w:pPr>
          </w:p>
        </w:tc>
        <w:tc>
          <w:tcPr>
            <w:tcW w:w="1153" w:type="pct"/>
            <w:tcBorders>
              <w:top w:val="nil"/>
              <w:left w:val="nil"/>
              <w:bottom w:val="single" w:sz="4" w:space="0" w:color="auto"/>
              <w:right w:val="nil"/>
            </w:tcBorders>
            <w:shd w:val="clear" w:color="auto" w:fill="auto"/>
            <w:noWrap/>
            <w:vAlign w:val="bottom"/>
            <w:hideMark/>
          </w:tcPr>
          <w:p w14:paraId="23F71FB9" w14:textId="77777777" w:rsidR="00704151" w:rsidRPr="00687637" w:rsidRDefault="00704151" w:rsidP="00924B64">
            <w:pPr>
              <w:jc w:val="center"/>
              <w:rPr>
                <w:sz w:val="20"/>
                <w:szCs w:val="20"/>
                <w:lang w:eastAsia="en-GB"/>
              </w:rPr>
            </w:pPr>
            <w:r w:rsidRPr="00687637">
              <w:rPr>
                <w:sz w:val="20"/>
                <w:szCs w:val="20"/>
                <w:lang w:eastAsia="en-GB"/>
              </w:rPr>
              <w:t>12</w:t>
            </w:r>
          </w:p>
        </w:tc>
        <w:tc>
          <w:tcPr>
            <w:tcW w:w="327" w:type="pct"/>
            <w:tcBorders>
              <w:top w:val="nil"/>
              <w:left w:val="nil"/>
              <w:bottom w:val="single" w:sz="4" w:space="0" w:color="auto"/>
              <w:right w:val="nil"/>
            </w:tcBorders>
            <w:shd w:val="clear" w:color="auto" w:fill="auto"/>
            <w:noWrap/>
            <w:vAlign w:val="bottom"/>
            <w:hideMark/>
          </w:tcPr>
          <w:p w14:paraId="5A88C530" w14:textId="77777777" w:rsidR="00704151" w:rsidRPr="00687637" w:rsidRDefault="00704151" w:rsidP="00924B64">
            <w:pPr>
              <w:jc w:val="center"/>
              <w:rPr>
                <w:sz w:val="20"/>
                <w:szCs w:val="20"/>
                <w:lang w:eastAsia="en-GB"/>
              </w:rPr>
            </w:pPr>
            <w:r w:rsidRPr="00687637">
              <w:rPr>
                <w:sz w:val="20"/>
                <w:szCs w:val="20"/>
                <w:lang w:eastAsia="en-GB"/>
              </w:rPr>
              <w:t>0.2</w:t>
            </w:r>
          </w:p>
        </w:tc>
      </w:tr>
      <w:tr w:rsidR="00704151" w:rsidRPr="00687637" w14:paraId="4DDA60D4" w14:textId="77777777" w:rsidTr="00924B64">
        <w:trPr>
          <w:trHeight w:val="300"/>
        </w:trPr>
        <w:tc>
          <w:tcPr>
            <w:tcW w:w="1910" w:type="pct"/>
            <w:tcBorders>
              <w:top w:val="single" w:sz="4" w:space="0" w:color="auto"/>
              <w:left w:val="nil"/>
              <w:bottom w:val="single" w:sz="4" w:space="0" w:color="auto"/>
              <w:right w:val="nil"/>
            </w:tcBorders>
            <w:shd w:val="clear" w:color="auto" w:fill="auto"/>
            <w:noWrap/>
            <w:vAlign w:val="bottom"/>
            <w:hideMark/>
          </w:tcPr>
          <w:p w14:paraId="745C66E5" w14:textId="77777777" w:rsidR="00704151" w:rsidRPr="00687637" w:rsidRDefault="00704151" w:rsidP="00924B64">
            <w:pPr>
              <w:rPr>
                <w:sz w:val="20"/>
                <w:szCs w:val="20"/>
                <w:lang w:eastAsia="en-GB"/>
              </w:rPr>
            </w:pPr>
            <w:r w:rsidRPr="00687637">
              <w:rPr>
                <w:sz w:val="20"/>
                <w:szCs w:val="20"/>
                <w:lang w:eastAsia="en-GB"/>
              </w:rPr>
              <w:t>Total</w:t>
            </w:r>
          </w:p>
        </w:tc>
        <w:tc>
          <w:tcPr>
            <w:tcW w:w="1045" w:type="pct"/>
            <w:tcBorders>
              <w:top w:val="single" w:sz="4" w:space="0" w:color="auto"/>
              <w:left w:val="nil"/>
              <w:bottom w:val="single" w:sz="4" w:space="0" w:color="auto"/>
              <w:right w:val="nil"/>
            </w:tcBorders>
            <w:shd w:val="clear" w:color="auto" w:fill="auto"/>
            <w:noWrap/>
            <w:vAlign w:val="bottom"/>
            <w:hideMark/>
          </w:tcPr>
          <w:p w14:paraId="17E44C37" w14:textId="77777777" w:rsidR="00704151" w:rsidRPr="00687637" w:rsidRDefault="00704151" w:rsidP="00924B64">
            <w:pPr>
              <w:jc w:val="center"/>
              <w:rPr>
                <w:sz w:val="20"/>
                <w:szCs w:val="20"/>
                <w:lang w:eastAsia="en-GB"/>
              </w:rPr>
            </w:pPr>
            <w:r w:rsidRPr="00687637">
              <w:rPr>
                <w:sz w:val="20"/>
                <w:szCs w:val="20"/>
                <w:lang w:eastAsia="en-GB"/>
              </w:rPr>
              <w:t>3,916,868</w:t>
            </w:r>
          </w:p>
        </w:tc>
        <w:tc>
          <w:tcPr>
            <w:tcW w:w="327" w:type="pct"/>
            <w:tcBorders>
              <w:top w:val="single" w:sz="4" w:space="0" w:color="auto"/>
              <w:left w:val="nil"/>
              <w:bottom w:val="single" w:sz="4" w:space="0" w:color="auto"/>
              <w:right w:val="nil"/>
            </w:tcBorders>
            <w:shd w:val="clear" w:color="auto" w:fill="auto"/>
            <w:noWrap/>
            <w:vAlign w:val="bottom"/>
            <w:hideMark/>
          </w:tcPr>
          <w:p w14:paraId="2C4C988C" w14:textId="77777777" w:rsidR="00704151" w:rsidRPr="00687637" w:rsidRDefault="00704151" w:rsidP="00924B64">
            <w:pPr>
              <w:jc w:val="center"/>
              <w:rPr>
                <w:sz w:val="20"/>
                <w:szCs w:val="20"/>
                <w:lang w:eastAsia="en-GB"/>
              </w:rPr>
            </w:pPr>
            <w:r w:rsidRPr="00687637">
              <w:rPr>
                <w:sz w:val="20"/>
                <w:szCs w:val="20"/>
                <w:lang w:eastAsia="en-GB"/>
              </w:rPr>
              <w:t>100</w:t>
            </w:r>
          </w:p>
        </w:tc>
        <w:tc>
          <w:tcPr>
            <w:tcW w:w="238" w:type="pct"/>
            <w:tcBorders>
              <w:top w:val="single" w:sz="4" w:space="0" w:color="auto"/>
              <w:left w:val="nil"/>
              <w:bottom w:val="single" w:sz="4" w:space="0" w:color="auto"/>
              <w:right w:val="nil"/>
            </w:tcBorders>
            <w:shd w:val="clear" w:color="auto" w:fill="auto"/>
            <w:noWrap/>
            <w:vAlign w:val="bottom"/>
            <w:hideMark/>
          </w:tcPr>
          <w:p w14:paraId="1185000A" w14:textId="77777777" w:rsidR="00704151" w:rsidRPr="00687637" w:rsidRDefault="00704151" w:rsidP="00924B64">
            <w:pPr>
              <w:jc w:val="center"/>
              <w:rPr>
                <w:sz w:val="20"/>
                <w:szCs w:val="20"/>
                <w:lang w:eastAsia="en-GB"/>
              </w:rPr>
            </w:pPr>
          </w:p>
        </w:tc>
        <w:tc>
          <w:tcPr>
            <w:tcW w:w="1153" w:type="pct"/>
            <w:tcBorders>
              <w:top w:val="single" w:sz="4" w:space="0" w:color="auto"/>
              <w:left w:val="nil"/>
              <w:bottom w:val="single" w:sz="4" w:space="0" w:color="auto"/>
              <w:right w:val="nil"/>
            </w:tcBorders>
            <w:shd w:val="clear" w:color="auto" w:fill="auto"/>
            <w:noWrap/>
            <w:vAlign w:val="bottom"/>
            <w:hideMark/>
          </w:tcPr>
          <w:p w14:paraId="365F368E" w14:textId="77777777" w:rsidR="00704151" w:rsidRPr="00687637" w:rsidRDefault="00704151" w:rsidP="00924B64">
            <w:pPr>
              <w:jc w:val="center"/>
              <w:rPr>
                <w:sz w:val="20"/>
                <w:szCs w:val="20"/>
                <w:lang w:eastAsia="en-GB"/>
              </w:rPr>
            </w:pPr>
            <w:r w:rsidRPr="00687637">
              <w:rPr>
                <w:sz w:val="20"/>
                <w:szCs w:val="20"/>
                <w:lang w:eastAsia="en-GB"/>
              </w:rPr>
              <w:t>6,318</w:t>
            </w:r>
          </w:p>
        </w:tc>
        <w:tc>
          <w:tcPr>
            <w:tcW w:w="327" w:type="pct"/>
            <w:tcBorders>
              <w:top w:val="single" w:sz="4" w:space="0" w:color="auto"/>
              <w:left w:val="nil"/>
              <w:bottom w:val="single" w:sz="4" w:space="0" w:color="auto"/>
              <w:right w:val="nil"/>
            </w:tcBorders>
            <w:shd w:val="clear" w:color="auto" w:fill="auto"/>
            <w:noWrap/>
            <w:vAlign w:val="bottom"/>
            <w:hideMark/>
          </w:tcPr>
          <w:p w14:paraId="7DBCC4E4" w14:textId="77777777" w:rsidR="00704151" w:rsidRPr="00687637" w:rsidRDefault="00704151" w:rsidP="00924B64">
            <w:pPr>
              <w:jc w:val="center"/>
              <w:rPr>
                <w:sz w:val="20"/>
                <w:szCs w:val="20"/>
                <w:lang w:eastAsia="en-GB"/>
              </w:rPr>
            </w:pPr>
            <w:r w:rsidRPr="00687637">
              <w:rPr>
                <w:sz w:val="20"/>
                <w:szCs w:val="20"/>
                <w:lang w:eastAsia="en-GB"/>
              </w:rPr>
              <w:t>100</w:t>
            </w:r>
          </w:p>
        </w:tc>
      </w:tr>
    </w:tbl>
    <w:p w14:paraId="4DC1848C" w14:textId="77777777" w:rsidR="00704151" w:rsidRPr="00687637" w:rsidRDefault="00704151" w:rsidP="00704151"/>
    <w:p w14:paraId="1406DF68" w14:textId="77777777" w:rsidR="00704151" w:rsidRPr="00687637" w:rsidRDefault="00704151" w:rsidP="00704151">
      <w:r w:rsidRPr="00687637">
        <w:br w:type="page"/>
      </w:r>
    </w:p>
    <w:p w14:paraId="66B54583" w14:textId="77777777" w:rsidR="00704151" w:rsidRPr="00687637" w:rsidRDefault="00704151" w:rsidP="00704151"/>
    <w:p w14:paraId="53389D49" w14:textId="77777777" w:rsidR="00704151" w:rsidRPr="00687637" w:rsidRDefault="00704151" w:rsidP="00704151">
      <w:pPr>
        <w:pStyle w:val="Caption"/>
        <w:keepNext/>
        <w:rPr>
          <w:rFonts w:ascii="Times New Roman" w:hAnsi="Times New Roman" w:cs="Times New Roman"/>
          <w:color w:val="auto"/>
        </w:rPr>
      </w:pPr>
      <w:bookmarkStart w:id="31" w:name="_Ref468197316"/>
      <w:r w:rsidRPr="00687637">
        <w:rPr>
          <w:rFonts w:ascii="Times New Roman" w:hAnsi="Times New Roman" w:cs="Times New Roman"/>
          <w:color w:val="auto"/>
        </w:rPr>
        <w:t xml:space="preserve">Table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Table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2</w:t>
      </w:r>
      <w:r w:rsidRPr="00687637">
        <w:rPr>
          <w:rFonts w:ascii="Times New Roman" w:hAnsi="Times New Roman" w:cs="Times New Roman"/>
          <w:noProof/>
          <w:color w:val="auto"/>
        </w:rPr>
        <w:fldChar w:fldCharType="end"/>
      </w:r>
      <w:bookmarkEnd w:id="31"/>
      <w:r w:rsidRPr="00687637">
        <w:rPr>
          <w:rFonts w:ascii="Times New Roman" w:hAnsi="Times New Roman" w:cs="Times New Roman"/>
          <w:color w:val="auto"/>
        </w:rPr>
        <w:t xml:space="preserve">   National and international sessions on TravelHealthPro.org.uk, September 2015 - August 2016.</w:t>
      </w:r>
    </w:p>
    <w:tbl>
      <w:tblPr>
        <w:tblW w:w="5000" w:type="pct"/>
        <w:tblLook w:val="04A0" w:firstRow="1" w:lastRow="0" w:firstColumn="1" w:lastColumn="0" w:noHBand="0" w:noVBand="1"/>
      </w:tblPr>
      <w:tblGrid>
        <w:gridCol w:w="1590"/>
        <w:gridCol w:w="1428"/>
        <w:gridCol w:w="286"/>
        <w:gridCol w:w="1265"/>
        <w:gridCol w:w="959"/>
        <w:gridCol w:w="961"/>
        <w:gridCol w:w="263"/>
        <w:gridCol w:w="959"/>
        <w:gridCol w:w="959"/>
        <w:gridCol w:w="961"/>
        <w:gridCol w:w="1051"/>
      </w:tblGrid>
      <w:tr w:rsidR="00704151" w:rsidRPr="00687637" w14:paraId="09019DDC" w14:textId="77777777" w:rsidTr="00924B64">
        <w:trPr>
          <w:trHeight w:val="300"/>
        </w:trPr>
        <w:tc>
          <w:tcPr>
            <w:tcW w:w="744" w:type="pct"/>
            <w:tcBorders>
              <w:top w:val="single" w:sz="4" w:space="0" w:color="auto"/>
              <w:left w:val="nil"/>
              <w:bottom w:val="nil"/>
              <w:right w:val="nil"/>
            </w:tcBorders>
            <w:shd w:val="clear" w:color="auto" w:fill="auto"/>
            <w:noWrap/>
            <w:vAlign w:val="bottom"/>
            <w:hideMark/>
          </w:tcPr>
          <w:p w14:paraId="3DF6EC89" w14:textId="77777777" w:rsidR="00704151" w:rsidRPr="00687637" w:rsidRDefault="00704151" w:rsidP="00924B64">
            <w:pPr>
              <w:rPr>
                <w:b/>
                <w:sz w:val="20"/>
                <w:lang w:eastAsia="en-GB"/>
              </w:rPr>
            </w:pPr>
            <w:r w:rsidRPr="00687637">
              <w:rPr>
                <w:b/>
                <w:sz w:val="20"/>
                <w:lang w:eastAsia="en-GB"/>
              </w:rPr>
              <w:t>Origin</w:t>
            </w:r>
          </w:p>
        </w:tc>
        <w:tc>
          <w:tcPr>
            <w:tcW w:w="668" w:type="pct"/>
            <w:tcBorders>
              <w:top w:val="single" w:sz="4" w:space="0" w:color="auto"/>
              <w:left w:val="nil"/>
              <w:bottom w:val="nil"/>
              <w:right w:val="nil"/>
            </w:tcBorders>
            <w:shd w:val="clear" w:color="auto" w:fill="auto"/>
            <w:noWrap/>
            <w:vAlign w:val="bottom"/>
            <w:hideMark/>
          </w:tcPr>
          <w:p w14:paraId="44DD16A4" w14:textId="77777777" w:rsidR="00704151" w:rsidRPr="00687637" w:rsidRDefault="00704151" w:rsidP="00924B64">
            <w:pPr>
              <w:jc w:val="center"/>
              <w:rPr>
                <w:b/>
                <w:sz w:val="20"/>
                <w:lang w:eastAsia="en-GB"/>
              </w:rPr>
            </w:pPr>
            <w:r w:rsidRPr="00687637">
              <w:rPr>
                <w:b/>
                <w:sz w:val="20"/>
                <w:lang w:eastAsia="en-GB"/>
              </w:rPr>
              <w:t>Week 1-52</w:t>
            </w:r>
          </w:p>
        </w:tc>
        <w:tc>
          <w:tcPr>
            <w:tcW w:w="134" w:type="pct"/>
            <w:tcBorders>
              <w:top w:val="single" w:sz="4" w:space="0" w:color="auto"/>
              <w:left w:val="nil"/>
              <w:bottom w:val="nil"/>
              <w:right w:val="nil"/>
            </w:tcBorders>
          </w:tcPr>
          <w:p w14:paraId="70BA675E" w14:textId="77777777" w:rsidR="00704151" w:rsidRPr="00687637" w:rsidRDefault="00704151" w:rsidP="00924B64">
            <w:pPr>
              <w:jc w:val="center"/>
              <w:rPr>
                <w:b/>
                <w:sz w:val="20"/>
                <w:lang w:eastAsia="en-GB"/>
              </w:rPr>
            </w:pPr>
          </w:p>
        </w:tc>
        <w:tc>
          <w:tcPr>
            <w:tcW w:w="1491" w:type="pct"/>
            <w:gridSpan w:val="3"/>
            <w:tcBorders>
              <w:top w:val="single" w:sz="4" w:space="0" w:color="auto"/>
              <w:left w:val="nil"/>
              <w:bottom w:val="nil"/>
              <w:right w:val="nil"/>
            </w:tcBorders>
            <w:shd w:val="clear" w:color="auto" w:fill="auto"/>
            <w:noWrap/>
            <w:vAlign w:val="bottom"/>
            <w:hideMark/>
          </w:tcPr>
          <w:p w14:paraId="3A1C8087" w14:textId="77777777" w:rsidR="00704151" w:rsidRPr="00687637" w:rsidRDefault="00704151" w:rsidP="00924B64">
            <w:pPr>
              <w:jc w:val="center"/>
              <w:rPr>
                <w:b/>
                <w:sz w:val="20"/>
                <w:szCs w:val="20"/>
                <w:lang w:eastAsia="en-GB"/>
              </w:rPr>
            </w:pPr>
            <w:r w:rsidRPr="00687637">
              <w:rPr>
                <w:b/>
                <w:sz w:val="20"/>
                <w:lang w:eastAsia="en-GB"/>
              </w:rPr>
              <w:t>Week 1*</w:t>
            </w:r>
          </w:p>
        </w:tc>
        <w:tc>
          <w:tcPr>
            <w:tcW w:w="123" w:type="pct"/>
            <w:tcBorders>
              <w:top w:val="single" w:sz="4" w:space="0" w:color="auto"/>
              <w:left w:val="nil"/>
              <w:bottom w:val="nil"/>
              <w:right w:val="nil"/>
            </w:tcBorders>
          </w:tcPr>
          <w:p w14:paraId="727B8CC9" w14:textId="77777777" w:rsidR="00704151" w:rsidRPr="00687637" w:rsidRDefault="00704151" w:rsidP="00924B64">
            <w:pPr>
              <w:jc w:val="center"/>
              <w:rPr>
                <w:b/>
                <w:sz w:val="20"/>
                <w:lang w:eastAsia="en-GB"/>
              </w:rPr>
            </w:pPr>
          </w:p>
        </w:tc>
        <w:tc>
          <w:tcPr>
            <w:tcW w:w="1348" w:type="pct"/>
            <w:gridSpan w:val="3"/>
            <w:tcBorders>
              <w:top w:val="single" w:sz="4" w:space="0" w:color="auto"/>
              <w:left w:val="nil"/>
              <w:bottom w:val="nil"/>
              <w:right w:val="nil"/>
            </w:tcBorders>
            <w:shd w:val="clear" w:color="auto" w:fill="auto"/>
            <w:noWrap/>
            <w:vAlign w:val="bottom"/>
            <w:hideMark/>
          </w:tcPr>
          <w:p w14:paraId="08D501BF" w14:textId="77777777" w:rsidR="00704151" w:rsidRPr="00687637" w:rsidRDefault="00704151" w:rsidP="00924B64">
            <w:pPr>
              <w:jc w:val="center"/>
              <w:rPr>
                <w:b/>
                <w:sz w:val="20"/>
                <w:szCs w:val="20"/>
                <w:lang w:eastAsia="en-GB"/>
              </w:rPr>
            </w:pPr>
            <w:r w:rsidRPr="00687637">
              <w:rPr>
                <w:b/>
                <w:sz w:val="20"/>
                <w:lang w:eastAsia="en-GB"/>
              </w:rPr>
              <w:t>Week 52*</w:t>
            </w:r>
          </w:p>
        </w:tc>
        <w:tc>
          <w:tcPr>
            <w:tcW w:w="492" w:type="pct"/>
            <w:tcBorders>
              <w:top w:val="single" w:sz="4" w:space="0" w:color="auto"/>
              <w:left w:val="nil"/>
              <w:bottom w:val="nil"/>
              <w:right w:val="nil"/>
            </w:tcBorders>
            <w:shd w:val="clear" w:color="auto" w:fill="auto"/>
            <w:noWrap/>
            <w:vAlign w:val="bottom"/>
            <w:hideMark/>
          </w:tcPr>
          <w:p w14:paraId="6EB0A046" w14:textId="77777777" w:rsidR="00704151" w:rsidRPr="00687637" w:rsidRDefault="00704151" w:rsidP="00924B64">
            <w:pPr>
              <w:jc w:val="center"/>
              <w:rPr>
                <w:b/>
                <w:sz w:val="20"/>
                <w:lang w:eastAsia="en-GB"/>
              </w:rPr>
            </w:pPr>
            <w:r w:rsidRPr="00687637">
              <w:rPr>
                <w:b/>
                <w:sz w:val="20"/>
                <w:lang w:eastAsia="en-GB"/>
              </w:rPr>
              <w:t>Change</w:t>
            </w:r>
          </w:p>
        </w:tc>
      </w:tr>
      <w:tr w:rsidR="00704151" w:rsidRPr="00687637" w14:paraId="00057AD2" w14:textId="77777777" w:rsidTr="00924B64">
        <w:trPr>
          <w:trHeight w:val="300"/>
        </w:trPr>
        <w:tc>
          <w:tcPr>
            <w:tcW w:w="744" w:type="pct"/>
            <w:tcBorders>
              <w:top w:val="nil"/>
              <w:left w:val="nil"/>
              <w:bottom w:val="single" w:sz="4" w:space="0" w:color="auto"/>
              <w:right w:val="nil"/>
            </w:tcBorders>
            <w:shd w:val="clear" w:color="auto" w:fill="auto"/>
            <w:noWrap/>
            <w:vAlign w:val="bottom"/>
            <w:hideMark/>
          </w:tcPr>
          <w:p w14:paraId="1E11C14A" w14:textId="77777777" w:rsidR="00704151" w:rsidRPr="00687637" w:rsidRDefault="00704151" w:rsidP="00924B64">
            <w:pPr>
              <w:jc w:val="center"/>
              <w:rPr>
                <w:b/>
                <w:sz w:val="20"/>
                <w:lang w:eastAsia="en-GB"/>
              </w:rPr>
            </w:pPr>
          </w:p>
        </w:tc>
        <w:tc>
          <w:tcPr>
            <w:tcW w:w="668" w:type="pct"/>
            <w:tcBorders>
              <w:top w:val="nil"/>
              <w:left w:val="nil"/>
              <w:bottom w:val="single" w:sz="4" w:space="0" w:color="auto"/>
              <w:right w:val="nil"/>
            </w:tcBorders>
            <w:shd w:val="clear" w:color="auto" w:fill="auto"/>
            <w:noWrap/>
            <w:vAlign w:val="bottom"/>
            <w:hideMark/>
          </w:tcPr>
          <w:p w14:paraId="2A30E87C" w14:textId="77777777" w:rsidR="00704151" w:rsidRPr="00687637" w:rsidRDefault="00704151" w:rsidP="00924B64">
            <w:pPr>
              <w:rPr>
                <w:b/>
                <w:sz w:val="20"/>
                <w:szCs w:val="20"/>
                <w:lang w:eastAsia="en-GB"/>
              </w:rPr>
            </w:pPr>
          </w:p>
        </w:tc>
        <w:tc>
          <w:tcPr>
            <w:tcW w:w="134" w:type="pct"/>
            <w:tcBorders>
              <w:top w:val="nil"/>
              <w:left w:val="nil"/>
              <w:bottom w:val="single" w:sz="4" w:space="0" w:color="auto"/>
              <w:right w:val="nil"/>
            </w:tcBorders>
          </w:tcPr>
          <w:p w14:paraId="3153A428" w14:textId="77777777" w:rsidR="00704151" w:rsidRPr="00687637" w:rsidRDefault="00704151" w:rsidP="00924B64">
            <w:pPr>
              <w:jc w:val="center"/>
              <w:rPr>
                <w:b/>
                <w:sz w:val="20"/>
                <w:lang w:eastAsia="en-GB"/>
              </w:rPr>
            </w:pPr>
          </w:p>
        </w:tc>
        <w:tc>
          <w:tcPr>
            <w:tcW w:w="592" w:type="pct"/>
            <w:tcBorders>
              <w:top w:val="nil"/>
              <w:left w:val="nil"/>
              <w:bottom w:val="single" w:sz="4" w:space="0" w:color="auto"/>
              <w:right w:val="nil"/>
            </w:tcBorders>
            <w:shd w:val="clear" w:color="auto" w:fill="auto"/>
            <w:noWrap/>
            <w:vAlign w:val="bottom"/>
            <w:hideMark/>
          </w:tcPr>
          <w:p w14:paraId="70CD5477" w14:textId="77777777" w:rsidR="00704151" w:rsidRPr="00687637" w:rsidRDefault="00704151" w:rsidP="00924B64">
            <w:pPr>
              <w:jc w:val="center"/>
              <w:rPr>
                <w:b/>
                <w:sz w:val="20"/>
                <w:lang w:eastAsia="en-GB"/>
              </w:rPr>
            </w:pPr>
            <w:r w:rsidRPr="00687637">
              <w:rPr>
                <w:b/>
                <w:sz w:val="20"/>
                <w:lang w:eastAsia="en-GB"/>
              </w:rPr>
              <w:t>xb</w:t>
            </w:r>
          </w:p>
        </w:tc>
        <w:tc>
          <w:tcPr>
            <w:tcW w:w="449" w:type="pct"/>
            <w:tcBorders>
              <w:top w:val="nil"/>
              <w:left w:val="nil"/>
              <w:bottom w:val="single" w:sz="4" w:space="0" w:color="auto"/>
              <w:right w:val="nil"/>
            </w:tcBorders>
            <w:shd w:val="clear" w:color="auto" w:fill="auto"/>
            <w:noWrap/>
            <w:vAlign w:val="bottom"/>
            <w:hideMark/>
          </w:tcPr>
          <w:p w14:paraId="102E5371" w14:textId="77777777" w:rsidR="00704151" w:rsidRPr="00687637" w:rsidRDefault="00704151" w:rsidP="00924B64">
            <w:pPr>
              <w:jc w:val="center"/>
              <w:rPr>
                <w:b/>
                <w:sz w:val="20"/>
                <w:lang w:eastAsia="en-GB"/>
              </w:rPr>
            </w:pPr>
            <w:r w:rsidRPr="00687637">
              <w:rPr>
                <w:b/>
                <w:sz w:val="20"/>
                <w:lang w:eastAsia="en-GB"/>
              </w:rPr>
              <w:t>Ll</w:t>
            </w:r>
          </w:p>
        </w:tc>
        <w:tc>
          <w:tcPr>
            <w:tcW w:w="450" w:type="pct"/>
            <w:tcBorders>
              <w:top w:val="nil"/>
              <w:left w:val="nil"/>
              <w:bottom w:val="single" w:sz="4" w:space="0" w:color="auto"/>
              <w:right w:val="nil"/>
            </w:tcBorders>
            <w:shd w:val="clear" w:color="auto" w:fill="auto"/>
            <w:noWrap/>
            <w:vAlign w:val="bottom"/>
            <w:hideMark/>
          </w:tcPr>
          <w:p w14:paraId="5C43D36A" w14:textId="77777777" w:rsidR="00704151" w:rsidRPr="00687637" w:rsidRDefault="00704151" w:rsidP="00924B64">
            <w:pPr>
              <w:jc w:val="center"/>
              <w:rPr>
                <w:b/>
                <w:sz w:val="20"/>
                <w:lang w:eastAsia="en-GB"/>
              </w:rPr>
            </w:pPr>
            <w:r w:rsidRPr="00687637">
              <w:rPr>
                <w:b/>
                <w:sz w:val="20"/>
                <w:lang w:eastAsia="en-GB"/>
              </w:rPr>
              <w:t>Ul</w:t>
            </w:r>
          </w:p>
        </w:tc>
        <w:tc>
          <w:tcPr>
            <w:tcW w:w="123" w:type="pct"/>
            <w:tcBorders>
              <w:top w:val="nil"/>
              <w:left w:val="nil"/>
              <w:bottom w:val="single" w:sz="4" w:space="0" w:color="auto"/>
              <w:right w:val="nil"/>
            </w:tcBorders>
          </w:tcPr>
          <w:p w14:paraId="311280A5" w14:textId="77777777" w:rsidR="00704151" w:rsidRPr="00687637" w:rsidRDefault="00704151" w:rsidP="00924B64">
            <w:pPr>
              <w:jc w:val="center"/>
              <w:rPr>
                <w:b/>
                <w:sz w:val="20"/>
                <w:lang w:eastAsia="en-GB"/>
              </w:rPr>
            </w:pPr>
          </w:p>
        </w:tc>
        <w:tc>
          <w:tcPr>
            <w:tcW w:w="449" w:type="pct"/>
            <w:tcBorders>
              <w:top w:val="nil"/>
              <w:left w:val="nil"/>
              <w:bottom w:val="single" w:sz="4" w:space="0" w:color="auto"/>
              <w:right w:val="nil"/>
            </w:tcBorders>
            <w:shd w:val="clear" w:color="auto" w:fill="auto"/>
            <w:noWrap/>
            <w:vAlign w:val="bottom"/>
            <w:hideMark/>
          </w:tcPr>
          <w:p w14:paraId="2DDE0C70" w14:textId="77777777" w:rsidR="00704151" w:rsidRPr="00687637" w:rsidRDefault="00704151" w:rsidP="00924B64">
            <w:pPr>
              <w:jc w:val="center"/>
              <w:rPr>
                <w:b/>
                <w:sz w:val="20"/>
                <w:lang w:eastAsia="en-GB"/>
              </w:rPr>
            </w:pPr>
            <w:r w:rsidRPr="00687637">
              <w:rPr>
                <w:b/>
                <w:sz w:val="20"/>
                <w:lang w:eastAsia="en-GB"/>
              </w:rPr>
              <w:t>xb</w:t>
            </w:r>
          </w:p>
        </w:tc>
        <w:tc>
          <w:tcPr>
            <w:tcW w:w="449" w:type="pct"/>
            <w:tcBorders>
              <w:top w:val="nil"/>
              <w:left w:val="nil"/>
              <w:bottom w:val="single" w:sz="4" w:space="0" w:color="auto"/>
              <w:right w:val="nil"/>
            </w:tcBorders>
            <w:shd w:val="clear" w:color="auto" w:fill="auto"/>
            <w:noWrap/>
            <w:vAlign w:val="bottom"/>
            <w:hideMark/>
          </w:tcPr>
          <w:p w14:paraId="3A8FFE01" w14:textId="77777777" w:rsidR="00704151" w:rsidRPr="00687637" w:rsidRDefault="00704151" w:rsidP="00924B64">
            <w:pPr>
              <w:jc w:val="center"/>
              <w:rPr>
                <w:b/>
                <w:sz w:val="20"/>
                <w:lang w:eastAsia="en-GB"/>
              </w:rPr>
            </w:pPr>
            <w:r w:rsidRPr="00687637">
              <w:rPr>
                <w:b/>
                <w:sz w:val="20"/>
                <w:lang w:eastAsia="en-GB"/>
              </w:rPr>
              <w:t>ll</w:t>
            </w:r>
          </w:p>
        </w:tc>
        <w:tc>
          <w:tcPr>
            <w:tcW w:w="450" w:type="pct"/>
            <w:tcBorders>
              <w:top w:val="nil"/>
              <w:left w:val="nil"/>
              <w:bottom w:val="single" w:sz="4" w:space="0" w:color="auto"/>
              <w:right w:val="nil"/>
            </w:tcBorders>
            <w:shd w:val="clear" w:color="auto" w:fill="auto"/>
            <w:noWrap/>
            <w:vAlign w:val="bottom"/>
            <w:hideMark/>
          </w:tcPr>
          <w:p w14:paraId="4110339F" w14:textId="77777777" w:rsidR="00704151" w:rsidRPr="00687637" w:rsidRDefault="00704151" w:rsidP="00924B64">
            <w:pPr>
              <w:jc w:val="center"/>
              <w:rPr>
                <w:b/>
                <w:sz w:val="20"/>
                <w:lang w:eastAsia="en-GB"/>
              </w:rPr>
            </w:pPr>
            <w:r w:rsidRPr="00687637">
              <w:rPr>
                <w:b/>
                <w:sz w:val="20"/>
                <w:lang w:eastAsia="en-GB"/>
              </w:rPr>
              <w:t>ul</w:t>
            </w:r>
          </w:p>
        </w:tc>
        <w:tc>
          <w:tcPr>
            <w:tcW w:w="492" w:type="pct"/>
            <w:tcBorders>
              <w:top w:val="nil"/>
              <w:left w:val="nil"/>
              <w:bottom w:val="single" w:sz="4" w:space="0" w:color="auto"/>
              <w:right w:val="nil"/>
            </w:tcBorders>
            <w:shd w:val="clear" w:color="auto" w:fill="auto"/>
            <w:noWrap/>
            <w:vAlign w:val="bottom"/>
            <w:hideMark/>
          </w:tcPr>
          <w:p w14:paraId="25992AA3" w14:textId="77777777" w:rsidR="00704151" w:rsidRPr="00687637" w:rsidRDefault="00704151" w:rsidP="00924B64">
            <w:pPr>
              <w:jc w:val="center"/>
              <w:rPr>
                <w:b/>
                <w:sz w:val="20"/>
                <w:lang w:eastAsia="en-GB"/>
              </w:rPr>
            </w:pPr>
            <w:r w:rsidRPr="00687637">
              <w:rPr>
                <w:b/>
                <w:sz w:val="20"/>
                <w:lang w:eastAsia="en-GB"/>
              </w:rPr>
              <w:t>%</w:t>
            </w:r>
          </w:p>
        </w:tc>
      </w:tr>
      <w:tr w:rsidR="00704151" w:rsidRPr="00687637" w14:paraId="033AF54A" w14:textId="77777777" w:rsidTr="00924B64">
        <w:trPr>
          <w:trHeight w:val="300"/>
        </w:trPr>
        <w:tc>
          <w:tcPr>
            <w:tcW w:w="744" w:type="pct"/>
            <w:tcBorders>
              <w:top w:val="single" w:sz="4" w:space="0" w:color="auto"/>
              <w:left w:val="nil"/>
              <w:bottom w:val="nil"/>
              <w:right w:val="nil"/>
            </w:tcBorders>
            <w:shd w:val="clear" w:color="auto" w:fill="auto"/>
            <w:noWrap/>
            <w:vAlign w:val="bottom"/>
            <w:hideMark/>
          </w:tcPr>
          <w:p w14:paraId="6D458854" w14:textId="77777777" w:rsidR="00704151" w:rsidRPr="00687637" w:rsidRDefault="00704151" w:rsidP="00924B64">
            <w:pPr>
              <w:rPr>
                <w:sz w:val="20"/>
                <w:lang w:eastAsia="en-GB"/>
              </w:rPr>
            </w:pPr>
          </w:p>
          <w:p w14:paraId="1F8BE7A5" w14:textId="77777777" w:rsidR="00704151" w:rsidRPr="00687637" w:rsidRDefault="00704151" w:rsidP="00924B64">
            <w:pPr>
              <w:rPr>
                <w:sz w:val="20"/>
                <w:lang w:eastAsia="en-GB"/>
              </w:rPr>
            </w:pPr>
            <w:r w:rsidRPr="00687637">
              <w:rPr>
                <w:sz w:val="20"/>
                <w:lang w:eastAsia="en-GB"/>
              </w:rPr>
              <w:t>UK</w:t>
            </w:r>
          </w:p>
        </w:tc>
        <w:tc>
          <w:tcPr>
            <w:tcW w:w="668" w:type="pct"/>
            <w:tcBorders>
              <w:top w:val="single" w:sz="4" w:space="0" w:color="auto"/>
              <w:left w:val="nil"/>
              <w:bottom w:val="nil"/>
              <w:right w:val="nil"/>
            </w:tcBorders>
            <w:shd w:val="clear" w:color="auto" w:fill="auto"/>
            <w:noWrap/>
            <w:vAlign w:val="bottom"/>
            <w:hideMark/>
          </w:tcPr>
          <w:p w14:paraId="55426035" w14:textId="77777777" w:rsidR="00704151" w:rsidRPr="00687637" w:rsidRDefault="00704151" w:rsidP="00924B64">
            <w:pPr>
              <w:jc w:val="center"/>
              <w:rPr>
                <w:sz w:val="20"/>
                <w:lang w:eastAsia="en-GB"/>
              </w:rPr>
            </w:pPr>
            <w:r w:rsidRPr="00687637">
              <w:rPr>
                <w:sz w:val="20"/>
                <w:lang w:eastAsia="en-GB"/>
              </w:rPr>
              <w:t>1,263,516</w:t>
            </w:r>
          </w:p>
        </w:tc>
        <w:tc>
          <w:tcPr>
            <w:tcW w:w="134" w:type="pct"/>
            <w:tcBorders>
              <w:top w:val="single" w:sz="4" w:space="0" w:color="auto"/>
              <w:left w:val="nil"/>
              <w:bottom w:val="nil"/>
              <w:right w:val="nil"/>
            </w:tcBorders>
          </w:tcPr>
          <w:p w14:paraId="6E71C517" w14:textId="77777777" w:rsidR="00704151" w:rsidRPr="00687637" w:rsidRDefault="00704151" w:rsidP="00924B64">
            <w:pPr>
              <w:jc w:val="center"/>
              <w:rPr>
                <w:sz w:val="20"/>
                <w:lang w:eastAsia="en-GB"/>
              </w:rPr>
            </w:pPr>
          </w:p>
        </w:tc>
        <w:tc>
          <w:tcPr>
            <w:tcW w:w="592" w:type="pct"/>
            <w:tcBorders>
              <w:top w:val="single" w:sz="4" w:space="0" w:color="auto"/>
              <w:left w:val="nil"/>
              <w:bottom w:val="nil"/>
              <w:right w:val="nil"/>
            </w:tcBorders>
            <w:shd w:val="clear" w:color="auto" w:fill="auto"/>
            <w:noWrap/>
            <w:vAlign w:val="bottom"/>
            <w:hideMark/>
          </w:tcPr>
          <w:p w14:paraId="1DA2FC84" w14:textId="77777777" w:rsidR="00704151" w:rsidRPr="00687637" w:rsidRDefault="00704151" w:rsidP="00924B64">
            <w:pPr>
              <w:jc w:val="center"/>
              <w:rPr>
                <w:sz w:val="20"/>
                <w:lang w:eastAsia="en-GB"/>
              </w:rPr>
            </w:pPr>
            <w:r w:rsidRPr="00687637">
              <w:rPr>
                <w:sz w:val="20"/>
                <w:lang w:eastAsia="en-GB"/>
              </w:rPr>
              <w:t>17,818</w:t>
            </w:r>
          </w:p>
        </w:tc>
        <w:tc>
          <w:tcPr>
            <w:tcW w:w="449" w:type="pct"/>
            <w:tcBorders>
              <w:top w:val="single" w:sz="4" w:space="0" w:color="auto"/>
              <w:left w:val="nil"/>
              <w:bottom w:val="nil"/>
              <w:right w:val="nil"/>
            </w:tcBorders>
            <w:shd w:val="clear" w:color="auto" w:fill="auto"/>
            <w:noWrap/>
            <w:vAlign w:val="bottom"/>
            <w:hideMark/>
          </w:tcPr>
          <w:p w14:paraId="10BE22DB" w14:textId="77777777" w:rsidR="00704151" w:rsidRPr="00687637" w:rsidRDefault="00704151" w:rsidP="00924B64">
            <w:pPr>
              <w:jc w:val="center"/>
              <w:rPr>
                <w:sz w:val="20"/>
                <w:lang w:eastAsia="en-GB"/>
              </w:rPr>
            </w:pPr>
            <w:r w:rsidRPr="00687637">
              <w:rPr>
                <w:sz w:val="20"/>
                <w:lang w:eastAsia="en-GB"/>
              </w:rPr>
              <w:t>13,658</w:t>
            </w:r>
          </w:p>
        </w:tc>
        <w:tc>
          <w:tcPr>
            <w:tcW w:w="450" w:type="pct"/>
            <w:tcBorders>
              <w:top w:val="single" w:sz="4" w:space="0" w:color="auto"/>
              <w:left w:val="nil"/>
              <w:bottom w:val="nil"/>
              <w:right w:val="nil"/>
            </w:tcBorders>
            <w:shd w:val="clear" w:color="auto" w:fill="auto"/>
            <w:noWrap/>
            <w:vAlign w:val="bottom"/>
            <w:hideMark/>
          </w:tcPr>
          <w:p w14:paraId="694BE94C" w14:textId="77777777" w:rsidR="00704151" w:rsidRPr="00687637" w:rsidRDefault="00704151" w:rsidP="00924B64">
            <w:pPr>
              <w:jc w:val="center"/>
              <w:rPr>
                <w:sz w:val="20"/>
                <w:lang w:eastAsia="en-GB"/>
              </w:rPr>
            </w:pPr>
            <w:r w:rsidRPr="00687637">
              <w:rPr>
                <w:sz w:val="20"/>
                <w:lang w:eastAsia="en-GB"/>
              </w:rPr>
              <w:t>21,979</w:t>
            </w:r>
          </w:p>
        </w:tc>
        <w:tc>
          <w:tcPr>
            <w:tcW w:w="123" w:type="pct"/>
            <w:tcBorders>
              <w:top w:val="single" w:sz="4" w:space="0" w:color="auto"/>
              <w:left w:val="nil"/>
              <w:bottom w:val="nil"/>
              <w:right w:val="nil"/>
            </w:tcBorders>
          </w:tcPr>
          <w:p w14:paraId="2041FC3A" w14:textId="77777777" w:rsidR="00704151" w:rsidRPr="00687637" w:rsidRDefault="00704151" w:rsidP="00924B64">
            <w:pPr>
              <w:jc w:val="center"/>
              <w:rPr>
                <w:sz w:val="20"/>
                <w:lang w:eastAsia="en-GB"/>
              </w:rPr>
            </w:pPr>
          </w:p>
        </w:tc>
        <w:tc>
          <w:tcPr>
            <w:tcW w:w="449" w:type="pct"/>
            <w:tcBorders>
              <w:top w:val="single" w:sz="4" w:space="0" w:color="auto"/>
              <w:left w:val="nil"/>
              <w:bottom w:val="nil"/>
              <w:right w:val="nil"/>
            </w:tcBorders>
            <w:shd w:val="clear" w:color="auto" w:fill="auto"/>
            <w:noWrap/>
            <w:vAlign w:val="bottom"/>
            <w:hideMark/>
          </w:tcPr>
          <w:p w14:paraId="1E75FAF7" w14:textId="77777777" w:rsidR="00704151" w:rsidRPr="00687637" w:rsidRDefault="00704151" w:rsidP="00924B64">
            <w:pPr>
              <w:jc w:val="center"/>
              <w:rPr>
                <w:sz w:val="20"/>
                <w:lang w:eastAsia="en-GB"/>
              </w:rPr>
            </w:pPr>
            <w:r w:rsidRPr="00687637">
              <w:rPr>
                <w:sz w:val="20"/>
                <w:lang w:eastAsia="en-GB"/>
              </w:rPr>
              <w:t>30,779</w:t>
            </w:r>
          </w:p>
        </w:tc>
        <w:tc>
          <w:tcPr>
            <w:tcW w:w="449" w:type="pct"/>
            <w:tcBorders>
              <w:top w:val="single" w:sz="4" w:space="0" w:color="auto"/>
              <w:left w:val="nil"/>
              <w:bottom w:val="nil"/>
              <w:right w:val="nil"/>
            </w:tcBorders>
            <w:shd w:val="clear" w:color="auto" w:fill="auto"/>
            <w:noWrap/>
            <w:vAlign w:val="bottom"/>
            <w:hideMark/>
          </w:tcPr>
          <w:p w14:paraId="2F298A8E" w14:textId="77777777" w:rsidR="00704151" w:rsidRPr="00687637" w:rsidRDefault="00704151" w:rsidP="00924B64">
            <w:pPr>
              <w:jc w:val="center"/>
              <w:rPr>
                <w:sz w:val="20"/>
                <w:lang w:eastAsia="en-GB"/>
              </w:rPr>
            </w:pPr>
            <w:r w:rsidRPr="00687637">
              <w:rPr>
                <w:sz w:val="20"/>
                <w:lang w:eastAsia="en-GB"/>
              </w:rPr>
              <w:t>26,618</w:t>
            </w:r>
          </w:p>
        </w:tc>
        <w:tc>
          <w:tcPr>
            <w:tcW w:w="450" w:type="pct"/>
            <w:tcBorders>
              <w:top w:val="single" w:sz="4" w:space="0" w:color="auto"/>
              <w:left w:val="nil"/>
              <w:bottom w:val="nil"/>
              <w:right w:val="nil"/>
            </w:tcBorders>
            <w:shd w:val="clear" w:color="auto" w:fill="auto"/>
            <w:noWrap/>
            <w:vAlign w:val="bottom"/>
            <w:hideMark/>
          </w:tcPr>
          <w:p w14:paraId="67B54599" w14:textId="77777777" w:rsidR="00704151" w:rsidRPr="00687637" w:rsidRDefault="00704151" w:rsidP="00924B64">
            <w:pPr>
              <w:jc w:val="center"/>
              <w:rPr>
                <w:sz w:val="20"/>
                <w:lang w:eastAsia="en-GB"/>
              </w:rPr>
            </w:pPr>
            <w:r w:rsidRPr="00687637">
              <w:rPr>
                <w:sz w:val="20"/>
                <w:lang w:eastAsia="en-GB"/>
              </w:rPr>
              <w:t>34,939</w:t>
            </w:r>
          </w:p>
        </w:tc>
        <w:tc>
          <w:tcPr>
            <w:tcW w:w="492" w:type="pct"/>
            <w:tcBorders>
              <w:top w:val="single" w:sz="4" w:space="0" w:color="auto"/>
              <w:left w:val="nil"/>
              <w:bottom w:val="nil"/>
              <w:right w:val="nil"/>
            </w:tcBorders>
            <w:shd w:val="clear" w:color="auto" w:fill="auto"/>
            <w:noWrap/>
            <w:vAlign w:val="bottom"/>
            <w:hideMark/>
          </w:tcPr>
          <w:p w14:paraId="303BDA85" w14:textId="77777777" w:rsidR="00704151" w:rsidRPr="00687637" w:rsidRDefault="00704151" w:rsidP="00924B64">
            <w:pPr>
              <w:jc w:val="center"/>
              <w:rPr>
                <w:sz w:val="20"/>
                <w:lang w:eastAsia="en-GB"/>
              </w:rPr>
            </w:pPr>
            <w:r w:rsidRPr="00687637">
              <w:rPr>
                <w:sz w:val="20"/>
                <w:lang w:eastAsia="en-GB"/>
              </w:rPr>
              <w:t>73</w:t>
            </w:r>
          </w:p>
        </w:tc>
      </w:tr>
      <w:tr w:rsidR="00704151" w:rsidRPr="00687637" w14:paraId="62E4336E" w14:textId="77777777" w:rsidTr="00924B64">
        <w:trPr>
          <w:trHeight w:val="300"/>
        </w:trPr>
        <w:tc>
          <w:tcPr>
            <w:tcW w:w="744" w:type="pct"/>
            <w:tcBorders>
              <w:top w:val="nil"/>
              <w:left w:val="nil"/>
              <w:bottom w:val="single" w:sz="4" w:space="0" w:color="auto"/>
              <w:right w:val="nil"/>
            </w:tcBorders>
            <w:shd w:val="clear" w:color="auto" w:fill="auto"/>
            <w:noWrap/>
            <w:vAlign w:val="bottom"/>
            <w:hideMark/>
          </w:tcPr>
          <w:p w14:paraId="07E0CA9D" w14:textId="77777777" w:rsidR="00704151" w:rsidRPr="00687637" w:rsidRDefault="00704151" w:rsidP="00924B64">
            <w:pPr>
              <w:rPr>
                <w:sz w:val="20"/>
                <w:lang w:eastAsia="en-GB"/>
              </w:rPr>
            </w:pPr>
            <w:r w:rsidRPr="00687637">
              <w:rPr>
                <w:sz w:val="20"/>
                <w:lang w:eastAsia="en-GB"/>
              </w:rPr>
              <w:t>International</w:t>
            </w:r>
          </w:p>
        </w:tc>
        <w:tc>
          <w:tcPr>
            <w:tcW w:w="668" w:type="pct"/>
            <w:tcBorders>
              <w:top w:val="nil"/>
              <w:left w:val="nil"/>
              <w:bottom w:val="single" w:sz="4" w:space="0" w:color="auto"/>
              <w:right w:val="nil"/>
            </w:tcBorders>
            <w:shd w:val="clear" w:color="auto" w:fill="auto"/>
            <w:noWrap/>
            <w:vAlign w:val="bottom"/>
            <w:hideMark/>
          </w:tcPr>
          <w:p w14:paraId="55C99B63" w14:textId="77777777" w:rsidR="00704151" w:rsidRPr="00687637" w:rsidRDefault="00704151" w:rsidP="00924B64">
            <w:pPr>
              <w:jc w:val="center"/>
              <w:rPr>
                <w:sz w:val="20"/>
                <w:lang w:eastAsia="en-GB"/>
              </w:rPr>
            </w:pPr>
            <w:r w:rsidRPr="00687637">
              <w:rPr>
                <w:sz w:val="20"/>
                <w:lang w:eastAsia="en-GB"/>
              </w:rPr>
              <w:t>131,398</w:t>
            </w:r>
          </w:p>
        </w:tc>
        <w:tc>
          <w:tcPr>
            <w:tcW w:w="134" w:type="pct"/>
            <w:tcBorders>
              <w:top w:val="nil"/>
              <w:left w:val="nil"/>
              <w:bottom w:val="single" w:sz="4" w:space="0" w:color="auto"/>
              <w:right w:val="nil"/>
            </w:tcBorders>
          </w:tcPr>
          <w:p w14:paraId="325B1832" w14:textId="77777777" w:rsidR="00704151" w:rsidRPr="00687637" w:rsidRDefault="00704151" w:rsidP="00924B64">
            <w:pPr>
              <w:jc w:val="center"/>
              <w:rPr>
                <w:sz w:val="20"/>
                <w:lang w:eastAsia="en-GB"/>
              </w:rPr>
            </w:pPr>
          </w:p>
        </w:tc>
        <w:tc>
          <w:tcPr>
            <w:tcW w:w="592" w:type="pct"/>
            <w:tcBorders>
              <w:top w:val="nil"/>
              <w:left w:val="nil"/>
              <w:bottom w:val="single" w:sz="4" w:space="0" w:color="auto"/>
              <w:right w:val="nil"/>
            </w:tcBorders>
            <w:shd w:val="clear" w:color="auto" w:fill="auto"/>
            <w:noWrap/>
            <w:vAlign w:val="bottom"/>
            <w:hideMark/>
          </w:tcPr>
          <w:p w14:paraId="6BBC0EA7" w14:textId="77777777" w:rsidR="00704151" w:rsidRPr="00687637" w:rsidRDefault="00704151" w:rsidP="00924B64">
            <w:pPr>
              <w:jc w:val="center"/>
              <w:rPr>
                <w:sz w:val="20"/>
                <w:lang w:eastAsia="en-GB"/>
              </w:rPr>
            </w:pPr>
            <w:r w:rsidRPr="00687637">
              <w:rPr>
                <w:sz w:val="20"/>
                <w:lang w:eastAsia="en-GB"/>
              </w:rPr>
              <w:t>1,602</w:t>
            </w:r>
          </w:p>
        </w:tc>
        <w:tc>
          <w:tcPr>
            <w:tcW w:w="449" w:type="pct"/>
            <w:tcBorders>
              <w:top w:val="nil"/>
              <w:left w:val="nil"/>
              <w:bottom w:val="single" w:sz="4" w:space="0" w:color="auto"/>
              <w:right w:val="nil"/>
            </w:tcBorders>
            <w:shd w:val="clear" w:color="auto" w:fill="auto"/>
            <w:noWrap/>
            <w:vAlign w:val="bottom"/>
            <w:hideMark/>
          </w:tcPr>
          <w:p w14:paraId="288B0A5D" w14:textId="77777777" w:rsidR="00704151" w:rsidRPr="00687637" w:rsidRDefault="00704151" w:rsidP="00924B64">
            <w:pPr>
              <w:jc w:val="center"/>
              <w:rPr>
                <w:sz w:val="20"/>
                <w:lang w:eastAsia="en-GB"/>
              </w:rPr>
            </w:pPr>
            <w:r w:rsidRPr="00687637">
              <w:rPr>
                <w:sz w:val="20"/>
                <w:lang w:eastAsia="en-GB"/>
              </w:rPr>
              <w:t>1,090</w:t>
            </w:r>
          </w:p>
        </w:tc>
        <w:tc>
          <w:tcPr>
            <w:tcW w:w="450" w:type="pct"/>
            <w:tcBorders>
              <w:top w:val="nil"/>
              <w:left w:val="nil"/>
              <w:bottom w:val="single" w:sz="4" w:space="0" w:color="auto"/>
              <w:right w:val="nil"/>
            </w:tcBorders>
            <w:shd w:val="clear" w:color="auto" w:fill="auto"/>
            <w:noWrap/>
            <w:vAlign w:val="bottom"/>
            <w:hideMark/>
          </w:tcPr>
          <w:p w14:paraId="791968A0" w14:textId="77777777" w:rsidR="00704151" w:rsidRPr="00687637" w:rsidRDefault="00704151" w:rsidP="00924B64">
            <w:pPr>
              <w:jc w:val="center"/>
              <w:rPr>
                <w:sz w:val="20"/>
                <w:lang w:eastAsia="en-GB"/>
              </w:rPr>
            </w:pPr>
            <w:r w:rsidRPr="00687637">
              <w:rPr>
                <w:sz w:val="20"/>
                <w:lang w:eastAsia="en-GB"/>
              </w:rPr>
              <w:t>2,114</w:t>
            </w:r>
          </w:p>
        </w:tc>
        <w:tc>
          <w:tcPr>
            <w:tcW w:w="123" w:type="pct"/>
            <w:tcBorders>
              <w:top w:val="nil"/>
              <w:left w:val="nil"/>
              <w:bottom w:val="single" w:sz="4" w:space="0" w:color="auto"/>
              <w:right w:val="nil"/>
            </w:tcBorders>
          </w:tcPr>
          <w:p w14:paraId="5ECFAFF8" w14:textId="77777777" w:rsidR="00704151" w:rsidRPr="00687637" w:rsidRDefault="00704151" w:rsidP="00924B64">
            <w:pPr>
              <w:jc w:val="center"/>
              <w:rPr>
                <w:sz w:val="20"/>
                <w:lang w:eastAsia="en-GB"/>
              </w:rPr>
            </w:pPr>
          </w:p>
        </w:tc>
        <w:tc>
          <w:tcPr>
            <w:tcW w:w="449" w:type="pct"/>
            <w:tcBorders>
              <w:top w:val="nil"/>
              <w:left w:val="nil"/>
              <w:bottom w:val="single" w:sz="4" w:space="0" w:color="auto"/>
              <w:right w:val="nil"/>
            </w:tcBorders>
            <w:shd w:val="clear" w:color="auto" w:fill="auto"/>
            <w:noWrap/>
            <w:vAlign w:val="bottom"/>
            <w:hideMark/>
          </w:tcPr>
          <w:p w14:paraId="609EA205" w14:textId="77777777" w:rsidR="00704151" w:rsidRPr="00687637" w:rsidRDefault="00704151" w:rsidP="00924B64">
            <w:pPr>
              <w:jc w:val="center"/>
              <w:rPr>
                <w:sz w:val="20"/>
                <w:lang w:eastAsia="en-GB"/>
              </w:rPr>
            </w:pPr>
            <w:r w:rsidRPr="00687637">
              <w:rPr>
                <w:sz w:val="20"/>
                <w:lang w:eastAsia="en-GB"/>
              </w:rPr>
              <w:t>3,452</w:t>
            </w:r>
          </w:p>
        </w:tc>
        <w:tc>
          <w:tcPr>
            <w:tcW w:w="449" w:type="pct"/>
            <w:tcBorders>
              <w:top w:val="nil"/>
              <w:left w:val="nil"/>
              <w:bottom w:val="single" w:sz="4" w:space="0" w:color="auto"/>
              <w:right w:val="nil"/>
            </w:tcBorders>
            <w:shd w:val="clear" w:color="auto" w:fill="auto"/>
            <w:noWrap/>
            <w:vAlign w:val="bottom"/>
            <w:hideMark/>
          </w:tcPr>
          <w:p w14:paraId="40BA8D5B" w14:textId="77777777" w:rsidR="00704151" w:rsidRPr="00687637" w:rsidRDefault="00704151" w:rsidP="00924B64">
            <w:pPr>
              <w:jc w:val="center"/>
              <w:rPr>
                <w:sz w:val="20"/>
                <w:lang w:eastAsia="en-GB"/>
              </w:rPr>
            </w:pPr>
            <w:r w:rsidRPr="00687637">
              <w:rPr>
                <w:sz w:val="20"/>
                <w:lang w:eastAsia="en-GB"/>
              </w:rPr>
              <w:t>2,940</w:t>
            </w:r>
          </w:p>
        </w:tc>
        <w:tc>
          <w:tcPr>
            <w:tcW w:w="450" w:type="pct"/>
            <w:tcBorders>
              <w:top w:val="nil"/>
              <w:left w:val="nil"/>
              <w:bottom w:val="single" w:sz="4" w:space="0" w:color="auto"/>
              <w:right w:val="nil"/>
            </w:tcBorders>
            <w:shd w:val="clear" w:color="auto" w:fill="auto"/>
            <w:noWrap/>
            <w:vAlign w:val="bottom"/>
            <w:hideMark/>
          </w:tcPr>
          <w:p w14:paraId="4FCDB958" w14:textId="77777777" w:rsidR="00704151" w:rsidRPr="00687637" w:rsidRDefault="00704151" w:rsidP="00924B64">
            <w:pPr>
              <w:jc w:val="center"/>
              <w:rPr>
                <w:sz w:val="20"/>
                <w:lang w:eastAsia="en-GB"/>
              </w:rPr>
            </w:pPr>
            <w:r w:rsidRPr="00687637">
              <w:rPr>
                <w:sz w:val="20"/>
                <w:lang w:eastAsia="en-GB"/>
              </w:rPr>
              <w:t>3,964</w:t>
            </w:r>
          </w:p>
        </w:tc>
        <w:tc>
          <w:tcPr>
            <w:tcW w:w="492" w:type="pct"/>
            <w:tcBorders>
              <w:top w:val="nil"/>
              <w:left w:val="nil"/>
              <w:bottom w:val="single" w:sz="4" w:space="0" w:color="auto"/>
              <w:right w:val="nil"/>
            </w:tcBorders>
            <w:shd w:val="clear" w:color="auto" w:fill="auto"/>
            <w:noWrap/>
            <w:vAlign w:val="bottom"/>
            <w:hideMark/>
          </w:tcPr>
          <w:p w14:paraId="224C4448" w14:textId="77777777" w:rsidR="00704151" w:rsidRPr="00687637" w:rsidRDefault="00704151" w:rsidP="00924B64">
            <w:pPr>
              <w:jc w:val="center"/>
              <w:rPr>
                <w:sz w:val="20"/>
                <w:lang w:eastAsia="en-GB"/>
              </w:rPr>
            </w:pPr>
            <w:r w:rsidRPr="00687637">
              <w:rPr>
                <w:sz w:val="20"/>
                <w:lang w:eastAsia="en-GB"/>
              </w:rPr>
              <w:t>115</w:t>
            </w:r>
          </w:p>
        </w:tc>
      </w:tr>
      <w:tr w:rsidR="00704151" w:rsidRPr="00687637" w14:paraId="3714BFE4" w14:textId="77777777" w:rsidTr="00924B64">
        <w:trPr>
          <w:trHeight w:val="300"/>
        </w:trPr>
        <w:tc>
          <w:tcPr>
            <w:tcW w:w="744" w:type="pct"/>
            <w:tcBorders>
              <w:top w:val="single" w:sz="4" w:space="0" w:color="auto"/>
              <w:left w:val="nil"/>
              <w:bottom w:val="single" w:sz="4" w:space="0" w:color="auto"/>
              <w:right w:val="nil"/>
            </w:tcBorders>
            <w:shd w:val="clear" w:color="auto" w:fill="auto"/>
            <w:noWrap/>
            <w:vAlign w:val="bottom"/>
            <w:hideMark/>
          </w:tcPr>
          <w:p w14:paraId="6795E26B" w14:textId="77777777" w:rsidR="00704151" w:rsidRPr="00687637" w:rsidRDefault="00704151" w:rsidP="00924B64">
            <w:pPr>
              <w:rPr>
                <w:sz w:val="20"/>
                <w:lang w:eastAsia="en-GB"/>
              </w:rPr>
            </w:pPr>
          </w:p>
          <w:p w14:paraId="7C1C0C71" w14:textId="77777777" w:rsidR="00704151" w:rsidRPr="00687637" w:rsidRDefault="00704151" w:rsidP="00924B64">
            <w:pPr>
              <w:rPr>
                <w:sz w:val="20"/>
                <w:lang w:eastAsia="en-GB"/>
              </w:rPr>
            </w:pPr>
            <w:r w:rsidRPr="00687637">
              <w:rPr>
                <w:sz w:val="20"/>
                <w:lang w:eastAsia="en-GB"/>
              </w:rPr>
              <w:t>Total</w:t>
            </w:r>
          </w:p>
        </w:tc>
        <w:tc>
          <w:tcPr>
            <w:tcW w:w="668" w:type="pct"/>
            <w:tcBorders>
              <w:top w:val="single" w:sz="4" w:space="0" w:color="auto"/>
              <w:left w:val="nil"/>
              <w:bottom w:val="single" w:sz="4" w:space="0" w:color="auto"/>
              <w:right w:val="nil"/>
            </w:tcBorders>
            <w:shd w:val="clear" w:color="auto" w:fill="auto"/>
            <w:noWrap/>
            <w:vAlign w:val="bottom"/>
            <w:hideMark/>
          </w:tcPr>
          <w:p w14:paraId="5B1648A1" w14:textId="77777777" w:rsidR="00704151" w:rsidRPr="00687637" w:rsidRDefault="00704151" w:rsidP="00924B64">
            <w:pPr>
              <w:jc w:val="center"/>
              <w:rPr>
                <w:sz w:val="20"/>
                <w:lang w:eastAsia="en-GB"/>
              </w:rPr>
            </w:pPr>
            <w:r w:rsidRPr="00687637">
              <w:rPr>
                <w:sz w:val="20"/>
                <w:lang w:eastAsia="en-GB"/>
              </w:rPr>
              <w:t>1,394,914</w:t>
            </w:r>
          </w:p>
        </w:tc>
        <w:tc>
          <w:tcPr>
            <w:tcW w:w="134" w:type="pct"/>
            <w:tcBorders>
              <w:top w:val="single" w:sz="4" w:space="0" w:color="auto"/>
              <w:left w:val="nil"/>
              <w:bottom w:val="single" w:sz="4" w:space="0" w:color="auto"/>
              <w:right w:val="nil"/>
            </w:tcBorders>
          </w:tcPr>
          <w:p w14:paraId="00ED32D1" w14:textId="77777777" w:rsidR="00704151" w:rsidRPr="00687637" w:rsidRDefault="00704151" w:rsidP="00924B64">
            <w:pPr>
              <w:jc w:val="center"/>
              <w:rPr>
                <w:sz w:val="20"/>
                <w:lang w:eastAsia="en-GB"/>
              </w:rPr>
            </w:pPr>
          </w:p>
        </w:tc>
        <w:tc>
          <w:tcPr>
            <w:tcW w:w="592" w:type="pct"/>
            <w:tcBorders>
              <w:top w:val="single" w:sz="4" w:space="0" w:color="auto"/>
              <w:left w:val="nil"/>
              <w:bottom w:val="single" w:sz="4" w:space="0" w:color="auto"/>
              <w:right w:val="nil"/>
            </w:tcBorders>
            <w:shd w:val="clear" w:color="auto" w:fill="auto"/>
            <w:noWrap/>
            <w:vAlign w:val="bottom"/>
            <w:hideMark/>
          </w:tcPr>
          <w:p w14:paraId="26C325BD" w14:textId="77777777" w:rsidR="00704151" w:rsidRPr="00687637" w:rsidRDefault="00704151" w:rsidP="00924B64">
            <w:pPr>
              <w:jc w:val="center"/>
              <w:rPr>
                <w:sz w:val="20"/>
                <w:lang w:eastAsia="en-GB"/>
              </w:rPr>
            </w:pPr>
            <w:r w:rsidRPr="00687637">
              <w:rPr>
                <w:sz w:val="20"/>
                <w:lang w:eastAsia="en-GB"/>
              </w:rPr>
              <w:t>19,420</w:t>
            </w:r>
          </w:p>
        </w:tc>
        <w:tc>
          <w:tcPr>
            <w:tcW w:w="449" w:type="pct"/>
            <w:tcBorders>
              <w:top w:val="single" w:sz="4" w:space="0" w:color="auto"/>
              <w:left w:val="nil"/>
              <w:bottom w:val="single" w:sz="4" w:space="0" w:color="auto"/>
              <w:right w:val="nil"/>
            </w:tcBorders>
            <w:shd w:val="clear" w:color="auto" w:fill="auto"/>
            <w:noWrap/>
            <w:vAlign w:val="bottom"/>
            <w:hideMark/>
          </w:tcPr>
          <w:p w14:paraId="278B84C7" w14:textId="77777777" w:rsidR="00704151" w:rsidRPr="00687637" w:rsidRDefault="00704151" w:rsidP="00924B64">
            <w:pPr>
              <w:jc w:val="center"/>
              <w:rPr>
                <w:sz w:val="20"/>
                <w:lang w:eastAsia="en-GB"/>
              </w:rPr>
            </w:pPr>
            <w:r w:rsidRPr="00687637">
              <w:rPr>
                <w:sz w:val="20"/>
                <w:lang w:eastAsia="en-GB"/>
              </w:rPr>
              <w:t>14,773</w:t>
            </w:r>
          </w:p>
        </w:tc>
        <w:tc>
          <w:tcPr>
            <w:tcW w:w="450" w:type="pct"/>
            <w:tcBorders>
              <w:top w:val="single" w:sz="4" w:space="0" w:color="auto"/>
              <w:left w:val="nil"/>
              <w:bottom w:val="single" w:sz="4" w:space="0" w:color="auto"/>
              <w:right w:val="nil"/>
            </w:tcBorders>
            <w:shd w:val="clear" w:color="auto" w:fill="auto"/>
            <w:noWrap/>
            <w:vAlign w:val="bottom"/>
            <w:hideMark/>
          </w:tcPr>
          <w:p w14:paraId="2E717F5A" w14:textId="77777777" w:rsidR="00704151" w:rsidRPr="00687637" w:rsidRDefault="00704151" w:rsidP="00924B64">
            <w:pPr>
              <w:jc w:val="center"/>
              <w:rPr>
                <w:sz w:val="20"/>
                <w:lang w:eastAsia="en-GB"/>
              </w:rPr>
            </w:pPr>
            <w:r w:rsidRPr="00687637">
              <w:rPr>
                <w:sz w:val="20"/>
                <w:lang w:eastAsia="en-GB"/>
              </w:rPr>
              <w:t>24,067</w:t>
            </w:r>
          </w:p>
        </w:tc>
        <w:tc>
          <w:tcPr>
            <w:tcW w:w="123" w:type="pct"/>
            <w:tcBorders>
              <w:top w:val="single" w:sz="4" w:space="0" w:color="auto"/>
              <w:left w:val="nil"/>
              <w:bottom w:val="single" w:sz="4" w:space="0" w:color="auto"/>
              <w:right w:val="nil"/>
            </w:tcBorders>
          </w:tcPr>
          <w:p w14:paraId="532F729A" w14:textId="77777777" w:rsidR="00704151" w:rsidRPr="00687637" w:rsidRDefault="00704151" w:rsidP="00924B64">
            <w:pPr>
              <w:jc w:val="center"/>
              <w:rPr>
                <w:sz w:val="20"/>
                <w:lang w:eastAsia="en-GB"/>
              </w:rPr>
            </w:pPr>
          </w:p>
        </w:tc>
        <w:tc>
          <w:tcPr>
            <w:tcW w:w="449" w:type="pct"/>
            <w:tcBorders>
              <w:top w:val="single" w:sz="4" w:space="0" w:color="auto"/>
              <w:left w:val="nil"/>
              <w:bottom w:val="single" w:sz="4" w:space="0" w:color="auto"/>
              <w:right w:val="nil"/>
            </w:tcBorders>
            <w:shd w:val="clear" w:color="auto" w:fill="auto"/>
            <w:noWrap/>
            <w:vAlign w:val="bottom"/>
            <w:hideMark/>
          </w:tcPr>
          <w:p w14:paraId="5E4C6A67" w14:textId="77777777" w:rsidR="00704151" w:rsidRPr="00687637" w:rsidRDefault="00704151" w:rsidP="00924B64">
            <w:pPr>
              <w:jc w:val="center"/>
              <w:rPr>
                <w:sz w:val="20"/>
                <w:lang w:eastAsia="en-GB"/>
              </w:rPr>
            </w:pPr>
            <w:r w:rsidRPr="00687637">
              <w:rPr>
                <w:sz w:val="20"/>
                <w:lang w:eastAsia="en-GB"/>
              </w:rPr>
              <w:t>34,231</w:t>
            </w:r>
          </w:p>
        </w:tc>
        <w:tc>
          <w:tcPr>
            <w:tcW w:w="449" w:type="pct"/>
            <w:tcBorders>
              <w:top w:val="single" w:sz="4" w:space="0" w:color="auto"/>
              <w:left w:val="nil"/>
              <w:bottom w:val="single" w:sz="4" w:space="0" w:color="auto"/>
              <w:right w:val="nil"/>
            </w:tcBorders>
            <w:shd w:val="clear" w:color="auto" w:fill="auto"/>
            <w:noWrap/>
            <w:vAlign w:val="bottom"/>
            <w:hideMark/>
          </w:tcPr>
          <w:p w14:paraId="349ADB84" w14:textId="77777777" w:rsidR="00704151" w:rsidRPr="00687637" w:rsidRDefault="00704151" w:rsidP="00924B64">
            <w:pPr>
              <w:jc w:val="center"/>
              <w:rPr>
                <w:sz w:val="20"/>
                <w:lang w:eastAsia="en-GB"/>
              </w:rPr>
            </w:pPr>
            <w:r w:rsidRPr="00687637">
              <w:rPr>
                <w:sz w:val="20"/>
                <w:lang w:eastAsia="en-GB"/>
              </w:rPr>
              <w:t>29,583</w:t>
            </w:r>
          </w:p>
        </w:tc>
        <w:tc>
          <w:tcPr>
            <w:tcW w:w="450" w:type="pct"/>
            <w:tcBorders>
              <w:top w:val="single" w:sz="4" w:space="0" w:color="auto"/>
              <w:left w:val="nil"/>
              <w:bottom w:val="single" w:sz="4" w:space="0" w:color="auto"/>
              <w:right w:val="nil"/>
            </w:tcBorders>
            <w:shd w:val="clear" w:color="auto" w:fill="auto"/>
            <w:noWrap/>
            <w:vAlign w:val="bottom"/>
            <w:hideMark/>
          </w:tcPr>
          <w:p w14:paraId="33E43896" w14:textId="77777777" w:rsidR="00704151" w:rsidRPr="00687637" w:rsidRDefault="00704151" w:rsidP="00924B64">
            <w:pPr>
              <w:jc w:val="center"/>
              <w:rPr>
                <w:sz w:val="20"/>
                <w:lang w:eastAsia="en-GB"/>
              </w:rPr>
            </w:pPr>
            <w:r w:rsidRPr="00687637">
              <w:rPr>
                <w:sz w:val="20"/>
                <w:lang w:eastAsia="en-GB"/>
              </w:rPr>
              <w:t>38,878</w:t>
            </w:r>
          </w:p>
        </w:tc>
        <w:tc>
          <w:tcPr>
            <w:tcW w:w="492" w:type="pct"/>
            <w:tcBorders>
              <w:top w:val="single" w:sz="4" w:space="0" w:color="auto"/>
              <w:left w:val="nil"/>
              <w:bottom w:val="single" w:sz="4" w:space="0" w:color="auto"/>
              <w:right w:val="nil"/>
            </w:tcBorders>
            <w:shd w:val="clear" w:color="auto" w:fill="auto"/>
            <w:noWrap/>
            <w:vAlign w:val="bottom"/>
            <w:hideMark/>
          </w:tcPr>
          <w:p w14:paraId="555B9FF8" w14:textId="77777777" w:rsidR="00704151" w:rsidRPr="00687637" w:rsidRDefault="00704151" w:rsidP="00924B64">
            <w:pPr>
              <w:jc w:val="center"/>
              <w:rPr>
                <w:sz w:val="20"/>
                <w:lang w:eastAsia="en-GB"/>
              </w:rPr>
            </w:pPr>
            <w:r w:rsidRPr="00687637">
              <w:rPr>
                <w:sz w:val="20"/>
                <w:lang w:eastAsia="en-GB"/>
              </w:rPr>
              <w:t>76</w:t>
            </w:r>
          </w:p>
        </w:tc>
      </w:tr>
    </w:tbl>
    <w:p w14:paraId="32125CA7" w14:textId="77777777" w:rsidR="00704151" w:rsidRPr="00687637" w:rsidRDefault="00704151" w:rsidP="00704151">
      <w:pPr>
        <w:rPr>
          <w:sz w:val="18"/>
        </w:rPr>
      </w:pPr>
      <w:r w:rsidRPr="00687637">
        <w:rPr>
          <w:sz w:val="18"/>
        </w:rPr>
        <w:t>*) Figures for Week 1 and 52 are linear prediction over 52 weeks (point and 95% confidence intervals).</w:t>
      </w:r>
    </w:p>
    <w:p w14:paraId="05794FCF" w14:textId="77777777" w:rsidR="00704151" w:rsidRPr="00687637" w:rsidRDefault="00704151" w:rsidP="00704151">
      <w:pPr>
        <w:rPr>
          <w:sz w:val="18"/>
        </w:rPr>
      </w:pPr>
      <w:r w:rsidRPr="00687637">
        <w:rPr>
          <w:sz w:val="18"/>
        </w:rPr>
        <w:br w:type="page"/>
      </w:r>
    </w:p>
    <w:p w14:paraId="19F76336" w14:textId="77777777" w:rsidR="00704151" w:rsidRPr="00687637" w:rsidRDefault="00704151" w:rsidP="00704151">
      <w:pPr>
        <w:pStyle w:val="Caption"/>
        <w:keepNext/>
        <w:rPr>
          <w:rFonts w:ascii="Times New Roman" w:hAnsi="Times New Roman" w:cs="Times New Roman"/>
          <w:color w:val="auto"/>
        </w:rPr>
      </w:pPr>
      <w:bookmarkStart w:id="32" w:name="_Ref468198438"/>
      <w:r w:rsidRPr="00687637">
        <w:rPr>
          <w:rFonts w:ascii="Times New Roman" w:hAnsi="Times New Roman" w:cs="Times New Roman"/>
          <w:color w:val="auto"/>
        </w:rPr>
        <w:lastRenderedPageBreak/>
        <w:t xml:space="preserve">Table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Table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3</w:t>
      </w:r>
      <w:r w:rsidRPr="00687637">
        <w:rPr>
          <w:rFonts w:ascii="Times New Roman" w:hAnsi="Times New Roman" w:cs="Times New Roman"/>
          <w:noProof/>
          <w:color w:val="auto"/>
        </w:rPr>
        <w:fldChar w:fldCharType="end"/>
      </w:r>
      <w:bookmarkEnd w:id="32"/>
      <w:r w:rsidRPr="00687637">
        <w:rPr>
          <w:rFonts w:ascii="Times New Roman" w:hAnsi="Times New Roman" w:cs="Times New Roman"/>
          <w:color w:val="auto"/>
        </w:rPr>
        <w:t xml:space="preserve">   Most popular country, news, and factsheet items on TravelHealthPro.org.uk, September 2015 – August 2016.</w:t>
      </w:r>
    </w:p>
    <w:tbl>
      <w:tblPr>
        <w:tblW w:w="9026" w:type="dxa"/>
        <w:tblLook w:val="04A0" w:firstRow="1" w:lastRow="0" w:firstColumn="1" w:lastColumn="0" w:noHBand="0" w:noVBand="1"/>
      </w:tblPr>
      <w:tblGrid>
        <w:gridCol w:w="696"/>
        <w:gridCol w:w="4454"/>
        <w:gridCol w:w="1201"/>
        <w:gridCol w:w="696"/>
        <w:gridCol w:w="1283"/>
        <w:gridCol w:w="696"/>
      </w:tblGrid>
      <w:tr w:rsidR="00704151" w:rsidRPr="00687637" w14:paraId="425D213B" w14:textId="77777777" w:rsidTr="00924B64">
        <w:trPr>
          <w:trHeight w:val="300"/>
        </w:trPr>
        <w:tc>
          <w:tcPr>
            <w:tcW w:w="696" w:type="dxa"/>
            <w:tcBorders>
              <w:top w:val="single" w:sz="4" w:space="0" w:color="auto"/>
              <w:left w:val="nil"/>
              <w:bottom w:val="single" w:sz="4" w:space="0" w:color="auto"/>
              <w:right w:val="nil"/>
            </w:tcBorders>
            <w:shd w:val="clear" w:color="auto" w:fill="auto"/>
            <w:noWrap/>
            <w:hideMark/>
          </w:tcPr>
          <w:p w14:paraId="42A5CC22" w14:textId="77777777" w:rsidR="00704151" w:rsidRPr="00687637" w:rsidRDefault="00704151" w:rsidP="00924B64">
            <w:pPr>
              <w:jc w:val="center"/>
              <w:rPr>
                <w:b/>
                <w:sz w:val="18"/>
                <w:szCs w:val="18"/>
                <w:lang w:eastAsia="en-GB"/>
              </w:rPr>
            </w:pPr>
            <w:r w:rsidRPr="00687637">
              <w:rPr>
                <w:b/>
                <w:sz w:val="18"/>
                <w:szCs w:val="18"/>
                <w:lang w:eastAsia="en-GB"/>
              </w:rPr>
              <w:t>Rank</w:t>
            </w:r>
          </w:p>
        </w:tc>
        <w:tc>
          <w:tcPr>
            <w:tcW w:w="4454" w:type="dxa"/>
            <w:tcBorders>
              <w:top w:val="single" w:sz="4" w:space="0" w:color="auto"/>
              <w:left w:val="nil"/>
              <w:bottom w:val="single" w:sz="4" w:space="0" w:color="auto"/>
              <w:right w:val="nil"/>
            </w:tcBorders>
            <w:shd w:val="clear" w:color="auto" w:fill="auto"/>
            <w:noWrap/>
            <w:hideMark/>
          </w:tcPr>
          <w:p w14:paraId="6D95130F" w14:textId="77777777" w:rsidR="00704151" w:rsidRPr="00687637" w:rsidRDefault="00704151" w:rsidP="00924B64">
            <w:pPr>
              <w:rPr>
                <w:b/>
                <w:sz w:val="18"/>
                <w:szCs w:val="18"/>
                <w:lang w:eastAsia="en-GB"/>
              </w:rPr>
            </w:pPr>
            <w:r w:rsidRPr="00687637">
              <w:rPr>
                <w:b/>
                <w:sz w:val="18"/>
                <w:szCs w:val="18"/>
                <w:lang w:eastAsia="en-GB"/>
              </w:rPr>
              <w:t>Page</w:t>
            </w:r>
          </w:p>
        </w:tc>
        <w:tc>
          <w:tcPr>
            <w:tcW w:w="1201" w:type="dxa"/>
            <w:tcBorders>
              <w:top w:val="single" w:sz="4" w:space="0" w:color="auto"/>
              <w:left w:val="nil"/>
              <w:bottom w:val="single" w:sz="4" w:space="0" w:color="auto"/>
              <w:right w:val="nil"/>
            </w:tcBorders>
            <w:shd w:val="clear" w:color="auto" w:fill="auto"/>
            <w:noWrap/>
            <w:hideMark/>
          </w:tcPr>
          <w:p w14:paraId="0B091712" w14:textId="77777777" w:rsidR="00704151" w:rsidRPr="00687637" w:rsidRDefault="00704151" w:rsidP="00924B64">
            <w:pPr>
              <w:jc w:val="center"/>
              <w:rPr>
                <w:b/>
                <w:sz w:val="18"/>
                <w:szCs w:val="18"/>
                <w:lang w:eastAsia="en-GB"/>
              </w:rPr>
            </w:pPr>
            <w:r w:rsidRPr="00687637">
              <w:rPr>
                <w:b/>
                <w:sz w:val="18"/>
                <w:szCs w:val="18"/>
                <w:lang w:eastAsia="en-GB"/>
              </w:rPr>
              <w:t>Unique pageviews</w:t>
            </w:r>
          </w:p>
        </w:tc>
        <w:tc>
          <w:tcPr>
            <w:tcW w:w="696" w:type="dxa"/>
            <w:tcBorders>
              <w:top w:val="single" w:sz="4" w:space="0" w:color="auto"/>
              <w:left w:val="nil"/>
              <w:bottom w:val="single" w:sz="4" w:space="0" w:color="auto"/>
              <w:right w:val="nil"/>
            </w:tcBorders>
            <w:shd w:val="clear" w:color="auto" w:fill="auto"/>
            <w:noWrap/>
            <w:hideMark/>
          </w:tcPr>
          <w:p w14:paraId="76C6C150" w14:textId="77777777" w:rsidR="00704151" w:rsidRPr="00687637" w:rsidRDefault="00704151" w:rsidP="00924B64">
            <w:pPr>
              <w:jc w:val="center"/>
              <w:rPr>
                <w:b/>
                <w:sz w:val="18"/>
                <w:szCs w:val="18"/>
                <w:lang w:eastAsia="en-GB"/>
              </w:rPr>
            </w:pPr>
            <w:r w:rsidRPr="00687637">
              <w:rPr>
                <w:b/>
                <w:sz w:val="18"/>
                <w:szCs w:val="18"/>
                <w:lang w:eastAsia="en-GB"/>
              </w:rPr>
              <w:t>%</w:t>
            </w:r>
          </w:p>
        </w:tc>
        <w:tc>
          <w:tcPr>
            <w:tcW w:w="1283" w:type="dxa"/>
            <w:tcBorders>
              <w:top w:val="single" w:sz="4" w:space="0" w:color="auto"/>
              <w:left w:val="nil"/>
              <w:bottom w:val="single" w:sz="4" w:space="0" w:color="auto"/>
              <w:right w:val="nil"/>
            </w:tcBorders>
            <w:shd w:val="clear" w:color="auto" w:fill="auto"/>
            <w:noWrap/>
            <w:hideMark/>
          </w:tcPr>
          <w:p w14:paraId="41F3079C" w14:textId="77777777" w:rsidR="00704151" w:rsidRPr="00687637" w:rsidRDefault="00704151" w:rsidP="00924B64">
            <w:pPr>
              <w:jc w:val="center"/>
              <w:rPr>
                <w:b/>
                <w:sz w:val="18"/>
                <w:szCs w:val="18"/>
                <w:lang w:eastAsia="en-GB"/>
              </w:rPr>
            </w:pPr>
            <w:r w:rsidRPr="00687637">
              <w:rPr>
                <w:b/>
                <w:sz w:val="18"/>
                <w:szCs w:val="18"/>
                <w:lang w:eastAsia="en-GB"/>
              </w:rPr>
              <w:t>Time on page (days)</w:t>
            </w:r>
          </w:p>
        </w:tc>
        <w:tc>
          <w:tcPr>
            <w:tcW w:w="696" w:type="dxa"/>
            <w:tcBorders>
              <w:top w:val="single" w:sz="4" w:space="0" w:color="auto"/>
              <w:left w:val="nil"/>
              <w:bottom w:val="single" w:sz="4" w:space="0" w:color="auto"/>
              <w:right w:val="nil"/>
            </w:tcBorders>
            <w:shd w:val="clear" w:color="auto" w:fill="auto"/>
            <w:noWrap/>
            <w:hideMark/>
          </w:tcPr>
          <w:p w14:paraId="2377B4BB" w14:textId="77777777" w:rsidR="00704151" w:rsidRPr="00687637" w:rsidRDefault="00704151" w:rsidP="00924B64">
            <w:pPr>
              <w:jc w:val="center"/>
              <w:rPr>
                <w:b/>
                <w:sz w:val="18"/>
                <w:szCs w:val="18"/>
                <w:lang w:eastAsia="en-GB"/>
              </w:rPr>
            </w:pPr>
            <w:r w:rsidRPr="00687637">
              <w:rPr>
                <w:b/>
                <w:sz w:val="18"/>
                <w:szCs w:val="18"/>
                <w:lang w:eastAsia="en-GB"/>
              </w:rPr>
              <w:t>%</w:t>
            </w:r>
          </w:p>
        </w:tc>
      </w:tr>
      <w:tr w:rsidR="00704151" w:rsidRPr="00687637" w14:paraId="0146711A" w14:textId="77777777" w:rsidTr="00924B64">
        <w:trPr>
          <w:trHeight w:val="144"/>
        </w:trPr>
        <w:tc>
          <w:tcPr>
            <w:tcW w:w="696" w:type="dxa"/>
            <w:tcBorders>
              <w:top w:val="single" w:sz="4" w:space="0" w:color="auto"/>
              <w:left w:val="nil"/>
              <w:right w:val="nil"/>
            </w:tcBorders>
            <w:shd w:val="clear" w:color="auto" w:fill="auto"/>
            <w:noWrap/>
          </w:tcPr>
          <w:p w14:paraId="09D0B039" w14:textId="77777777" w:rsidR="00704151" w:rsidRPr="00687637" w:rsidRDefault="00704151" w:rsidP="00924B64">
            <w:pPr>
              <w:jc w:val="center"/>
              <w:rPr>
                <w:sz w:val="18"/>
                <w:szCs w:val="18"/>
                <w:lang w:eastAsia="en-GB"/>
              </w:rPr>
            </w:pPr>
          </w:p>
        </w:tc>
        <w:tc>
          <w:tcPr>
            <w:tcW w:w="4454" w:type="dxa"/>
            <w:tcBorders>
              <w:top w:val="single" w:sz="4" w:space="0" w:color="auto"/>
              <w:left w:val="nil"/>
              <w:right w:val="nil"/>
            </w:tcBorders>
            <w:shd w:val="clear" w:color="auto" w:fill="auto"/>
            <w:noWrap/>
          </w:tcPr>
          <w:p w14:paraId="260541BE" w14:textId="77777777" w:rsidR="00704151" w:rsidRPr="00687637" w:rsidRDefault="00704151" w:rsidP="00924B64">
            <w:pPr>
              <w:rPr>
                <w:sz w:val="18"/>
                <w:szCs w:val="18"/>
                <w:lang w:eastAsia="en-GB"/>
              </w:rPr>
            </w:pPr>
          </w:p>
        </w:tc>
        <w:tc>
          <w:tcPr>
            <w:tcW w:w="1201" w:type="dxa"/>
            <w:tcBorders>
              <w:top w:val="single" w:sz="4" w:space="0" w:color="auto"/>
              <w:left w:val="nil"/>
              <w:right w:val="nil"/>
            </w:tcBorders>
            <w:shd w:val="clear" w:color="auto" w:fill="auto"/>
            <w:noWrap/>
          </w:tcPr>
          <w:p w14:paraId="32B7D0FE" w14:textId="77777777" w:rsidR="00704151" w:rsidRPr="00687637" w:rsidRDefault="00704151" w:rsidP="00924B64">
            <w:pPr>
              <w:jc w:val="center"/>
              <w:rPr>
                <w:sz w:val="18"/>
                <w:szCs w:val="18"/>
                <w:lang w:eastAsia="en-GB"/>
              </w:rPr>
            </w:pPr>
          </w:p>
        </w:tc>
        <w:tc>
          <w:tcPr>
            <w:tcW w:w="696" w:type="dxa"/>
            <w:tcBorders>
              <w:top w:val="single" w:sz="4" w:space="0" w:color="auto"/>
              <w:left w:val="nil"/>
              <w:right w:val="nil"/>
            </w:tcBorders>
            <w:shd w:val="clear" w:color="auto" w:fill="auto"/>
            <w:noWrap/>
          </w:tcPr>
          <w:p w14:paraId="50D9783D" w14:textId="77777777" w:rsidR="00704151" w:rsidRPr="00687637" w:rsidRDefault="00704151" w:rsidP="00924B64">
            <w:pPr>
              <w:jc w:val="center"/>
              <w:rPr>
                <w:sz w:val="18"/>
                <w:szCs w:val="18"/>
                <w:lang w:eastAsia="en-GB"/>
              </w:rPr>
            </w:pPr>
          </w:p>
        </w:tc>
        <w:tc>
          <w:tcPr>
            <w:tcW w:w="1283" w:type="dxa"/>
            <w:tcBorders>
              <w:top w:val="single" w:sz="4" w:space="0" w:color="auto"/>
              <w:left w:val="nil"/>
              <w:right w:val="nil"/>
            </w:tcBorders>
            <w:shd w:val="clear" w:color="auto" w:fill="auto"/>
            <w:noWrap/>
          </w:tcPr>
          <w:p w14:paraId="41E69F71" w14:textId="77777777" w:rsidR="00704151" w:rsidRPr="00687637" w:rsidRDefault="00704151" w:rsidP="00924B64">
            <w:pPr>
              <w:jc w:val="center"/>
              <w:rPr>
                <w:sz w:val="18"/>
                <w:szCs w:val="18"/>
                <w:lang w:eastAsia="en-GB"/>
              </w:rPr>
            </w:pPr>
          </w:p>
        </w:tc>
        <w:tc>
          <w:tcPr>
            <w:tcW w:w="696" w:type="dxa"/>
            <w:tcBorders>
              <w:top w:val="single" w:sz="4" w:space="0" w:color="auto"/>
              <w:left w:val="nil"/>
              <w:right w:val="nil"/>
            </w:tcBorders>
            <w:shd w:val="clear" w:color="auto" w:fill="auto"/>
            <w:noWrap/>
          </w:tcPr>
          <w:p w14:paraId="477F7F60" w14:textId="77777777" w:rsidR="00704151" w:rsidRPr="00687637" w:rsidRDefault="00704151" w:rsidP="00924B64">
            <w:pPr>
              <w:jc w:val="center"/>
              <w:rPr>
                <w:sz w:val="18"/>
                <w:szCs w:val="18"/>
                <w:lang w:eastAsia="en-GB"/>
              </w:rPr>
            </w:pPr>
          </w:p>
        </w:tc>
      </w:tr>
      <w:tr w:rsidR="00704151" w:rsidRPr="00687637" w14:paraId="2F032566" w14:textId="77777777" w:rsidTr="00924B64">
        <w:trPr>
          <w:trHeight w:val="300"/>
        </w:trPr>
        <w:tc>
          <w:tcPr>
            <w:tcW w:w="696" w:type="dxa"/>
            <w:tcBorders>
              <w:left w:val="nil"/>
              <w:right w:val="nil"/>
            </w:tcBorders>
            <w:shd w:val="clear" w:color="auto" w:fill="auto"/>
            <w:noWrap/>
          </w:tcPr>
          <w:p w14:paraId="066DA327" w14:textId="77777777" w:rsidR="00704151" w:rsidRPr="00687637" w:rsidRDefault="00704151" w:rsidP="00924B64">
            <w:pPr>
              <w:jc w:val="center"/>
              <w:rPr>
                <w:sz w:val="18"/>
                <w:szCs w:val="18"/>
                <w:lang w:eastAsia="en-GB"/>
              </w:rPr>
            </w:pPr>
          </w:p>
        </w:tc>
        <w:tc>
          <w:tcPr>
            <w:tcW w:w="4454" w:type="dxa"/>
            <w:tcBorders>
              <w:left w:val="nil"/>
              <w:right w:val="nil"/>
            </w:tcBorders>
            <w:shd w:val="clear" w:color="auto" w:fill="auto"/>
            <w:noWrap/>
          </w:tcPr>
          <w:p w14:paraId="3718C531" w14:textId="77777777" w:rsidR="00704151" w:rsidRPr="00687637" w:rsidRDefault="00704151" w:rsidP="00924B64">
            <w:pPr>
              <w:rPr>
                <w:sz w:val="18"/>
                <w:szCs w:val="18"/>
                <w:lang w:eastAsia="en-GB"/>
              </w:rPr>
            </w:pPr>
            <w:r w:rsidRPr="00687637">
              <w:rPr>
                <w:sz w:val="18"/>
                <w:szCs w:val="18"/>
                <w:lang w:eastAsia="en-GB"/>
              </w:rPr>
              <w:t>COUNTRY ITEMS</w:t>
            </w:r>
          </w:p>
        </w:tc>
        <w:tc>
          <w:tcPr>
            <w:tcW w:w="1201" w:type="dxa"/>
            <w:tcBorders>
              <w:left w:val="nil"/>
              <w:right w:val="nil"/>
            </w:tcBorders>
            <w:shd w:val="clear" w:color="auto" w:fill="auto"/>
            <w:noWrap/>
          </w:tcPr>
          <w:p w14:paraId="4C51CCB6" w14:textId="77777777" w:rsidR="00704151" w:rsidRPr="00687637" w:rsidRDefault="00704151" w:rsidP="00924B64">
            <w:pPr>
              <w:jc w:val="center"/>
              <w:rPr>
                <w:sz w:val="18"/>
                <w:szCs w:val="18"/>
                <w:lang w:eastAsia="en-GB"/>
              </w:rPr>
            </w:pPr>
          </w:p>
        </w:tc>
        <w:tc>
          <w:tcPr>
            <w:tcW w:w="696" w:type="dxa"/>
            <w:tcBorders>
              <w:left w:val="nil"/>
              <w:right w:val="nil"/>
            </w:tcBorders>
            <w:shd w:val="clear" w:color="auto" w:fill="auto"/>
            <w:noWrap/>
          </w:tcPr>
          <w:p w14:paraId="79274FE2" w14:textId="77777777" w:rsidR="00704151" w:rsidRPr="00687637" w:rsidRDefault="00704151" w:rsidP="00924B64">
            <w:pPr>
              <w:jc w:val="center"/>
              <w:rPr>
                <w:sz w:val="18"/>
                <w:szCs w:val="18"/>
                <w:lang w:eastAsia="en-GB"/>
              </w:rPr>
            </w:pPr>
          </w:p>
        </w:tc>
        <w:tc>
          <w:tcPr>
            <w:tcW w:w="1283" w:type="dxa"/>
            <w:tcBorders>
              <w:left w:val="nil"/>
              <w:right w:val="nil"/>
            </w:tcBorders>
            <w:shd w:val="clear" w:color="auto" w:fill="auto"/>
            <w:noWrap/>
          </w:tcPr>
          <w:p w14:paraId="74309546" w14:textId="77777777" w:rsidR="00704151" w:rsidRPr="00687637" w:rsidRDefault="00704151" w:rsidP="00924B64">
            <w:pPr>
              <w:jc w:val="center"/>
              <w:rPr>
                <w:sz w:val="18"/>
                <w:szCs w:val="18"/>
                <w:lang w:eastAsia="en-GB"/>
              </w:rPr>
            </w:pPr>
          </w:p>
        </w:tc>
        <w:tc>
          <w:tcPr>
            <w:tcW w:w="696" w:type="dxa"/>
            <w:tcBorders>
              <w:left w:val="nil"/>
              <w:right w:val="nil"/>
            </w:tcBorders>
            <w:shd w:val="clear" w:color="auto" w:fill="auto"/>
            <w:noWrap/>
          </w:tcPr>
          <w:p w14:paraId="06DB8828" w14:textId="77777777" w:rsidR="00704151" w:rsidRPr="00687637" w:rsidRDefault="00704151" w:rsidP="00924B64">
            <w:pPr>
              <w:jc w:val="center"/>
              <w:rPr>
                <w:sz w:val="18"/>
                <w:szCs w:val="18"/>
                <w:lang w:eastAsia="en-GB"/>
              </w:rPr>
            </w:pPr>
          </w:p>
        </w:tc>
      </w:tr>
      <w:tr w:rsidR="00704151" w:rsidRPr="00687637" w14:paraId="0E8699E3" w14:textId="77777777" w:rsidTr="00924B64">
        <w:trPr>
          <w:trHeight w:val="300"/>
        </w:trPr>
        <w:tc>
          <w:tcPr>
            <w:tcW w:w="696" w:type="dxa"/>
            <w:tcBorders>
              <w:left w:val="nil"/>
              <w:bottom w:val="nil"/>
              <w:right w:val="nil"/>
            </w:tcBorders>
            <w:shd w:val="clear" w:color="auto" w:fill="auto"/>
            <w:noWrap/>
            <w:hideMark/>
          </w:tcPr>
          <w:p w14:paraId="26BE7CBE" w14:textId="77777777" w:rsidR="00704151" w:rsidRPr="00687637" w:rsidRDefault="00704151" w:rsidP="00924B64">
            <w:pPr>
              <w:jc w:val="center"/>
              <w:rPr>
                <w:sz w:val="18"/>
                <w:szCs w:val="18"/>
                <w:lang w:eastAsia="en-GB"/>
              </w:rPr>
            </w:pPr>
            <w:r w:rsidRPr="00687637">
              <w:rPr>
                <w:sz w:val="18"/>
                <w:szCs w:val="18"/>
                <w:lang w:eastAsia="en-GB"/>
              </w:rPr>
              <w:t>1</w:t>
            </w:r>
          </w:p>
        </w:tc>
        <w:tc>
          <w:tcPr>
            <w:tcW w:w="4454" w:type="dxa"/>
            <w:tcBorders>
              <w:left w:val="nil"/>
              <w:bottom w:val="nil"/>
              <w:right w:val="nil"/>
            </w:tcBorders>
            <w:shd w:val="clear" w:color="auto" w:fill="auto"/>
            <w:noWrap/>
            <w:hideMark/>
          </w:tcPr>
          <w:p w14:paraId="74C451D2" w14:textId="77777777" w:rsidR="00704151" w:rsidRPr="00687637" w:rsidRDefault="00704151" w:rsidP="00924B64">
            <w:pPr>
              <w:rPr>
                <w:sz w:val="18"/>
                <w:szCs w:val="18"/>
                <w:lang w:eastAsia="en-GB"/>
              </w:rPr>
            </w:pPr>
            <w:r w:rsidRPr="00687637">
              <w:rPr>
                <w:sz w:val="18"/>
                <w:szCs w:val="18"/>
                <w:lang w:eastAsia="en-GB"/>
              </w:rPr>
              <w:t>Thailand</w:t>
            </w:r>
          </w:p>
        </w:tc>
        <w:tc>
          <w:tcPr>
            <w:tcW w:w="1201" w:type="dxa"/>
            <w:tcBorders>
              <w:left w:val="nil"/>
              <w:bottom w:val="nil"/>
              <w:right w:val="nil"/>
            </w:tcBorders>
            <w:shd w:val="clear" w:color="auto" w:fill="auto"/>
            <w:noWrap/>
            <w:hideMark/>
          </w:tcPr>
          <w:p w14:paraId="2A83EC76" w14:textId="77777777" w:rsidR="00704151" w:rsidRPr="00687637" w:rsidRDefault="00704151" w:rsidP="00924B64">
            <w:pPr>
              <w:jc w:val="center"/>
              <w:rPr>
                <w:sz w:val="18"/>
                <w:szCs w:val="18"/>
                <w:lang w:eastAsia="en-GB"/>
              </w:rPr>
            </w:pPr>
            <w:r w:rsidRPr="00687637">
              <w:rPr>
                <w:sz w:val="18"/>
                <w:szCs w:val="18"/>
                <w:lang w:eastAsia="en-GB"/>
              </w:rPr>
              <w:t>84,323</w:t>
            </w:r>
          </w:p>
        </w:tc>
        <w:tc>
          <w:tcPr>
            <w:tcW w:w="696" w:type="dxa"/>
            <w:tcBorders>
              <w:left w:val="nil"/>
              <w:bottom w:val="nil"/>
              <w:right w:val="nil"/>
            </w:tcBorders>
            <w:shd w:val="clear" w:color="auto" w:fill="auto"/>
            <w:noWrap/>
            <w:hideMark/>
          </w:tcPr>
          <w:p w14:paraId="2213386C" w14:textId="77777777" w:rsidR="00704151" w:rsidRPr="00687637" w:rsidRDefault="00704151" w:rsidP="00924B64">
            <w:pPr>
              <w:jc w:val="center"/>
              <w:rPr>
                <w:sz w:val="18"/>
                <w:szCs w:val="18"/>
                <w:lang w:eastAsia="en-GB"/>
              </w:rPr>
            </w:pPr>
            <w:r w:rsidRPr="00687637">
              <w:rPr>
                <w:sz w:val="18"/>
                <w:szCs w:val="18"/>
                <w:lang w:eastAsia="en-GB"/>
              </w:rPr>
              <w:t>6.9</w:t>
            </w:r>
          </w:p>
        </w:tc>
        <w:tc>
          <w:tcPr>
            <w:tcW w:w="1283" w:type="dxa"/>
            <w:tcBorders>
              <w:left w:val="nil"/>
              <w:bottom w:val="nil"/>
              <w:right w:val="nil"/>
            </w:tcBorders>
            <w:shd w:val="clear" w:color="auto" w:fill="auto"/>
            <w:noWrap/>
            <w:hideMark/>
          </w:tcPr>
          <w:p w14:paraId="56683AA2" w14:textId="77777777" w:rsidR="00704151" w:rsidRPr="00687637" w:rsidRDefault="00704151" w:rsidP="00924B64">
            <w:pPr>
              <w:jc w:val="center"/>
              <w:rPr>
                <w:sz w:val="18"/>
                <w:szCs w:val="18"/>
                <w:lang w:eastAsia="en-GB"/>
              </w:rPr>
            </w:pPr>
            <w:r w:rsidRPr="00687637">
              <w:rPr>
                <w:sz w:val="18"/>
                <w:szCs w:val="18"/>
                <w:lang w:eastAsia="en-GB"/>
              </w:rPr>
              <w:t>276</w:t>
            </w:r>
          </w:p>
        </w:tc>
        <w:tc>
          <w:tcPr>
            <w:tcW w:w="696" w:type="dxa"/>
            <w:tcBorders>
              <w:left w:val="nil"/>
              <w:bottom w:val="nil"/>
              <w:right w:val="nil"/>
            </w:tcBorders>
            <w:shd w:val="clear" w:color="auto" w:fill="auto"/>
            <w:noWrap/>
            <w:hideMark/>
          </w:tcPr>
          <w:p w14:paraId="779E49EA" w14:textId="77777777" w:rsidR="00704151" w:rsidRPr="00687637" w:rsidRDefault="00704151" w:rsidP="00924B64">
            <w:pPr>
              <w:jc w:val="center"/>
              <w:rPr>
                <w:sz w:val="18"/>
                <w:szCs w:val="18"/>
                <w:lang w:eastAsia="en-GB"/>
              </w:rPr>
            </w:pPr>
            <w:r w:rsidRPr="00687637">
              <w:rPr>
                <w:sz w:val="18"/>
                <w:szCs w:val="18"/>
                <w:lang w:eastAsia="en-GB"/>
              </w:rPr>
              <w:t>7.7</w:t>
            </w:r>
          </w:p>
        </w:tc>
      </w:tr>
      <w:tr w:rsidR="00704151" w:rsidRPr="00687637" w14:paraId="32554312" w14:textId="77777777" w:rsidTr="00924B64">
        <w:trPr>
          <w:trHeight w:val="300"/>
        </w:trPr>
        <w:tc>
          <w:tcPr>
            <w:tcW w:w="696" w:type="dxa"/>
            <w:tcBorders>
              <w:top w:val="nil"/>
              <w:left w:val="nil"/>
              <w:bottom w:val="nil"/>
              <w:right w:val="nil"/>
            </w:tcBorders>
            <w:shd w:val="clear" w:color="auto" w:fill="auto"/>
            <w:noWrap/>
            <w:hideMark/>
          </w:tcPr>
          <w:p w14:paraId="5CCA40F3" w14:textId="77777777" w:rsidR="00704151" w:rsidRPr="00687637" w:rsidRDefault="00704151" w:rsidP="00924B64">
            <w:pPr>
              <w:jc w:val="center"/>
              <w:rPr>
                <w:sz w:val="18"/>
                <w:szCs w:val="18"/>
                <w:lang w:eastAsia="en-GB"/>
              </w:rPr>
            </w:pPr>
            <w:r w:rsidRPr="00687637">
              <w:rPr>
                <w:sz w:val="18"/>
                <w:szCs w:val="18"/>
                <w:lang w:eastAsia="en-GB"/>
              </w:rPr>
              <w:t>2</w:t>
            </w:r>
          </w:p>
        </w:tc>
        <w:tc>
          <w:tcPr>
            <w:tcW w:w="4454" w:type="dxa"/>
            <w:tcBorders>
              <w:top w:val="nil"/>
              <w:left w:val="nil"/>
              <w:bottom w:val="nil"/>
              <w:right w:val="nil"/>
            </w:tcBorders>
            <w:shd w:val="clear" w:color="auto" w:fill="auto"/>
            <w:noWrap/>
            <w:hideMark/>
          </w:tcPr>
          <w:p w14:paraId="562A9FEA" w14:textId="77777777" w:rsidR="00704151" w:rsidRPr="00687637" w:rsidRDefault="00704151" w:rsidP="00924B64">
            <w:pPr>
              <w:rPr>
                <w:sz w:val="18"/>
                <w:szCs w:val="18"/>
                <w:lang w:eastAsia="en-GB"/>
              </w:rPr>
            </w:pPr>
            <w:r w:rsidRPr="00687637">
              <w:rPr>
                <w:sz w:val="18"/>
                <w:szCs w:val="18"/>
                <w:lang w:eastAsia="en-GB"/>
              </w:rPr>
              <w:t>India</w:t>
            </w:r>
          </w:p>
        </w:tc>
        <w:tc>
          <w:tcPr>
            <w:tcW w:w="1201" w:type="dxa"/>
            <w:tcBorders>
              <w:top w:val="nil"/>
              <w:left w:val="nil"/>
              <w:bottom w:val="nil"/>
              <w:right w:val="nil"/>
            </w:tcBorders>
            <w:shd w:val="clear" w:color="auto" w:fill="auto"/>
            <w:noWrap/>
            <w:hideMark/>
          </w:tcPr>
          <w:p w14:paraId="3C45B497" w14:textId="77777777" w:rsidR="00704151" w:rsidRPr="00687637" w:rsidRDefault="00704151" w:rsidP="00924B64">
            <w:pPr>
              <w:jc w:val="center"/>
              <w:rPr>
                <w:sz w:val="18"/>
                <w:szCs w:val="18"/>
                <w:lang w:eastAsia="en-GB"/>
              </w:rPr>
            </w:pPr>
            <w:r w:rsidRPr="00687637">
              <w:rPr>
                <w:sz w:val="18"/>
                <w:szCs w:val="18"/>
                <w:lang w:eastAsia="en-GB"/>
              </w:rPr>
              <w:t>73,462</w:t>
            </w:r>
          </w:p>
        </w:tc>
        <w:tc>
          <w:tcPr>
            <w:tcW w:w="696" w:type="dxa"/>
            <w:tcBorders>
              <w:top w:val="nil"/>
              <w:left w:val="nil"/>
              <w:bottom w:val="nil"/>
              <w:right w:val="nil"/>
            </w:tcBorders>
            <w:shd w:val="clear" w:color="auto" w:fill="auto"/>
            <w:noWrap/>
            <w:hideMark/>
          </w:tcPr>
          <w:p w14:paraId="592DE3DD" w14:textId="77777777" w:rsidR="00704151" w:rsidRPr="00687637" w:rsidRDefault="00704151" w:rsidP="00924B64">
            <w:pPr>
              <w:jc w:val="center"/>
              <w:rPr>
                <w:sz w:val="18"/>
                <w:szCs w:val="18"/>
                <w:lang w:eastAsia="en-GB"/>
              </w:rPr>
            </w:pPr>
            <w:r w:rsidRPr="00687637">
              <w:rPr>
                <w:sz w:val="18"/>
                <w:szCs w:val="18"/>
                <w:lang w:eastAsia="en-GB"/>
              </w:rPr>
              <w:t>6</w:t>
            </w:r>
          </w:p>
        </w:tc>
        <w:tc>
          <w:tcPr>
            <w:tcW w:w="1283" w:type="dxa"/>
            <w:tcBorders>
              <w:top w:val="nil"/>
              <w:left w:val="nil"/>
              <w:bottom w:val="nil"/>
              <w:right w:val="nil"/>
            </w:tcBorders>
            <w:shd w:val="clear" w:color="auto" w:fill="auto"/>
            <w:noWrap/>
            <w:hideMark/>
          </w:tcPr>
          <w:p w14:paraId="508B7B69" w14:textId="77777777" w:rsidR="00704151" w:rsidRPr="00687637" w:rsidRDefault="00704151" w:rsidP="00924B64">
            <w:pPr>
              <w:jc w:val="center"/>
              <w:rPr>
                <w:sz w:val="18"/>
                <w:szCs w:val="18"/>
                <w:lang w:eastAsia="en-GB"/>
              </w:rPr>
            </w:pPr>
            <w:r w:rsidRPr="00687637">
              <w:rPr>
                <w:sz w:val="18"/>
                <w:szCs w:val="18"/>
                <w:lang w:eastAsia="en-GB"/>
              </w:rPr>
              <w:t>278</w:t>
            </w:r>
          </w:p>
        </w:tc>
        <w:tc>
          <w:tcPr>
            <w:tcW w:w="696" w:type="dxa"/>
            <w:tcBorders>
              <w:top w:val="nil"/>
              <w:left w:val="nil"/>
              <w:bottom w:val="nil"/>
              <w:right w:val="nil"/>
            </w:tcBorders>
            <w:shd w:val="clear" w:color="auto" w:fill="auto"/>
            <w:noWrap/>
            <w:hideMark/>
          </w:tcPr>
          <w:p w14:paraId="120A5B17" w14:textId="77777777" w:rsidR="00704151" w:rsidRPr="00687637" w:rsidRDefault="00704151" w:rsidP="00924B64">
            <w:pPr>
              <w:jc w:val="center"/>
              <w:rPr>
                <w:sz w:val="18"/>
                <w:szCs w:val="18"/>
                <w:lang w:eastAsia="en-GB"/>
              </w:rPr>
            </w:pPr>
            <w:r w:rsidRPr="00687637">
              <w:rPr>
                <w:sz w:val="18"/>
                <w:szCs w:val="18"/>
                <w:lang w:eastAsia="en-GB"/>
              </w:rPr>
              <w:t>7.8</w:t>
            </w:r>
          </w:p>
        </w:tc>
      </w:tr>
      <w:tr w:rsidR="00704151" w:rsidRPr="00687637" w14:paraId="035D9546" w14:textId="77777777" w:rsidTr="00924B64">
        <w:trPr>
          <w:trHeight w:val="300"/>
        </w:trPr>
        <w:tc>
          <w:tcPr>
            <w:tcW w:w="696" w:type="dxa"/>
            <w:tcBorders>
              <w:top w:val="nil"/>
              <w:left w:val="nil"/>
              <w:bottom w:val="nil"/>
              <w:right w:val="nil"/>
            </w:tcBorders>
            <w:shd w:val="clear" w:color="auto" w:fill="auto"/>
            <w:noWrap/>
            <w:hideMark/>
          </w:tcPr>
          <w:p w14:paraId="0BFAC87B" w14:textId="77777777" w:rsidR="00704151" w:rsidRPr="00687637" w:rsidRDefault="00704151" w:rsidP="00924B64">
            <w:pPr>
              <w:jc w:val="center"/>
              <w:rPr>
                <w:sz w:val="18"/>
                <w:szCs w:val="18"/>
                <w:lang w:eastAsia="en-GB"/>
              </w:rPr>
            </w:pPr>
            <w:r w:rsidRPr="00687637">
              <w:rPr>
                <w:sz w:val="18"/>
                <w:szCs w:val="18"/>
                <w:lang w:eastAsia="en-GB"/>
              </w:rPr>
              <w:t>3</w:t>
            </w:r>
          </w:p>
        </w:tc>
        <w:tc>
          <w:tcPr>
            <w:tcW w:w="4454" w:type="dxa"/>
            <w:tcBorders>
              <w:top w:val="nil"/>
              <w:left w:val="nil"/>
              <w:bottom w:val="nil"/>
              <w:right w:val="nil"/>
            </w:tcBorders>
            <w:shd w:val="clear" w:color="auto" w:fill="auto"/>
            <w:noWrap/>
            <w:hideMark/>
          </w:tcPr>
          <w:p w14:paraId="2EE9E057" w14:textId="77777777" w:rsidR="00704151" w:rsidRPr="00687637" w:rsidRDefault="00704151" w:rsidP="00924B64">
            <w:pPr>
              <w:rPr>
                <w:sz w:val="18"/>
                <w:szCs w:val="18"/>
                <w:lang w:eastAsia="en-GB"/>
              </w:rPr>
            </w:pPr>
            <w:r w:rsidRPr="00687637">
              <w:rPr>
                <w:sz w:val="18"/>
                <w:szCs w:val="18"/>
                <w:lang w:eastAsia="en-GB"/>
              </w:rPr>
              <w:t>Mexico</w:t>
            </w:r>
          </w:p>
        </w:tc>
        <w:tc>
          <w:tcPr>
            <w:tcW w:w="1201" w:type="dxa"/>
            <w:tcBorders>
              <w:top w:val="nil"/>
              <w:left w:val="nil"/>
              <w:bottom w:val="nil"/>
              <w:right w:val="nil"/>
            </w:tcBorders>
            <w:shd w:val="clear" w:color="auto" w:fill="auto"/>
            <w:noWrap/>
            <w:hideMark/>
          </w:tcPr>
          <w:p w14:paraId="5D503249" w14:textId="77777777" w:rsidR="00704151" w:rsidRPr="00687637" w:rsidRDefault="00704151" w:rsidP="00924B64">
            <w:pPr>
              <w:jc w:val="center"/>
              <w:rPr>
                <w:sz w:val="18"/>
                <w:szCs w:val="18"/>
                <w:lang w:eastAsia="en-GB"/>
              </w:rPr>
            </w:pPr>
            <w:r w:rsidRPr="00687637">
              <w:rPr>
                <w:sz w:val="18"/>
                <w:szCs w:val="18"/>
                <w:lang w:eastAsia="en-GB"/>
              </w:rPr>
              <w:t>55,877</w:t>
            </w:r>
          </w:p>
        </w:tc>
        <w:tc>
          <w:tcPr>
            <w:tcW w:w="696" w:type="dxa"/>
            <w:tcBorders>
              <w:top w:val="nil"/>
              <w:left w:val="nil"/>
              <w:bottom w:val="nil"/>
              <w:right w:val="nil"/>
            </w:tcBorders>
            <w:shd w:val="clear" w:color="auto" w:fill="auto"/>
            <w:noWrap/>
            <w:hideMark/>
          </w:tcPr>
          <w:p w14:paraId="68A5FBB3" w14:textId="77777777" w:rsidR="00704151" w:rsidRPr="00687637" w:rsidRDefault="00704151" w:rsidP="00924B64">
            <w:pPr>
              <w:jc w:val="center"/>
              <w:rPr>
                <w:sz w:val="18"/>
                <w:szCs w:val="18"/>
                <w:lang w:eastAsia="en-GB"/>
              </w:rPr>
            </w:pPr>
            <w:r w:rsidRPr="00687637">
              <w:rPr>
                <w:sz w:val="18"/>
                <w:szCs w:val="18"/>
                <w:lang w:eastAsia="en-GB"/>
              </w:rPr>
              <w:t>4.6</w:t>
            </w:r>
          </w:p>
        </w:tc>
        <w:tc>
          <w:tcPr>
            <w:tcW w:w="1283" w:type="dxa"/>
            <w:tcBorders>
              <w:top w:val="nil"/>
              <w:left w:val="nil"/>
              <w:bottom w:val="nil"/>
              <w:right w:val="nil"/>
            </w:tcBorders>
            <w:shd w:val="clear" w:color="auto" w:fill="auto"/>
            <w:noWrap/>
            <w:hideMark/>
          </w:tcPr>
          <w:p w14:paraId="42B5F26C" w14:textId="77777777" w:rsidR="00704151" w:rsidRPr="00687637" w:rsidRDefault="00704151" w:rsidP="00924B64">
            <w:pPr>
              <w:jc w:val="center"/>
              <w:rPr>
                <w:sz w:val="18"/>
                <w:szCs w:val="18"/>
                <w:lang w:eastAsia="en-GB"/>
              </w:rPr>
            </w:pPr>
            <w:r w:rsidRPr="00687637">
              <w:rPr>
                <w:sz w:val="18"/>
                <w:szCs w:val="18"/>
                <w:lang w:eastAsia="en-GB"/>
              </w:rPr>
              <w:t>178</w:t>
            </w:r>
          </w:p>
        </w:tc>
        <w:tc>
          <w:tcPr>
            <w:tcW w:w="696" w:type="dxa"/>
            <w:tcBorders>
              <w:top w:val="nil"/>
              <w:left w:val="nil"/>
              <w:bottom w:val="nil"/>
              <w:right w:val="nil"/>
            </w:tcBorders>
            <w:shd w:val="clear" w:color="auto" w:fill="auto"/>
            <w:noWrap/>
            <w:hideMark/>
          </w:tcPr>
          <w:p w14:paraId="5921DE64" w14:textId="77777777" w:rsidR="00704151" w:rsidRPr="00687637" w:rsidRDefault="00704151" w:rsidP="00924B64">
            <w:pPr>
              <w:jc w:val="center"/>
              <w:rPr>
                <w:sz w:val="18"/>
                <w:szCs w:val="18"/>
                <w:lang w:eastAsia="en-GB"/>
              </w:rPr>
            </w:pPr>
            <w:r w:rsidRPr="00687637">
              <w:rPr>
                <w:sz w:val="18"/>
                <w:szCs w:val="18"/>
                <w:lang w:eastAsia="en-GB"/>
              </w:rPr>
              <w:t>5</w:t>
            </w:r>
          </w:p>
        </w:tc>
      </w:tr>
      <w:tr w:rsidR="00704151" w:rsidRPr="00687637" w14:paraId="2BEFEB2D" w14:textId="77777777" w:rsidTr="00924B64">
        <w:trPr>
          <w:trHeight w:val="300"/>
        </w:trPr>
        <w:tc>
          <w:tcPr>
            <w:tcW w:w="696" w:type="dxa"/>
            <w:tcBorders>
              <w:top w:val="nil"/>
              <w:left w:val="nil"/>
              <w:bottom w:val="nil"/>
              <w:right w:val="nil"/>
            </w:tcBorders>
            <w:shd w:val="clear" w:color="auto" w:fill="auto"/>
            <w:noWrap/>
            <w:hideMark/>
          </w:tcPr>
          <w:p w14:paraId="383443F8" w14:textId="77777777" w:rsidR="00704151" w:rsidRPr="00687637" w:rsidRDefault="00704151" w:rsidP="00924B64">
            <w:pPr>
              <w:jc w:val="center"/>
              <w:rPr>
                <w:sz w:val="18"/>
                <w:szCs w:val="18"/>
                <w:lang w:eastAsia="en-GB"/>
              </w:rPr>
            </w:pPr>
            <w:r w:rsidRPr="00687637">
              <w:rPr>
                <w:sz w:val="18"/>
                <w:szCs w:val="18"/>
                <w:lang w:eastAsia="en-GB"/>
              </w:rPr>
              <w:t>4</w:t>
            </w:r>
          </w:p>
        </w:tc>
        <w:tc>
          <w:tcPr>
            <w:tcW w:w="4454" w:type="dxa"/>
            <w:tcBorders>
              <w:top w:val="nil"/>
              <w:left w:val="nil"/>
              <w:bottom w:val="nil"/>
              <w:right w:val="nil"/>
            </w:tcBorders>
            <w:shd w:val="clear" w:color="auto" w:fill="auto"/>
            <w:noWrap/>
            <w:hideMark/>
          </w:tcPr>
          <w:p w14:paraId="48205B02" w14:textId="77777777" w:rsidR="00704151" w:rsidRPr="00687637" w:rsidRDefault="00704151" w:rsidP="00924B64">
            <w:pPr>
              <w:rPr>
                <w:sz w:val="18"/>
                <w:szCs w:val="18"/>
                <w:lang w:eastAsia="en-GB"/>
              </w:rPr>
            </w:pPr>
            <w:r w:rsidRPr="00687637">
              <w:rPr>
                <w:sz w:val="18"/>
                <w:szCs w:val="18"/>
                <w:lang w:eastAsia="en-GB"/>
              </w:rPr>
              <w:t>Vietnam</w:t>
            </w:r>
          </w:p>
        </w:tc>
        <w:tc>
          <w:tcPr>
            <w:tcW w:w="1201" w:type="dxa"/>
            <w:tcBorders>
              <w:top w:val="nil"/>
              <w:left w:val="nil"/>
              <w:bottom w:val="nil"/>
              <w:right w:val="nil"/>
            </w:tcBorders>
            <w:shd w:val="clear" w:color="auto" w:fill="auto"/>
            <w:noWrap/>
            <w:hideMark/>
          </w:tcPr>
          <w:p w14:paraId="1C50345F" w14:textId="77777777" w:rsidR="00704151" w:rsidRPr="00687637" w:rsidRDefault="00704151" w:rsidP="00924B64">
            <w:pPr>
              <w:jc w:val="center"/>
              <w:rPr>
                <w:sz w:val="18"/>
                <w:szCs w:val="18"/>
                <w:lang w:eastAsia="en-GB"/>
              </w:rPr>
            </w:pPr>
            <w:r w:rsidRPr="00687637">
              <w:rPr>
                <w:sz w:val="18"/>
                <w:szCs w:val="18"/>
                <w:lang w:eastAsia="en-GB"/>
              </w:rPr>
              <w:t>41,847</w:t>
            </w:r>
          </w:p>
        </w:tc>
        <w:tc>
          <w:tcPr>
            <w:tcW w:w="696" w:type="dxa"/>
            <w:tcBorders>
              <w:top w:val="nil"/>
              <w:left w:val="nil"/>
              <w:bottom w:val="nil"/>
              <w:right w:val="nil"/>
            </w:tcBorders>
            <w:shd w:val="clear" w:color="auto" w:fill="auto"/>
            <w:noWrap/>
            <w:hideMark/>
          </w:tcPr>
          <w:p w14:paraId="4BF5CF6B" w14:textId="77777777" w:rsidR="00704151" w:rsidRPr="00687637" w:rsidRDefault="00704151" w:rsidP="00924B64">
            <w:pPr>
              <w:jc w:val="center"/>
              <w:rPr>
                <w:sz w:val="18"/>
                <w:szCs w:val="18"/>
                <w:lang w:eastAsia="en-GB"/>
              </w:rPr>
            </w:pPr>
            <w:r w:rsidRPr="00687637">
              <w:rPr>
                <w:sz w:val="18"/>
                <w:szCs w:val="18"/>
                <w:lang w:eastAsia="en-GB"/>
              </w:rPr>
              <w:t>3.4</w:t>
            </w:r>
          </w:p>
        </w:tc>
        <w:tc>
          <w:tcPr>
            <w:tcW w:w="1283" w:type="dxa"/>
            <w:tcBorders>
              <w:top w:val="nil"/>
              <w:left w:val="nil"/>
              <w:bottom w:val="nil"/>
              <w:right w:val="nil"/>
            </w:tcBorders>
            <w:shd w:val="clear" w:color="auto" w:fill="auto"/>
            <w:noWrap/>
            <w:hideMark/>
          </w:tcPr>
          <w:p w14:paraId="30230A79" w14:textId="77777777" w:rsidR="00704151" w:rsidRPr="00687637" w:rsidRDefault="00704151" w:rsidP="00924B64">
            <w:pPr>
              <w:jc w:val="center"/>
              <w:rPr>
                <w:sz w:val="18"/>
                <w:szCs w:val="18"/>
                <w:lang w:eastAsia="en-GB"/>
              </w:rPr>
            </w:pPr>
            <w:r w:rsidRPr="00687637">
              <w:rPr>
                <w:sz w:val="18"/>
                <w:szCs w:val="18"/>
                <w:lang w:eastAsia="en-GB"/>
              </w:rPr>
              <w:t>120</w:t>
            </w:r>
          </w:p>
        </w:tc>
        <w:tc>
          <w:tcPr>
            <w:tcW w:w="696" w:type="dxa"/>
            <w:tcBorders>
              <w:top w:val="nil"/>
              <w:left w:val="nil"/>
              <w:bottom w:val="nil"/>
              <w:right w:val="nil"/>
            </w:tcBorders>
            <w:shd w:val="clear" w:color="auto" w:fill="auto"/>
            <w:noWrap/>
            <w:hideMark/>
          </w:tcPr>
          <w:p w14:paraId="4B558C30" w14:textId="77777777" w:rsidR="00704151" w:rsidRPr="00687637" w:rsidRDefault="00704151" w:rsidP="00924B64">
            <w:pPr>
              <w:jc w:val="center"/>
              <w:rPr>
                <w:sz w:val="18"/>
                <w:szCs w:val="18"/>
                <w:lang w:eastAsia="en-GB"/>
              </w:rPr>
            </w:pPr>
            <w:r w:rsidRPr="00687637">
              <w:rPr>
                <w:sz w:val="18"/>
                <w:szCs w:val="18"/>
                <w:lang w:eastAsia="en-GB"/>
              </w:rPr>
              <w:t>3.3</w:t>
            </w:r>
          </w:p>
        </w:tc>
      </w:tr>
      <w:tr w:rsidR="00704151" w:rsidRPr="00687637" w14:paraId="3EAC2F3B" w14:textId="77777777" w:rsidTr="00924B64">
        <w:trPr>
          <w:trHeight w:val="300"/>
        </w:trPr>
        <w:tc>
          <w:tcPr>
            <w:tcW w:w="696" w:type="dxa"/>
            <w:tcBorders>
              <w:top w:val="nil"/>
              <w:left w:val="nil"/>
              <w:bottom w:val="nil"/>
              <w:right w:val="nil"/>
            </w:tcBorders>
            <w:shd w:val="clear" w:color="auto" w:fill="auto"/>
            <w:noWrap/>
            <w:hideMark/>
          </w:tcPr>
          <w:p w14:paraId="2E1DD9BE" w14:textId="77777777" w:rsidR="00704151" w:rsidRPr="00687637" w:rsidRDefault="00704151" w:rsidP="00924B64">
            <w:pPr>
              <w:jc w:val="center"/>
              <w:rPr>
                <w:sz w:val="18"/>
                <w:szCs w:val="18"/>
                <w:lang w:eastAsia="en-GB"/>
              </w:rPr>
            </w:pPr>
            <w:r w:rsidRPr="00687637">
              <w:rPr>
                <w:sz w:val="18"/>
                <w:szCs w:val="18"/>
                <w:lang w:eastAsia="en-GB"/>
              </w:rPr>
              <w:t>5</w:t>
            </w:r>
          </w:p>
        </w:tc>
        <w:tc>
          <w:tcPr>
            <w:tcW w:w="4454" w:type="dxa"/>
            <w:tcBorders>
              <w:top w:val="nil"/>
              <w:left w:val="nil"/>
              <w:bottom w:val="nil"/>
              <w:right w:val="nil"/>
            </w:tcBorders>
            <w:shd w:val="clear" w:color="auto" w:fill="auto"/>
            <w:noWrap/>
            <w:hideMark/>
          </w:tcPr>
          <w:p w14:paraId="4A3710EF" w14:textId="77777777" w:rsidR="00704151" w:rsidRPr="00687637" w:rsidRDefault="00704151" w:rsidP="00924B64">
            <w:pPr>
              <w:rPr>
                <w:sz w:val="18"/>
                <w:szCs w:val="18"/>
                <w:lang w:eastAsia="en-GB"/>
              </w:rPr>
            </w:pPr>
            <w:r w:rsidRPr="00687637">
              <w:rPr>
                <w:sz w:val="18"/>
                <w:szCs w:val="18"/>
                <w:lang w:eastAsia="en-GB"/>
              </w:rPr>
              <w:t>South Africa</w:t>
            </w:r>
          </w:p>
        </w:tc>
        <w:tc>
          <w:tcPr>
            <w:tcW w:w="1201" w:type="dxa"/>
            <w:tcBorders>
              <w:top w:val="nil"/>
              <w:left w:val="nil"/>
              <w:bottom w:val="nil"/>
              <w:right w:val="nil"/>
            </w:tcBorders>
            <w:shd w:val="clear" w:color="auto" w:fill="auto"/>
            <w:noWrap/>
            <w:hideMark/>
          </w:tcPr>
          <w:p w14:paraId="3D918288" w14:textId="77777777" w:rsidR="00704151" w:rsidRPr="00687637" w:rsidRDefault="00704151" w:rsidP="00924B64">
            <w:pPr>
              <w:jc w:val="center"/>
              <w:rPr>
                <w:sz w:val="18"/>
                <w:szCs w:val="18"/>
                <w:lang w:eastAsia="en-GB"/>
              </w:rPr>
            </w:pPr>
            <w:r w:rsidRPr="00687637">
              <w:rPr>
                <w:sz w:val="18"/>
                <w:szCs w:val="18"/>
                <w:lang w:eastAsia="en-GB"/>
              </w:rPr>
              <w:t>38,459</w:t>
            </w:r>
          </w:p>
        </w:tc>
        <w:tc>
          <w:tcPr>
            <w:tcW w:w="696" w:type="dxa"/>
            <w:tcBorders>
              <w:top w:val="nil"/>
              <w:left w:val="nil"/>
              <w:bottom w:val="nil"/>
              <w:right w:val="nil"/>
            </w:tcBorders>
            <w:shd w:val="clear" w:color="auto" w:fill="auto"/>
            <w:noWrap/>
            <w:hideMark/>
          </w:tcPr>
          <w:p w14:paraId="12496FDB" w14:textId="77777777" w:rsidR="00704151" w:rsidRPr="00687637" w:rsidRDefault="00704151" w:rsidP="00924B64">
            <w:pPr>
              <w:jc w:val="center"/>
              <w:rPr>
                <w:sz w:val="18"/>
                <w:szCs w:val="18"/>
                <w:lang w:eastAsia="en-GB"/>
              </w:rPr>
            </w:pPr>
            <w:r w:rsidRPr="00687637">
              <w:rPr>
                <w:sz w:val="18"/>
                <w:szCs w:val="18"/>
                <w:lang w:eastAsia="en-GB"/>
              </w:rPr>
              <w:t>3.1</w:t>
            </w:r>
          </w:p>
        </w:tc>
        <w:tc>
          <w:tcPr>
            <w:tcW w:w="1283" w:type="dxa"/>
            <w:tcBorders>
              <w:top w:val="nil"/>
              <w:left w:val="nil"/>
              <w:bottom w:val="nil"/>
              <w:right w:val="nil"/>
            </w:tcBorders>
            <w:shd w:val="clear" w:color="auto" w:fill="auto"/>
            <w:noWrap/>
            <w:hideMark/>
          </w:tcPr>
          <w:p w14:paraId="2654CCDF" w14:textId="77777777" w:rsidR="00704151" w:rsidRPr="00687637" w:rsidRDefault="00704151" w:rsidP="00924B64">
            <w:pPr>
              <w:jc w:val="center"/>
              <w:rPr>
                <w:sz w:val="18"/>
                <w:szCs w:val="18"/>
                <w:lang w:eastAsia="en-GB"/>
              </w:rPr>
            </w:pPr>
            <w:r w:rsidRPr="00687637">
              <w:rPr>
                <w:sz w:val="18"/>
                <w:szCs w:val="18"/>
                <w:lang w:eastAsia="en-GB"/>
              </w:rPr>
              <w:t>126</w:t>
            </w:r>
          </w:p>
        </w:tc>
        <w:tc>
          <w:tcPr>
            <w:tcW w:w="696" w:type="dxa"/>
            <w:tcBorders>
              <w:top w:val="nil"/>
              <w:left w:val="nil"/>
              <w:bottom w:val="nil"/>
              <w:right w:val="nil"/>
            </w:tcBorders>
            <w:shd w:val="clear" w:color="auto" w:fill="auto"/>
            <w:noWrap/>
            <w:hideMark/>
          </w:tcPr>
          <w:p w14:paraId="1E445637" w14:textId="77777777" w:rsidR="00704151" w:rsidRPr="00687637" w:rsidRDefault="00704151" w:rsidP="00924B64">
            <w:pPr>
              <w:jc w:val="center"/>
              <w:rPr>
                <w:sz w:val="18"/>
                <w:szCs w:val="18"/>
                <w:lang w:eastAsia="en-GB"/>
              </w:rPr>
            </w:pPr>
            <w:r w:rsidRPr="00687637">
              <w:rPr>
                <w:sz w:val="18"/>
                <w:szCs w:val="18"/>
                <w:lang w:eastAsia="en-GB"/>
              </w:rPr>
              <w:t>3.5</w:t>
            </w:r>
          </w:p>
        </w:tc>
      </w:tr>
      <w:tr w:rsidR="00704151" w:rsidRPr="00687637" w14:paraId="4447D4F9" w14:textId="77777777" w:rsidTr="00924B64">
        <w:trPr>
          <w:trHeight w:val="300"/>
        </w:trPr>
        <w:tc>
          <w:tcPr>
            <w:tcW w:w="696" w:type="dxa"/>
            <w:tcBorders>
              <w:top w:val="nil"/>
              <w:left w:val="nil"/>
              <w:bottom w:val="nil"/>
              <w:right w:val="nil"/>
            </w:tcBorders>
            <w:shd w:val="clear" w:color="auto" w:fill="auto"/>
            <w:noWrap/>
            <w:hideMark/>
          </w:tcPr>
          <w:p w14:paraId="6E9CCD90" w14:textId="77777777" w:rsidR="00704151" w:rsidRPr="00687637" w:rsidRDefault="00704151" w:rsidP="00924B64">
            <w:pPr>
              <w:jc w:val="center"/>
              <w:rPr>
                <w:sz w:val="18"/>
                <w:szCs w:val="18"/>
                <w:lang w:eastAsia="en-GB"/>
              </w:rPr>
            </w:pPr>
            <w:r w:rsidRPr="00687637">
              <w:rPr>
                <w:sz w:val="18"/>
                <w:szCs w:val="18"/>
                <w:lang w:eastAsia="en-GB"/>
              </w:rPr>
              <w:t>6</w:t>
            </w:r>
          </w:p>
        </w:tc>
        <w:tc>
          <w:tcPr>
            <w:tcW w:w="4454" w:type="dxa"/>
            <w:tcBorders>
              <w:top w:val="nil"/>
              <w:left w:val="nil"/>
              <w:bottom w:val="nil"/>
              <w:right w:val="nil"/>
            </w:tcBorders>
            <w:shd w:val="clear" w:color="auto" w:fill="auto"/>
            <w:noWrap/>
            <w:hideMark/>
          </w:tcPr>
          <w:p w14:paraId="1086F311" w14:textId="77777777" w:rsidR="00704151" w:rsidRPr="00687637" w:rsidRDefault="00704151" w:rsidP="00924B64">
            <w:pPr>
              <w:rPr>
                <w:sz w:val="18"/>
                <w:szCs w:val="18"/>
                <w:lang w:eastAsia="en-GB"/>
              </w:rPr>
            </w:pPr>
            <w:r w:rsidRPr="00687637">
              <w:rPr>
                <w:sz w:val="18"/>
                <w:szCs w:val="18"/>
                <w:lang w:eastAsia="en-GB"/>
              </w:rPr>
              <w:t>Brazil</w:t>
            </w:r>
          </w:p>
        </w:tc>
        <w:tc>
          <w:tcPr>
            <w:tcW w:w="1201" w:type="dxa"/>
            <w:tcBorders>
              <w:top w:val="nil"/>
              <w:left w:val="nil"/>
              <w:bottom w:val="nil"/>
              <w:right w:val="nil"/>
            </w:tcBorders>
            <w:shd w:val="clear" w:color="auto" w:fill="auto"/>
            <w:noWrap/>
            <w:hideMark/>
          </w:tcPr>
          <w:p w14:paraId="2427A06E" w14:textId="77777777" w:rsidR="00704151" w:rsidRPr="00687637" w:rsidRDefault="00704151" w:rsidP="00924B64">
            <w:pPr>
              <w:jc w:val="center"/>
              <w:rPr>
                <w:sz w:val="18"/>
                <w:szCs w:val="18"/>
                <w:lang w:eastAsia="en-GB"/>
              </w:rPr>
            </w:pPr>
            <w:r w:rsidRPr="00687637">
              <w:rPr>
                <w:sz w:val="18"/>
                <w:szCs w:val="18"/>
                <w:lang w:eastAsia="en-GB"/>
              </w:rPr>
              <w:t>33,677</w:t>
            </w:r>
          </w:p>
        </w:tc>
        <w:tc>
          <w:tcPr>
            <w:tcW w:w="696" w:type="dxa"/>
            <w:tcBorders>
              <w:top w:val="nil"/>
              <w:left w:val="nil"/>
              <w:bottom w:val="nil"/>
              <w:right w:val="nil"/>
            </w:tcBorders>
            <w:shd w:val="clear" w:color="auto" w:fill="auto"/>
            <w:noWrap/>
            <w:hideMark/>
          </w:tcPr>
          <w:p w14:paraId="1F4259DB" w14:textId="77777777" w:rsidR="00704151" w:rsidRPr="00687637" w:rsidRDefault="00704151" w:rsidP="00924B64">
            <w:pPr>
              <w:jc w:val="center"/>
              <w:rPr>
                <w:sz w:val="18"/>
                <w:szCs w:val="18"/>
                <w:lang w:eastAsia="en-GB"/>
              </w:rPr>
            </w:pPr>
            <w:r w:rsidRPr="00687637">
              <w:rPr>
                <w:sz w:val="18"/>
                <w:szCs w:val="18"/>
                <w:lang w:eastAsia="en-GB"/>
              </w:rPr>
              <w:t>2.7</w:t>
            </w:r>
          </w:p>
        </w:tc>
        <w:tc>
          <w:tcPr>
            <w:tcW w:w="1283" w:type="dxa"/>
            <w:tcBorders>
              <w:top w:val="nil"/>
              <w:left w:val="nil"/>
              <w:bottom w:val="nil"/>
              <w:right w:val="nil"/>
            </w:tcBorders>
            <w:shd w:val="clear" w:color="auto" w:fill="auto"/>
            <w:noWrap/>
            <w:hideMark/>
          </w:tcPr>
          <w:p w14:paraId="4F7DDB62" w14:textId="77777777" w:rsidR="00704151" w:rsidRPr="00687637" w:rsidRDefault="00704151" w:rsidP="00924B64">
            <w:pPr>
              <w:jc w:val="center"/>
              <w:rPr>
                <w:sz w:val="18"/>
                <w:szCs w:val="18"/>
                <w:lang w:eastAsia="en-GB"/>
              </w:rPr>
            </w:pPr>
            <w:r w:rsidRPr="00687637">
              <w:rPr>
                <w:sz w:val="18"/>
                <w:szCs w:val="18"/>
                <w:lang w:eastAsia="en-GB"/>
              </w:rPr>
              <w:t>92</w:t>
            </w:r>
          </w:p>
        </w:tc>
        <w:tc>
          <w:tcPr>
            <w:tcW w:w="696" w:type="dxa"/>
            <w:tcBorders>
              <w:top w:val="nil"/>
              <w:left w:val="nil"/>
              <w:bottom w:val="nil"/>
              <w:right w:val="nil"/>
            </w:tcBorders>
            <w:shd w:val="clear" w:color="auto" w:fill="auto"/>
            <w:noWrap/>
            <w:hideMark/>
          </w:tcPr>
          <w:p w14:paraId="2A561A9D" w14:textId="77777777" w:rsidR="00704151" w:rsidRPr="00687637" w:rsidRDefault="00704151" w:rsidP="00924B64">
            <w:pPr>
              <w:jc w:val="center"/>
              <w:rPr>
                <w:sz w:val="18"/>
                <w:szCs w:val="18"/>
                <w:lang w:eastAsia="en-GB"/>
              </w:rPr>
            </w:pPr>
            <w:r w:rsidRPr="00687637">
              <w:rPr>
                <w:sz w:val="18"/>
                <w:szCs w:val="18"/>
                <w:lang w:eastAsia="en-GB"/>
              </w:rPr>
              <w:t>2.6</w:t>
            </w:r>
          </w:p>
        </w:tc>
      </w:tr>
      <w:tr w:rsidR="00704151" w:rsidRPr="00687637" w14:paraId="11E4EDAC" w14:textId="77777777" w:rsidTr="00924B64">
        <w:trPr>
          <w:trHeight w:val="300"/>
        </w:trPr>
        <w:tc>
          <w:tcPr>
            <w:tcW w:w="696" w:type="dxa"/>
            <w:tcBorders>
              <w:top w:val="nil"/>
              <w:left w:val="nil"/>
              <w:bottom w:val="nil"/>
              <w:right w:val="nil"/>
            </w:tcBorders>
            <w:shd w:val="clear" w:color="auto" w:fill="auto"/>
            <w:noWrap/>
            <w:hideMark/>
          </w:tcPr>
          <w:p w14:paraId="12C2296E" w14:textId="77777777" w:rsidR="00704151" w:rsidRPr="00687637" w:rsidRDefault="00704151" w:rsidP="00924B64">
            <w:pPr>
              <w:jc w:val="center"/>
              <w:rPr>
                <w:sz w:val="18"/>
                <w:szCs w:val="18"/>
                <w:lang w:eastAsia="en-GB"/>
              </w:rPr>
            </w:pPr>
            <w:r w:rsidRPr="00687637">
              <w:rPr>
                <w:sz w:val="18"/>
                <w:szCs w:val="18"/>
                <w:lang w:eastAsia="en-GB"/>
              </w:rPr>
              <w:t>7</w:t>
            </w:r>
          </w:p>
        </w:tc>
        <w:tc>
          <w:tcPr>
            <w:tcW w:w="4454" w:type="dxa"/>
            <w:tcBorders>
              <w:top w:val="nil"/>
              <w:left w:val="nil"/>
              <w:bottom w:val="nil"/>
              <w:right w:val="nil"/>
            </w:tcBorders>
            <w:shd w:val="clear" w:color="auto" w:fill="auto"/>
            <w:noWrap/>
            <w:hideMark/>
          </w:tcPr>
          <w:p w14:paraId="3DBC13B0" w14:textId="77777777" w:rsidR="00704151" w:rsidRPr="00687637" w:rsidRDefault="00704151" w:rsidP="00924B64">
            <w:pPr>
              <w:rPr>
                <w:sz w:val="18"/>
                <w:szCs w:val="18"/>
                <w:lang w:eastAsia="en-GB"/>
              </w:rPr>
            </w:pPr>
            <w:r w:rsidRPr="00687637">
              <w:rPr>
                <w:sz w:val="18"/>
                <w:szCs w:val="18"/>
                <w:lang w:eastAsia="en-GB"/>
              </w:rPr>
              <w:t>Dominican Republic</w:t>
            </w:r>
          </w:p>
        </w:tc>
        <w:tc>
          <w:tcPr>
            <w:tcW w:w="1201" w:type="dxa"/>
            <w:tcBorders>
              <w:top w:val="nil"/>
              <w:left w:val="nil"/>
              <w:bottom w:val="nil"/>
              <w:right w:val="nil"/>
            </w:tcBorders>
            <w:shd w:val="clear" w:color="auto" w:fill="auto"/>
            <w:noWrap/>
            <w:hideMark/>
          </w:tcPr>
          <w:p w14:paraId="734C1FA6" w14:textId="77777777" w:rsidR="00704151" w:rsidRPr="00687637" w:rsidRDefault="00704151" w:rsidP="00924B64">
            <w:pPr>
              <w:jc w:val="center"/>
              <w:rPr>
                <w:sz w:val="18"/>
                <w:szCs w:val="18"/>
                <w:lang w:eastAsia="en-GB"/>
              </w:rPr>
            </w:pPr>
            <w:r w:rsidRPr="00687637">
              <w:rPr>
                <w:sz w:val="18"/>
                <w:szCs w:val="18"/>
                <w:lang w:eastAsia="en-GB"/>
              </w:rPr>
              <w:t>32,928</w:t>
            </w:r>
          </w:p>
        </w:tc>
        <w:tc>
          <w:tcPr>
            <w:tcW w:w="696" w:type="dxa"/>
            <w:tcBorders>
              <w:top w:val="nil"/>
              <w:left w:val="nil"/>
              <w:bottom w:val="nil"/>
              <w:right w:val="nil"/>
            </w:tcBorders>
            <w:shd w:val="clear" w:color="auto" w:fill="auto"/>
            <w:noWrap/>
            <w:hideMark/>
          </w:tcPr>
          <w:p w14:paraId="4A6725E8" w14:textId="77777777" w:rsidR="00704151" w:rsidRPr="00687637" w:rsidRDefault="00704151" w:rsidP="00924B64">
            <w:pPr>
              <w:jc w:val="center"/>
              <w:rPr>
                <w:sz w:val="18"/>
                <w:szCs w:val="18"/>
                <w:lang w:eastAsia="en-GB"/>
              </w:rPr>
            </w:pPr>
            <w:r w:rsidRPr="00687637">
              <w:rPr>
                <w:sz w:val="18"/>
                <w:szCs w:val="18"/>
                <w:lang w:eastAsia="en-GB"/>
              </w:rPr>
              <w:t>2.7</w:t>
            </w:r>
          </w:p>
        </w:tc>
        <w:tc>
          <w:tcPr>
            <w:tcW w:w="1283" w:type="dxa"/>
            <w:tcBorders>
              <w:top w:val="nil"/>
              <w:left w:val="nil"/>
              <w:bottom w:val="nil"/>
              <w:right w:val="nil"/>
            </w:tcBorders>
            <w:shd w:val="clear" w:color="auto" w:fill="auto"/>
            <w:noWrap/>
            <w:hideMark/>
          </w:tcPr>
          <w:p w14:paraId="7225FFD5" w14:textId="77777777" w:rsidR="00704151" w:rsidRPr="00687637" w:rsidRDefault="00704151" w:rsidP="00924B64">
            <w:pPr>
              <w:jc w:val="center"/>
              <w:rPr>
                <w:sz w:val="18"/>
                <w:szCs w:val="18"/>
                <w:lang w:eastAsia="en-GB"/>
              </w:rPr>
            </w:pPr>
            <w:r w:rsidRPr="00687637">
              <w:rPr>
                <w:sz w:val="18"/>
                <w:szCs w:val="18"/>
                <w:lang w:eastAsia="en-GB"/>
              </w:rPr>
              <w:t>114</w:t>
            </w:r>
          </w:p>
        </w:tc>
        <w:tc>
          <w:tcPr>
            <w:tcW w:w="696" w:type="dxa"/>
            <w:tcBorders>
              <w:top w:val="nil"/>
              <w:left w:val="nil"/>
              <w:bottom w:val="nil"/>
              <w:right w:val="nil"/>
            </w:tcBorders>
            <w:shd w:val="clear" w:color="auto" w:fill="auto"/>
            <w:noWrap/>
            <w:hideMark/>
          </w:tcPr>
          <w:p w14:paraId="36D48451" w14:textId="77777777" w:rsidR="00704151" w:rsidRPr="00687637" w:rsidRDefault="00704151" w:rsidP="00924B64">
            <w:pPr>
              <w:jc w:val="center"/>
              <w:rPr>
                <w:sz w:val="18"/>
                <w:szCs w:val="18"/>
                <w:lang w:eastAsia="en-GB"/>
              </w:rPr>
            </w:pPr>
            <w:r w:rsidRPr="00687637">
              <w:rPr>
                <w:sz w:val="18"/>
                <w:szCs w:val="18"/>
                <w:lang w:eastAsia="en-GB"/>
              </w:rPr>
              <w:t>3.2</w:t>
            </w:r>
          </w:p>
        </w:tc>
      </w:tr>
      <w:tr w:rsidR="00704151" w:rsidRPr="00687637" w14:paraId="5981F190" w14:textId="77777777" w:rsidTr="00924B64">
        <w:trPr>
          <w:trHeight w:val="300"/>
        </w:trPr>
        <w:tc>
          <w:tcPr>
            <w:tcW w:w="696" w:type="dxa"/>
            <w:tcBorders>
              <w:top w:val="nil"/>
              <w:left w:val="nil"/>
              <w:bottom w:val="nil"/>
              <w:right w:val="nil"/>
            </w:tcBorders>
            <w:shd w:val="clear" w:color="auto" w:fill="auto"/>
            <w:noWrap/>
            <w:hideMark/>
          </w:tcPr>
          <w:p w14:paraId="167E9596" w14:textId="77777777" w:rsidR="00704151" w:rsidRPr="00687637" w:rsidRDefault="00704151" w:rsidP="00924B64">
            <w:pPr>
              <w:jc w:val="center"/>
              <w:rPr>
                <w:sz w:val="18"/>
                <w:szCs w:val="18"/>
                <w:lang w:eastAsia="en-GB"/>
              </w:rPr>
            </w:pPr>
            <w:r w:rsidRPr="00687637">
              <w:rPr>
                <w:sz w:val="18"/>
                <w:szCs w:val="18"/>
                <w:lang w:eastAsia="en-GB"/>
              </w:rPr>
              <w:t>8</w:t>
            </w:r>
          </w:p>
        </w:tc>
        <w:tc>
          <w:tcPr>
            <w:tcW w:w="4454" w:type="dxa"/>
            <w:tcBorders>
              <w:top w:val="nil"/>
              <w:left w:val="nil"/>
              <w:bottom w:val="nil"/>
              <w:right w:val="nil"/>
            </w:tcBorders>
            <w:shd w:val="clear" w:color="auto" w:fill="auto"/>
            <w:noWrap/>
            <w:hideMark/>
          </w:tcPr>
          <w:p w14:paraId="113D5484" w14:textId="77777777" w:rsidR="00704151" w:rsidRPr="00687637" w:rsidRDefault="00704151" w:rsidP="00924B64">
            <w:pPr>
              <w:rPr>
                <w:sz w:val="18"/>
                <w:szCs w:val="18"/>
                <w:lang w:eastAsia="en-GB"/>
              </w:rPr>
            </w:pPr>
            <w:r w:rsidRPr="00687637">
              <w:rPr>
                <w:sz w:val="18"/>
                <w:szCs w:val="18"/>
                <w:lang w:eastAsia="en-GB"/>
              </w:rPr>
              <w:t>Indonesia</w:t>
            </w:r>
          </w:p>
        </w:tc>
        <w:tc>
          <w:tcPr>
            <w:tcW w:w="1201" w:type="dxa"/>
            <w:tcBorders>
              <w:top w:val="nil"/>
              <w:left w:val="nil"/>
              <w:bottom w:val="nil"/>
              <w:right w:val="nil"/>
            </w:tcBorders>
            <w:shd w:val="clear" w:color="auto" w:fill="auto"/>
            <w:noWrap/>
            <w:hideMark/>
          </w:tcPr>
          <w:p w14:paraId="78E00831" w14:textId="77777777" w:rsidR="00704151" w:rsidRPr="00687637" w:rsidRDefault="00704151" w:rsidP="00924B64">
            <w:pPr>
              <w:jc w:val="center"/>
              <w:rPr>
                <w:sz w:val="18"/>
                <w:szCs w:val="18"/>
                <w:lang w:eastAsia="en-GB"/>
              </w:rPr>
            </w:pPr>
            <w:r w:rsidRPr="00687637">
              <w:rPr>
                <w:sz w:val="18"/>
                <w:szCs w:val="18"/>
                <w:lang w:eastAsia="en-GB"/>
              </w:rPr>
              <w:t>29,597</w:t>
            </w:r>
          </w:p>
        </w:tc>
        <w:tc>
          <w:tcPr>
            <w:tcW w:w="696" w:type="dxa"/>
            <w:tcBorders>
              <w:top w:val="nil"/>
              <w:left w:val="nil"/>
              <w:bottom w:val="nil"/>
              <w:right w:val="nil"/>
            </w:tcBorders>
            <w:shd w:val="clear" w:color="auto" w:fill="auto"/>
            <w:noWrap/>
            <w:hideMark/>
          </w:tcPr>
          <w:p w14:paraId="45A74180" w14:textId="77777777" w:rsidR="00704151" w:rsidRPr="00687637" w:rsidRDefault="00704151" w:rsidP="00924B64">
            <w:pPr>
              <w:jc w:val="center"/>
              <w:rPr>
                <w:sz w:val="18"/>
                <w:szCs w:val="18"/>
                <w:lang w:eastAsia="en-GB"/>
              </w:rPr>
            </w:pPr>
            <w:r w:rsidRPr="00687637">
              <w:rPr>
                <w:sz w:val="18"/>
                <w:szCs w:val="18"/>
                <w:lang w:eastAsia="en-GB"/>
              </w:rPr>
              <w:t>2.4</w:t>
            </w:r>
          </w:p>
        </w:tc>
        <w:tc>
          <w:tcPr>
            <w:tcW w:w="1283" w:type="dxa"/>
            <w:tcBorders>
              <w:top w:val="nil"/>
              <w:left w:val="nil"/>
              <w:bottom w:val="nil"/>
              <w:right w:val="nil"/>
            </w:tcBorders>
            <w:shd w:val="clear" w:color="auto" w:fill="auto"/>
            <w:noWrap/>
            <w:hideMark/>
          </w:tcPr>
          <w:p w14:paraId="3C88B586" w14:textId="77777777" w:rsidR="00704151" w:rsidRPr="00687637" w:rsidRDefault="00704151" w:rsidP="00924B64">
            <w:pPr>
              <w:jc w:val="center"/>
              <w:rPr>
                <w:sz w:val="18"/>
                <w:szCs w:val="18"/>
                <w:lang w:eastAsia="en-GB"/>
              </w:rPr>
            </w:pPr>
            <w:r w:rsidRPr="00687637">
              <w:rPr>
                <w:sz w:val="18"/>
                <w:szCs w:val="18"/>
                <w:lang w:eastAsia="en-GB"/>
              </w:rPr>
              <w:t>106</w:t>
            </w:r>
          </w:p>
        </w:tc>
        <w:tc>
          <w:tcPr>
            <w:tcW w:w="696" w:type="dxa"/>
            <w:tcBorders>
              <w:top w:val="nil"/>
              <w:left w:val="nil"/>
              <w:bottom w:val="nil"/>
              <w:right w:val="nil"/>
            </w:tcBorders>
            <w:shd w:val="clear" w:color="auto" w:fill="auto"/>
            <w:noWrap/>
            <w:hideMark/>
          </w:tcPr>
          <w:p w14:paraId="63A8B057" w14:textId="77777777" w:rsidR="00704151" w:rsidRPr="00687637" w:rsidRDefault="00704151" w:rsidP="00924B64">
            <w:pPr>
              <w:jc w:val="center"/>
              <w:rPr>
                <w:sz w:val="18"/>
                <w:szCs w:val="18"/>
                <w:lang w:eastAsia="en-GB"/>
              </w:rPr>
            </w:pPr>
            <w:r w:rsidRPr="00687637">
              <w:rPr>
                <w:sz w:val="18"/>
                <w:szCs w:val="18"/>
                <w:lang w:eastAsia="en-GB"/>
              </w:rPr>
              <w:t>2.9</w:t>
            </w:r>
          </w:p>
        </w:tc>
      </w:tr>
      <w:tr w:rsidR="00704151" w:rsidRPr="00687637" w14:paraId="1B743EEC" w14:textId="77777777" w:rsidTr="00924B64">
        <w:trPr>
          <w:trHeight w:val="300"/>
        </w:trPr>
        <w:tc>
          <w:tcPr>
            <w:tcW w:w="696" w:type="dxa"/>
            <w:tcBorders>
              <w:top w:val="nil"/>
              <w:left w:val="nil"/>
              <w:bottom w:val="nil"/>
              <w:right w:val="nil"/>
            </w:tcBorders>
            <w:shd w:val="clear" w:color="auto" w:fill="auto"/>
            <w:noWrap/>
            <w:hideMark/>
          </w:tcPr>
          <w:p w14:paraId="691D1A18" w14:textId="77777777" w:rsidR="00704151" w:rsidRPr="00687637" w:rsidRDefault="00704151" w:rsidP="00924B64">
            <w:pPr>
              <w:jc w:val="center"/>
              <w:rPr>
                <w:sz w:val="18"/>
                <w:szCs w:val="18"/>
                <w:lang w:eastAsia="en-GB"/>
              </w:rPr>
            </w:pPr>
            <w:r w:rsidRPr="00687637">
              <w:rPr>
                <w:sz w:val="18"/>
                <w:szCs w:val="18"/>
                <w:lang w:eastAsia="en-GB"/>
              </w:rPr>
              <w:t>9</w:t>
            </w:r>
          </w:p>
        </w:tc>
        <w:tc>
          <w:tcPr>
            <w:tcW w:w="4454" w:type="dxa"/>
            <w:tcBorders>
              <w:top w:val="nil"/>
              <w:left w:val="nil"/>
              <w:bottom w:val="nil"/>
              <w:right w:val="nil"/>
            </w:tcBorders>
            <w:shd w:val="clear" w:color="auto" w:fill="auto"/>
            <w:noWrap/>
            <w:hideMark/>
          </w:tcPr>
          <w:p w14:paraId="1C7F036E" w14:textId="77777777" w:rsidR="00704151" w:rsidRPr="00687637" w:rsidRDefault="00704151" w:rsidP="00924B64">
            <w:pPr>
              <w:rPr>
                <w:sz w:val="18"/>
                <w:szCs w:val="18"/>
                <w:lang w:eastAsia="en-GB"/>
              </w:rPr>
            </w:pPr>
            <w:r w:rsidRPr="00687637">
              <w:rPr>
                <w:sz w:val="18"/>
                <w:szCs w:val="18"/>
                <w:lang w:eastAsia="en-GB"/>
              </w:rPr>
              <w:t>Sri Lanka</w:t>
            </w:r>
          </w:p>
        </w:tc>
        <w:tc>
          <w:tcPr>
            <w:tcW w:w="1201" w:type="dxa"/>
            <w:tcBorders>
              <w:top w:val="nil"/>
              <w:left w:val="nil"/>
              <w:bottom w:val="nil"/>
              <w:right w:val="nil"/>
            </w:tcBorders>
            <w:shd w:val="clear" w:color="auto" w:fill="auto"/>
            <w:noWrap/>
            <w:hideMark/>
          </w:tcPr>
          <w:p w14:paraId="4FB35E57" w14:textId="77777777" w:rsidR="00704151" w:rsidRPr="00687637" w:rsidRDefault="00704151" w:rsidP="00924B64">
            <w:pPr>
              <w:jc w:val="center"/>
              <w:rPr>
                <w:sz w:val="18"/>
                <w:szCs w:val="18"/>
                <w:lang w:eastAsia="en-GB"/>
              </w:rPr>
            </w:pPr>
            <w:r w:rsidRPr="00687637">
              <w:rPr>
                <w:sz w:val="18"/>
                <w:szCs w:val="18"/>
                <w:lang w:eastAsia="en-GB"/>
              </w:rPr>
              <w:t>28,551</w:t>
            </w:r>
          </w:p>
        </w:tc>
        <w:tc>
          <w:tcPr>
            <w:tcW w:w="696" w:type="dxa"/>
            <w:tcBorders>
              <w:top w:val="nil"/>
              <w:left w:val="nil"/>
              <w:bottom w:val="nil"/>
              <w:right w:val="nil"/>
            </w:tcBorders>
            <w:shd w:val="clear" w:color="auto" w:fill="auto"/>
            <w:noWrap/>
            <w:hideMark/>
          </w:tcPr>
          <w:p w14:paraId="2F36FF1B" w14:textId="77777777" w:rsidR="00704151" w:rsidRPr="00687637" w:rsidRDefault="00704151" w:rsidP="00924B64">
            <w:pPr>
              <w:jc w:val="center"/>
              <w:rPr>
                <w:sz w:val="18"/>
                <w:szCs w:val="18"/>
                <w:lang w:eastAsia="en-GB"/>
              </w:rPr>
            </w:pPr>
            <w:r w:rsidRPr="00687637">
              <w:rPr>
                <w:sz w:val="18"/>
                <w:szCs w:val="18"/>
                <w:lang w:eastAsia="en-GB"/>
              </w:rPr>
              <w:t>2.3</w:t>
            </w:r>
          </w:p>
        </w:tc>
        <w:tc>
          <w:tcPr>
            <w:tcW w:w="1283" w:type="dxa"/>
            <w:tcBorders>
              <w:top w:val="nil"/>
              <w:left w:val="nil"/>
              <w:bottom w:val="nil"/>
              <w:right w:val="nil"/>
            </w:tcBorders>
            <w:shd w:val="clear" w:color="auto" w:fill="auto"/>
            <w:noWrap/>
            <w:hideMark/>
          </w:tcPr>
          <w:p w14:paraId="6BE57DEE" w14:textId="77777777" w:rsidR="00704151" w:rsidRPr="00687637" w:rsidRDefault="00704151" w:rsidP="00924B64">
            <w:pPr>
              <w:jc w:val="center"/>
              <w:rPr>
                <w:sz w:val="18"/>
                <w:szCs w:val="18"/>
                <w:lang w:eastAsia="en-GB"/>
              </w:rPr>
            </w:pPr>
            <w:r w:rsidRPr="00687637">
              <w:rPr>
                <w:sz w:val="18"/>
                <w:szCs w:val="18"/>
                <w:lang w:eastAsia="en-GB"/>
              </w:rPr>
              <w:t>94</w:t>
            </w:r>
          </w:p>
        </w:tc>
        <w:tc>
          <w:tcPr>
            <w:tcW w:w="696" w:type="dxa"/>
            <w:tcBorders>
              <w:top w:val="nil"/>
              <w:left w:val="nil"/>
              <w:bottom w:val="nil"/>
              <w:right w:val="nil"/>
            </w:tcBorders>
            <w:shd w:val="clear" w:color="auto" w:fill="auto"/>
            <w:noWrap/>
            <w:hideMark/>
          </w:tcPr>
          <w:p w14:paraId="5E1D0C78" w14:textId="77777777" w:rsidR="00704151" w:rsidRPr="00687637" w:rsidRDefault="00704151" w:rsidP="00924B64">
            <w:pPr>
              <w:jc w:val="center"/>
              <w:rPr>
                <w:sz w:val="18"/>
                <w:szCs w:val="18"/>
                <w:lang w:eastAsia="en-GB"/>
              </w:rPr>
            </w:pPr>
            <w:r w:rsidRPr="00687637">
              <w:rPr>
                <w:sz w:val="18"/>
                <w:szCs w:val="18"/>
                <w:lang w:eastAsia="en-GB"/>
              </w:rPr>
              <w:t>2.6</w:t>
            </w:r>
          </w:p>
        </w:tc>
      </w:tr>
      <w:tr w:rsidR="00704151" w:rsidRPr="00687637" w14:paraId="3B3F12AC" w14:textId="77777777" w:rsidTr="00924B64">
        <w:trPr>
          <w:trHeight w:val="300"/>
        </w:trPr>
        <w:tc>
          <w:tcPr>
            <w:tcW w:w="696" w:type="dxa"/>
            <w:tcBorders>
              <w:top w:val="nil"/>
              <w:left w:val="nil"/>
              <w:bottom w:val="nil"/>
              <w:right w:val="nil"/>
            </w:tcBorders>
            <w:shd w:val="clear" w:color="auto" w:fill="auto"/>
            <w:noWrap/>
            <w:hideMark/>
          </w:tcPr>
          <w:p w14:paraId="559EA9B7" w14:textId="77777777" w:rsidR="00704151" w:rsidRPr="00687637" w:rsidRDefault="00704151" w:rsidP="00924B64">
            <w:pPr>
              <w:jc w:val="center"/>
              <w:rPr>
                <w:sz w:val="18"/>
                <w:szCs w:val="18"/>
                <w:lang w:eastAsia="en-GB"/>
              </w:rPr>
            </w:pPr>
            <w:r w:rsidRPr="00687637">
              <w:rPr>
                <w:sz w:val="18"/>
                <w:szCs w:val="18"/>
                <w:lang w:eastAsia="en-GB"/>
              </w:rPr>
              <w:t>10</w:t>
            </w:r>
          </w:p>
        </w:tc>
        <w:tc>
          <w:tcPr>
            <w:tcW w:w="4454" w:type="dxa"/>
            <w:tcBorders>
              <w:top w:val="nil"/>
              <w:left w:val="nil"/>
              <w:bottom w:val="nil"/>
              <w:right w:val="nil"/>
            </w:tcBorders>
            <w:shd w:val="clear" w:color="auto" w:fill="auto"/>
            <w:noWrap/>
            <w:hideMark/>
          </w:tcPr>
          <w:p w14:paraId="42E1C458" w14:textId="77777777" w:rsidR="00704151" w:rsidRPr="00687637" w:rsidRDefault="00704151" w:rsidP="00924B64">
            <w:pPr>
              <w:rPr>
                <w:sz w:val="18"/>
                <w:szCs w:val="18"/>
                <w:lang w:eastAsia="en-GB"/>
              </w:rPr>
            </w:pPr>
            <w:r w:rsidRPr="00687637">
              <w:rPr>
                <w:sz w:val="18"/>
                <w:szCs w:val="18"/>
                <w:lang w:eastAsia="en-GB"/>
              </w:rPr>
              <w:t>China</w:t>
            </w:r>
          </w:p>
        </w:tc>
        <w:tc>
          <w:tcPr>
            <w:tcW w:w="1201" w:type="dxa"/>
            <w:tcBorders>
              <w:top w:val="nil"/>
              <w:left w:val="nil"/>
              <w:bottom w:val="nil"/>
              <w:right w:val="nil"/>
            </w:tcBorders>
            <w:shd w:val="clear" w:color="auto" w:fill="auto"/>
            <w:noWrap/>
            <w:hideMark/>
          </w:tcPr>
          <w:p w14:paraId="6A364F44" w14:textId="77777777" w:rsidR="00704151" w:rsidRPr="00687637" w:rsidRDefault="00704151" w:rsidP="00924B64">
            <w:pPr>
              <w:jc w:val="center"/>
              <w:rPr>
                <w:sz w:val="18"/>
                <w:szCs w:val="18"/>
                <w:lang w:eastAsia="en-GB"/>
              </w:rPr>
            </w:pPr>
            <w:r w:rsidRPr="00687637">
              <w:rPr>
                <w:sz w:val="18"/>
                <w:szCs w:val="18"/>
                <w:lang w:eastAsia="en-GB"/>
              </w:rPr>
              <w:t>27,258</w:t>
            </w:r>
          </w:p>
        </w:tc>
        <w:tc>
          <w:tcPr>
            <w:tcW w:w="696" w:type="dxa"/>
            <w:tcBorders>
              <w:top w:val="nil"/>
              <w:left w:val="nil"/>
              <w:bottom w:val="nil"/>
              <w:right w:val="nil"/>
            </w:tcBorders>
            <w:shd w:val="clear" w:color="auto" w:fill="auto"/>
            <w:noWrap/>
            <w:hideMark/>
          </w:tcPr>
          <w:p w14:paraId="408BC1BD" w14:textId="77777777" w:rsidR="00704151" w:rsidRPr="00687637" w:rsidRDefault="00704151" w:rsidP="00924B64">
            <w:pPr>
              <w:jc w:val="center"/>
              <w:rPr>
                <w:sz w:val="18"/>
                <w:szCs w:val="18"/>
                <w:lang w:eastAsia="en-GB"/>
              </w:rPr>
            </w:pPr>
            <w:r w:rsidRPr="00687637">
              <w:rPr>
                <w:sz w:val="18"/>
                <w:szCs w:val="18"/>
                <w:lang w:eastAsia="en-GB"/>
              </w:rPr>
              <w:t>2.2</w:t>
            </w:r>
          </w:p>
        </w:tc>
        <w:tc>
          <w:tcPr>
            <w:tcW w:w="1283" w:type="dxa"/>
            <w:tcBorders>
              <w:top w:val="nil"/>
              <w:left w:val="nil"/>
              <w:bottom w:val="nil"/>
              <w:right w:val="nil"/>
            </w:tcBorders>
            <w:shd w:val="clear" w:color="auto" w:fill="auto"/>
            <w:noWrap/>
            <w:hideMark/>
          </w:tcPr>
          <w:p w14:paraId="4C9447ED" w14:textId="77777777" w:rsidR="00704151" w:rsidRPr="00687637" w:rsidRDefault="00704151" w:rsidP="00924B64">
            <w:pPr>
              <w:jc w:val="center"/>
              <w:rPr>
                <w:sz w:val="18"/>
                <w:szCs w:val="18"/>
                <w:lang w:eastAsia="en-GB"/>
              </w:rPr>
            </w:pPr>
            <w:r w:rsidRPr="00687637">
              <w:rPr>
                <w:sz w:val="18"/>
                <w:szCs w:val="18"/>
                <w:lang w:eastAsia="en-GB"/>
              </w:rPr>
              <w:t>81</w:t>
            </w:r>
          </w:p>
        </w:tc>
        <w:tc>
          <w:tcPr>
            <w:tcW w:w="696" w:type="dxa"/>
            <w:tcBorders>
              <w:top w:val="nil"/>
              <w:left w:val="nil"/>
              <w:bottom w:val="nil"/>
              <w:right w:val="nil"/>
            </w:tcBorders>
            <w:shd w:val="clear" w:color="auto" w:fill="auto"/>
            <w:noWrap/>
            <w:hideMark/>
          </w:tcPr>
          <w:p w14:paraId="6F9827E3" w14:textId="77777777" w:rsidR="00704151" w:rsidRPr="00687637" w:rsidRDefault="00704151" w:rsidP="00924B64">
            <w:pPr>
              <w:jc w:val="center"/>
              <w:rPr>
                <w:sz w:val="18"/>
                <w:szCs w:val="18"/>
                <w:lang w:eastAsia="en-GB"/>
              </w:rPr>
            </w:pPr>
            <w:r w:rsidRPr="00687637">
              <w:rPr>
                <w:sz w:val="18"/>
                <w:szCs w:val="18"/>
                <w:lang w:eastAsia="en-GB"/>
              </w:rPr>
              <w:t>2.3</w:t>
            </w:r>
          </w:p>
        </w:tc>
      </w:tr>
      <w:tr w:rsidR="00704151" w:rsidRPr="00687637" w14:paraId="02E420EF" w14:textId="77777777" w:rsidTr="00924B64">
        <w:trPr>
          <w:trHeight w:val="300"/>
        </w:trPr>
        <w:tc>
          <w:tcPr>
            <w:tcW w:w="696" w:type="dxa"/>
            <w:tcBorders>
              <w:top w:val="nil"/>
              <w:left w:val="nil"/>
              <w:right w:val="nil"/>
            </w:tcBorders>
            <w:shd w:val="clear" w:color="auto" w:fill="auto"/>
            <w:noWrap/>
            <w:hideMark/>
          </w:tcPr>
          <w:p w14:paraId="7DBC16D7" w14:textId="77777777" w:rsidR="00704151" w:rsidRPr="00687637" w:rsidRDefault="00704151" w:rsidP="00924B64">
            <w:pPr>
              <w:jc w:val="center"/>
              <w:rPr>
                <w:sz w:val="18"/>
                <w:szCs w:val="18"/>
                <w:lang w:eastAsia="en-GB"/>
              </w:rPr>
            </w:pPr>
          </w:p>
        </w:tc>
        <w:tc>
          <w:tcPr>
            <w:tcW w:w="4454" w:type="dxa"/>
            <w:tcBorders>
              <w:top w:val="nil"/>
              <w:left w:val="nil"/>
              <w:bottom w:val="single" w:sz="4" w:space="0" w:color="auto"/>
              <w:right w:val="nil"/>
            </w:tcBorders>
            <w:shd w:val="clear" w:color="auto" w:fill="auto"/>
            <w:noWrap/>
            <w:hideMark/>
          </w:tcPr>
          <w:p w14:paraId="33C52573" w14:textId="77777777" w:rsidR="00704151" w:rsidRPr="00687637" w:rsidRDefault="00704151" w:rsidP="00924B64">
            <w:pPr>
              <w:rPr>
                <w:sz w:val="18"/>
                <w:szCs w:val="18"/>
                <w:lang w:eastAsia="en-GB"/>
              </w:rPr>
            </w:pPr>
            <w:r w:rsidRPr="00687637">
              <w:rPr>
                <w:sz w:val="18"/>
                <w:szCs w:val="18"/>
                <w:lang w:eastAsia="en-GB"/>
              </w:rPr>
              <w:t>Other</w:t>
            </w:r>
          </w:p>
        </w:tc>
        <w:tc>
          <w:tcPr>
            <w:tcW w:w="1201" w:type="dxa"/>
            <w:tcBorders>
              <w:top w:val="nil"/>
              <w:left w:val="nil"/>
              <w:bottom w:val="single" w:sz="4" w:space="0" w:color="auto"/>
              <w:right w:val="nil"/>
            </w:tcBorders>
            <w:shd w:val="clear" w:color="auto" w:fill="auto"/>
            <w:noWrap/>
            <w:hideMark/>
          </w:tcPr>
          <w:p w14:paraId="2D3A839F" w14:textId="77777777" w:rsidR="00704151" w:rsidRPr="00687637" w:rsidRDefault="00704151" w:rsidP="00924B64">
            <w:pPr>
              <w:jc w:val="center"/>
              <w:rPr>
                <w:sz w:val="18"/>
                <w:szCs w:val="18"/>
                <w:lang w:eastAsia="en-GB"/>
              </w:rPr>
            </w:pPr>
            <w:r w:rsidRPr="00687637">
              <w:rPr>
                <w:sz w:val="18"/>
                <w:szCs w:val="18"/>
                <w:lang w:eastAsia="en-GB"/>
              </w:rPr>
              <w:t>781,121</w:t>
            </w:r>
          </w:p>
        </w:tc>
        <w:tc>
          <w:tcPr>
            <w:tcW w:w="696" w:type="dxa"/>
            <w:tcBorders>
              <w:top w:val="nil"/>
              <w:left w:val="nil"/>
              <w:bottom w:val="single" w:sz="4" w:space="0" w:color="auto"/>
              <w:right w:val="nil"/>
            </w:tcBorders>
            <w:shd w:val="clear" w:color="auto" w:fill="auto"/>
            <w:noWrap/>
            <w:hideMark/>
          </w:tcPr>
          <w:p w14:paraId="38D8323E" w14:textId="77777777" w:rsidR="00704151" w:rsidRPr="00687637" w:rsidRDefault="00704151" w:rsidP="00924B64">
            <w:pPr>
              <w:jc w:val="center"/>
              <w:rPr>
                <w:sz w:val="18"/>
                <w:szCs w:val="18"/>
                <w:lang w:eastAsia="en-GB"/>
              </w:rPr>
            </w:pPr>
            <w:r w:rsidRPr="00687637">
              <w:rPr>
                <w:sz w:val="18"/>
                <w:szCs w:val="18"/>
                <w:lang w:eastAsia="en-GB"/>
              </w:rPr>
              <w:t>64</w:t>
            </w:r>
          </w:p>
        </w:tc>
        <w:tc>
          <w:tcPr>
            <w:tcW w:w="1283" w:type="dxa"/>
            <w:tcBorders>
              <w:top w:val="nil"/>
              <w:left w:val="nil"/>
              <w:bottom w:val="single" w:sz="4" w:space="0" w:color="auto"/>
              <w:right w:val="nil"/>
            </w:tcBorders>
            <w:shd w:val="clear" w:color="auto" w:fill="auto"/>
            <w:noWrap/>
            <w:hideMark/>
          </w:tcPr>
          <w:p w14:paraId="590C594D" w14:textId="77777777" w:rsidR="00704151" w:rsidRPr="00687637" w:rsidRDefault="00704151" w:rsidP="00924B64">
            <w:pPr>
              <w:jc w:val="center"/>
              <w:rPr>
                <w:sz w:val="18"/>
                <w:szCs w:val="18"/>
                <w:lang w:eastAsia="en-GB"/>
              </w:rPr>
            </w:pPr>
            <w:r w:rsidRPr="00687637">
              <w:rPr>
                <w:sz w:val="18"/>
                <w:szCs w:val="18"/>
                <w:lang w:eastAsia="en-GB"/>
              </w:rPr>
              <w:t>2,120</w:t>
            </w:r>
          </w:p>
        </w:tc>
        <w:tc>
          <w:tcPr>
            <w:tcW w:w="696" w:type="dxa"/>
            <w:tcBorders>
              <w:top w:val="nil"/>
              <w:left w:val="nil"/>
              <w:bottom w:val="single" w:sz="4" w:space="0" w:color="auto"/>
              <w:right w:val="nil"/>
            </w:tcBorders>
            <w:shd w:val="clear" w:color="auto" w:fill="auto"/>
            <w:noWrap/>
            <w:hideMark/>
          </w:tcPr>
          <w:p w14:paraId="49CAC493" w14:textId="77777777" w:rsidR="00704151" w:rsidRPr="00687637" w:rsidRDefault="00704151" w:rsidP="00924B64">
            <w:pPr>
              <w:jc w:val="center"/>
              <w:rPr>
                <w:sz w:val="18"/>
                <w:szCs w:val="18"/>
                <w:lang w:eastAsia="en-GB"/>
              </w:rPr>
            </w:pPr>
            <w:r w:rsidRPr="00687637">
              <w:rPr>
                <w:sz w:val="18"/>
                <w:szCs w:val="18"/>
                <w:lang w:eastAsia="en-GB"/>
              </w:rPr>
              <w:t>59</w:t>
            </w:r>
          </w:p>
        </w:tc>
      </w:tr>
      <w:tr w:rsidR="00704151" w:rsidRPr="00687637" w14:paraId="68057313" w14:textId="77777777" w:rsidTr="00924B64">
        <w:trPr>
          <w:trHeight w:val="300"/>
        </w:trPr>
        <w:tc>
          <w:tcPr>
            <w:tcW w:w="696" w:type="dxa"/>
            <w:tcBorders>
              <w:left w:val="nil"/>
              <w:right w:val="nil"/>
            </w:tcBorders>
            <w:shd w:val="clear" w:color="auto" w:fill="auto"/>
            <w:noWrap/>
            <w:hideMark/>
          </w:tcPr>
          <w:p w14:paraId="04D02906" w14:textId="77777777" w:rsidR="00704151" w:rsidRPr="00687637" w:rsidRDefault="00704151" w:rsidP="00924B64">
            <w:pPr>
              <w:jc w:val="center"/>
              <w:rPr>
                <w:sz w:val="18"/>
                <w:szCs w:val="18"/>
                <w:lang w:eastAsia="en-GB"/>
              </w:rPr>
            </w:pPr>
          </w:p>
        </w:tc>
        <w:tc>
          <w:tcPr>
            <w:tcW w:w="4454" w:type="dxa"/>
            <w:tcBorders>
              <w:top w:val="single" w:sz="4" w:space="0" w:color="auto"/>
              <w:left w:val="nil"/>
              <w:bottom w:val="single" w:sz="4" w:space="0" w:color="auto"/>
              <w:right w:val="nil"/>
            </w:tcBorders>
            <w:shd w:val="clear" w:color="auto" w:fill="auto"/>
            <w:noWrap/>
            <w:hideMark/>
          </w:tcPr>
          <w:p w14:paraId="40C28780" w14:textId="77777777" w:rsidR="00704151" w:rsidRPr="00687637" w:rsidRDefault="00704151" w:rsidP="00924B64">
            <w:pPr>
              <w:rPr>
                <w:sz w:val="18"/>
                <w:szCs w:val="18"/>
                <w:lang w:eastAsia="en-GB"/>
              </w:rPr>
            </w:pPr>
            <w:r w:rsidRPr="00687637">
              <w:rPr>
                <w:sz w:val="18"/>
                <w:szCs w:val="18"/>
                <w:lang w:eastAsia="en-GB"/>
              </w:rPr>
              <w:t>Total</w:t>
            </w:r>
          </w:p>
        </w:tc>
        <w:tc>
          <w:tcPr>
            <w:tcW w:w="1201" w:type="dxa"/>
            <w:tcBorders>
              <w:top w:val="single" w:sz="4" w:space="0" w:color="auto"/>
              <w:left w:val="nil"/>
              <w:bottom w:val="single" w:sz="4" w:space="0" w:color="auto"/>
              <w:right w:val="nil"/>
            </w:tcBorders>
            <w:shd w:val="clear" w:color="auto" w:fill="auto"/>
            <w:noWrap/>
            <w:hideMark/>
          </w:tcPr>
          <w:p w14:paraId="01D50C71" w14:textId="77777777" w:rsidR="00704151" w:rsidRPr="00687637" w:rsidRDefault="00704151" w:rsidP="00924B64">
            <w:pPr>
              <w:jc w:val="center"/>
              <w:rPr>
                <w:sz w:val="18"/>
                <w:szCs w:val="18"/>
                <w:lang w:eastAsia="en-GB"/>
              </w:rPr>
            </w:pPr>
            <w:r w:rsidRPr="00687637">
              <w:rPr>
                <w:sz w:val="18"/>
                <w:szCs w:val="18"/>
                <w:lang w:eastAsia="en-GB"/>
              </w:rPr>
              <w:t>1,227,100</w:t>
            </w:r>
          </w:p>
        </w:tc>
        <w:tc>
          <w:tcPr>
            <w:tcW w:w="696" w:type="dxa"/>
            <w:tcBorders>
              <w:top w:val="single" w:sz="4" w:space="0" w:color="auto"/>
              <w:left w:val="nil"/>
              <w:bottom w:val="single" w:sz="4" w:space="0" w:color="auto"/>
              <w:right w:val="nil"/>
            </w:tcBorders>
            <w:shd w:val="clear" w:color="auto" w:fill="auto"/>
            <w:noWrap/>
            <w:hideMark/>
          </w:tcPr>
          <w:p w14:paraId="654AF229" w14:textId="77777777" w:rsidR="00704151" w:rsidRPr="00687637" w:rsidRDefault="00704151" w:rsidP="00924B64">
            <w:pPr>
              <w:jc w:val="center"/>
              <w:rPr>
                <w:sz w:val="18"/>
                <w:szCs w:val="18"/>
                <w:lang w:eastAsia="en-GB"/>
              </w:rPr>
            </w:pPr>
            <w:r w:rsidRPr="00687637">
              <w:rPr>
                <w:sz w:val="18"/>
                <w:szCs w:val="18"/>
                <w:lang w:eastAsia="en-GB"/>
              </w:rPr>
              <w:t>100</w:t>
            </w:r>
          </w:p>
        </w:tc>
        <w:tc>
          <w:tcPr>
            <w:tcW w:w="1283" w:type="dxa"/>
            <w:tcBorders>
              <w:top w:val="single" w:sz="4" w:space="0" w:color="auto"/>
              <w:left w:val="nil"/>
              <w:bottom w:val="single" w:sz="4" w:space="0" w:color="auto"/>
              <w:right w:val="nil"/>
            </w:tcBorders>
            <w:shd w:val="clear" w:color="auto" w:fill="auto"/>
            <w:noWrap/>
            <w:hideMark/>
          </w:tcPr>
          <w:p w14:paraId="0739080F" w14:textId="77777777" w:rsidR="00704151" w:rsidRPr="00687637" w:rsidRDefault="00704151" w:rsidP="00924B64">
            <w:pPr>
              <w:jc w:val="center"/>
              <w:rPr>
                <w:sz w:val="18"/>
                <w:szCs w:val="18"/>
                <w:lang w:eastAsia="en-GB"/>
              </w:rPr>
            </w:pPr>
            <w:r w:rsidRPr="00687637">
              <w:rPr>
                <w:sz w:val="18"/>
                <w:szCs w:val="18"/>
                <w:lang w:eastAsia="en-GB"/>
              </w:rPr>
              <w:t>3,585</w:t>
            </w:r>
          </w:p>
        </w:tc>
        <w:tc>
          <w:tcPr>
            <w:tcW w:w="696" w:type="dxa"/>
            <w:tcBorders>
              <w:top w:val="single" w:sz="4" w:space="0" w:color="auto"/>
              <w:left w:val="nil"/>
              <w:bottom w:val="single" w:sz="4" w:space="0" w:color="auto"/>
              <w:right w:val="nil"/>
            </w:tcBorders>
            <w:shd w:val="clear" w:color="auto" w:fill="auto"/>
            <w:noWrap/>
            <w:hideMark/>
          </w:tcPr>
          <w:p w14:paraId="31F6E6EA" w14:textId="77777777" w:rsidR="00704151" w:rsidRPr="00687637" w:rsidRDefault="00704151" w:rsidP="00924B64">
            <w:pPr>
              <w:jc w:val="center"/>
              <w:rPr>
                <w:sz w:val="18"/>
                <w:szCs w:val="18"/>
                <w:lang w:eastAsia="en-GB"/>
              </w:rPr>
            </w:pPr>
            <w:r w:rsidRPr="00687637">
              <w:rPr>
                <w:sz w:val="18"/>
                <w:szCs w:val="18"/>
                <w:lang w:eastAsia="en-GB"/>
              </w:rPr>
              <w:t>100</w:t>
            </w:r>
          </w:p>
        </w:tc>
      </w:tr>
      <w:tr w:rsidR="00704151" w:rsidRPr="00687637" w14:paraId="0903DEEA" w14:textId="77777777" w:rsidTr="00924B64">
        <w:trPr>
          <w:trHeight w:val="144"/>
        </w:trPr>
        <w:tc>
          <w:tcPr>
            <w:tcW w:w="696" w:type="dxa"/>
            <w:tcBorders>
              <w:left w:val="nil"/>
              <w:bottom w:val="nil"/>
              <w:right w:val="nil"/>
            </w:tcBorders>
            <w:shd w:val="clear" w:color="auto" w:fill="auto"/>
            <w:noWrap/>
            <w:hideMark/>
          </w:tcPr>
          <w:p w14:paraId="341C9877" w14:textId="77777777" w:rsidR="00704151" w:rsidRPr="00687637" w:rsidRDefault="00704151" w:rsidP="00924B64">
            <w:pPr>
              <w:jc w:val="center"/>
              <w:rPr>
                <w:sz w:val="18"/>
                <w:szCs w:val="18"/>
                <w:lang w:eastAsia="en-GB"/>
              </w:rPr>
            </w:pPr>
          </w:p>
        </w:tc>
        <w:tc>
          <w:tcPr>
            <w:tcW w:w="4454" w:type="dxa"/>
            <w:tcBorders>
              <w:top w:val="single" w:sz="4" w:space="0" w:color="auto"/>
              <w:left w:val="nil"/>
              <w:bottom w:val="nil"/>
              <w:right w:val="nil"/>
            </w:tcBorders>
            <w:shd w:val="clear" w:color="auto" w:fill="auto"/>
            <w:noWrap/>
            <w:hideMark/>
          </w:tcPr>
          <w:p w14:paraId="4811CAAC" w14:textId="77777777" w:rsidR="00704151" w:rsidRPr="00687637" w:rsidRDefault="00704151" w:rsidP="00924B64">
            <w:pPr>
              <w:rPr>
                <w:sz w:val="18"/>
                <w:szCs w:val="18"/>
                <w:lang w:eastAsia="en-GB"/>
              </w:rPr>
            </w:pPr>
          </w:p>
        </w:tc>
        <w:tc>
          <w:tcPr>
            <w:tcW w:w="1201" w:type="dxa"/>
            <w:tcBorders>
              <w:top w:val="single" w:sz="4" w:space="0" w:color="auto"/>
              <w:left w:val="nil"/>
              <w:bottom w:val="nil"/>
              <w:right w:val="nil"/>
            </w:tcBorders>
            <w:shd w:val="clear" w:color="auto" w:fill="auto"/>
            <w:noWrap/>
            <w:hideMark/>
          </w:tcPr>
          <w:p w14:paraId="6D990039" w14:textId="77777777" w:rsidR="00704151" w:rsidRPr="00687637" w:rsidRDefault="00704151" w:rsidP="00924B64">
            <w:pPr>
              <w:jc w:val="center"/>
              <w:rPr>
                <w:sz w:val="18"/>
                <w:szCs w:val="18"/>
                <w:lang w:eastAsia="en-GB"/>
              </w:rPr>
            </w:pPr>
          </w:p>
        </w:tc>
        <w:tc>
          <w:tcPr>
            <w:tcW w:w="696" w:type="dxa"/>
            <w:tcBorders>
              <w:top w:val="single" w:sz="4" w:space="0" w:color="auto"/>
              <w:left w:val="nil"/>
              <w:bottom w:val="nil"/>
              <w:right w:val="nil"/>
            </w:tcBorders>
            <w:shd w:val="clear" w:color="auto" w:fill="auto"/>
            <w:noWrap/>
            <w:hideMark/>
          </w:tcPr>
          <w:p w14:paraId="21AA7F73" w14:textId="77777777" w:rsidR="00704151" w:rsidRPr="00687637" w:rsidRDefault="00704151" w:rsidP="00924B64">
            <w:pPr>
              <w:jc w:val="center"/>
              <w:rPr>
                <w:sz w:val="18"/>
                <w:szCs w:val="18"/>
                <w:lang w:eastAsia="en-GB"/>
              </w:rPr>
            </w:pPr>
          </w:p>
        </w:tc>
        <w:tc>
          <w:tcPr>
            <w:tcW w:w="1283" w:type="dxa"/>
            <w:tcBorders>
              <w:top w:val="single" w:sz="4" w:space="0" w:color="auto"/>
              <w:left w:val="nil"/>
              <w:bottom w:val="nil"/>
              <w:right w:val="nil"/>
            </w:tcBorders>
            <w:shd w:val="clear" w:color="auto" w:fill="auto"/>
            <w:noWrap/>
            <w:hideMark/>
          </w:tcPr>
          <w:p w14:paraId="24E81241" w14:textId="77777777" w:rsidR="00704151" w:rsidRPr="00687637" w:rsidRDefault="00704151" w:rsidP="00924B64">
            <w:pPr>
              <w:jc w:val="center"/>
              <w:rPr>
                <w:sz w:val="18"/>
                <w:szCs w:val="18"/>
                <w:lang w:eastAsia="en-GB"/>
              </w:rPr>
            </w:pPr>
          </w:p>
        </w:tc>
        <w:tc>
          <w:tcPr>
            <w:tcW w:w="696" w:type="dxa"/>
            <w:tcBorders>
              <w:top w:val="single" w:sz="4" w:space="0" w:color="auto"/>
              <w:left w:val="nil"/>
              <w:bottom w:val="nil"/>
              <w:right w:val="nil"/>
            </w:tcBorders>
            <w:shd w:val="clear" w:color="auto" w:fill="auto"/>
            <w:noWrap/>
            <w:hideMark/>
          </w:tcPr>
          <w:p w14:paraId="76111948" w14:textId="77777777" w:rsidR="00704151" w:rsidRPr="00687637" w:rsidRDefault="00704151" w:rsidP="00924B64">
            <w:pPr>
              <w:jc w:val="center"/>
              <w:rPr>
                <w:sz w:val="18"/>
                <w:szCs w:val="18"/>
                <w:lang w:eastAsia="en-GB"/>
              </w:rPr>
            </w:pPr>
          </w:p>
        </w:tc>
      </w:tr>
      <w:tr w:rsidR="00704151" w:rsidRPr="00687637" w14:paraId="6BE59691" w14:textId="77777777" w:rsidTr="00924B64">
        <w:trPr>
          <w:trHeight w:val="300"/>
        </w:trPr>
        <w:tc>
          <w:tcPr>
            <w:tcW w:w="696" w:type="dxa"/>
            <w:tcBorders>
              <w:top w:val="nil"/>
              <w:left w:val="nil"/>
              <w:bottom w:val="nil"/>
              <w:right w:val="nil"/>
            </w:tcBorders>
            <w:shd w:val="clear" w:color="auto" w:fill="auto"/>
            <w:noWrap/>
          </w:tcPr>
          <w:p w14:paraId="748B5EF1" w14:textId="77777777" w:rsidR="00704151" w:rsidRPr="00687637" w:rsidRDefault="00704151" w:rsidP="00924B64">
            <w:pPr>
              <w:jc w:val="center"/>
              <w:rPr>
                <w:sz w:val="18"/>
                <w:szCs w:val="18"/>
                <w:lang w:eastAsia="en-GB"/>
              </w:rPr>
            </w:pPr>
          </w:p>
        </w:tc>
        <w:tc>
          <w:tcPr>
            <w:tcW w:w="4454" w:type="dxa"/>
            <w:tcBorders>
              <w:top w:val="nil"/>
              <w:left w:val="nil"/>
              <w:bottom w:val="nil"/>
              <w:right w:val="nil"/>
            </w:tcBorders>
            <w:shd w:val="clear" w:color="auto" w:fill="auto"/>
            <w:noWrap/>
          </w:tcPr>
          <w:p w14:paraId="21C63CA3" w14:textId="77777777" w:rsidR="00704151" w:rsidRPr="00687637" w:rsidRDefault="00704151" w:rsidP="00924B64">
            <w:pPr>
              <w:rPr>
                <w:sz w:val="18"/>
                <w:szCs w:val="18"/>
                <w:lang w:eastAsia="en-GB"/>
              </w:rPr>
            </w:pPr>
            <w:r w:rsidRPr="00687637">
              <w:rPr>
                <w:sz w:val="18"/>
                <w:szCs w:val="18"/>
                <w:lang w:eastAsia="en-GB"/>
              </w:rPr>
              <w:t>NEWS ITEMS</w:t>
            </w:r>
          </w:p>
        </w:tc>
        <w:tc>
          <w:tcPr>
            <w:tcW w:w="1201" w:type="dxa"/>
            <w:tcBorders>
              <w:top w:val="nil"/>
              <w:left w:val="nil"/>
              <w:bottom w:val="nil"/>
              <w:right w:val="nil"/>
            </w:tcBorders>
            <w:shd w:val="clear" w:color="auto" w:fill="auto"/>
            <w:noWrap/>
          </w:tcPr>
          <w:p w14:paraId="4D110112" w14:textId="77777777" w:rsidR="00704151" w:rsidRPr="00687637" w:rsidRDefault="00704151" w:rsidP="00924B64">
            <w:pPr>
              <w:jc w:val="center"/>
              <w:rPr>
                <w:sz w:val="18"/>
                <w:szCs w:val="18"/>
                <w:lang w:eastAsia="en-GB"/>
              </w:rPr>
            </w:pPr>
          </w:p>
        </w:tc>
        <w:tc>
          <w:tcPr>
            <w:tcW w:w="696" w:type="dxa"/>
            <w:tcBorders>
              <w:top w:val="nil"/>
              <w:left w:val="nil"/>
              <w:bottom w:val="nil"/>
              <w:right w:val="nil"/>
            </w:tcBorders>
            <w:shd w:val="clear" w:color="auto" w:fill="auto"/>
            <w:noWrap/>
          </w:tcPr>
          <w:p w14:paraId="2062F0CC" w14:textId="77777777" w:rsidR="00704151" w:rsidRPr="00687637" w:rsidRDefault="00704151" w:rsidP="00924B64">
            <w:pPr>
              <w:jc w:val="center"/>
              <w:rPr>
                <w:sz w:val="18"/>
                <w:szCs w:val="18"/>
                <w:lang w:eastAsia="en-GB"/>
              </w:rPr>
            </w:pPr>
          </w:p>
        </w:tc>
        <w:tc>
          <w:tcPr>
            <w:tcW w:w="1283" w:type="dxa"/>
            <w:tcBorders>
              <w:top w:val="nil"/>
              <w:left w:val="nil"/>
              <w:bottom w:val="nil"/>
              <w:right w:val="nil"/>
            </w:tcBorders>
            <w:shd w:val="clear" w:color="auto" w:fill="auto"/>
            <w:noWrap/>
          </w:tcPr>
          <w:p w14:paraId="0EBC931C" w14:textId="77777777" w:rsidR="00704151" w:rsidRPr="00687637" w:rsidRDefault="00704151" w:rsidP="00924B64">
            <w:pPr>
              <w:jc w:val="center"/>
              <w:rPr>
                <w:sz w:val="18"/>
                <w:szCs w:val="18"/>
                <w:lang w:eastAsia="en-GB"/>
              </w:rPr>
            </w:pPr>
          </w:p>
        </w:tc>
        <w:tc>
          <w:tcPr>
            <w:tcW w:w="696" w:type="dxa"/>
            <w:tcBorders>
              <w:top w:val="nil"/>
              <w:left w:val="nil"/>
              <w:bottom w:val="nil"/>
              <w:right w:val="nil"/>
            </w:tcBorders>
            <w:shd w:val="clear" w:color="auto" w:fill="auto"/>
            <w:noWrap/>
          </w:tcPr>
          <w:p w14:paraId="73645A35" w14:textId="77777777" w:rsidR="00704151" w:rsidRPr="00687637" w:rsidRDefault="00704151" w:rsidP="00924B64">
            <w:pPr>
              <w:jc w:val="center"/>
              <w:rPr>
                <w:sz w:val="18"/>
                <w:szCs w:val="18"/>
                <w:lang w:eastAsia="en-GB"/>
              </w:rPr>
            </w:pPr>
          </w:p>
        </w:tc>
      </w:tr>
      <w:tr w:rsidR="00704151" w:rsidRPr="00687637" w14:paraId="5DAA854A" w14:textId="77777777" w:rsidTr="00924B64">
        <w:trPr>
          <w:trHeight w:val="300"/>
        </w:trPr>
        <w:tc>
          <w:tcPr>
            <w:tcW w:w="696" w:type="dxa"/>
            <w:tcBorders>
              <w:top w:val="nil"/>
              <w:left w:val="nil"/>
              <w:bottom w:val="nil"/>
              <w:right w:val="nil"/>
            </w:tcBorders>
            <w:shd w:val="clear" w:color="auto" w:fill="auto"/>
            <w:noWrap/>
            <w:hideMark/>
          </w:tcPr>
          <w:p w14:paraId="61CE277E" w14:textId="77777777" w:rsidR="00704151" w:rsidRPr="00687637" w:rsidRDefault="00704151" w:rsidP="00924B64">
            <w:pPr>
              <w:jc w:val="center"/>
              <w:rPr>
                <w:sz w:val="18"/>
                <w:szCs w:val="18"/>
                <w:lang w:eastAsia="en-GB"/>
              </w:rPr>
            </w:pPr>
            <w:r w:rsidRPr="00687637">
              <w:rPr>
                <w:sz w:val="18"/>
                <w:szCs w:val="18"/>
                <w:lang w:eastAsia="en-GB"/>
              </w:rPr>
              <w:t>1</w:t>
            </w:r>
          </w:p>
        </w:tc>
        <w:tc>
          <w:tcPr>
            <w:tcW w:w="4454" w:type="dxa"/>
            <w:tcBorders>
              <w:top w:val="nil"/>
              <w:left w:val="nil"/>
              <w:bottom w:val="nil"/>
              <w:right w:val="nil"/>
            </w:tcBorders>
            <w:shd w:val="clear" w:color="auto" w:fill="auto"/>
            <w:noWrap/>
            <w:hideMark/>
          </w:tcPr>
          <w:p w14:paraId="3CCDFF7D" w14:textId="77777777" w:rsidR="00704151" w:rsidRPr="00687637" w:rsidRDefault="00704151" w:rsidP="00924B64">
            <w:pPr>
              <w:rPr>
                <w:sz w:val="18"/>
                <w:szCs w:val="18"/>
                <w:lang w:eastAsia="en-GB"/>
              </w:rPr>
            </w:pPr>
            <w:r w:rsidRPr="00687637">
              <w:rPr>
                <w:sz w:val="18"/>
                <w:szCs w:val="18"/>
                <w:lang w:eastAsia="en-GB"/>
              </w:rPr>
              <w:t>Zika virus update and advice for travellers including pregnant women</w:t>
            </w:r>
          </w:p>
        </w:tc>
        <w:tc>
          <w:tcPr>
            <w:tcW w:w="1201" w:type="dxa"/>
            <w:tcBorders>
              <w:top w:val="nil"/>
              <w:left w:val="nil"/>
              <w:bottom w:val="nil"/>
              <w:right w:val="nil"/>
            </w:tcBorders>
            <w:shd w:val="clear" w:color="auto" w:fill="auto"/>
            <w:noWrap/>
            <w:hideMark/>
          </w:tcPr>
          <w:p w14:paraId="45CF3BC5" w14:textId="77777777" w:rsidR="00704151" w:rsidRPr="00687637" w:rsidRDefault="00704151" w:rsidP="00924B64">
            <w:pPr>
              <w:jc w:val="center"/>
              <w:rPr>
                <w:sz w:val="18"/>
                <w:szCs w:val="18"/>
                <w:lang w:eastAsia="en-GB"/>
              </w:rPr>
            </w:pPr>
            <w:r w:rsidRPr="00687637">
              <w:rPr>
                <w:sz w:val="18"/>
                <w:szCs w:val="18"/>
                <w:lang w:eastAsia="en-GB"/>
              </w:rPr>
              <w:t>130,152</w:t>
            </w:r>
          </w:p>
        </w:tc>
        <w:tc>
          <w:tcPr>
            <w:tcW w:w="696" w:type="dxa"/>
            <w:tcBorders>
              <w:top w:val="nil"/>
              <w:left w:val="nil"/>
              <w:bottom w:val="nil"/>
              <w:right w:val="nil"/>
            </w:tcBorders>
            <w:shd w:val="clear" w:color="auto" w:fill="auto"/>
            <w:noWrap/>
            <w:hideMark/>
          </w:tcPr>
          <w:p w14:paraId="3A34DAD8" w14:textId="77777777" w:rsidR="00704151" w:rsidRPr="00687637" w:rsidRDefault="00704151" w:rsidP="00924B64">
            <w:pPr>
              <w:jc w:val="center"/>
              <w:rPr>
                <w:sz w:val="18"/>
                <w:szCs w:val="18"/>
                <w:lang w:eastAsia="en-GB"/>
              </w:rPr>
            </w:pPr>
            <w:r w:rsidRPr="00687637">
              <w:rPr>
                <w:sz w:val="18"/>
                <w:szCs w:val="18"/>
                <w:lang w:eastAsia="en-GB"/>
              </w:rPr>
              <w:t>40</w:t>
            </w:r>
          </w:p>
        </w:tc>
        <w:tc>
          <w:tcPr>
            <w:tcW w:w="1283" w:type="dxa"/>
            <w:tcBorders>
              <w:top w:val="nil"/>
              <w:left w:val="nil"/>
              <w:bottom w:val="nil"/>
              <w:right w:val="nil"/>
            </w:tcBorders>
            <w:shd w:val="clear" w:color="auto" w:fill="auto"/>
            <w:noWrap/>
            <w:hideMark/>
          </w:tcPr>
          <w:p w14:paraId="18BC67FD" w14:textId="77777777" w:rsidR="00704151" w:rsidRPr="00687637" w:rsidRDefault="00704151" w:rsidP="00924B64">
            <w:pPr>
              <w:jc w:val="center"/>
              <w:rPr>
                <w:sz w:val="18"/>
                <w:szCs w:val="18"/>
                <w:lang w:eastAsia="en-GB"/>
              </w:rPr>
            </w:pPr>
            <w:r w:rsidRPr="00687637">
              <w:rPr>
                <w:sz w:val="18"/>
                <w:szCs w:val="18"/>
                <w:lang w:eastAsia="en-GB"/>
              </w:rPr>
              <w:t>376</w:t>
            </w:r>
          </w:p>
        </w:tc>
        <w:tc>
          <w:tcPr>
            <w:tcW w:w="696" w:type="dxa"/>
            <w:tcBorders>
              <w:top w:val="nil"/>
              <w:left w:val="nil"/>
              <w:bottom w:val="nil"/>
              <w:right w:val="nil"/>
            </w:tcBorders>
            <w:shd w:val="clear" w:color="auto" w:fill="auto"/>
            <w:noWrap/>
            <w:hideMark/>
          </w:tcPr>
          <w:p w14:paraId="0EEE0E62" w14:textId="77777777" w:rsidR="00704151" w:rsidRPr="00687637" w:rsidRDefault="00704151" w:rsidP="00924B64">
            <w:pPr>
              <w:jc w:val="center"/>
              <w:rPr>
                <w:sz w:val="18"/>
                <w:szCs w:val="18"/>
                <w:lang w:eastAsia="en-GB"/>
              </w:rPr>
            </w:pPr>
            <w:r w:rsidRPr="00687637">
              <w:rPr>
                <w:sz w:val="18"/>
                <w:szCs w:val="18"/>
                <w:lang w:eastAsia="en-GB"/>
              </w:rPr>
              <w:t>57</w:t>
            </w:r>
          </w:p>
        </w:tc>
      </w:tr>
      <w:tr w:rsidR="00704151" w:rsidRPr="00687637" w14:paraId="2D474262" w14:textId="77777777" w:rsidTr="00924B64">
        <w:trPr>
          <w:trHeight w:val="300"/>
        </w:trPr>
        <w:tc>
          <w:tcPr>
            <w:tcW w:w="696" w:type="dxa"/>
            <w:tcBorders>
              <w:top w:val="nil"/>
              <w:left w:val="nil"/>
              <w:bottom w:val="nil"/>
              <w:right w:val="nil"/>
            </w:tcBorders>
            <w:shd w:val="clear" w:color="auto" w:fill="auto"/>
            <w:noWrap/>
            <w:hideMark/>
          </w:tcPr>
          <w:p w14:paraId="71C850DB" w14:textId="77777777" w:rsidR="00704151" w:rsidRPr="00687637" w:rsidRDefault="00704151" w:rsidP="00924B64">
            <w:pPr>
              <w:jc w:val="center"/>
              <w:rPr>
                <w:sz w:val="18"/>
                <w:szCs w:val="18"/>
                <w:lang w:eastAsia="en-GB"/>
              </w:rPr>
            </w:pPr>
            <w:r w:rsidRPr="00687637">
              <w:rPr>
                <w:sz w:val="18"/>
                <w:szCs w:val="18"/>
                <w:lang w:eastAsia="en-GB"/>
              </w:rPr>
              <w:t>2</w:t>
            </w:r>
          </w:p>
        </w:tc>
        <w:tc>
          <w:tcPr>
            <w:tcW w:w="4454" w:type="dxa"/>
            <w:tcBorders>
              <w:top w:val="nil"/>
              <w:left w:val="nil"/>
              <w:bottom w:val="nil"/>
              <w:right w:val="nil"/>
            </w:tcBorders>
            <w:shd w:val="clear" w:color="auto" w:fill="auto"/>
            <w:noWrap/>
            <w:hideMark/>
          </w:tcPr>
          <w:p w14:paraId="2CD2CDC2" w14:textId="77777777" w:rsidR="00704151" w:rsidRPr="00687637" w:rsidRDefault="00704151" w:rsidP="00924B64">
            <w:pPr>
              <w:rPr>
                <w:sz w:val="18"/>
                <w:szCs w:val="18"/>
                <w:lang w:eastAsia="en-GB"/>
              </w:rPr>
            </w:pPr>
            <w:r w:rsidRPr="00687637">
              <w:rPr>
                <w:sz w:val="18"/>
                <w:szCs w:val="18"/>
                <w:lang w:eastAsia="en-GB"/>
              </w:rPr>
              <w:t>Zika virus update and advice for pregnant women</w:t>
            </w:r>
          </w:p>
        </w:tc>
        <w:tc>
          <w:tcPr>
            <w:tcW w:w="1201" w:type="dxa"/>
            <w:tcBorders>
              <w:top w:val="nil"/>
              <w:left w:val="nil"/>
              <w:bottom w:val="nil"/>
              <w:right w:val="nil"/>
            </w:tcBorders>
            <w:shd w:val="clear" w:color="auto" w:fill="auto"/>
            <w:noWrap/>
            <w:hideMark/>
          </w:tcPr>
          <w:p w14:paraId="2E2C4A0B" w14:textId="77777777" w:rsidR="00704151" w:rsidRPr="00687637" w:rsidRDefault="00704151" w:rsidP="00924B64">
            <w:pPr>
              <w:jc w:val="center"/>
              <w:rPr>
                <w:sz w:val="18"/>
                <w:szCs w:val="18"/>
                <w:lang w:eastAsia="en-GB"/>
              </w:rPr>
            </w:pPr>
            <w:r w:rsidRPr="00687637">
              <w:rPr>
                <w:sz w:val="18"/>
                <w:szCs w:val="18"/>
                <w:lang w:eastAsia="en-GB"/>
              </w:rPr>
              <w:t>16,026</w:t>
            </w:r>
          </w:p>
        </w:tc>
        <w:tc>
          <w:tcPr>
            <w:tcW w:w="696" w:type="dxa"/>
            <w:tcBorders>
              <w:top w:val="nil"/>
              <w:left w:val="nil"/>
              <w:bottom w:val="nil"/>
              <w:right w:val="nil"/>
            </w:tcBorders>
            <w:shd w:val="clear" w:color="auto" w:fill="auto"/>
            <w:noWrap/>
            <w:hideMark/>
          </w:tcPr>
          <w:p w14:paraId="7421552B" w14:textId="77777777" w:rsidR="00704151" w:rsidRPr="00687637" w:rsidRDefault="00704151" w:rsidP="00924B64">
            <w:pPr>
              <w:jc w:val="center"/>
              <w:rPr>
                <w:sz w:val="18"/>
                <w:szCs w:val="18"/>
                <w:lang w:eastAsia="en-GB"/>
              </w:rPr>
            </w:pPr>
            <w:r w:rsidRPr="00687637">
              <w:rPr>
                <w:sz w:val="18"/>
                <w:szCs w:val="18"/>
                <w:lang w:eastAsia="en-GB"/>
              </w:rPr>
              <w:t>5</w:t>
            </w:r>
          </w:p>
        </w:tc>
        <w:tc>
          <w:tcPr>
            <w:tcW w:w="1283" w:type="dxa"/>
            <w:tcBorders>
              <w:top w:val="nil"/>
              <w:left w:val="nil"/>
              <w:bottom w:val="nil"/>
              <w:right w:val="nil"/>
            </w:tcBorders>
            <w:shd w:val="clear" w:color="auto" w:fill="auto"/>
            <w:noWrap/>
            <w:hideMark/>
          </w:tcPr>
          <w:p w14:paraId="3DCD5645" w14:textId="77777777" w:rsidR="00704151" w:rsidRPr="00687637" w:rsidRDefault="00704151" w:rsidP="00924B64">
            <w:pPr>
              <w:jc w:val="center"/>
              <w:rPr>
                <w:sz w:val="18"/>
                <w:szCs w:val="18"/>
                <w:lang w:eastAsia="en-GB"/>
              </w:rPr>
            </w:pPr>
            <w:r w:rsidRPr="00687637">
              <w:rPr>
                <w:sz w:val="18"/>
                <w:szCs w:val="18"/>
                <w:lang w:eastAsia="en-GB"/>
              </w:rPr>
              <w:t>40</w:t>
            </w:r>
          </w:p>
        </w:tc>
        <w:tc>
          <w:tcPr>
            <w:tcW w:w="696" w:type="dxa"/>
            <w:tcBorders>
              <w:top w:val="nil"/>
              <w:left w:val="nil"/>
              <w:bottom w:val="nil"/>
              <w:right w:val="nil"/>
            </w:tcBorders>
            <w:shd w:val="clear" w:color="auto" w:fill="auto"/>
            <w:noWrap/>
            <w:hideMark/>
          </w:tcPr>
          <w:p w14:paraId="09737474" w14:textId="77777777" w:rsidR="00704151" w:rsidRPr="00687637" w:rsidRDefault="00704151" w:rsidP="00924B64">
            <w:pPr>
              <w:jc w:val="center"/>
              <w:rPr>
                <w:sz w:val="18"/>
                <w:szCs w:val="18"/>
                <w:lang w:eastAsia="en-GB"/>
              </w:rPr>
            </w:pPr>
            <w:r w:rsidRPr="00687637">
              <w:rPr>
                <w:sz w:val="18"/>
                <w:szCs w:val="18"/>
                <w:lang w:eastAsia="en-GB"/>
              </w:rPr>
              <w:t>6.1</w:t>
            </w:r>
          </w:p>
        </w:tc>
      </w:tr>
      <w:tr w:rsidR="00704151" w:rsidRPr="00687637" w14:paraId="7A0601A5" w14:textId="77777777" w:rsidTr="00924B64">
        <w:trPr>
          <w:trHeight w:val="300"/>
        </w:trPr>
        <w:tc>
          <w:tcPr>
            <w:tcW w:w="696" w:type="dxa"/>
            <w:tcBorders>
              <w:top w:val="nil"/>
              <w:left w:val="nil"/>
              <w:bottom w:val="nil"/>
              <w:right w:val="nil"/>
            </w:tcBorders>
            <w:shd w:val="clear" w:color="auto" w:fill="auto"/>
            <w:noWrap/>
            <w:hideMark/>
          </w:tcPr>
          <w:p w14:paraId="21CA84F1" w14:textId="77777777" w:rsidR="00704151" w:rsidRPr="00687637" w:rsidRDefault="00704151" w:rsidP="00924B64">
            <w:pPr>
              <w:jc w:val="center"/>
              <w:rPr>
                <w:sz w:val="18"/>
                <w:szCs w:val="18"/>
                <w:lang w:eastAsia="en-GB"/>
              </w:rPr>
            </w:pPr>
            <w:r w:rsidRPr="00687637">
              <w:rPr>
                <w:sz w:val="18"/>
                <w:szCs w:val="18"/>
                <w:lang w:eastAsia="en-GB"/>
              </w:rPr>
              <w:t>3</w:t>
            </w:r>
          </w:p>
        </w:tc>
        <w:tc>
          <w:tcPr>
            <w:tcW w:w="4454" w:type="dxa"/>
            <w:tcBorders>
              <w:top w:val="nil"/>
              <w:left w:val="nil"/>
              <w:bottom w:val="nil"/>
              <w:right w:val="nil"/>
            </w:tcBorders>
            <w:shd w:val="clear" w:color="auto" w:fill="auto"/>
            <w:noWrap/>
            <w:hideMark/>
          </w:tcPr>
          <w:p w14:paraId="715AD522" w14:textId="77777777" w:rsidR="00704151" w:rsidRPr="00687637" w:rsidRDefault="00704151" w:rsidP="00924B64">
            <w:pPr>
              <w:rPr>
                <w:sz w:val="18"/>
                <w:szCs w:val="18"/>
                <w:lang w:eastAsia="en-GB"/>
              </w:rPr>
            </w:pPr>
            <w:r w:rsidRPr="00687637">
              <w:rPr>
                <w:sz w:val="18"/>
                <w:szCs w:val="18"/>
                <w:lang w:eastAsia="en-GB"/>
              </w:rPr>
              <w:t>Revision of UK Zika virus pre-travel guidance</w:t>
            </w:r>
          </w:p>
        </w:tc>
        <w:tc>
          <w:tcPr>
            <w:tcW w:w="1201" w:type="dxa"/>
            <w:tcBorders>
              <w:top w:val="nil"/>
              <w:left w:val="nil"/>
              <w:bottom w:val="nil"/>
              <w:right w:val="nil"/>
            </w:tcBorders>
            <w:shd w:val="clear" w:color="auto" w:fill="auto"/>
            <w:noWrap/>
            <w:hideMark/>
          </w:tcPr>
          <w:p w14:paraId="44AF7369" w14:textId="77777777" w:rsidR="00704151" w:rsidRPr="00687637" w:rsidRDefault="00704151" w:rsidP="00924B64">
            <w:pPr>
              <w:jc w:val="center"/>
              <w:rPr>
                <w:sz w:val="18"/>
                <w:szCs w:val="18"/>
                <w:lang w:eastAsia="en-GB"/>
              </w:rPr>
            </w:pPr>
            <w:r w:rsidRPr="00687637">
              <w:rPr>
                <w:sz w:val="18"/>
                <w:szCs w:val="18"/>
                <w:lang w:eastAsia="en-GB"/>
              </w:rPr>
              <w:t>9,387</w:t>
            </w:r>
          </w:p>
        </w:tc>
        <w:tc>
          <w:tcPr>
            <w:tcW w:w="696" w:type="dxa"/>
            <w:tcBorders>
              <w:top w:val="nil"/>
              <w:left w:val="nil"/>
              <w:bottom w:val="nil"/>
              <w:right w:val="nil"/>
            </w:tcBorders>
            <w:shd w:val="clear" w:color="auto" w:fill="auto"/>
            <w:noWrap/>
            <w:hideMark/>
          </w:tcPr>
          <w:p w14:paraId="19EB58F1" w14:textId="77777777" w:rsidR="00704151" w:rsidRPr="00687637" w:rsidRDefault="00704151" w:rsidP="00924B64">
            <w:pPr>
              <w:jc w:val="center"/>
              <w:rPr>
                <w:sz w:val="18"/>
                <w:szCs w:val="18"/>
                <w:lang w:eastAsia="en-GB"/>
              </w:rPr>
            </w:pPr>
            <w:r w:rsidRPr="00687637">
              <w:rPr>
                <w:sz w:val="18"/>
                <w:szCs w:val="18"/>
                <w:lang w:eastAsia="en-GB"/>
              </w:rPr>
              <w:t>2.9</w:t>
            </w:r>
          </w:p>
        </w:tc>
        <w:tc>
          <w:tcPr>
            <w:tcW w:w="1283" w:type="dxa"/>
            <w:tcBorders>
              <w:top w:val="nil"/>
              <w:left w:val="nil"/>
              <w:bottom w:val="nil"/>
              <w:right w:val="nil"/>
            </w:tcBorders>
            <w:shd w:val="clear" w:color="auto" w:fill="auto"/>
            <w:noWrap/>
            <w:hideMark/>
          </w:tcPr>
          <w:p w14:paraId="74BFC833" w14:textId="77777777" w:rsidR="00704151" w:rsidRPr="00687637" w:rsidRDefault="00704151" w:rsidP="00924B64">
            <w:pPr>
              <w:jc w:val="center"/>
              <w:rPr>
                <w:sz w:val="18"/>
                <w:szCs w:val="18"/>
                <w:lang w:eastAsia="en-GB"/>
              </w:rPr>
            </w:pPr>
            <w:r w:rsidRPr="00687637">
              <w:rPr>
                <w:sz w:val="18"/>
                <w:szCs w:val="18"/>
                <w:lang w:eastAsia="en-GB"/>
              </w:rPr>
              <w:t>11</w:t>
            </w:r>
          </w:p>
        </w:tc>
        <w:tc>
          <w:tcPr>
            <w:tcW w:w="696" w:type="dxa"/>
            <w:tcBorders>
              <w:top w:val="nil"/>
              <w:left w:val="nil"/>
              <w:bottom w:val="nil"/>
              <w:right w:val="nil"/>
            </w:tcBorders>
            <w:shd w:val="clear" w:color="auto" w:fill="auto"/>
            <w:noWrap/>
            <w:hideMark/>
          </w:tcPr>
          <w:p w14:paraId="7C7044A2" w14:textId="77777777" w:rsidR="00704151" w:rsidRPr="00687637" w:rsidRDefault="00704151" w:rsidP="00924B64">
            <w:pPr>
              <w:jc w:val="center"/>
              <w:rPr>
                <w:sz w:val="18"/>
                <w:szCs w:val="18"/>
                <w:lang w:eastAsia="en-GB"/>
              </w:rPr>
            </w:pPr>
            <w:r w:rsidRPr="00687637">
              <w:rPr>
                <w:sz w:val="18"/>
                <w:szCs w:val="18"/>
                <w:lang w:eastAsia="en-GB"/>
              </w:rPr>
              <w:t>1.7</w:t>
            </w:r>
          </w:p>
        </w:tc>
      </w:tr>
      <w:tr w:rsidR="00704151" w:rsidRPr="00687637" w14:paraId="0AC58BDA" w14:textId="77777777" w:rsidTr="00924B64">
        <w:trPr>
          <w:trHeight w:val="300"/>
        </w:trPr>
        <w:tc>
          <w:tcPr>
            <w:tcW w:w="696" w:type="dxa"/>
            <w:tcBorders>
              <w:top w:val="nil"/>
              <w:left w:val="nil"/>
              <w:bottom w:val="nil"/>
              <w:right w:val="nil"/>
            </w:tcBorders>
            <w:shd w:val="clear" w:color="auto" w:fill="auto"/>
            <w:noWrap/>
            <w:hideMark/>
          </w:tcPr>
          <w:p w14:paraId="537A0E74" w14:textId="77777777" w:rsidR="00704151" w:rsidRPr="00687637" w:rsidRDefault="00704151" w:rsidP="00924B64">
            <w:pPr>
              <w:jc w:val="center"/>
              <w:rPr>
                <w:sz w:val="18"/>
                <w:szCs w:val="18"/>
                <w:lang w:eastAsia="en-GB"/>
              </w:rPr>
            </w:pPr>
            <w:r w:rsidRPr="00687637">
              <w:rPr>
                <w:sz w:val="18"/>
                <w:szCs w:val="18"/>
                <w:lang w:eastAsia="en-GB"/>
              </w:rPr>
              <w:t>4</w:t>
            </w:r>
          </w:p>
        </w:tc>
        <w:tc>
          <w:tcPr>
            <w:tcW w:w="4454" w:type="dxa"/>
            <w:tcBorders>
              <w:top w:val="nil"/>
              <w:left w:val="nil"/>
              <w:bottom w:val="nil"/>
              <w:right w:val="nil"/>
            </w:tcBorders>
            <w:shd w:val="clear" w:color="auto" w:fill="auto"/>
            <w:noWrap/>
            <w:hideMark/>
          </w:tcPr>
          <w:p w14:paraId="0C894732" w14:textId="77777777" w:rsidR="00704151" w:rsidRPr="00687637" w:rsidRDefault="00704151" w:rsidP="00924B64">
            <w:pPr>
              <w:rPr>
                <w:sz w:val="18"/>
                <w:szCs w:val="18"/>
                <w:lang w:eastAsia="en-GB"/>
              </w:rPr>
            </w:pPr>
            <w:r w:rsidRPr="00687637">
              <w:rPr>
                <w:sz w:val="18"/>
                <w:szCs w:val="18"/>
                <w:lang w:eastAsia="en-GB"/>
              </w:rPr>
              <w:t>Definition for areas with active Zika virus transmission amended</w:t>
            </w:r>
          </w:p>
        </w:tc>
        <w:tc>
          <w:tcPr>
            <w:tcW w:w="1201" w:type="dxa"/>
            <w:tcBorders>
              <w:top w:val="nil"/>
              <w:left w:val="nil"/>
              <w:bottom w:val="nil"/>
              <w:right w:val="nil"/>
            </w:tcBorders>
            <w:shd w:val="clear" w:color="auto" w:fill="auto"/>
            <w:noWrap/>
            <w:hideMark/>
          </w:tcPr>
          <w:p w14:paraId="097CEE7B" w14:textId="77777777" w:rsidR="00704151" w:rsidRPr="00687637" w:rsidRDefault="00704151" w:rsidP="00924B64">
            <w:pPr>
              <w:jc w:val="center"/>
              <w:rPr>
                <w:sz w:val="18"/>
                <w:szCs w:val="18"/>
                <w:lang w:eastAsia="en-GB"/>
              </w:rPr>
            </w:pPr>
            <w:r w:rsidRPr="00687637">
              <w:rPr>
                <w:sz w:val="18"/>
                <w:szCs w:val="18"/>
                <w:lang w:eastAsia="en-GB"/>
              </w:rPr>
              <w:t>9,073</w:t>
            </w:r>
          </w:p>
        </w:tc>
        <w:tc>
          <w:tcPr>
            <w:tcW w:w="696" w:type="dxa"/>
            <w:tcBorders>
              <w:top w:val="nil"/>
              <w:left w:val="nil"/>
              <w:bottom w:val="nil"/>
              <w:right w:val="nil"/>
            </w:tcBorders>
            <w:shd w:val="clear" w:color="auto" w:fill="auto"/>
            <w:noWrap/>
            <w:hideMark/>
          </w:tcPr>
          <w:p w14:paraId="18D5A9B2" w14:textId="77777777" w:rsidR="00704151" w:rsidRPr="00687637" w:rsidRDefault="00704151" w:rsidP="00924B64">
            <w:pPr>
              <w:jc w:val="center"/>
              <w:rPr>
                <w:sz w:val="18"/>
                <w:szCs w:val="18"/>
                <w:lang w:eastAsia="en-GB"/>
              </w:rPr>
            </w:pPr>
            <w:r w:rsidRPr="00687637">
              <w:rPr>
                <w:sz w:val="18"/>
                <w:szCs w:val="18"/>
                <w:lang w:eastAsia="en-GB"/>
              </w:rPr>
              <w:t>2.8</w:t>
            </w:r>
          </w:p>
        </w:tc>
        <w:tc>
          <w:tcPr>
            <w:tcW w:w="1283" w:type="dxa"/>
            <w:tcBorders>
              <w:top w:val="nil"/>
              <w:left w:val="nil"/>
              <w:bottom w:val="nil"/>
              <w:right w:val="nil"/>
            </w:tcBorders>
            <w:shd w:val="clear" w:color="auto" w:fill="auto"/>
            <w:noWrap/>
            <w:hideMark/>
          </w:tcPr>
          <w:p w14:paraId="57DBD04E" w14:textId="77777777" w:rsidR="00704151" w:rsidRPr="00687637" w:rsidRDefault="00704151" w:rsidP="00924B64">
            <w:pPr>
              <w:jc w:val="center"/>
              <w:rPr>
                <w:sz w:val="18"/>
                <w:szCs w:val="18"/>
                <w:lang w:eastAsia="en-GB"/>
              </w:rPr>
            </w:pPr>
            <w:r w:rsidRPr="00687637">
              <w:rPr>
                <w:sz w:val="18"/>
                <w:szCs w:val="18"/>
                <w:lang w:eastAsia="en-GB"/>
              </w:rPr>
              <w:t>11</w:t>
            </w:r>
          </w:p>
        </w:tc>
        <w:tc>
          <w:tcPr>
            <w:tcW w:w="696" w:type="dxa"/>
            <w:tcBorders>
              <w:top w:val="nil"/>
              <w:left w:val="nil"/>
              <w:bottom w:val="nil"/>
              <w:right w:val="nil"/>
            </w:tcBorders>
            <w:shd w:val="clear" w:color="auto" w:fill="auto"/>
            <w:noWrap/>
            <w:hideMark/>
          </w:tcPr>
          <w:p w14:paraId="26D3147B" w14:textId="77777777" w:rsidR="00704151" w:rsidRPr="00687637" w:rsidRDefault="00704151" w:rsidP="00924B64">
            <w:pPr>
              <w:jc w:val="center"/>
              <w:rPr>
                <w:sz w:val="18"/>
                <w:szCs w:val="18"/>
                <w:lang w:eastAsia="en-GB"/>
              </w:rPr>
            </w:pPr>
            <w:r w:rsidRPr="00687637">
              <w:rPr>
                <w:sz w:val="18"/>
                <w:szCs w:val="18"/>
                <w:lang w:eastAsia="en-GB"/>
              </w:rPr>
              <w:t>1.6</w:t>
            </w:r>
          </w:p>
        </w:tc>
      </w:tr>
      <w:tr w:rsidR="00704151" w:rsidRPr="00687637" w14:paraId="47F4FA17" w14:textId="77777777" w:rsidTr="00924B64">
        <w:trPr>
          <w:trHeight w:val="300"/>
        </w:trPr>
        <w:tc>
          <w:tcPr>
            <w:tcW w:w="696" w:type="dxa"/>
            <w:tcBorders>
              <w:top w:val="nil"/>
              <w:left w:val="nil"/>
              <w:bottom w:val="nil"/>
              <w:right w:val="nil"/>
            </w:tcBorders>
            <w:shd w:val="clear" w:color="auto" w:fill="auto"/>
            <w:noWrap/>
            <w:hideMark/>
          </w:tcPr>
          <w:p w14:paraId="5792E384" w14:textId="77777777" w:rsidR="00704151" w:rsidRPr="00687637" w:rsidRDefault="00704151" w:rsidP="00924B64">
            <w:pPr>
              <w:jc w:val="center"/>
              <w:rPr>
                <w:sz w:val="18"/>
                <w:szCs w:val="18"/>
                <w:lang w:eastAsia="en-GB"/>
              </w:rPr>
            </w:pPr>
            <w:r w:rsidRPr="00687637">
              <w:rPr>
                <w:sz w:val="18"/>
                <w:szCs w:val="18"/>
                <w:lang w:eastAsia="en-GB"/>
              </w:rPr>
              <w:t>5</w:t>
            </w:r>
          </w:p>
        </w:tc>
        <w:tc>
          <w:tcPr>
            <w:tcW w:w="4454" w:type="dxa"/>
            <w:tcBorders>
              <w:top w:val="nil"/>
              <w:left w:val="nil"/>
              <w:bottom w:val="nil"/>
              <w:right w:val="nil"/>
            </w:tcBorders>
            <w:shd w:val="clear" w:color="auto" w:fill="auto"/>
            <w:noWrap/>
            <w:hideMark/>
          </w:tcPr>
          <w:p w14:paraId="392F1712" w14:textId="77777777" w:rsidR="00704151" w:rsidRPr="00687637" w:rsidRDefault="00704151" w:rsidP="00924B64">
            <w:pPr>
              <w:rPr>
                <w:sz w:val="18"/>
                <w:szCs w:val="18"/>
                <w:lang w:eastAsia="en-GB"/>
              </w:rPr>
            </w:pPr>
            <w:r w:rsidRPr="00687637">
              <w:rPr>
                <w:sz w:val="18"/>
                <w:szCs w:val="18"/>
                <w:lang w:eastAsia="en-GB"/>
              </w:rPr>
              <w:t>Zika virus - Quick links</w:t>
            </w:r>
          </w:p>
        </w:tc>
        <w:tc>
          <w:tcPr>
            <w:tcW w:w="1201" w:type="dxa"/>
            <w:tcBorders>
              <w:top w:val="nil"/>
              <w:left w:val="nil"/>
              <w:bottom w:val="nil"/>
              <w:right w:val="nil"/>
            </w:tcBorders>
            <w:shd w:val="clear" w:color="auto" w:fill="auto"/>
            <w:noWrap/>
            <w:hideMark/>
          </w:tcPr>
          <w:p w14:paraId="5E94D864" w14:textId="77777777" w:rsidR="00704151" w:rsidRPr="00687637" w:rsidRDefault="00704151" w:rsidP="00924B64">
            <w:pPr>
              <w:jc w:val="center"/>
              <w:rPr>
                <w:sz w:val="18"/>
                <w:szCs w:val="18"/>
                <w:lang w:eastAsia="en-GB"/>
              </w:rPr>
            </w:pPr>
            <w:r w:rsidRPr="00687637">
              <w:rPr>
                <w:sz w:val="18"/>
                <w:szCs w:val="18"/>
                <w:lang w:eastAsia="en-GB"/>
              </w:rPr>
              <w:t>8,901</w:t>
            </w:r>
          </w:p>
        </w:tc>
        <w:tc>
          <w:tcPr>
            <w:tcW w:w="696" w:type="dxa"/>
            <w:tcBorders>
              <w:top w:val="nil"/>
              <w:left w:val="nil"/>
              <w:bottom w:val="nil"/>
              <w:right w:val="nil"/>
            </w:tcBorders>
            <w:shd w:val="clear" w:color="auto" w:fill="auto"/>
            <w:noWrap/>
            <w:hideMark/>
          </w:tcPr>
          <w:p w14:paraId="0F3E5FC7" w14:textId="77777777" w:rsidR="00704151" w:rsidRPr="00687637" w:rsidRDefault="00704151" w:rsidP="00924B64">
            <w:pPr>
              <w:jc w:val="center"/>
              <w:rPr>
                <w:sz w:val="18"/>
                <w:szCs w:val="18"/>
                <w:lang w:eastAsia="en-GB"/>
              </w:rPr>
            </w:pPr>
            <w:r w:rsidRPr="00687637">
              <w:rPr>
                <w:sz w:val="18"/>
                <w:szCs w:val="18"/>
                <w:lang w:eastAsia="en-GB"/>
              </w:rPr>
              <w:t>2.8</w:t>
            </w:r>
          </w:p>
        </w:tc>
        <w:tc>
          <w:tcPr>
            <w:tcW w:w="1283" w:type="dxa"/>
            <w:tcBorders>
              <w:top w:val="nil"/>
              <w:left w:val="nil"/>
              <w:bottom w:val="nil"/>
              <w:right w:val="nil"/>
            </w:tcBorders>
            <w:shd w:val="clear" w:color="auto" w:fill="auto"/>
            <w:noWrap/>
            <w:hideMark/>
          </w:tcPr>
          <w:p w14:paraId="66ED1AE6" w14:textId="77777777" w:rsidR="00704151" w:rsidRPr="00687637" w:rsidRDefault="00704151" w:rsidP="00924B64">
            <w:pPr>
              <w:jc w:val="center"/>
              <w:rPr>
                <w:sz w:val="18"/>
                <w:szCs w:val="18"/>
                <w:lang w:eastAsia="en-GB"/>
              </w:rPr>
            </w:pPr>
            <w:r w:rsidRPr="00687637">
              <w:rPr>
                <w:sz w:val="18"/>
                <w:szCs w:val="18"/>
                <w:lang w:eastAsia="en-GB"/>
              </w:rPr>
              <w:t>5.6</w:t>
            </w:r>
          </w:p>
        </w:tc>
        <w:tc>
          <w:tcPr>
            <w:tcW w:w="696" w:type="dxa"/>
            <w:tcBorders>
              <w:top w:val="nil"/>
              <w:left w:val="nil"/>
              <w:bottom w:val="nil"/>
              <w:right w:val="nil"/>
            </w:tcBorders>
            <w:shd w:val="clear" w:color="auto" w:fill="auto"/>
            <w:noWrap/>
            <w:hideMark/>
          </w:tcPr>
          <w:p w14:paraId="312DDFF1" w14:textId="77777777" w:rsidR="00704151" w:rsidRPr="00687637" w:rsidRDefault="00704151" w:rsidP="00924B64">
            <w:pPr>
              <w:jc w:val="center"/>
              <w:rPr>
                <w:sz w:val="18"/>
                <w:szCs w:val="18"/>
                <w:lang w:eastAsia="en-GB"/>
              </w:rPr>
            </w:pPr>
            <w:r w:rsidRPr="00687637">
              <w:rPr>
                <w:sz w:val="18"/>
                <w:szCs w:val="18"/>
                <w:lang w:eastAsia="en-GB"/>
              </w:rPr>
              <w:t>0.85</w:t>
            </w:r>
          </w:p>
        </w:tc>
      </w:tr>
      <w:tr w:rsidR="00704151" w:rsidRPr="00687637" w14:paraId="640EDFEA" w14:textId="77777777" w:rsidTr="00924B64">
        <w:trPr>
          <w:trHeight w:val="300"/>
        </w:trPr>
        <w:tc>
          <w:tcPr>
            <w:tcW w:w="696" w:type="dxa"/>
            <w:tcBorders>
              <w:top w:val="nil"/>
              <w:left w:val="nil"/>
              <w:bottom w:val="nil"/>
              <w:right w:val="nil"/>
            </w:tcBorders>
            <w:shd w:val="clear" w:color="auto" w:fill="auto"/>
            <w:noWrap/>
            <w:hideMark/>
          </w:tcPr>
          <w:p w14:paraId="1C2B2085" w14:textId="77777777" w:rsidR="00704151" w:rsidRPr="00687637" w:rsidRDefault="00704151" w:rsidP="00924B64">
            <w:pPr>
              <w:jc w:val="center"/>
              <w:rPr>
                <w:sz w:val="18"/>
                <w:szCs w:val="18"/>
                <w:lang w:eastAsia="en-GB"/>
              </w:rPr>
            </w:pPr>
            <w:r w:rsidRPr="00687637">
              <w:rPr>
                <w:sz w:val="18"/>
                <w:szCs w:val="18"/>
                <w:lang w:eastAsia="en-GB"/>
              </w:rPr>
              <w:t>6</w:t>
            </w:r>
          </w:p>
        </w:tc>
        <w:tc>
          <w:tcPr>
            <w:tcW w:w="4454" w:type="dxa"/>
            <w:tcBorders>
              <w:top w:val="nil"/>
              <w:left w:val="nil"/>
              <w:bottom w:val="nil"/>
              <w:right w:val="nil"/>
            </w:tcBorders>
            <w:shd w:val="clear" w:color="auto" w:fill="auto"/>
            <w:noWrap/>
            <w:hideMark/>
          </w:tcPr>
          <w:p w14:paraId="3D8B51D4" w14:textId="77777777" w:rsidR="00704151" w:rsidRPr="00687637" w:rsidRDefault="00704151" w:rsidP="00924B64">
            <w:pPr>
              <w:rPr>
                <w:sz w:val="18"/>
                <w:szCs w:val="18"/>
                <w:lang w:eastAsia="en-GB"/>
              </w:rPr>
            </w:pPr>
            <w:r w:rsidRPr="00687637">
              <w:rPr>
                <w:sz w:val="18"/>
                <w:szCs w:val="18"/>
                <w:lang w:eastAsia="en-GB"/>
              </w:rPr>
              <w:t>Changes to yellow fever certificates 11 July 2016</w:t>
            </w:r>
          </w:p>
        </w:tc>
        <w:tc>
          <w:tcPr>
            <w:tcW w:w="1201" w:type="dxa"/>
            <w:tcBorders>
              <w:top w:val="nil"/>
              <w:left w:val="nil"/>
              <w:bottom w:val="nil"/>
              <w:right w:val="nil"/>
            </w:tcBorders>
            <w:shd w:val="clear" w:color="auto" w:fill="auto"/>
            <w:noWrap/>
            <w:hideMark/>
          </w:tcPr>
          <w:p w14:paraId="24CEFEBF" w14:textId="77777777" w:rsidR="00704151" w:rsidRPr="00687637" w:rsidRDefault="00704151" w:rsidP="00924B64">
            <w:pPr>
              <w:jc w:val="center"/>
              <w:rPr>
                <w:sz w:val="18"/>
                <w:szCs w:val="18"/>
                <w:lang w:eastAsia="en-GB"/>
              </w:rPr>
            </w:pPr>
            <w:r w:rsidRPr="00687637">
              <w:rPr>
                <w:sz w:val="18"/>
                <w:szCs w:val="18"/>
                <w:lang w:eastAsia="en-GB"/>
              </w:rPr>
              <w:t>8,722</w:t>
            </w:r>
          </w:p>
        </w:tc>
        <w:tc>
          <w:tcPr>
            <w:tcW w:w="696" w:type="dxa"/>
            <w:tcBorders>
              <w:top w:val="nil"/>
              <w:left w:val="nil"/>
              <w:bottom w:val="nil"/>
              <w:right w:val="nil"/>
            </w:tcBorders>
            <w:shd w:val="clear" w:color="auto" w:fill="auto"/>
            <w:noWrap/>
            <w:hideMark/>
          </w:tcPr>
          <w:p w14:paraId="340F98DD" w14:textId="77777777" w:rsidR="00704151" w:rsidRPr="00687637" w:rsidRDefault="00704151" w:rsidP="00924B64">
            <w:pPr>
              <w:jc w:val="center"/>
              <w:rPr>
                <w:sz w:val="18"/>
                <w:szCs w:val="18"/>
                <w:lang w:eastAsia="en-GB"/>
              </w:rPr>
            </w:pPr>
            <w:r w:rsidRPr="00687637">
              <w:rPr>
                <w:sz w:val="18"/>
                <w:szCs w:val="18"/>
                <w:lang w:eastAsia="en-GB"/>
              </w:rPr>
              <w:t>2.7</w:t>
            </w:r>
          </w:p>
        </w:tc>
        <w:tc>
          <w:tcPr>
            <w:tcW w:w="1283" w:type="dxa"/>
            <w:tcBorders>
              <w:top w:val="nil"/>
              <w:left w:val="nil"/>
              <w:bottom w:val="nil"/>
              <w:right w:val="nil"/>
            </w:tcBorders>
            <w:shd w:val="clear" w:color="auto" w:fill="auto"/>
            <w:noWrap/>
            <w:hideMark/>
          </w:tcPr>
          <w:p w14:paraId="556827F5" w14:textId="77777777" w:rsidR="00704151" w:rsidRPr="00687637" w:rsidRDefault="00704151" w:rsidP="00924B64">
            <w:pPr>
              <w:jc w:val="center"/>
              <w:rPr>
                <w:sz w:val="18"/>
                <w:szCs w:val="18"/>
                <w:lang w:eastAsia="en-GB"/>
              </w:rPr>
            </w:pPr>
            <w:r w:rsidRPr="00687637">
              <w:rPr>
                <w:sz w:val="18"/>
                <w:szCs w:val="18"/>
                <w:lang w:eastAsia="en-GB"/>
              </w:rPr>
              <w:t>19</w:t>
            </w:r>
          </w:p>
        </w:tc>
        <w:tc>
          <w:tcPr>
            <w:tcW w:w="696" w:type="dxa"/>
            <w:tcBorders>
              <w:top w:val="nil"/>
              <w:left w:val="nil"/>
              <w:bottom w:val="nil"/>
              <w:right w:val="nil"/>
            </w:tcBorders>
            <w:shd w:val="clear" w:color="auto" w:fill="auto"/>
            <w:noWrap/>
            <w:hideMark/>
          </w:tcPr>
          <w:p w14:paraId="17D1BB65" w14:textId="77777777" w:rsidR="00704151" w:rsidRPr="00687637" w:rsidRDefault="00704151" w:rsidP="00924B64">
            <w:pPr>
              <w:jc w:val="center"/>
              <w:rPr>
                <w:sz w:val="18"/>
                <w:szCs w:val="18"/>
                <w:lang w:eastAsia="en-GB"/>
              </w:rPr>
            </w:pPr>
            <w:r w:rsidRPr="00687637">
              <w:rPr>
                <w:sz w:val="18"/>
                <w:szCs w:val="18"/>
                <w:lang w:eastAsia="en-GB"/>
              </w:rPr>
              <w:t>2.9</w:t>
            </w:r>
          </w:p>
        </w:tc>
      </w:tr>
      <w:tr w:rsidR="00704151" w:rsidRPr="00687637" w14:paraId="435AC47B" w14:textId="77777777" w:rsidTr="00924B64">
        <w:trPr>
          <w:trHeight w:val="300"/>
        </w:trPr>
        <w:tc>
          <w:tcPr>
            <w:tcW w:w="696" w:type="dxa"/>
            <w:tcBorders>
              <w:top w:val="nil"/>
              <w:left w:val="nil"/>
              <w:bottom w:val="nil"/>
              <w:right w:val="nil"/>
            </w:tcBorders>
            <w:shd w:val="clear" w:color="auto" w:fill="auto"/>
            <w:noWrap/>
            <w:hideMark/>
          </w:tcPr>
          <w:p w14:paraId="29B10620" w14:textId="77777777" w:rsidR="00704151" w:rsidRPr="00687637" w:rsidRDefault="00704151" w:rsidP="00924B64">
            <w:pPr>
              <w:jc w:val="center"/>
              <w:rPr>
                <w:sz w:val="18"/>
                <w:szCs w:val="18"/>
                <w:lang w:eastAsia="en-GB"/>
              </w:rPr>
            </w:pPr>
            <w:r w:rsidRPr="00687637">
              <w:rPr>
                <w:sz w:val="18"/>
                <w:szCs w:val="18"/>
                <w:lang w:eastAsia="en-GB"/>
              </w:rPr>
              <w:t>7</w:t>
            </w:r>
          </w:p>
        </w:tc>
        <w:tc>
          <w:tcPr>
            <w:tcW w:w="4454" w:type="dxa"/>
            <w:tcBorders>
              <w:top w:val="nil"/>
              <w:left w:val="nil"/>
              <w:bottom w:val="nil"/>
              <w:right w:val="nil"/>
            </w:tcBorders>
            <w:shd w:val="clear" w:color="auto" w:fill="auto"/>
            <w:noWrap/>
            <w:hideMark/>
          </w:tcPr>
          <w:p w14:paraId="0744C59B" w14:textId="77777777" w:rsidR="00704151" w:rsidRPr="00687637" w:rsidRDefault="00704151" w:rsidP="00924B64">
            <w:pPr>
              <w:rPr>
                <w:sz w:val="18"/>
                <w:szCs w:val="18"/>
                <w:lang w:eastAsia="en-GB"/>
              </w:rPr>
            </w:pPr>
            <w:r w:rsidRPr="00687637">
              <w:rPr>
                <w:sz w:val="18"/>
                <w:szCs w:val="18"/>
                <w:lang w:eastAsia="en-GB"/>
              </w:rPr>
              <w:t>Zika virus in the Americas - update and advice for pregnant women</w:t>
            </w:r>
          </w:p>
        </w:tc>
        <w:tc>
          <w:tcPr>
            <w:tcW w:w="1201" w:type="dxa"/>
            <w:tcBorders>
              <w:top w:val="nil"/>
              <w:left w:val="nil"/>
              <w:bottom w:val="nil"/>
              <w:right w:val="nil"/>
            </w:tcBorders>
            <w:shd w:val="clear" w:color="auto" w:fill="auto"/>
            <w:noWrap/>
            <w:hideMark/>
          </w:tcPr>
          <w:p w14:paraId="745D85D3" w14:textId="77777777" w:rsidR="00704151" w:rsidRPr="00687637" w:rsidRDefault="00704151" w:rsidP="00924B64">
            <w:pPr>
              <w:jc w:val="center"/>
              <w:rPr>
                <w:sz w:val="18"/>
                <w:szCs w:val="18"/>
                <w:lang w:eastAsia="en-GB"/>
              </w:rPr>
            </w:pPr>
            <w:r w:rsidRPr="00687637">
              <w:rPr>
                <w:sz w:val="18"/>
                <w:szCs w:val="18"/>
                <w:lang w:eastAsia="en-GB"/>
              </w:rPr>
              <w:t>7,073</w:t>
            </w:r>
          </w:p>
        </w:tc>
        <w:tc>
          <w:tcPr>
            <w:tcW w:w="696" w:type="dxa"/>
            <w:tcBorders>
              <w:top w:val="nil"/>
              <w:left w:val="nil"/>
              <w:bottom w:val="nil"/>
              <w:right w:val="nil"/>
            </w:tcBorders>
            <w:shd w:val="clear" w:color="auto" w:fill="auto"/>
            <w:noWrap/>
            <w:hideMark/>
          </w:tcPr>
          <w:p w14:paraId="42E3EA89" w14:textId="77777777" w:rsidR="00704151" w:rsidRPr="00687637" w:rsidRDefault="00704151" w:rsidP="00924B64">
            <w:pPr>
              <w:jc w:val="center"/>
              <w:rPr>
                <w:sz w:val="18"/>
                <w:szCs w:val="18"/>
                <w:lang w:eastAsia="en-GB"/>
              </w:rPr>
            </w:pPr>
            <w:r w:rsidRPr="00687637">
              <w:rPr>
                <w:sz w:val="18"/>
                <w:szCs w:val="18"/>
                <w:lang w:eastAsia="en-GB"/>
              </w:rPr>
              <w:t>2.2</w:t>
            </w:r>
          </w:p>
        </w:tc>
        <w:tc>
          <w:tcPr>
            <w:tcW w:w="1283" w:type="dxa"/>
            <w:tcBorders>
              <w:top w:val="nil"/>
              <w:left w:val="nil"/>
              <w:bottom w:val="nil"/>
              <w:right w:val="nil"/>
            </w:tcBorders>
            <w:shd w:val="clear" w:color="auto" w:fill="auto"/>
            <w:noWrap/>
            <w:hideMark/>
          </w:tcPr>
          <w:p w14:paraId="3CA95F6A" w14:textId="77777777" w:rsidR="00704151" w:rsidRPr="00687637" w:rsidRDefault="00704151" w:rsidP="00924B64">
            <w:pPr>
              <w:jc w:val="center"/>
              <w:rPr>
                <w:sz w:val="18"/>
                <w:szCs w:val="18"/>
                <w:lang w:eastAsia="en-GB"/>
              </w:rPr>
            </w:pPr>
            <w:r w:rsidRPr="00687637">
              <w:rPr>
                <w:sz w:val="18"/>
                <w:szCs w:val="18"/>
                <w:lang w:eastAsia="en-GB"/>
              </w:rPr>
              <w:t>12</w:t>
            </w:r>
          </w:p>
        </w:tc>
        <w:tc>
          <w:tcPr>
            <w:tcW w:w="696" w:type="dxa"/>
            <w:tcBorders>
              <w:top w:val="nil"/>
              <w:left w:val="nil"/>
              <w:bottom w:val="nil"/>
              <w:right w:val="nil"/>
            </w:tcBorders>
            <w:shd w:val="clear" w:color="auto" w:fill="auto"/>
            <w:noWrap/>
            <w:hideMark/>
          </w:tcPr>
          <w:p w14:paraId="48BE3096" w14:textId="77777777" w:rsidR="00704151" w:rsidRPr="00687637" w:rsidRDefault="00704151" w:rsidP="00924B64">
            <w:pPr>
              <w:jc w:val="center"/>
              <w:rPr>
                <w:sz w:val="18"/>
                <w:szCs w:val="18"/>
                <w:lang w:eastAsia="en-GB"/>
              </w:rPr>
            </w:pPr>
            <w:r w:rsidRPr="00687637">
              <w:rPr>
                <w:sz w:val="18"/>
                <w:szCs w:val="18"/>
                <w:lang w:eastAsia="en-GB"/>
              </w:rPr>
              <w:t>1.8</w:t>
            </w:r>
          </w:p>
        </w:tc>
      </w:tr>
      <w:tr w:rsidR="00704151" w:rsidRPr="00687637" w14:paraId="4097DD4D" w14:textId="77777777" w:rsidTr="00924B64">
        <w:trPr>
          <w:trHeight w:val="300"/>
        </w:trPr>
        <w:tc>
          <w:tcPr>
            <w:tcW w:w="696" w:type="dxa"/>
            <w:tcBorders>
              <w:top w:val="nil"/>
              <w:left w:val="nil"/>
              <w:bottom w:val="nil"/>
              <w:right w:val="nil"/>
            </w:tcBorders>
            <w:shd w:val="clear" w:color="auto" w:fill="auto"/>
            <w:noWrap/>
            <w:hideMark/>
          </w:tcPr>
          <w:p w14:paraId="0C30824C" w14:textId="77777777" w:rsidR="00704151" w:rsidRPr="00687637" w:rsidRDefault="00704151" w:rsidP="00924B64">
            <w:pPr>
              <w:jc w:val="center"/>
              <w:rPr>
                <w:sz w:val="18"/>
                <w:szCs w:val="18"/>
                <w:lang w:eastAsia="en-GB"/>
              </w:rPr>
            </w:pPr>
            <w:r w:rsidRPr="00687637">
              <w:rPr>
                <w:sz w:val="18"/>
                <w:szCs w:val="18"/>
                <w:lang w:eastAsia="en-GB"/>
              </w:rPr>
              <w:t>8</w:t>
            </w:r>
          </w:p>
        </w:tc>
        <w:tc>
          <w:tcPr>
            <w:tcW w:w="4454" w:type="dxa"/>
            <w:tcBorders>
              <w:top w:val="nil"/>
              <w:left w:val="nil"/>
              <w:bottom w:val="nil"/>
              <w:right w:val="nil"/>
            </w:tcBorders>
            <w:shd w:val="clear" w:color="auto" w:fill="auto"/>
            <w:noWrap/>
            <w:hideMark/>
          </w:tcPr>
          <w:p w14:paraId="3C034865" w14:textId="77777777" w:rsidR="00704151" w:rsidRPr="00687637" w:rsidRDefault="00704151" w:rsidP="00924B64">
            <w:pPr>
              <w:rPr>
                <w:sz w:val="18"/>
                <w:szCs w:val="18"/>
                <w:lang w:eastAsia="en-GB"/>
              </w:rPr>
            </w:pPr>
            <w:r w:rsidRPr="00687637">
              <w:rPr>
                <w:sz w:val="18"/>
                <w:szCs w:val="18"/>
                <w:lang w:eastAsia="en-GB"/>
              </w:rPr>
              <w:t>WHO PHEIC due to Zika virus</w:t>
            </w:r>
          </w:p>
        </w:tc>
        <w:tc>
          <w:tcPr>
            <w:tcW w:w="1201" w:type="dxa"/>
            <w:tcBorders>
              <w:top w:val="nil"/>
              <w:left w:val="nil"/>
              <w:bottom w:val="nil"/>
              <w:right w:val="nil"/>
            </w:tcBorders>
            <w:shd w:val="clear" w:color="auto" w:fill="auto"/>
            <w:noWrap/>
            <w:hideMark/>
          </w:tcPr>
          <w:p w14:paraId="64FD19AA" w14:textId="77777777" w:rsidR="00704151" w:rsidRPr="00687637" w:rsidRDefault="00704151" w:rsidP="00924B64">
            <w:pPr>
              <w:jc w:val="center"/>
              <w:rPr>
                <w:sz w:val="18"/>
                <w:szCs w:val="18"/>
                <w:lang w:eastAsia="en-GB"/>
              </w:rPr>
            </w:pPr>
            <w:r w:rsidRPr="00687637">
              <w:rPr>
                <w:sz w:val="18"/>
                <w:szCs w:val="18"/>
                <w:lang w:eastAsia="en-GB"/>
              </w:rPr>
              <w:t>6,373</w:t>
            </w:r>
          </w:p>
        </w:tc>
        <w:tc>
          <w:tcPr>
            <w:tcW w:w="696" w:type="dxa"/>
            <w:tcBorders>
              <w:top w:val="nil"/>
              <w:left w:val="nil"/>
              <w:bottom w:val="nil"/>
              <w:right w:val="nil"/>
            </w:tcBorders>
            <w:shd w:val="clear" w:color="auto" w:fill="auto"/>
            <w:noWrap/>
            <w:hideMark/>
          </w:tcPr>
          <w:p w14:paraId="5CCE79D4" w14:textId="77777777" w:rsidR="00704151" w:rsidRPr="00687637" w:rsidRDefault="00704151" w:rsidP="00924B64">
            <w:pPr>
              <w:jc w:val="center"/>
              <w:rPr>
                <w:sz w:val="18"/>
                <w:szCs w:val="18"/>
                <w:lang w:eastAsia="en-GB"/>
              </w:rPr>
            </w:pPr>
            <w:r w:rsidRPr="00687637">
              <w:rPr>
                <w:sz w:val="18"/>
                <w:szCs w:val="18"/>
                <w:lang w:eastAsia="en-GB"/>
              </w:rPr>
              <w:t>2</w:t>
            </w:r>
          </w:p>
        </w:tc>
        <w:tc>
          <w:tcPr>
            <w:tcW w:w="1283" w:type="dxa"/>
            <w:tcBorders>
              <w:top w:val="nil"/>
              <w:left w:val="nil"/>
              <w:bottom w:val="nil"/>
              <w:right w:val="nil"/>
            </w:tcBorders>
            <w:shd w:val="clear" w:color="auto" w:fill="auto"/>
            <w:noWrap/>
            <w:hideMark/>
          </w:tcPr>
          <w:p w14:paraId="7824A981" w14:textId="77777777" w:rsidR="00704151" w:rsidRPr="00687637" w:rsidRDefault="00704151" w:rsidP="00924B64">
            <w:pPr>
              <w:jc w:val="center"/>
              <w:rPr>
                <w:sz w:val="18"/>
                <w:szCs w:val="18"/>
                <w:lang w:eastAsia="en-GB"/>
              </w:rPr>
            </w:pPr>
            <w:r w:rsidRPr="00687637">
              <w:rPr>
                <w:sz w:val="18"/>
                <w:szCs w:val="18"/>
                <w:lang w:eastAsia="en-GB"/>
              </w:rPr>
              <w:t>5.6</w:t>
            </w:r>
          </w:p>
        </w:tc>
        <w:tc>
          <w:tcPr>
            <w:tcW w:w="696" w:type="dxa"/>
            <w:tcBorders>
              <w:top w:val="nil"/>
              <w:left w:val="nil"/>
              <w:bottom w:val="nil"/>
              <w:right w:val="nil"/>
            </w:tcBorders>
            <w:shd w:val="clear" w:color="auto" w:fill="auto"/>
            <w:noWrap/>
            <w:hideMark/>
          </w:tcPr>
          <w:p w14:paraId="3187C4DB" w14:textId="77777777" w:rsidR="00704151" w:rsidRPr="00687637" w:rsidRDefault="00704151" w:rsidP="00924B64">
            <w:pPr>
              <w:jc w:val="center"/>
              <w:rPr>
                <w:sz w:val="18"/>
                <w:szCs w:val="18"/>
                <w:lang w:eastAsia="en-GB"/>
              </w:rPr>
            </w:pPr>
            <w:r w:rsidRPr="00687637">
              <w:rPr>
                <w:sz w:val="18"/>
                <w:szCs w:val="18"/>
                <w:lang w:eastAsia="en-GB"/>
              </w:rPr>
              <w:t>0.85</w:t>
            </w:r>
          </w:p>
        </w:tc>
      </w:tr>
      <w:tr w:rsidR="00704151" w:rsidRPr="00687637" w14:paraId="57A4D0AB" w14:textId="77777777" w:rsidTr="00924B64">
        <w:trPr>
          <w:trHeight w:val="300"/>
        </w:trPr>
        <w:tc>
          <w:tcPr>
            <w:tcW w:w="696" w:type="dxa"/>
            <w:tcBorders>
              <w:top w:val="nil"/>
              <w:left w:val="nil"/>
              <w:bottom w:val="nil"/>
              <w:right w:val="nil"/>
            </w:tcBorders>
            <w:shd w:val="clear" w:color="auto" w:fill="auto"/>
            <w:noWrap/>
            <w:hideMark/>
          </w:tcPr>
          <w:p w14:paraId="1D11A15A" w14:textId="77777777" w:rsidR="00704151" w:rsidRPr="00687637" w:rsidRDefault="00704151" w:rsidP="00924B64">
            <w:pPr>
              <w:jc w:val="center"/>
              <w:rPr>
                <w:sz w:val="18"/>
                <w:szCs w:val="18"/>
                <w:lang w:eastAsia="en-GB"/>
              </w:rPr>
            </w:pPr>
            <w:r w:rsidRPr="00687637">
              <w:rPr>
                <w:sz w:val="18"/>
                <w:szCs w:val="18"/>
                <w:lang w:eastAsia="en-GB"/>
              </w:rPr>
              <w:t>9</w:t>
            </w:r>
          </w:p>
        </w:tc>
        <w:tc>
          <w:tcPr>
            <w:tcW w:w="4454" w:type="dxa"/>
            <w:tcBorders>
              <w:top w:val="nil"/>
              <w:left w:val="nil"/>
              <w:bottom w:val="nil"/>
              <w:right w:val="nil"/>
            </w:tcBorders>
            <w:shd w:val="clear" w:color="auto" w:fill="auto"/>
            <w:noWrap/>
            <w:hideMark/>
          </w:tcPr>
          <w:p w14:paraId="4867AD05" w14:textId="77777777" w:rsidR="00704151" w:rsidRPr="00687637" w:rsidRDefault="00704151" w:rsidP="00924B64">
            <w:pPr>
              <w:rPr>
                <w:sz w:val="18"/>
                <w:szCs w:val="18"/>
                <w:lang w:eastAsia="en-GB"/>
              </w:rPr>
            </w:pPr>
            <w:r w:rsidRPr="00687637">
              <w:rPr>
                <w:sz w:val="18"/>
                <w:szCs w:val="18"/>
                <w:lang w:eastAsia="en-GB"/>
              </w:rPr>
              <w:t>Chikungunya virus - Caribbean and the Americas</w:t>
            </w:r>
          </w:p>
        </w:tc>
        <w:tc>
          <w:tcPr>
            <w:tcW w:w="1201" w:type="dxa"/>
            <w:tcBorders>
              <w:top w:val="nil"/>
              <w:left w:val="nil"/>
              <w:bottom w:val="nil"/>
              <w:right w:val="nil"/>
            </w:tcBorders>
            <w:shd w:val="clear" w:color="auto" w:fill="auto"/>
            <w:noWrap/>
            <w:hideMark/>
          </w:tcPr>
          <w:p w14:paraId="4C6582EA" w14:textId="77777777" w:rsidR="00704151" w:rsidRPr="00687637" w:rsidRDefault="00704151" w:rsidP="00924B64">
            <w:pPr>
              <w:jc w:val="center"/>
              <w:rPr>
                <w:sz w:val="18"/>
                <w:szCs w:val="18"/>
                <w:lang w:eastAsia="en-GB"/>
              </w:rPr>
            </w:pPr>
            <w:r w:rsidRPr="00687637">
              <w:rPr>
                <w:sz w:val="18"/>
                <w:szCs w:val="18"/>
                <w:lang w:eastAsia="en-GB"/>
              </w:rPr>
              <w:t>6,339</w:t>
            </w:r>
          </w:p>
        </w:tc>
        <w:tc>
          <w:tcPr>
            <w:tcW w:w="696" w:type="dxa"/>
            <w:tcBorders>
              <w:top w:val="nil"/>
              <w:left w:val="nil"/>
              <w:bottom w:val="nil"/>
              <w:right w:val="nil"/>
            </w:tcBorders>
            <w:shd w:val="clear" w:color="auto" w:fill="auto"/>
            <w:noWrap/>
            <w:hideMark/>
          </w:tcPr>
          <w:p w14:paraId="6D5C2CA3" w14:textId="77777777" w:rsidR="00704151" w:rsidRPr="00687637" w:rsidRDefault="00704151" w:rsidP="00924B64">
            <w:pPr>
              <w:jc w:val="center"/>
              <w:rPr>
                <w:sz w:val="18"/>
                <w:szCs w:val="18"/>
                <w:lang w:eastAsia="en-GB"/>
              </w:rPr>
            </w:pPr>
            <w:r w:rsidRPr="00687637">
              <w:rPr>
                <w:sz w:val="18"/>
                <w:szCs w:val="18"/>
                <w:lang w:eastAsia="en-GB"/>
              </w:rPr>
              <w:t>2</w:t>
            </w:r>
          </w:p>
        </w:tc>
        <w:tc>
          <w:tcPr>
            <w:tcW w:w="1283" w:type="dxa"/>
            <w:tcBorders>
              <w:top w:val="nil"/>
              <w:left w:val="nil"/>
              <w:bottom w:val="nil"/>
              <w:right w:val="nil"/>
            </w:tcBorders>
            <w:shd w:val="clear" w:color="auto" w:fill="auto"/>
            <w:noWrap/>
            <w:hideMark/>
          </w:tcPr>
          <w:p w14:paraId="04295D0F" w14:textId="77777777" w:rsidR="00704151" w:rsidRPr="00687637" w:rsidRDefault="00704151" w:rsidP="00924B64">
            <w:pPr>
              <w:jc w:val="center"/>
              <w:rPr>
                <w:sz w:val="18"/>
                <w:szCs w:val="18"/>
                <w:lang w:eastAsia="en-GB"/>
              </w:rPr>
            </w:pPr>
            <w:r w:rsidRPr="00687637">
              <w:rPr>
                <w:sz w:val="18"/>
                <w:szCs w:val="18"/>
                <w:lang w:eastAsia="en-GB"/>
              </w:rPr>
              <w:t>11</w:t>
            </w:r>
          </w:p>
        </w:tc>
        <w:tc>
          <w:tcPr>
            <w:tcW w:w="696" w:type="dxa"/>
            <w:tcBorders>
              <w:top w:val="nil"/>
              <w:left w:val="nil"/>
              <w:bottom w:val="nil"/>
              <w:right w:val="nil"/>
            </w:tcBorders>
            <w:shd w:val="clear" w:color="auto" w:fill="auto"/>
            <w:noWrap/>
            <w:hideMark/>
          </w:tcPr>
          <w:p w14:paraId="41E3B508" w14:textId="77777777" w:rsidR="00704151" w:rsidRPr="00687637" w:rsidRDefault="00704151" w:rsidP="00924B64">
            <w:pPr>
              <w:jc w:val="center"/>
              <w:rPr>
                <w:sz w:val="18"/>
                <w:szCs w:val="18"/>
                <w:lang w:eastAsia="en-GB"/>
              </w:rPr>
            </w:pPr>
            <w:r w:rsidRPr="00687637">
              <w:rPr>
                <w:sz w:val="18"/>
                <w:szCs w:val="18"/>
                <w:lang w:eastAsia="en-GB"/>
              </w:rPr>
              <w:t>1.6</w:t>
            </w:r>
          </w:p>
        </w:tc>
      </w:tr>
      <w:tr w:rsidR="00704151" w:rsidRPr="00687637" w14:paraId="4BD936F2" w14:textId="77777777" w:rsidTr="00924B64">
        <w:trPr>
          <w:trHeight w:val="300"/>
        </w:trPr>
        <w:tc>
          <w:tcPr>
            <w:tcW w:w="696" w:type="dxa"/>
            <w:tcBorders>
              <w:top w:val="nil"/>
              <w:left w:val="nil"/>
              <w:bottom w:val="nil"/>
              <w:right w:val="nil"/>
            </w:tcBorders>
            <w:shd w:val="clear" w:color="auto" w:fill="auto"/>
            <w:noWrap/>
            <w:hideMark/>
          </w:tcPr>
          <w:p w14:paraId="68E60503" w14:textId="77777777" w:rsidR="00704151" w:rsidRPr="00687637" w:rsidRDefault="00704151" w:rsidP="00924B64">
            <w:pPr>
              <w:jc w:val="center"/>
              <w:rPr>
                <w:sz w:val="18"/>
                <w:szCs w:val="18"/>
                <w:lang w:eastAsia="en-GB"/>
              </w:rPr>
            </w:pPr>
            <w:r w:rsidRPr="00687637">
              <w:rPr>
                <w:sz w:val="18"/>
                <w:szCs w:val="18"/>
                <w:lang w:eastAsia="en-GB"/>
              </w:rPr>
              <w:t>10</w:t>
            </w:r>
          </w:p>
        </w:tc>
        <w:tc>
          <w:tcPr>
            <w:tcW w:w="4454" w:type="dxa"/>
            <w:tcBorders>
              <w:top w:val="nil"/>
              <w:left w:val="nil"/>
              <w:bottom w:val="nil"/>
              <w:right w:val="nil"/>
            </w:tcBorders>
            <w:shd w:val="clear" w:color="auto" w:fill="auto"/>
            <w:noWrap/>
            <w:hideMark/>
          </w:tcPr>
          <w:p w14:paraId="5B5B3C93" w14:textId="77777777" w:rsidR="00704151" w:rsidRPr="00687637" w:rsidRDefault="00704151" w:rsidP="00924B64">
            <w:pPr>
              <w:rPr>
                <w:sz w:val="18"/>
                <w:szCs w:val="18"/>
                <w:lang w:eastAsia="en-GB"/>
              </w:rPr>
            </w:pPr>
            <w:r w:rsidRPr="00687637">
              <w:rPr>
                <w:sz w:val="18"/>
                <w:szCs w:val="18"/>
                <w:lang w:eastAsia="en-GB"/>
              </w:rPr>
              <w:t>Summer holidays reminder - prevention of Zika virus infection</w:t>
            </w:r>
          </w:p>
        </w:tc>
        <w:tc>
          <w:tcPr>
            <w:tcW w:w="1201" w:type="dxa"/>
            <w:tcBorders>
              <w:top w:val="nil"/>
              <w:left w:val="nil"/>
              <w:bottom w:val="nil"/>
              <w:right w:val="nil"/>
            </w:tcBorders>
            <w:shd w:val="clear" w:color="auto" w:fill="auto"/>
            <w:noWrap/>
            <w:hideMark/>
          </w:tcPr>
          <w:p w14:paraId="562FB03D" w14:textId="77777777" w:rsidR="00704151" w:rsidRPr="00687637" w:rsidRDefault="00704151" w:rsidP="00924B64">
            <w:pPr>
              <w:jc w:val="center"/>
              <w:rPr>
                <w:sz w:val="18"/>
                <w:szCs w:val="18"/>
                <w:lang w:eastAsia="en-GB"/>
              </w:rPr>
            </w:pPr>
            <w:r w:rsidRPr="00687637">
              <w:rPr>
                <w:sz w:val="18"/>
                <w:szCs w:val="18"/>
                <w:lang w:eastAsia="en-GB"/>
              </w:rPr>
              <w:t>5,964</w:t>
            </w:r>
          </w:p>
        </w:tc>
        <w:tc>
          <w:tcPr>
            <w:tcW w:w="696" w:type="dxa"/>
            <w:tcBorders>
              <w:top w:val="nil"/>
              <w:left w:val="nil"/>
              <w:bottom w:val="nil"/>
              <w:right w:val="nil"/>
            </w:tcBorders>
            <w:shd w:val="clear" w:color="auto" w:fill="auto"/>
            <w:noWrap/>
            <w:hideMark/>
          </w:tcPr>
          <w:p w14:paraId="7E88F005" w14:textId="77777777" w:rsidR="00704151" w:rsidRPr="00687637" w:rsidRDefault="00704151" w:rsidP="00924B64">
            <w:pPr>
              <w:jc w:val="center"/>
              <w:rPr>
                <w:sz w:val="18"/>
                <w:szCs w:val="18"/>
                <w:lang w:eastAsia="en-GB"/>
              </w:rPr>
            </w:pPr>
            <w:r w:rsidRPr="00687637">
              <w:rPr>
                <w:sz w:val="18"/>
                <w:szCs w:val="18"/>
                <w:lang w:eastAsia="en-GB"/>
              </w:rPr>
              <w:t>1.9</w:t>
            </w:r>
          </w:p>
        </w:tc>
        <w:tc>
          <w:tcPr>
            <w:tcW w:w="1283" w:type="dxa"/>
            <w:tcBorders>
              <w:top w:val="nil"/>
              <w:left w:val="nil"/>
              <w:bottom w:val="nil"/>
              <w:right w:val="nil"/>
            </w:tcBorders>
            <w:shd w:val="clear" w:color="auto" w:fill="auto"/>
            <w:noWrap/>
            <w:hideMark/>
          </w:tcPr>
          <w:p w14:paraId="666CE42E" w14:textId="77777777" w:rsidR="00704151" w:rsidRPr="00687637" w:rsidRDefault="00704151" w:rsidP="00924B64">
            <w:pPr>
              <w:jc w:val="center"/>
              <w:rPr>
                <w:sz w:val="18"/>
                <w:szCs w:val="18"/>
                <w:lang w:eastAsia="en-GB"/>
              </w:rPr>
            </w:pPr>
            <w:r w:rsidRPr="00687637">
              <w:rPr>
                <w:sz w:val="18"/>
                <w:szCs w:val="18"/>
                <w:lang w:eastAsia="en-GB"/>
              </w:rPr>
              <w:t>9.3</w:t>
            </w:r>
          </w:p>
        </w:tc>
        <w:tc>
          <w:tcPr>
            <w:tcW w:w="696" w:type="dxa"/>
            <w:tcBorders>
              <w:top w:val="nil"/>
              <w:left w:val="nil"/>
              <w:bottom w:val="nil"/>
              <w:right w:val="nil"/>
            </w:tcBorders>
            <w:shd w:val="clear" w:color="auto" w:fill="auto"/>
            <w:noWrap/>
            <w:hideMark/>
          </w:tcPr>
          <w:p w14:paraId="7A7A95FE" w14:textId="77777777" w:rsidR="00704151" w:rsidRPr="00687637" w:rsidRDefault="00704151" w:rsidP="00924B64">
            <w:pPr>
              <w:jc w:val="center"/>
              <w:rPr>
                <w:sz w:val="18"/>
                <w:szCs w:val="18"/>
                <w:lang w:eastAsia="en-GB"/>
              </w:rPr>
            </w:pPr>
            <w:r w:rsidRPr="00687637">
              <w:rPr>
                <w:sz w:val="18"/>
                <w:szCs w:val="18"/>
                <w:lang w:eastAsia="en-GB"/>
              </w:rPr>
              <w:t>1.4</w:t>
            </w:r>
          </w:p>
        </w:tc>
      </w:tr>
      <w:tr w:rsidR="00704151" w:rsidRPr="00687637" w14:paraId="3910EBE5" w14:textId="77777777" w:rsidTr="00924B64">
        <w:trPr>
          <w:trHeight w:val="300"/>
        </w:trPr>
        <w:tc>
          <w:tcPr>
            <w:tcW w:w="696" w:type="dxa"/>
            <w:tcBorders>
              <w:top w:val="nil"/>
              <w:left w:val="nil"/>
              <w:bottom w:val="nil"/>
              <w:right w:val="nil"/>
            </w:tcBorders>
            <w:shd w:val="clear" w:color="auto" w:fill="auto"/>
            <w:noWrap/>
            <w:hideMark/>
          </w:tcPr>
          <w:p w14:paraId="671DBD8D" w14:textId="77777777" w:rsidR="00704151" w:rsidRPr="00687637" w:rsidRDefault="00704151" w:rsidP="00924B64">
            <w:pPr>
              <w:jc w:val="center"/>
              <w:rPr>
                <w:sz w:val="18"/>
                <w:szCs w:val="18"/>
                <w:lang w:eastAsia="en-GB"/>
              </w:rPr>
            </w:pPr>
          </w:p>
        </w:tc>
        <w:tc>
          <w:tcPr>
            <w:tcW w:w="4454" w:type="dxa"/>
            <w:tcBorders>
              <w:top w:val="nil"/>
              <w:left w:val="nil"/>
              <w:bottom w:val="single" w:sz="4" w:space="0" w:color="auto"/>
              <w:right w:val="nil"/>
            </w:tcBorders>
            <w:shd w:val="clear" w:color="auto" w:fill="auto"/>
            <w:noWrap/>
            <w:hideMark/>
          </w:tcPr>
          <w:p w14:paraId="7AFDA9AE" w14:textId="77777777" w:rsidR="00704151" w:rsidRPr="00687637" w:rsidRDefault="00704151" w:rsidP="00924B64">
            <w:pPr>
              <w:rPr>
                <w:sz w:val="18"/>
                <w:szCs w:val="18"/>
                <w:lang w:eastAsia="en-GB"/>
              </w:rPr>
            </w:pPr>
            <w:r w:rsidRPr="00687637">
              <w:rPr>
                <w:sz w:val="18"/>
                <w:szCs w:val="18"/>
                <w:lang w:eastAsia="en-GB"/>
              </w:rPr>
              <w:t>Other</w:t>
            </w:r>
          </w:p>
        </w:tc>
        <w:tc>
          <w:tcPr>
            <w:tcW w:w="1201" w:type="dxa"/>
            <w:tcBorders>
              <w:top w:val="nil"/>
              <w:left w:val="nil"/>
              <w:bottom w:val="single" w:sz="4" w:space="0" w:color="auto"/>
              <w:right w:val="nil"/>
            </w:tcBorders>
            <w:shd w:val="clear" w:color="auto" w:fill="auto"/>
            <w:noWrap/>
            <w:hideMark/>
          </w:tcPr>
          <w:p w14:paraId="706361C8" w14:textId="77777777" w:rsidR="00704151" w:rsidRPr="00687637" w:rsidRDefault="00704151" w:rsidP="00924B64">
            <w:pPr>
              <w:jc w:val="center"/>
              <w:rPr>
                <w:sz w:val="18"/>
                <w:szCs w:val="18"/>
                <w:lang w:eastAsia="en-GB"/>
              </w:rPr>
            </w:pPr>
            <w:r w:rsidRPr="00687637">
              <w:rPr>
                <w:sz w:val="18"/>
                <w:szCs w:val="18"/>
                <w:lang w:eastAsia="en-GB"/>
              </w:rPr>
              <w:t>113,802</w:t>
            </w:r>
          </w:p>
        </w:tc>
        <w:tc>
          <w:tcPr>
            <w:tcW w:w="696" w:type="dxa"/>
            <w:tcBorders>
              <w:top w:val="nil"/>
              <w:left w:val="nil"/>
              <w:bottom w:val="single" w:sz="4" w:space="0" w:color="auto"/>
              <w:right w:val="nil"/>
            </w:tcBorders>
            <w:shd w:val="clear" w:color="auto" w:fill="auto"/>
            <w:noWrap/>
            <w:hideMark/>
          </w:tcPr>
          <w:p w14:paraId="2FAB3350" w14:textId="77777777" w:rsidR="00704151" w:rsidRPr="00687637" w:rsidRDefault="00704151" w:rsidP="00924B64">
            <w:pPr>
              <w:jc w:val="center"/>
              <w:rPr>
                <w:sz w:val="18"/>
                <w:szCs w:val="18"/>
                <w:lang w:eastAsia="en-GB"/>
              </w:rPr>
            </w:pPr>
            <w:r w:rsidRPr="00687637">
              <w:rPr>
                <w:sz w:val="18"/>
                <w:szCs w:val="18"/>
                <w:lang w:eastAsia="en-GB"/>
              </w:rPr>
              <w:t>35</w:t>
            </w:r>
          </w:p>
        </w:tc>
        <w:tc>
          <w:tcPr>
            <w:tcW w:w="1283" w:type="dxa"/>
            <w:tcBorders>
              <w:top w:val="nil"/>
              <w:left w:val="nil"/>
              <w:bottom w:val="single" w:sz="4" w:space="0" w:color="auto"/>
              <w:right w:val="nil"/>
            </w:tcBorders>
            <w:shd w:val="clear" w:color="auto" w:fill="auto"/>
            <w:noWrap/>
            <w:hideMark/>
          </w:tcPr>
          <w:p w14:paraId="55DC4F11" w14:textId="77777777" w:rsidR="00704151" w:rsidRPr="00687637" w:rsidRDefault="00704151" w:rsidP="00924B64">
            <w:pPr>
              <w:jc w:val="center"/>
              <w:rPr>
                <w:sz w:val="18"/>
                <w:szCs w:val="18"/>
                <w:lang w:eastAsia="en-GB"/>
              </w:rPr>
            </w:pPr>
            <w:r w:rsidRPr="00687637">
              <w:rPr>
                <w:sz w:val="18"/>
                <w:szCs w:val="18"/>
                <w:lang w:eastAsia="en-GB"/>
              </w:rPr>
              <w:t>160</w:t>
            </w:r>
          </w:p>
        </w:tc>
        <w:tc>
          <w:tcPr>
            <w:tcW w:w="696" w:type="dxa"/>
            <w:tcBorders>
              <w:top w:val="nil"/>
              <w:left w:val="nil"/>
              <w:bottom w:val="single" w:sz="4" w:space="0" w:color="auto"/>
              <w:right w:val="nil"/>
            </w:tcBorders>
            <w:shd w:val="clear" w:color="auto" w:fill="auto"/>
            <w:noWrap/>
            <w:hideMark/>
          </w:tcPr>
          <w:p w14:paraId="7FD21231" w14:textId="77777777" w:rsidR="00704151" w:rsidRPr="00687637" w:rsidRDefault="00704151" w:rsidP="00924B64">
            <w:pPr>
              <w:jc w:val="center"/>
              <w:rPr>
                <w:sz w:val="18"/>
                <w:szCs w:val="18"/>
                <w:lang w:eastAsia="en-GB"/>
              </w:rPr>
            </w:pPr>
            <w:r w:rsidRPr="00687637">
              <w:rPr>
                <w:sz w:val="18"/>
                <w:szCs w:val="18"/>
                <w:lang w:eastAsia="en-GB"/>
              </w:rPr>
              <w:t>24</w:t>
            </w:r>
          </w:p>
        </w:tc>
      </w:tr>
      <w:tr w:rsidR="00704151" w:rsidRPr="00687637" w14:paraId="16BAF07F" w14:textId="77777777" w:rsidTr="00924B64">
        <w:trPr>
          <w:trHeight w:val="300"/>
        </w:trPr>
        <w:tc>
          <w:tcPr>
            <w:tcW w:w="696" w:type="dxa"/>
            <w:tcBorders>
              <w:top w:val="nil"/>
              <w:left w:val="nil"/>
              <w:bottom w:val="nil"/>
              <w:right w:val="nil"/>
            </w:tcBorders>
            <w:shd w:val="clear" w:color="auto" w:fill="auto"/>
            <w:noWrap/>
            <w:hideMark/>
          </w:tcPr>
          <w:p w14:paraId="5936810A" w14:textId="77777777" w:rsidR="00704151" w:rsidRPr="00687637" w:rsidRDefault="00704151" w:rsidP="00924B64">
            <w:pPr>
              <w:jc w:val="center"/>
              <w:rPr>
                <w:sz w:val="18"/>
                <w:szCs w:val="18"/>
                <w:lang w:eastAsia="en-GB"/>
              </w:rPr>
            </w:pPr>
          </w:p>
        </w:tc>
        <w:tc>
          <w:tcPr>
            <w:tcW w:w="4454" w:type="dxa"/>
            <w:tcBorders>
              <w:top w:val="single" w:sz="4" w:space="0" w:color="auto"/>
              <w:left w:val="nil"/>
              <w:bottom w:val="single" w:sz="4" w:space="0" w:color="auto"/>
              <w:right w:val="nil"/>
            </w:tcBorders>
            <w:shd w:val="clear" w:color="auto" w:fill="auto"/>
            <w:noWrap/>
            <w:hideMark/>
          </w:tcPr>
          <w:p w14:paraId="1B01361A" w14:textId="77777777" w:rsidR="00704151" w:rsidRPr="00687637" w:rsidRDefault="00704151" w:rsidP="00924B64">
            <w:pPr>
              <w:rPr>
                <w:sz w:val="18"/>
                <w:szCs w:val="18"/>
                <w:lang w:eastAsia="en-GB"/>
              </w:rPr>
            </w:pPr>
            <w:r w:rsidRPr="00687637">
              <w:rPr>
                <w:sz w:val="18"/>
                <w:szCs w:val="18"/>
                <w:lang w:eastAsia="en-GB"/>
              </w:rPr>
              <w:t>Total</w:t>
            </w:r>
          </w:p>
        </w:tc>
        <w:tc>
          <w:tcPr>
            <w:tcW w:w="1201" w:type="dxa"/>
            <w:tcBorders>
              <w:top w:val="single" w:sz="4" w:space="0" w:color="auto"/>
              <w:left w:val="nil"/>
              <w:bottom w:val="single" w:sz="4" w:space="0" w:color="auto"/>
              <w:right w:val="nil"/>
            </w:tcBorders>
            <w:shd w:val="clear" w:color="auto" w:fill="auto"/>
            <w:noWrap/>
            <w:hideMark/>
          </w:tcPr>
          <w:p w14:paraId="18853247" w14:textId="77777777" w:rsidR="00704151" w:rsidRPr="00687637" w:rsidRDefault="00704151" w:rsidP="00924B64">
            <w:pPr>
              <w:jc w:val="center"/>
              <w:rPr>
                <w:sz w:val="18"/>
                <w:szCs w:val="18"/>
                <w:lang w:eastAsia="en-GB"/>
              </w:rPr>
            </w:pPr>
            <w:r w:rsidRPr="00687637">
              <w:rPr>
                <w:sz w:val="18"/>
                <w:szCs w:val="18"/>
                <w:lang w:eastAsia="en-GB"/>
              </w:rPr>
              <w:t>321,812</w:t>
            </w:r>
          </w:p>
        </w:tc>
        <w:tc>
          <w:tcPr>
            <w:tcW w:w="696" w:type="dxa"/>
            <w:tcBorders>
              <w:top w:val="single" w:sz="4" w:space="0" w:color="auto"/>
              <w:left w:val="nil"/>
              <w:bottom w:val="single" w:sz="4" w:space="0" w:color="auto"/>
              <w:right w:val="nil"/>
            </w:tcBorders>
            <w:shd w:val="clear" w:color="auto" w:fill="auto"/>
            <w:noWrap/>
            <w:hideMark/>
          </w:tcPr>
          <w:p w14:paraId="48E6956D" w14:textId="77777777" w:rsidR="00704151" w:rsidRPr="00687637" w:rsidRDefault="00704151" w:rsidP="00924B64">
            <w:pPr>
              <w:jc w:val="center"/>
              <w:rPr>
                <w:sz w:val="18"/>
                <w:szCs w:val="18"/>
                <w:lang w:eastAsia="en-GB"/>
              </w:rPr>
            </w:pPr>
            <w:r w:rsidRPr="00687637">
              <w:rPr>
                <w:sz w:val="18"/>
                <w:szCs w:val="18"/>
                <w:lang w:eastAsia="en-GB"/>
              </w:rPr>
              <w:t>99</w:t>
            </w:r>
          </w:p>
        </w:tc>
        <w:tc>
          <w:tcPr>
            <w:tcW w:w="1283" w:type="dxa"/>
            <w:tcBorders>
              <w:top w:val="single" w:sz="4" w:space="0" w:color="auto"/>
              <w:left w:val="nil"/>
              <w:bottom w:val="single" w:sz="4" w:space="0" w:color="auto"/>
              <w:right w:val="nil"/>
            </w:tcBorders>
            <w:shd w:val="clear" w:color="auto" w:fill="auto"/>
            <w:noWrap/>
            <w:hideMark/>
          </w:tcPr>
          <w:p w14:paraId="50FF42F3" w14:textId="77777777" w:rsidR="00704151" w:rsidRPr="00687637" w:rsidRDefault="00704151" w:rsidP="00924B64">
            <w:pPr>
              <w:jc w:val="center"/>
              <w:rPr>
                <w:sz w:val="18"/>
                <w:szCs w:val="18"/>
                <w:lang w:eastAsia="en-GB"/>
              </w:rPr>
            </w:pPr>
            <w:r w:rsidRPr="00687637">
              <w:rPr>
                <w:sz w:val="18"/>
                <w:szCs w:val="18"/>
                <w:lang w:eastAsia="en-GB"/>
              </w:rPr>
              <w:t>661</w:t>
            </w:r>
          </w:p>
        </w:tc>
        <w:tc>
          <w:tcPr>
            <w:tcW w:w="696" w:type="dxa"/>
            <w:tcBorders>
              <w:top w:val="single" w:sz="4" w:space="0" w:color="auto"/>
              <w:left w:val="nil"/>
              <w:bottom w:val="single" w:sz="4" w:space="0" w:color="auto"/>
              <w:right w:val="nil"/>
            </w:tcBorders>
            <w:shd w:val="clear" w:color="auto" w:fill="auto"/>
            <w:noWrap/>
            <w:hideMark/>
          </w:tcPr>
          <w:p w14:paraId="6BB841A3" w14:textId="77777777" w:rsidR="00704151" w:rsidRPr="00687637" w:rsidRDefault="00704151" w:rsidP="00924B64">
            <w:pPr>
              <w:jc w:val="center"/>
              <w:rPr>
                <w:sz w:val="18"/>
                <w:szCs w:val="18"/>
                <w:lang w:eastAsia="en-GB"/>
              </w:rPr>
            </w:pPr>
            <w:r w:rsidRPr="00687637">
              <w:rPr>
                <w:sz w:val="18"/>
                <w:szCs w:val="18"/>
                <w:lang w:eastAsia="en-GB"/>
              </w:rPr>
              <w:t>100</w:t>
            </w:r>
          </w:p>
        </w:tc>
      </w:tr>
      <w:tr w:rsidR="00704151" w:rsidRPr="00687637" w14:paraId="2C70E9BA" w14:textId="77777777" w:rsidTr="00924B64">
        <w:trPr>
          <w:trHeight w:val="144"/>
        </w:trPr>
        <w:tc>
          <w:tcPr>
            <w:tcW w:w="696" w:type="dxa"/>
            <w:tcBorders>
              <w:top w:val="nil"/>
              <w:left w:val="nil"/>
              <w:bottom w:val="nil"/>
              <w:right w:val="nil"/>
            </w:tcBorders>
            <w:shd w:val="clear" w:color="auto" w:fill="auto"/>
            <w:noWrap/>
            <w:hideMark/>
          </w:tcPr>
          <w:p w14:paraId="1CA8E95E" w14:textId="77777777" w:rsidR="00704151" w:rsidRPr="00687637" w:rsidRDefault="00704151" w:rsidP="00924B64">
            <w:pPr>
              <w:jc w:val="center"/>
              <w:rPr>
                <w:sz w:val="18"/>
                <w:szCs w:val="18"/>
                <w:lang w:eastAsia="en-GB"/>
              </w:rPr>
            </w:pPr>
          </w:p>
        </w:tc>
        <w:tc>
          <w:tcPr>
            <w:tcW w:w="4454" w:type="dxa"/>
            <w:tcBorders>
              <w:top w:val="single" w:sz="4" w:space="0" w:color="auto"/>
              <w:left w:val="nil"/>
              <w:bottom w:val="nil"/>
              <w:right w:val="nil"/>
            </w:tcBorders>
            <w:shd w:val="clear" w:color="auto" w:fill="auto"/>
            <w:noWrap/>
            <w:hideMark/>
          </w:tcPr>
          <w:p w14:paraId="170D7B97" w14:textId="77777777" w:rsidR="00704151" w:rsidRPr="00687637" w:rsidRDefault="00704151" w:rsidP="00924B64">
            <w:pPr>
              <w:rPr>
                <w:sz w:val="18"/>
                <w:szCs w:val="18"/>
                <w:lang w:eastAsia="en-GB"/>
              </w:rPr>
            </w:pPr>
          </w:p>
        </w:tc>
        <w:tc>
          <w:tcPr>
            <w:tcW w:w="1201" w:type="dxa"/>
            <w:tcBorders>
              <w:top w:val="single" w:sz="4" w:space="0" w:color="auto"/>
              <w:left w:val="nil"/>
              <w:bottom w:val="nil"/>
              <w:right w:val="nil"/>
            </w:tcBorders>
            <w:shd w:val="clear" w:color="auto" w:fill="auto"/>
            <w:noWrap/>
            <w:hideMark/>
          </w:tcPr>
          <w:p w14:paraId="7B4B0B6C" w14:textId="77777777" w:rsidR="00704151" w:rsidRPr="00687637" w:rsidRDefault="00704151" w:rsidP="00924B64">
            <w:pPr>
              <w:jc w:val="center"/>
              <w:rPr>
                <w:sz w:val="18"/>
                <w:szCs w:val="18"/>
                <w:lang w:eastAsia="en-GB"/>
              </w:rPr>
            </w:pPr>
          </w:p>
        </w:tc>
        <w:tc>
          <w:tcPr>
            <w:tcW w:w="696" w:type="dxa"/>
            <w:tcBorders>
              <w:top w:val="single" w:sz="4" w:space="0" w:color="auto"/>
              <w:left w:val="nil"/>
              <w:bottom w:val="nil"/>
              <w:right w:val="nil"/>
            </w:tcBorders>
            <w:shd w:val="clear" w:color="auto" w:fill="auto"/>
            <w:noWrap/>
            <w:hideMark/>
          </w:tcPr>
          <w:p w14:paraId="09021796" w14:textId="77777777" w:rsidR="00704151" w:rsidRPr="00687637" w:rsidRDefault="00704151" w:rsidP="00924B64">
            <w:pPr>
              <w:jc w:val="center"/>
              <w:rPr>
                <w:sz w:val="18"/>
                <w:szCs w:val="18"/>
                <w:lang w:eastAsia="en-GB"/>
              </w:rPr>
            </w:pPr>
          </w:p>
        </w:tc>
        <w:tc>
          <w:tcPr>
            <w:tcW w:w="1283" w:type="dxa"/>
            <w:tcBorders>
              <w:top w:val="single" w:sz="4" w:space="0" w:color="auto"/>
              <w:left w:val="nil"/>
              <w:bottom w:val="nil"/>
              <w:right w:val="nil"/>
            </w:tcBorders>
            <w:shd w:val="clear" w:color="auto" w:fill="auto"/>
            <w:noWrap/>
            <w:hideMark/>
          </w:tcPr>
          <w:p w14:paraId="304F97F4" w14:textId="77777777" w:rsidR="00704151" w:rsidRPr="00687637" w:rsidRDefault="00704151" w:rsidP="00924B64">
            <w:pPr>
              <w:jc w:val="center"/>
              <w:rPr>
                <w:sz w:val="18"/>
                <w:szCs w:val="18"/>
                <w:lang w:eastAsia="en-GB"/>
              </w:rPr>
            </w:pPr>
          </w:p>
        </w:tc>
        <w:tc>
          <w:tcPr>
            <w:tcW w:w="696" w:type="dxa"/>
            <w:tcBorders>
              <w:top w:val="single" w:sz="4" w:space="0" w:color="auto"/>
              <w:left w:val="nil"/>
              <w:bottom w:val="nil"/>
              <w:right w:val="nil"/>
            </w:tcBorders>
            <w:shd w:val="clear" w:color="auto" w:fill="auto"/>
            <w:noWrap/>
            <w:hideMark/>
          </w:tcPr>
          <w:p w14:paraId="788549E6" w14:textId="77777777" w:rsidR="00704151" w:rsidRPr="00687637" w:rsidRDefault="00704151" w:rsidP="00924B64">
            <w:pPr>
              <w:jc w:val="center"/>
              <w:rPr>
                <w:sz w:val="18"/>
                <w:szCs w:val="18"/>
                <w:lang w:eastAsia="en-GB"/>
              </w:rPr>
            </w:pPr>
          </w:p>
        </w:tc>
      </w:tr>
      <w:tr w:rsidR="00704151" w:rsidRPr="00687637" w14:paraId="46402341" w14:textId="77777777" w:rsidTr="00924B64">
        <w:trPr>
          <w:trHeight w:val="300"/>
        </w:trPr>
        <w:tc>
          <w:tcPr>
            <w:tcW w:w="696" w:type="dxa"/>
            <w:tcBorders>
              <w:top w:val="nil"/>
              <w:left w:val="nil"/>
              <w:bottom w:val="nil"/>
              <w:right w:val="nil"/>
            </w:tcBorders>
            <w:shd w:val="clear" w:color="auto" w:fill="auto"/>
            <w:noWrap/>
          </w:tcPr>
          <w:p w14:paraId="02C35113" w14:textId="77777777" w:rsidR="00704151" w:rsidRPr="00687637" w:rsidRDefault="00704151" w:rsidP="00924B64">
            <w:pPr>
              <w:jc w:val="center"/>
              <w:rPr>
                <w:sz w:val="18"/>
                <w:szCs w:val="18"/>
                <w:lang w:eastAsia="en-GB"/>
              </w:rPr>
            </w:pPr>
          </w:p>
        </w:tc>
        <w:tc>
          <w:tcPr>
            <w:tcW w:w="4454" w:type="dxa"/>
            <w:tcBorders>
              <w:top w:val="nil"/>
              <w:left w:val="nil"/>
              <w:bottom w:val="nil"/>
              <w:right w:val="nil"/>
            </w:tcBorders>
            <w:shd w:val="clear" w:color="auto" w:fill="auto"/>
            <w:noWrap/>
          </w:tcPr>
          <w:p w14:paraId="1A0A0AD7" w14:textId="77777777" w:rsidR="00704151" w:rsidRPr="00687637" w:rsidRDefault="00704151" w:rsidP="00924B64">
            <w:pPr>
              <w:rPr>
                <w:sz w:val="18"/>
                <w:szCs w:val="18"/>
                <w:lang w:eastAsia="en-GB"/>
              </w:rPr>
            </w:pPr>
            <w:r w:rsidRPr="00687637">
              <w:rPr>
                <w:sz w:val="18"/>
                <w:szCs w:val="18"/>
                <w:lang w:eastAsia="en-GB"/>
              </w:rPr>
              <w:t>FACTSHEET ITEMS</w:t>
            </w:r>
          </w:p>
        </w:tc>
        <w:tc>
          <w:tcPr>
            <w:tcW w:w="1201" w:type="dxa"/>
            <w:tcBorders>
              <w:top w:val="nil"/>
              <w:left w:val="nil"/>
              <w:bottom w:val="nil"/>
              <w:right w:val="nil"/>
            </w:tcBorders>
            <w:shd w:val="clear" w:color="auto" w:fill="auto"/>
            <w:noWrap/>
          </w:tcPr>
          <w:p w14:paraId="0E4E91C8" w14:textId="77777777" w:rsidR="00704151" w:rsidRPr="00687637" w:rsidRDefault="00704151" w:rsidP="00924B64">
            <w:pPr>
              <w:jc w:val="center"/>
              <w:rPr>
                <w:sz w:val="18"/>
                <w:szCs w:val="18"/>
                <w:lang w:eastAsia="en-GB"/>
              </w:rPr>
            </w:pPr>
          </w:p>
        </w:tc>
        <w:tc>
          <w:tcPr>
            <w:tcW w:w="696" w:type="dxa"/>
            <w:tcBorders>
              <w:top w:val="nil"/>
              <w:left w:val="nil"/>
              <w:bottom w:val="nil"/>
              <w:right w:val="nil"/>
            </w:tcBorders>
            <w:shd w:val="clear" w:color="auto" w:fill="auto"/>
            <w:noWrap/>
          </w:tcPr>
          <w:p w14:paraId="773B6E8F" w14:textId="77777777" w:rsidR="00704151" w:rsidRPr="00687637" w:rsidRDefault="00704151" w:rsidP="00924B64">
            <w:pPr>
              <w:jc w:val="center"/>
              <w:rPr>
                <w:sz w:val="18"/>
                <w:szCs w:val="18"/>
                <w:lang w:eastAsia="en-GB"/>
              </w:rPr>
            </w:pPr>
          </w:p>
        </w:tc>
        <w:tc>
          <w:tcPr>
            <w:tcW w:w="1283" w:type="dxa"/>
            <w:tcBorders>
              <w:top w:val="nil"/>
              <w:left w:val="nil"/>
              <w:bottom w:val="nil"/>
              <w:right w:val="nil"/>
            </w:tcBorders>
            <w:shd w:val="clear" w:color="auto" w:fill="auto"/>
            <w:noWrap/>
          </w:tcPr>
          <w:p w14:paraId="3E0D5A09" w14:textId="77777777" w:rsidR="00704151" w:rsidRPr="00687637" w:rsidRDefault="00704151" w:rsidP="00924B64">
            <w:pPr>
              <w:jc w:val="center"/>
              <w:rPr>
                <w:sz w:val="18"/>
                <w:szCs w:val="18"/>
                <w:lang w:eastAsia="en-GB"/>
              </w:rPr>
            </w:pPr>
          </w:p>
        </w:tc>
        <w:tc>
          <w:tcPr>
            <w:tcW w:w="696" w:type="dxa"/>
            <w:tcBorders>
              <w:top w:val="nil"/>
              <w:left w:val="nil"/>
              <w:bottom w:val="nil"/>
              <w:right w:val="nil"/>
            </w:tcBorders>
            <w:shd w:val="clear" w:color="auto" w:fill="auto"/>
            <w:noWrap/>
          </w:tcPr>
          <w:p w14:paraId="2143EF4D" w14:textId="77777777" w:rsidR="00704151" w:rsidRPr="00687637" w:rsidRDefault="00704151" w:rsidP="00924B64">
            <w:pPr>
              <w:jc w:val="center"/>
              <w:rPr>
                <w:sz w:val="18"/>
                <w:szCs w:val="18"/>
                <w:lang w:eastAsia="en-GB"/>
              </w:rPr>
            </w:pPr>
          </w:p>
        </w:tc>
      </w:tr>
      <w:tr w:rsidR="00704151" w:rsidRPr="00687637" w14:paraId="10B649A3" w14:textId="77777777" w:rsidTr="00924B64">
        <w:trPr>
          <w:trHeight w:val="300"/>
        </w:trPr>
        <w:tc>
          <w:tcPr>
            <w:tcW w:w="696" w:type="dxa"/>
            <w:tcBorders>
              <w:top w:val="nil"/>
              <w:left w:val="nil"/>
              <w:bottom w:val="nil"/>
              <w:right w:val="nil"/>
            </w:tcBorders>
            <w:shd w:val="clear" w:color="auto" w:fill="auto"/>
            <w:noWrap/>
            <w:hideMark/>
          </w:tcPr>
          <w:p w14:paraId="25955CFE" w14:textId="77777777" w:rsidR="00704151" w:rsidRPr="00687637" w:rsidRDefault="00704151" w:rsidP="00924B64">
            <w:pPr>
              <w:jc w:val="center"/>
              <w:rPr>
                <w:sz w:val="18"/>
                <w:szCs w:val="18"/>
                <w:lang w:eastAsia="en-GB"/>
              </w:rPr>
            </w:pPr>
            <w:r w:rsidRPr="00687637">
              <w:rPr>
                <w:sz w:val="18"/>
                <w:szCs w:val="18"/>
                <w:lang w:eastAsia="en-GB"/>
              </w:rPr>
              <w:t>1</w:t>
            </w:r>
          </w:p>
        </w:tc>
        <w:tc>
          <w:tcPr>
            <w:tcW w:w="4454" w:type="dxa"/>
            <w:tcBorders>
              <w:top w:val="nil"/>
              <w:left w:val="nil"/>
              <w:bottom w:val="nil"/>
              <w:right w:val="nil"/>
            </w:tcBorders>
            <w:shd w:val="clear" w:color="auto" w:fill="auto"/>
            <w:noWrap/>
            <w:hideMark/>
          </w:tcPr>
          <w:p w14:paraId="6E1D30B9" w14:textId="77777777" w:rsidR="00704151" w:rsidRPr="00687637" w:rsidRDefault="00704151" w:rsidP="00924B64">
            <w:pPr>
              <w:rPr>
                <w:sz w:val="18"/>
                <w:szCs w:val="18"/>
                <w:lang w:eastAsia="en-GB"/>
              </w:rPr>
            </w:pPr>
            <w:r w:rsidRPr="00687637">
              <w:rPr>
                <w:sz w:val="18"/>
                <w:szCs w:val="18"/>
                <w:lang w:eastAsia="en-GB"/>
              </w:rPr>
              <w:t>Insect and tick bite avoidance</w:t>
            </w:r>
          </w:p>
        </w:tc>
        <w:tc>
          <w:tcPr>
            <w:tcW w:w="1201" w:type="dxa"/>
            <w:tcBorders>
              <w:top w:val="nil"/>
              <w:left w:val="nil"/>
              <w:bottom w:val="nil"/>
              <w:right w:val="nil"/>
            </w:tcBorders>
            <w:shd w:val="clear" w:color="auto" w:fill="auto"/>
            <w:noWrap/>
            <w:hideMark/>
          </w:tcPr>
          <w:p w14:paraId="70E308BD" w14:textId="77777777" w:rsidR="00704151" w:rsidRPr="00687637" w:rsidRDefault="00704151" w:rsidP="00924B64">
            <w:pPr>
              <w:jc w:val="center"/>
              <w:rPr>
                <w:sz w:val="18"/>
                <w:szCs w:val="18"/>
                <w:lang w:eastAsia="en-GB"/>
              </w:rPr>
            </w:pPr>
            <w:r w:rsidRPr="00687637">
              <w:rPr>
                <w:sz w:val="18"/>
                <w:szCs w:val="18"/>
                <w:lang w:eastAsia="en-GB"/>
              </w:rPr>
              <w:t>103,304</w:t>
            </w:r>
          </w:p>
        </w:tc>
        <w:tc>
          <w:tcPr>
            <w:tcW w:w="696" w:type="dxa"/>
            <w:tcBorders>
              <w:top w:val="nil"/>
              <w:left w:val="nil"/>
              <w:bottom w:val="nil"/>
              <w:right w:val="nil"/>
            </w:tcBorders>
            <w:shd w:val="clear" w:color="auto" w:fill="auto"/>
            <w:noWrap/>
            <w:hideMark/>
          </w:tcPr>
          <w:p w14:paraId="50D32B47" w14:textId="77777777" w:rsidR="00704151" w:rsidRPr="00687637" w:rsidRDefault="00704151" w:rsidP="00924B64">
            <w:pPr>
              <w:jc w:val="center"/>
              <w:rPr>
                <w:sz w:val="18"/>
                <w:szCs w:val="18"/>
                <w:lang w:eastAsia="en-GB"/>
              </w:rPr>
            </w:pPr>
            <w:r w:rsidRPr="00687637">
              <w:rPr>
                <w:sz w:val="18"/>
                <w:szCs w:val="18"/>
                <w:lang w:eastAsia="en-GB"/>
              </w:rPr>
              <w:t>37</w:t>
            </w:r>
          </w:p>
        </w:tc>
        <w:tc>
          <w:tcPr>
            <w:tcW w:w="1283" w:type="dxa"/>
            <w:tcBorders>
              <w:top w:val="nil"/>
              <w:left w:val="nil"/>
              <w:bottom w:val="nil"/>
              <w:right w:val="nil"/>
            </w:tcBorders>
            <w:shd w:val="clear" w:color="auto" w:fill="auto"/>
            <w:noWrap/>
            <w:hideMark/>
          </w:tcPr>
          <w:p w14:paraId="50301CEE" w14:textId="77777777" w:rsidR="00704151" w:rsidRPr="00687637" w:rsidRDefault="00704151" w:rsidP="00924B64">
            <w:pPr>
              <w:jc w:val="center"/>
              <w:rPr>
                <w:sz w:val="18"/>
                <w:szCs w:val="18"/>
                <w:lang w:eastAsia="en-GB"/>
              </w:rPr>
            </w:pPr>
            <w:r w:rsidRPr="00687637">
              <w:rPr>
                <w:sz w:val="18"/>
                <w:szCs w:val="18"/>
                <w:lang w:eastAsia="en-GB"/>
              </w:rPr>
              <w:t>239</w:t>
            </w:r>
          </w:p>
        </w:tc>
        <w:tc>
          <w:tcPr>
            <w:tcW w:w="696" w:type="dxa"/>
            <w:tcBorders>
              <w:top w:val="nil"/>
              <w:left w:val="nil"/>
              <w:bottom w:val="nil"/>
              <w:right w:val="nil"/>
            </w:tcBorders>
            <w:shd w:val="clear" w:color="auto" w:fill="auto"/>
            <w:noWrap/>
            <w:hideMark/>
          </w:tcPr>
          <w:p w14:paraId="60D2C401" w14:textId="77777777" w:rsidR="00704151" w:rsidRPr="00687637" w:rsidRDefault="00704151" w:rsidP="00924B64">
            <w:pPr>
              <w:jc w:val="center"/>
              <w:rPr>
                <w:sz w:val="18"/>
                <w:szCs w:val="18"/>
                <w:lang w:eastAsia="en-GB"/>
              </w:rPr>
            </w:pPr>
            <w:r w:rsidRPr="00687637">
              <w:rPr>
                <w:sz w:val="18"/>
                <w:szCs w:val="18"/>
                <w:lang w:eastAsia="en-GB"/>
              </w:rPr>
              <w:t>40</w:t>
            </w:r>
          </w:p>
        </w:tc>
      </w:tr>
      <w:tr w:rsidR="00704151" w:rsidRPr="00687637" w14:paraId="3C81B1AE" w14:textId="77777777" w:rsidTr="00924B64">
        <w:trPr>
          <w:trHeight w:val="300"/>
        </w:trPr>
        <w:tc>
          <w:tcPr>
            <w:tcW w:w="696" w:type="dxa"/>
            <w:tcBorders>
              <w:top w:val="nil"/>
              <w:left w:val="nil"/>
              <w:bottom w:val="nil"/>
              <w:right w:val="nil"/>
            </w:tcBorders>
            <w:shd w:val="clear" w:color="auto" w:fill="auto"/>
            <w:noWrap/>
            <w:hideMark/>
          </w:tcPr>
          <w:p w14:paraId="3C339B93" w14:textId="77777777" w:rsidR="00704151" w:rsidRPr="00687637" w:rsidRDefault="00704151" w:rsidP="00924B64">
            <w:pPr>
              <w:jc w:val="center"/>
              <w:rPr>
                <w:sz w:val="18"/>
                <w:szCs w:val="18"/>
                <w:lang w:eastAsia="en-GB"/>
              </w:rPr>
            </w:pPr>
            <w:r w:rsidRPr="00687637">
              <w:rPr>
                <w:sz w:val="18"/>
                <w:szCs w:val="18"/>
                <w:lang w:eastAsia="en-GB"/>
              </w:rPr>
              <w:t>2</w:t>
            </w:r>
          </w:p>
        </w:tc>
        <w:tc>
          <w:tcPr>
            <w:tcW w:w="4454" w:type="dxa"/>
            <w:tcBorders>
              <w:top w:val="nil"/>
              <w:left w:val="nil"/>
              <w:bottom w:val="nil"/>
              <w:right w:val="nil"/>
            </w:tcBorders>
            <w:shd w:val="clear" w:color="auto" w:fill="auto"/>
            <w:noWrap/>
            <w:hideMark/>
          </w:tcPr>
          <w:p w14:paraId="22E43A6F" w14:textId="77777777" w:rsidR="00704151" w:rsidRPr="00687637" w:rsidRDefault="00704151" w:rsidP="00924B64">
            <w:pPr>
              <w:rPr>
                <w:sz w:val="18"/>
                <w:szCs w:val="18"/>
                <w:lang w:eastAsia="en-GB"/>
              </w:rPr>
            </w:pPr>
            <w:r w:rsidRPr="00687637">
              <w:rPr>
                <w:sz w:val="18"/>
                <w:szCs w:val="18"/>
                <w:lang w:eastAsia="en-GB"/>
              </w:rPr>
              <w:t>Food and water hygiene</w:t>
            </w:r>
          </w:p>
        </w:tc>
        <w:tc>
          <w:tcPr>
            <w:tcW w:w="1201" w:type="dxa"/>
            <w:tcBorders>
              <w:top w:val="nil"/>
              <w:left w:val="nil"/>
              <w:bottom w:val="nil"/>
              <w:right w:val="nil"/>
            </w:tcBorders>
            <w:shd w:val="clear" w:color="auto" w:fill="auto"/>
            <w:noWrap/>
            <w:hideMark/>
          </w:tcPr>
          <w:p w14:paraId="28A27A9C" w14:textId="77777777" w:rsidR="00704151" w:rsidRPr="00687637" w:rsidRDefault="00704151" w:rsidP="00924B64">
            <w:pPr>
              <w:jc w:val="center"/>
              <w:rPr>
                <w:sz w:val="18"/>
                <w:szCs w:val="18"/>
                <w:lang w:eastAsia="en-GB"/>
              </w:rPr>
            </w:pPr>
            <w:r w:rsidRPr="00687637">
              <w:rPr>
                <w:sz w:val="18"/>
                <w:szCs w:val="18"/>
                <w:lang w:eastAsia="en-GB"/>
              </w:rPr>
              <w:t>47,164</w:t>
            </w:r>
          </w:p>
        </w:tc>
        <w:tc>
          <w:tcPr>
            <w:tcW w:w="696" w:type="dxa"/>
            <w:tcBorders>
              <w:top w:val="nil"/>
              <w:left w:val="nil"/>
              <w:bottom w:val="nil"/>
              <w:right w:val="nil"/>
            </w:tcBorders>
            <w:shd w:val="clear" w:color="auto" w:fill="auto"/>
            <w:noWrap/>
            <w:hideMark/>
          </w:tcPr>
          <w:p w14:paraId="7C4674AE" w14:textId="77777777" w:rsidR="00704151" w:rsidRPr="00687637" w:rsidRDefault="00704151" w:rsidP="00924B64">
            <w:pPr>
              <w:jc w:val="center"/>
              <w:rPr>
                <w:sz w:val="18"/>
                <w:szCs w:val="18"/>
                <w:lang w:eastAsia="en-GB"/>
              </w:rPr>
            </w:pPr>
            <w:r w:rsidRPr="00687637">
              <w:rPr>
                <w:sz w:val="18"/>
                <w:szCs w:val="18"/>
                <w:lang w:eastAsia="en-GB"/>
              </w:rPr>
              <w:t>17</w:t>
            </w:r>
          </w:p>
        </w:tc>
        <w:tc>
          <w:tcPr>
            <w:tcW w:w="1283" w:type="dxa"/>
            <w:tcBorders>
              <w:top w:val="nil"/>
              <w:left w:val="nil"/>
              <w:bottom w:val="nil"/>
              <w:right w:val="nil"/>
            </w:tcBorders>
            <w:shd w:val="clear" w:color="auto" w:fill="auto"/>
            <w:noWrap/>
            <w:hideMark/>
          </w:tcPr>
          <w:p w14:paraId="35F73863" w14:textId="77777777" w:rsidR="00704151" w:rsidRPr="00687637" w:rsidRDefault="00704151" w:rsidP="00924B64">
            <w:pPr>
              <w:jc w:val="center"/>
              <w:rPr>
                <w:sz w:val="18"/>
                <w:szCs w:val="18"/>
                <w:lang w:eastAsia="en-GB"/>
              </w:rPr>
            </w:pPr>
            <w:r w:rsidRPr="00687637">
              <w:rPr>
                <w:sz w:val="18"/>
                <w:szCs w:val="18"/>
                <w:lang w:eastAsia="en-GB"/>
              </w:rPr>
              <w:t>75</w:t>
            </w:r>
          </w:p>
        </w:tc>
        <w:tc>
          <w:tcPr>
            <w:tcW w:w="696" w:type="dxa"/>
            <w:tcBorders>
              <w:top w:val="nil"/>
              <w:left w:val="nil"/>
              <w:bottom w:val="nil"/>
              <w:right w:val="nil"/>
            </w:tcBorders>
            <w:shd w:val="clear" w:color="auto" w:fill="auto"/>
            <w:noWrap/>
            <w:hideMark/>
          </w:tcPr>
          <w:p w14:paraId="683B0D7F" w14:textId="77777777" w:rsidR="00704151" w:rsidRPr="00687637" w:rsidRDefault="00704151" w:rsidP="00924B64">
            <w:pPr>
              <w:jc w:val="center"/>
              <w:rPr>
                <w:sz w:val="18"/>
                <w:szCs w:val="18"/>
                <w:lang w:eastAsia="en-GB"/>
              </w:rPr>
            </w:pPr>
            <w:r w:rsidRPr="00687637">
              <w:rPr>
                <w:sz w:val="18"/>
                <w:szCs w:val="18"/>
                <w:lang w:eastAsia="en-GB"/>
              </w:rPr>
              <w:t>12</w:t>
            </w:r>
          </w:p>
        </w:tc>
      </w:tr>
      <w:tr w:rsidR="00704151" w:rsidRPr="00687637" w14:paraId="2DF2B59E" w14:textId="77777777" w:rsidTr="00924B64">
        <w:trPr>
          <w:trHeight w:val="300"/>
        </w:trPr>
        <w:tc>
          <w:tcPr>
            <w:tcW w:w="696" w:type="dxa"/>
            <w:tcBorders>
              <w:top w:val="nil"/>
              <w:left w:val="nil"/>
              <w:bottom w:val="nil"/>
              <w:right w:val="nil"/>
            </w:tcBorders>
            <w:shd w:val="clear" w:color="auto" w:fill="auto"/>
            <w:noWrap/>
            <w:hideMark/>
          </w:tcPr>
          <w:p w14:paraId="568A334E" w14:textId="77777777" w:rsidR="00704151" w:rsidRPr="00687637" w:rsidRDefault="00704151" w:rsidP="00924B64">
            <w:pPr>
              <w:jc w:val="center"/>
              <w:rPr>
                <w:sz w:val="18"/>
                <w:szCs w:val="18"/>
                <w:lang w:eastAsia="en-GB"/>
              </w:rPr>
            </w:pPr>
            <w:r w:rsidRPr="00687637">
              <w:rPr>
                <w:sz w:val="18"/>
                <w:szCs w:val="18"/>
                <w:lang w:eastAsia="en-GB"/>
              </w:rPr>
              <w:t>3</w:t>
            </w:r>
          </w:p>
        </w:tc>
        <w:tc>
          <w:tcPr>
            <w:tcW w:w="4454" w:type="dxa"/>
            <w:tcBorders>
              <w:top w:val="nil"/>
              <w:left w:val="nil"/>
              <w:bottom w:val="nil"/>
              <w:right w:val="nil"/>
            </w:tcBorders>
            <w:shd w:val="clear" w:color="auto" w:fill="auto"/>
            <w:noWrap/>
            <w:hideMark/>
          </w:tcPr>
          <w:p w14:paraId="0EDF220A" w14:textId="77777777" w:rsidR="00704151" w:rsidRPr="00687637" w:rsidRDefault="00704151" w:rsidP="00924B64">
            <w:pPr>
              <w:rPr>
                <w:sz w:val="18"/>
                <w:szCs w:val="18"/>
                <w:lang w:eastAsia="en-GB"/>
              </w:rPr>
            </w:pPr>
            <w:r w:rsidRPr="00687637">
              <w:rPr>
                <w:sz w:val="18"/>
                <w:szCs w:val="18"/>
                <w:lang w:eastAsia="en-GB"/>
              </w:rPr>
              <w:t>Dengue</w:t>
            </w:r>
          </w:p>
        </w:tc>
        <w:tc>
          <w:tcPr>
            <w:tcW w:w="1201" w:type="dxa"/>
            <w:tcBorders>
              <w:top w:val="nil"/>
              <w:left w:val="nil"/>
              <w:bottom w:val="nil"/>
              <w:right w:val="nil"/>
            </w:tcBorders>
            <w:shd w:val="clear" w:color="auto" w:fill="auto"/>
            <w:noWrap/>
            <w:hideMark/>
          </w:tcPr>
          <w:p w14:paraId="21297FEC" w14:textId="77777777" w:rsidR="00704151" w:rsidRPr="00687637" w:rsidRDefault="00704151" w:rsidP="00924B64">
            <w:pPr>
              <w:jc w:val="center"/>
              <w:rPr>
                <w:sz w:val="18"/>
                <w:szCs w:val="18"/>
                <w:lang w:eastAsia="en-GB"/>
              </w:rPr>
            </w:pPr>
            <w:r w:rsidRPr="00687637">
              <w:rPr>
                <w:sz w:val="18"/>
                <w:szCs w:val="18"/>
                <w:lang w:eastAsia="en-GB"/>
              </w:rPr>
              <w:t>14,942</w:t>
            </w:r>
          </w:p>
        </w:tc>
        <w:tc>
          <w:tcPr>
            <w:tcW w:w="696" w:type="dxa"/>
            <w:tcBorders>
              <w:top w:val="nil"/>
              <w:left w:val="nil"/>
              <w:bottom w:val="nil"/>
              <w:right w:val="nil"/>
            </w:tcBorders>
            <w:shd w:val="clear" w:color="auto" w:fill="auto"/>
            <w:noWrap/>
            <w:hideMark/>
          </w:tcPr>
          <w:p w14:paraId="501D539B" w14:textId="77777777" w:rsidR="00704151" w:rsidRPr="00687637" w:rsidRDefault="00704151" w:rsidP="00924B64">
            <w:pPr>
              <w:jc w:val="center"/>
              <w:rPr>
                <w:sz w:val="18"/>
                <w:szCs w:val="18"/>
                <w:lang w:eastAsia="en-GB"/>
              </w:rPr>
            </w:pPr>
            <w:r w:rsidRPr="00687637">
              <w:rPr>
                <w:sz w:val="18"/>
                <w:szCs w:val="18"/>
                <w:lang w:eastAsia="en-GB"/>
              </w:rPr>
              <w:t>5.3</w:t>
            </w:r>
          </w:p>
        </w:tc>
        <w:tc>
          <w:tcPr>
            <w:tcW w:w="1283" w:type="dxa"/>
            <w:tcBorders>
              <w:top w:val="nil"/>
              <w:left w:val="nil"/>
              <w:bottom w:val="nil"/>
              <w:right w:val="nil"/>
            </w:tcBorders>
            <w:shd w:val="clear" w:color="auto" w:fill="auto"/>
            <w:noWrap/>
            <w:hideMark/>
          </w:tcPr>
          <w:p w14:paraId="101D371B" w14:textId="77777777" w:rsidR="00704151" w:rsidRPr="00687637" w:rsidRDefault="00704151" w:rsidP="00924B64">
            <w:pPr>
              <w:jc w:val="center"/>
              <w:rPr>
                <w:sz w:val="18"/>
                <w:szCs w:val="18"/>
                <w:lang w:eastAsia="en-GB"/>
              </w:rPr>
            </w:pPr>
            <w:r w:rsidRPr="00687637">
              <w:rPr>
                <w:sz w:val="18"/>
                <w:szCs w:val="18"/>
                <w:lang w:eastAsia="en-GB"/>
              </w:rPr>
              <w:t>32</w:t>
            </w:r>
          </w:p>
        </w:tc>
        <w:tc>
          <w:tcPr>
            <w:tcW w:w="696" w:type="dxa"/>
            <w:tcBorders>
              <w:top w:val="nil"/>
              <w:left w:val="nil"/>
              <w:bottom w:val="nil"/>
              <w:right w:val="nil"/>
            </w:tcBorders>
            <w:shd w:val="clear" w:color="auto" w:fill="auto"/>
            <w:noWrap/>
            <w:hideMark/>
          </w:tcPr>
          <w:p w14:paraId="4BD7B976" w14:textId="77777777" w:rsidR="00704151" w:rsidRPr="00687637" w:rsidRDefault="00704151" w:rsidP="00924B64">
            <w:pPr>
              <w:jc w:val="center"/>
              <w:rPr>
                <w:sz w:val="18"/>
                <w:szCs w:val="18"/>
                <w:lang w:eastAsia="en-GB"/>
              </w:rPr>
            </w:pPr>
            <w:r w:rsidRPr="00687637">
              <w:rPr>
                <w:sz w:val="18"/>
                <w:szCs w:val="18"/>
                <w:lang w:eastAsia="en-GB"/>
              </w:rPr>
              <w:t>5.4</w:t>
            </w:r>
          </w:p>
        </w:tc>
      </w:tr>
      <w:tr w:rsidR="00704151" w:rsidRPr="00687637" w14:paraId="3447A48F" w14:textId="77777777" w:rsidTr="00924B64">
        <w:trPr>
          <w:trHeight w:val="300"/>
        </w:trPr>
        <w:tc>
          <w:tcPr>
            <w:tcW w:w="696" w:type="dxa"/>
            <w:tcBorders>
              <w:top w:val="nil"/>
              <w:left w:val="nil"/>
              <w:bottom w:val="nil"/>
              <w:right w:val="nil"/>
            </w:tcBorders>
            <w:shd w:val="clear" w:color="auto" w:fill="auto"/>
            <w:noWrap/>
            <w:hideMark/>
          </w:tcPr>
          <w:p w14:paraId="532E2864" w14:textId="77777777" w:rsidR="00704151" w:rsidRPr="00687637" w:rsidRDefault="00704151" w:rsidP="00924B64">
            <w:pPr>
              <w:jc w:val="center"/>
              <w:rPr>
                <w:sz w:val="18"/>
                <w:szCs w:val="18"/>
                <w:lang w:eastAsia="en-GB"/>
              </w:rPr>
            </w:pPr>
            <w:r w:rsidRPr="00687637">
              <w:rPr>
                <w:sz w:val="18"/>
                <w:szCs w:val="18"/>
                <w:lang w:eastAsia="en-GB"/>
              </w:rPr>
              <w:t>4</w:t>
            </w:r>
          </w:p>
        </w:tc>
        <w:tc>
          <w:tcPr>
            <w:tcW w:w="4454" w:type="dxa"/>
            <w:tcBorders>
              <w:top w:val="nil"/>
              <w:left w:val="nil"/>
              <w:bottom w:val="nil"/>
              <w:right w:val="nil"/>
            </w:tcBorders>
            <w:shd w:val="clear" w:color="auto" w:fill="auto"/>
            <w:noWrap/>
            <w:hideMark/>
          </w:tcPr>
          <w:p w14:paraId="2CD074CC" w14:textId="77777777" w:rsidR="00704151" w:rsidRPr="00687637" w:rsidRDefault="00704151" w:rsidP="00924B64">
            <w:pPr>
              <w:rPr>
                <w:sz w:val="18"/>
                <w:szCs w:val="18"/>
                <w:lang w:eastAsia="en-GB"/>
              </w:rPr>
            </w:pPr>
            <w:r w:rsidRPr="00687637">
              <w:rPr>
                <w:sz w:val="18"/>
                <w:szCs w:val="18"/>
                <w:lang w:eastAsia="en-GB"/>
              </w:rPr>
              <w:t>Zika risk assessment</w:t>
            </w:r>
          </w:p>
        </w:tc>
        <w:tc>
          <w:tcPr>
            <w:tcW w:w="1201" w:type="dxa"/>
            <w:tcBorders>
              <w:top w:val="nil"/>
              <w:left w:val="nil"/>
              <w:bottom w:val="nil"/>
              <w:right w:val="nil"/>
            </w:tcBorders>
            <w:shd w:val="clear" w:color="auto" w:fill="auto"/>
            <w:noWrap/>
            <w:hideMark/>
          </w:tcPr>
          <w:p w14:paraId="541D823C" w14:textId="77777777" w:rsidR="00704151" w:rsidRPr="00687637" w:rsidRDefault="00704151" w:rsidP="00924B64">
            <w:pPr>
              <w:jc w:val="center"/>
              <w:rPr>
                <w:sz w:val="18"/>
                <w:szCs w:val="18"/>
                <w:lang w:eastAsia="en-GB"/>
              </w:rPr>
            </w:pPr>
            <w:r w:rsidRPr="00687637">
              <w:rPr>
                <w:sz w:val="18"/>
                <w:szCs w:val="18"/>
                <w:lang w:eastAsia="en-GB"/>
              </w:rPr>
              <w:t>10,921</w:t>
            </w:r>
          </w:p>
        </w:tc>
        <w:tc>
          <w:tcPr>
            <w:tcW w:w="696" w:type="dxa"/>
            <w:tcBorders>
              <w:top w:val="nil"/>
              <w:left w:val="nil"/>
              <w:bottom w:val="nil"/>
              <w:right w:val="nil"/>
            </w:tcBorders>
            <w:shd w:val="clear" w:color="auto" w:fill="auto"/>
            <w:noWrap/>
            <w:hideMark/>
          </w:tcPr>
          <w:p w14:paraId="0B1A269F" w14:textId="77777777" w:rsidR="00704151" w:rsidRPr="00687637" w:rsidRDefault="00704151" w:rsidP="00924B64">
            <w:pPr>
              <w:jc w:val="center"/>
              <w:rPr>
                <w:sz w:val="18"/>
                <w:szCs w:val="18"/>
                <w:lang w:eastAsia="en-GB"/>
              </w:rPr>
            </w:pPr>
            <w:r w:rsidRPr="00687637">
              <w:rPr>
                <w:sz w:val="18"/>
                <w:szCs w:val="18"/>
                <w:lang w:eastAsia="en-GB"/>
              </w:rPr>
              <w:t>3.9</w:t>
            </w:r>
          </w:p>
        </w:tc>
        <w:tc>
          <w:tcPr>
            <w:tcW w:w="1283" w:type="dxa"/>
            <w:tcBorders>
              <w:top w:val="nil"/>
              <w:left w:val="nil"/>
              <w:bottom w:val="nil"/>
              <w:right w:val="nil"/>
            </w:tcBorders>
            <w:shd w:val="clear" w:color="auto" w:fill="auto"/>
            <w:noWrap/>
            <w:hideMark/>
          </w:tcPr>
          <w:p w14:paraId="054847AE" w14:textId="77777777" w:rsidR="00704151" w:rsidRPr="00687637" w:rsidRDefault="00704151" w:rsidP="00924B64">
            <w:pPr>
              <w:jc w:val="center"/>
              <w:rPr>
                <w:sz w:val="18"/>
                <w:szCs w:val="18"/>
                <w:lang w:eastAsia="en-GB"/>
              </w:rPr>
            </w:pPr>
            <w:r w:rsidRPr="00687637">
              <w:rPr>
                <w:sz w:val="18"/>
                <w:szCs w:val="18"/>
                <w:lang w:eastAsia="en-GB"/>
              </w:rPr>
              <w:t>30</w:t>
            </w:r>
          </w:p>
        </w:tc>
        <w:tc>
          <w:tcPr>
            <w:tcW w:w="696" w:type="dxa"/>
            <w:tcBorders>
              <w:top w:val="nil"/>
              <w:left w:val="nil"/>
              <w:bottom w:val="nil"/>
              <w:right w:val="nil"/>
            </w:tcBorders>
            <w:shd w:val="clear" w:color="auto" w:fill="auto"/>
            <w:noWrap/>
            <w:hideMark/>
          </w:tcPr>
          <w:p w14:paraId="40F28E3E" w14:textId="77777777" w:rsidR="00704151" w:rsidRPr="00687637" w:rsidRDefault="00704151" w:rsidP="00924B64">
            <w:pPr>
              <w:jc w:val="center"/>
              <w:rPr>
                <w:sz w:val="18"/>
                <w:szCs w:val="18"/>
                <w:lang w:eastAsia="en-GB"/>
              </w:rPr>
            </w:pPr>
            <w:r w:rsidRPr="00687637">
              <w:rPr>
                <w:sz w:val="18"/>
                <w:szCs w:val="18"/>
                <w:lang w:eastAsia="en-GB"/>
              </w:rPr>
              <w:t>4.9</w:t>
            </w:r>
          </w:p>
        </w:tc>
      </w:tr>
      <w:tr w:rsidR="00704151" w:rsidRPr="00687637" w14:paraId="07039991" w14:textId="77777777" w:rsidTr="00924B64">
        <w:trPr>
          <w:trHeight w:val="300"/>
        </w:trPr>
        <w:tc>
          <w:tcPr>
            <w:tcW w:w="696" w:type="dxa"/>
            <w:tcBorders>
              <w:top w:val="nil"/>
              <w:left w:val="nil"/>
              <w:bottom w:val="nil"/>
              <w:right w:val="nil"/>
            </w:tcBorders>
            <w:shd w:val="clear" w:color="auto" w:fill="auto"/>
            <w:noWrap/>
            <w:hideMark/>
          </w:tcPr>
          <w:p w14:paraId="3B80D917" w14:textId="77777777" w:rsidR="00704151" w:rsidRPr="00687637" w:rsidRDefault="00704151" w:rsidP="00924B64">
            <w:pPr>
              <w:jc w:val="center"/>
              <w:rPr>
                <w:sz w:val="18"/>
                <w:szCs w:val="18"/>
                <w:lang w:eastAsia="en-GB"/>
              </w:rPr>
            </w:pPr>
            <w:r w:rsidRPr="00687637">
              <w:rPr>
                <w:sz w:val="18"/>
                <w:szCs w:val="18"/>
                <w:lang w:eastAsia="en-GB"/>
              </w:rPr>
              <w:t>5</w:t>
            </w:r>
          </w:p>
        </w:tc>
        <w:tc>
          <w:tcPr>
            <w:tcW w:w="4454" w:type="dxa"/>
            <w:tcBorders>
              <w:top w:val="nil"/>
              <w:left w:val="nil"/>
              <w:bottom w:val="nil"/>
              <w:right w:val="nil"/>
            </w:tcBorders>
            <w:shd w:val="clear" w:color="auto" w:fill="auto"/>
            <w:noWrap/>
            <w:hideMark/>
          </w:tcPr>
          <w:p w14:paraId="59152AB6" w14:textId="77777777" w:rsidR="00704151" w:rsidRPr="00687637" w:rsidRDefault="00704151" w:rsidP="00924B64">
            <w:pPr>
              <w:rPr>
                <w:sz w:val="18"/>
                <w:szCs w:val="18"/>
                <w:lang w:eastAsia="en-GB"/>
              </w:rPr>
            </w:pPr>
            <w:r w:rsidRPr="00687637">
              <w:rPr>
                <w:sz w:val="18"/>
                <w:szCs w:val="18"/>
                <w:lang w:eastAsia="en-GB"/>
              </w:rPr>
              <w:t>Malaria</w:t>
            </w:r>
          </w:p>
        </w:tc>
        <w:tc>
          <w:tcPr>
            <w:tcW w:w="1201" w:type="dxa"/>
            <w:tcBorders>
              <w:top w:val="nil"/>
              <w:left w:val="nil"/>
              <w:bottom w:val="nil"/>
              <w:right w:val="nil"/>
            </w:tcBorders>
            <w:shd w:val="clear" w:color="auto" w:fill="auto"/>
            <w:noWrap/>
            <w:hideMark/>
          </w:tcPr>
          <w:p w14:paraId="1C145C6A" w14:textId="77777777" w:rsidR="00704151" w:rsidRPr="00687637" w:rsidRDefault="00704151" w:rsidP="00924B64">
            <w:pPr>
              <w:jc w:val="center"/>
              <w:rPr>
                <w:sz w:val="18"/>
                <w:szCs w:val="18"/>
                <w:lang w:eastAsia="en-GB"/>
              </w:rPr>
            </w:pPr>
            <w:r w:rsidRPr="00687637">
              <w:rPr>
                <w:sz w:val="18"/>
                <w:szCs w:val="18"/>
                <w:lang w:eastAsia="en-GB"/>
              </w:rPr>
              <w:t>9,261</w:t>
            </w:r>
          </w:p>
        </w:tc>
        <w:tc>
          <w:tcPr>
            <w:tcW w:w="696" w:type="dxa"/>
            <w:tcBorders>
              <w:top w:val="nil"/>
              <w:left w:val="nil"/>
              <w:bottom w:val="nil"/>
              <w:right w:val="nil"/>
            </w:tcBorders>
            <w:shd w:val="clear" w:color="auto" w:fill="auto"/>
            <w:noWrap/>
            <w:hideMark/>
          </w:tcPr>
          <w:p w14:paraId="542A0F3F" w14:textId="77777777" w:rsidR="00704151" w:rsidRPr="00687637" w:rsidRDefault="00704151" w:rsidP="00924B64">
            <w:pPr>
              <w:jc w:val="center"/>
              <w:rPr>
                <w:sz w:val="18"/>
                <w:szCs w:val="18"/>
                <w:lang w:eastAsia="en-GB"/>
              </w:rPr>
            </w:pPr>
            <w:r w:rsidRPr="00687637">
              <w:rPr>
                <w:sz w:val="18"/>
                <w:szCs w:val="18"/>
                <w:lang w:eastAsia="en-GB"/>
              </w:rPr>
              <w:t>3.3</w:t>
            </w:r>
          </w:p>
        </w:tc>
        <w:tc>
          <w:tcPr>
            <w:tcW w:w="1283" w:type="dxa"/>
            <w:tcBorders>
              <w:top w:val="nil"/>
              <w:left w:val="nil"/>
              <w:bottom w:val="nil"/>
              <w:right w:val="nil"/>
            </w:tcBorders>
            <w:shd w:val="clear" w:color="auto" w:fill="auto"/>
            <w:noWrap/>
            <w:hideMark/>
          </w:tcPr>
          <w:p w14:paraId="6C97BB53" w14:textId="77777777" w:rsidR="00704151" w:rsidRPr="00687637" w:rsidRDefault="00704151" w:rsidP="00924B64">
            <w:pPr>
              <w:jc w:val="center"/>
              <w:rPr>
                <w:sz w:val="18"/>
                <w:szCs w:val="18"/>
                <w:lang w:eastAsia="en-GB"/>
              </w:rPr>
            </w:pPr>
            <w:r w:rsidRPr="00687637">
              <w:rPr>
                <w:sz w:val="18"/>
                <w:szCs w:val="18"/>
                <w:lang w:eastAsia="en-GB"/>
              </w:rPr>
              <w:t>19</w:t>
            </w:r>
          </w:p>
        </w:tc>
        <w:tc>
          <w:tcPr>
            <w:tcW w:w="696" w:type="dxa"/>
            <w:tcBorders>
              <w:top w:val="nil"/>
              <w:left w:val="nil"/>
              <w:bottom w:val="nil"/>
              <w:right w:val="nil"/>
            </w:tcBorders>
            <w:shd w:val="clear" w:color="auto" w:fill="auto"/>
            <w:noWrap/>
            <w:hideMark/>
          </w:tcPr>
          <w:p w14:paraId="13FA5E62" w14:textId="77777777" w:rsidR="00704151" w:rsidRPr="00687637" w:rsidRDefault="00704151" w:rsidP="00924B64">
            <w:pPr>
              <w:jc w:val="center"/>
              <w:rPr>
                <w:sz w:val="18"/>
                <w:szCs w:val="18"/>
                <w:lang w:eastAsia="en-GB"/>
              </w:rPr>
            </w:pPr>
            <w:r w:rsidRPr="00687637">
              <w:rPr>
                <w:sz w:val="18"/>
                <w:szCs w:val="18"/>
                <w:lang w:eastAsia="en-GB"/>
              </w:rPr>
              <w:t>3.2</w:t>
            </w:r>
          </w:p>
        </w:tc>
      </w:tr>
      <w:tr w:rsidR="00704151" w:rsidRPr="00687637" w14:paraId="32469D2C" w14:textId="77777777" w:rsidTr="00924B64">
        <w:trPr>
          <w:trHeight w:val="300"/>
        </w:trPr>
        <w:tc>
          <w:tcPr>
            <w:tcW w:w="696" w:type="dxa"/>
            <w:tcBorders>
              <w:top w:val="nil"/>
              <w:left w:val="nil"/>
              <w:bottom w:val="nil"/>
              <w:right w:val="nil"/>
            </w:tcBorders>
            <w:shd w:val="clear" w:color="auto" w:fill="auto"/>
            <w:noWrap/>
            <w:hideMark/>
          </w:tcPr>
          <w:p w14:paraId="3026F97D" w14:textId="77777777" w:rsidR="00704151" w:rsidRPr="00687637" w:rsidRDefault="00704151" w:rsidP="00924B64">
            <w:pPr>
              <w:jc w:val="center"/>
              <w:rPr>
                <w:sz w:val="18"/>
                <w:szCs w:val="18"/>
                <w:lang w:eastAsia="en-GB"/>
              </w:rPr>
            </w:pPr>
            <w:r w:rsidRPr="00687637">
              <w:rPr>
                <w:sz w:val="18"/>
                <w:szCs w:val="18"/>
                <w:lang w:eastAsia="en-GB"/>
              </w:rPr>
              <w:t>6</w:t>
            </w:r>
          </w:p>
        </w:tc>
        <w:tc>
          <w:tcPr>
            <w:tcW w:w="4454" w:type="dxa"/>
            <w:tcBorders>
              <w:top w:val="nil"/>
              <w:left w:val="nil"/>
              <w:bottom w:val="nil"/>
              <w:right w:val="nil"/>
            </w:tcBorders>
            <w:shd w:val="clear" w:color="auto" w:fill="auto"/>
            <w:noWrap/>
            <w:hideMark/>
          </w:tcPr>
          <w:p w14:paraId="623DF185" w14:textId="77777777" w:rsidR="00704151" w:rsidRPr="00687637" w:rsidRDefault="00704151" w:rsidP="00924B64">
            <w:pPr>
              <w:rPr>
                <w:sz w:val="18"/>
                <w:szCs w:val="18"/>
                <w:lang w:eastAsia="en-GB"/>
              </w:rPr>
            </w:pPr>
            <w:r w:rsidRPr="00687637">
              <w:rPr>
                <w:sz w:val="18"/>
                <w:szCs w:val="18"/>
                <w:lang w:eastAsia="en-GB"/>
              </w:rPr>
              <w:t>Personal safety</w:t>
            </w:r>
          </w:p>
        </w:tc>
        <w:tc>
          <w:tcPr>
            <w:tcW w:w="1201" w:type="dxa"/>
            <w:tcBorders>
              <w:top w:val="nil"/>
              <w:left w:val="nil"/>
              <w:bottom w:val="nil"/>
              <w:right w:val="nil"/>
            </w:tcBorders>
            <w:shd w:val="clear" w:color="auto" w:fill="auto"/>
            <w:noWrap/>
            <w:hideMark/>
          </w:tcPr>
          <w:p w14:paraId="7D677599" w14:textId="77777777" w:rsidR="00704151" w:rsidRPr="00687637" w:rsidRDefault="00704151" w:rsidP="00924B64">
            <w:pPr>
              <w:jc w:val="center"/>
              <w:rPr>
                <w:sz w:val="18"/>
                <w:szCs w:val="18"/>
                <w:lang w:eastAsia="en-GB"/>
              </w:rPr>
            </w:pPr>
            <w:r w:rsidRPr="00687637">
              <w:rPr>
                <w:sz w:val="18"/>
                <w:szCs w:val="18"/>
                <w:lang w:eastAsia="en-GB"/>
              </w:rPr>
              <w:t>9,047</w:t>
            </w:r>
          </w:p>
        </w:tc>
        <w:tc>
          <w:tcPr>
            <w:tcW w:w="696" w:type="dxa"/>
            <w:tcBorders>
              <w:top w:val="nil"/>
              <w:left w:val="nil"/>
              <w:bottom w:val="nil"/>
              <w:right w:val="nil"/>
            </w:tcBorders>
            <w:shd w:val="clear" w:color="auto" w:fill="auto"/>
            <w:noWrap/>
            <w:hideMark/>
          </w:tcPr>
          <w:p w14:paraId="05175935" w14:textId="77777777" w:rsidR="00704151" w:rsidRPr="00687637" w:rsidRDefault="00704151" w:rsidP="00924B64">
            <w:pPr>
              <w:jc w:val="center"/>
              <w:rPr>
                <w:sz w:val="18"/>
                <w:szCs w:val="18"/>
                <w:lang w:eastAsia="en-GB"/>
              </w:rPr>
            </w:pPr>
            <w:r w:rsidRPr="00687637">
              <w:rPr>
                <w:sz w:val="18"/>
                <w:szCs w:val="18"/>
                <w:lang w:eastAsia="en-GB"/>
              </w:rPr>
              <w:t>3.2</w:t>
            </w:r>
          </w:p>
        </w:tc>
        <w:tc>
          <w:tcPr>
            <w:tcW w:w="1283" w:type="dxa"/>
            <w:tcBorders>
              <w:top w:val="nil"/>
              <w:left w:val="nil"/>
              <w:bottom w:val="nil"/>
              <w:right w:val="nil"/>
            </w:tcBorders>
            <w:shd w:val="clear" w:color="auto" w:fill="auto"/>
            <w:noWrap/>
            <w:hideMark/>
          </w:tcPr>
          <w:p w14:paraId="6BC60C03" w14:textId="77777777" w:rsidR="00704151" w:rsidRPr="00687637" w:rsidRDefault="00704151" w:rsidP="00924B64">
            <w:pPr>
              <w:jc w:val="center"/>
              <w:rPr>
                <w:sz w:val="18"/>
                <w:szCs w:val="18"/>
                <w:lang w:eastAsia="en-GB"/>
              </w:rPr>
            </w:pPr>
            <w:r w:rsidRPr="00687637">
              <w:rPr>
                <w:sz w:val="18"/>
                <w:szCs w:val="18"/>
                <w:lang w:eastAsia="en-GB"/>
              </w:rPr>
              <w:t>11</w:t>
            </w:r>
          </w:p>
        </w:tc>
        <w:tc>
          <w:tcPr>
            <w:tcW w:w="696" w:type="dxa"/>
            <w:tcBorders>
              <w:top w:val="nil"/>
              <w:left w:val="nil"/>
              <w:bottom w:val="nil"/>
              <w:right w:val="nil"/>
            </w:tcBorders>
            <w:shd w:val="clear" w:color="auto" w:fill="auto"/>
            <w:noWrap/>
            <w:hideMark/>
          </w:tcPr>
          <w:p w14:paraId="27C7AD0D" w14:textId="77777777" w:rsidR="00704151" w:rsidRPr="00687637" w:rsidRDefault="00704151" w:rsidP="00924B64">
            <w:pPr>
              <w:jc w:val="center"/>
              <w:rPr>
                <w:sz w:val="18"/>
                <w:szCs w:val="18"/>
                <w:lang w:eastAsia="en-GB"/>
              </w:rPr>
            </w:pPr>
            <w:r w:rsidRPr="00687637">
              <w:rPr>
                <w:sz w:val="18"/>
                <w:szCs w:val="18"/>
                <w:lang w:eastAsia="en-GB"/>
              </w:rPr>
              <w:t>1.8</w:t>
            </w:r>
          </w:p>
        </w:tc>
      </w:tr>
      <w:tr w:rsidR="00704151" w:rsidRPr="00687637" w14:paraId="47F78AD5" w14:textId="77777777" w:rsidTr="00924B64">
        <w:trPr>
          <w:trHeight w:val="300"/>
        </w:trPr>
        <w:tc>
          <w:tcPr>
            <w:tcW w:w="696" w:type="dxa"/>
            <w:tcBorders>
              <w:top w:val="nil"/>
              <w:left w:val="nil"/>
              <w:bottom w:val="nil"/>
              <w:right w:val="nil"/>
            </w:tcBorders>
            <w:shd w:val="clear" w:color="auto" w:fill="auto"/>
            <w:noWrap/>
            <w:hideMark/>
          </w:tcPr>
          <w:p w14:paraId="5A086578" w14:textId="77777777" w:rsidR="00704151" w:rsidRPr="00687637" w:rsidRDefault="00704151" w:rsidP="00924B64">
            <w:pPr>
              <w:jc w:val="center"/>
              <w:rPr>
                <w:sz w:val="18"/>
                <w:szCs w:val="18"/>
                <w:lang w:eastAsia="en-GB"/>
              </w:rPr>
            </w:pPr>
            <w:r w:rsidRPr="00687637">
              <w:rPr>
                <w:sz w:val="18"/>
                <w:szCs w:val="18"/>
                <w:lang w:eastAsia="en-GB"/>
              </w:rPr>
              <w:t>7</w:t>
            </w:r>
          </w:p>
        </w:tc>
        <w:tc>
          <w:tcPr>
            <w:tcW w:w="4454" w:type="dxa"/>
            <w:tcBorders>
              <w:top w:val="nil"/>
              <w:left w:val="nil"/>
              <w:bottom w:val="nil"/>
              <w:right w:val="nil"/>
            </w:tcBorders>
            <w:shd w:val="clear" w:color="auto" w:fill="auto"/>
            <w:noWrap/>
            <w:hideMark/>
          </w:tcPr>
          <w:p w14:paraId="0F29872F" w14:textId="77777777" w:rsidR="00704151" w:rsidRPr="00687637" w:rsidRDefault="00704151" w:rsidP="00924B64">
            <w:pPr>
              <w:rPr>
                <w:sz w:val="18"/>
                <w:szCs w:val="18"/>
                <w:lang w:eastAsia="en-GB"/>
              </w:rPr>
            </w:pPr>
            <w:r w:rsidRPr="00687637">
              <w:rPr>
                <w:sz w:val="18"/>
                <w:szCs w:val="18"/>
                <w:lang w:eastAsia="en-GB"/>
              </w:rPr>
              <w:t>Pregnancy</w:t>
            </w:r>
          </w:p>
        </w:tc>
        <w:tc>
          <w:tcPr>
            <w:tcW w:w="1201" w:type="dxa"/>
            <w:tcBorders>
              <w:top w:val="nil"/>
              <w:left w:val="nil"/>
              <w:bottom w:val="nil"/>
              <w:right w:val="nil"/>
            </w:tcBorders>
            <w:shd w:val="clear" w:color="auto" w:fill="auto"/>
            <w:noWrap/>
            <w:hideMark/>
          </w:tcPr>
          <w:p w14:paraId="4733E0B4" w14:textId="77777777" w:rsidR="00704151" w:rsidRPr="00687637" w:rsidRDefault="00704151" w:rsidP="00924B64">
            <w:pPr>
              <w:jc w:val="center"/>
              <w:rPr>
                <w:sz w:val="18"/>
                <w:szCs w:val="18"/>
                <w:lang w:eastAsia="en-GB"/>
              </w:rPr>
            </w:pPr>
            <w:r w:rsidRPr="00687637">
              <w:rPr>
                <w:sz w:val="18"/>
                <w:szCs w:val="18"/>
                <w:lang w:eastAsia="en-GB"/>
              </w:rPr>
              <w:t>7,447</w:t>
            </w:r>
          </w:p>
        </w:tc>
        <w:tc>
          <w:tcPr>
            <w:tcW w:w="696" w:type="dxa"/>
            <w:tcBorders>
              <w:top w:val="nil"/>
              <w:left w:val="nil"/>
              <w:bottom w:val="nil"/>
              <w:right w:val="nil"/>
            </w:tcBorders>
            <w:shd w:val="clear" w:color="auto" w:fill="auto"/>
            <w:noWrap/>
            <w:hideMark/>
          </w:tcPr>
          <w:p w14:paraId="2C402FEF" w14:textId="77777777" w:rsidR="00704151" w:rsidRPr="00687637" w:rsidRDefault="00704151" w:rsidP="00924B64">
            <w:pPr>
              <w:jc w:val="center"/>
              <w:rPr>
                <w:sz w:val="18"/>
                <w:szCs w:val="18"/>
                <w:lang w:eastAsia="en-GB"/>
              </w:rPr>
            </w:pPr>
            <w:r w:rsidRPr="00687637">
              <w:rPr>
                <w:sz w:val="18"/>
                <w:szCs w:val="18"/>
                <w:lang w:eastAsia="en-GB"/>
              </w:rPr>
              <w:t>2.6</w:t>
            </w:r>
          </w:p>
        </w:tc>
        <w:tc>
          <w:tcPr>
            <w:tcW w:w="1283" w:type="dxa"/>
            <w:tcBorders>
              <w:top w:val="nil"/>
              <w:left w:val="nil"/>
              <w:bottom w:val="nil"/>
              <w:right w:val="nil"/>
            </w:tcBorders>
            <w:shd w:val="clear" w:color="auto" w:fill="auto"/>
            <w:noWrap/>
            <w:hideMark/>
          </w:tcPr>
          <w:p w14:paraId="357BB5CC" w14:textId="77777777" w:rsidR="00704151" w:rsidRPr="00687637" w:rsidRDefault="00704151" w:rsidP="00924B64">
            <w:pPr>
              <w:jc w:val="center"/>
              <w:rPr>
                <w:sz w:val="18"/>
                <w:szCs w:val="18"/>
                <w:lang w:eastAsia="en-GB"/>
              </w:rPr>
            </w:pPr>
            <w:r w:rsidRPr="00687637">
              <w:rPr>
                <w:sz w:val="18"/>
                <w:szCs w:val="18"/>
                <w:lang w:eastAsia="en-GB"/>
              </w:rPr>
              <w:t>17</w:t>
            </w:r>
          </w:p>
        </w:tc>
        <w:tc>
          <w:tcPr>
            <w:tcW w:w="696" w:type="dxa"/>
            <w:tcBorders>
              <w:top w:val="nil"/>
              <w:left w:val="nil"/>
              <w:bottom w:val="nil"/>
              <w:right w:val="nil"/>
            </w:tcBorders>
            <w:shd w:val="clear" w:color="auto" w:fill="auto"/>
            <w:noWrap/>
            <w:hideMark/>
          </w:tcPr>
          <w:p w14:paraId="65FA2202" w14:textId="77777777" w:rsidR="00704151" w:rsidRPr="00687637" w:rsidRDefault="00704151" w:rsidP="00924B64">
            <w:pPr>
              <w:jc w:val="center"/>
              <w:rPr>
                <w:sz w:val="18"/>
                <w:szCs w:val="18"/>
                <w:lang w:eastAsia="en-GB"/>
              </w:rPr>
            </w:pPr>
            <w:r w:rsidRPr="00687637">
              <w:rPr>
                <w:sz w:val="18"/>
                <w:szCs w:val="18"/>
                <w:lang w:eastAsia="en-GB"/>
              </w:rPr>
              <w:t>2.8</w:t>
            </w:r>
          </w:p>
        </w:tc>
      </w:tr>
      <w:tr w:rsidR="00704151" w:rsidRPr="00687637" w14:paraId="5C12915F" w14:textId="77777777" w:rsidTr="00924B64">
        <w:trPr>
          <w:trHeight w:val="300"/>
        </w:trPr>
        <w:tc>
          <w:tcPr>
            <w:tcW w:w="696" w:type="dxa"/>
            <w:tcBorders>
              <w:top w:val="nil"/>
              <w:left w:val="nil"/>
              <w:bottom w:val="nil"/>
              <w:right w:val="nil"/>
            </w:tcBorders>
            <w:shd w:val="clear" w:color="auto" w:fill="auto"/>
            <w:noWrap/>
            <w:hideMark/>
          </w:tcPr>
          <w:p w14:paraId="7E95DAA0" w14:textId="77777777" w:rsidR="00704151" w:rsidRPr="00687637" w:rsidRDefault="00704151" w:rsidP="00924B64">
            <w:pPr>
              <w:jc w:val="center"/>
              <w:rPr>
                <w:sz w:val="18"/>
                <w:szCs w:val="18"/>
                <w:lang w:eastAsia="en-GB"/>
              </w:rPr>
            </w:pPr>
            <w:r w:rsidRPr="00687637">
              <w:rPr>
                <w:sz w:val="18"/>
                <w:szCs w:val="18"/>
                <w:lang w:eastAsia="en-GB"/>
              </w:rPr>
              <w:t>8</w:t>
            </w:r>
          </w:p>
        </w:tc>
        <w:tc>
          <w:tcPr>
            <w:tcW w:w="4454" w:type="dxa"/>
            <w:tcBorders>
              <w:top w:val="nil"/>
              <w:left w:val="nil"/>
              <w:bottom w:val="nil"/>
              <w:right w:val="nil"/>
            </w:tcBorders>
            <w:shd w:val="clear" w:color="auto" w:fill="auto"/>
            <w:noWrap/>
            <w:hideMark/>
          </w:tcPr>
          <w:p w14:paraId="55F136BE" w14:textId="77777777" w:rsidR="00704151" w:rsidRPr="00687637" w:rsidRDefault="00704151" w:rsidP="00924B64">
            <w:pPr>
              <w:rPr>
                <w:sz w:val="18"/>
                <w:szCs w:val="18"/>
                <w:lang w:eastAsia="en-GB"/>
              </w:rPr>
            </w:pPr>
            <w:r w:rsidRPr="00687637">
              <w:rPr>
                <w:sz w:val="18"/>
                <w:szCs w:val="18"/>
                <w:lang w:eastAsia="en-GB"/>
              </w:rPr>
              <w:t>Yellow fever</w:t>
            </w:r>
          </w:p>
        </w:tc>
        <w:tc>
          <w:tcPr>
            <w:tcW w:w="1201" w:type="dxa"/>
            <w:tcBorders>
              <w:top w:val="nil"/>
              <w:left w:val="nil"/>
              <w:bottom w:val="nil"/>
              <w:right w:val="nil"/>
            </w:tcBorders>
            <w:shd w:val="clear" w:color="auto" w:fill="auto"/>
            <w:noWrap/>
            <w:hideMark/>
          </w:tcPr>
          <w:p w14:paraId="21CDF25D" w14:textId="77777777" w:rsidR="00704151" w:rsidRPr="00687637" w:rsidRDefault="00704151" w:rsidP="00924B64">
            <w:pPr>
              <w:jc w:val="center"/>
              <w:rPr>
                <w:sz w:val="18"/>
                <w:szCs w:val="18"/>
                <w:lang w:eastAsia="en-GB"/>
              </w:rPr>
            </w:pPr>
            <w:r w:rsidRPr="00687637">
              <w:rPr>
                <w:sz w:val="18"/>
                <w:szCs w:val="18"/>
                <w:lang w:eastAsia="en-GB"/>
              </w:rPr>
              <w:t>6,817</w:t>
            </w:r>
          </w:p>
        </w:tc>
        <w:tc>
          <w:tcPr>
            <w:tcW w:w="696" w:type="dxa"/>
            <w:tcBorders>
              <w:top w:val="nil"/>
              <w:left w:val="nil"/>
              <w:bottom w:val="nil"/>
              <w:right w:val="nil"/>
            </w:tcBorders>
            <w:shd w:val="clear" w:color="auto" w:fill="auto"/>
            <w:noWrap/>
            <w:hideMark/>
          </w:tcPr>
          <w:p w14:paraId="74D79D5E" w14:textId="77777777" w:rsidR="00704151" w:rsidRPr="00687637" w:rsidRDefault="00704151" w:rsidP="00924B64">
            <w:pPr>
              <w:jc w:val="center"/>
              <w:rPr>
                <w:sz w:val="18"/>
                <w:szCs w:val="18"/>
                <w:lang w:eastAsia="en-GB"/>
              </w:rPr>
            </w:pPr>
            <w:r w:rsidRPr="00687637">
              <w:rPr>
                <w:sz w:val="18"/>
                <w:szCs w:val="18"/>
                <w:lang w:eastAsia="en-GB"/>
              </w:rPr>
              <w:t>2.4</w:t>
            </w:r>
          </w:p>
        </w:tc>
        <w:tc>
          <w:tcPr>
            <w:tcW w:w="1283" w:type="dxa"/>
            <w:tcBorders>
              <w:top w:val="nil"/>
              <w:left w:val="nil"/>
              <w:bottom w:val="nil"/>
              <w:right w:val="nil"/>
            </w:tcBorders>
            <w:shd w:val="clear" w:color="auto" w:fill="auto"/>
            <w:noWrap/>
            <w:hideMark/>
          </w:tcPr>
          <w:p w14:paraId="0EBD1936" w14:textId="77777777" w:rsidR="00704151" w:rsidRPr="00687637" w:rsidRDefault="00704151" w:rsidP="00924B64">
            <w:pPr>
              <w:jc w:val="center"/>
              <w:rPr>
                <w:sz w:val="18"/>
                <w:szCs w:val="18"/>
                <w:lang w:eastAsia="en-GB"/>
              </w:rPr>
            </w:pPr>
            <w:r w:rsidRPr="00687637">
              <w:rPr>
                <w:sz w:val="18"/>
                <w:szCs w:val="18"/>
                <w:lang w:eastAsia="en-GB"/>
              </w:rPr>
              <w:t>24</w:t>
            </w:r>
          </w:p>
        </w:tc>
        <w:tc>
          <w:tcPr>
            <w:tcW w:w="696" w:type="dxa"/>
            <w:tcBorders>
              <w:top w:val="nil"/>
              <w:left w:val="nil"/>
              <w:bottom w:val="nil"/>
              <w:right w:val="nil"/>
            </w:tcBorders>
            <w:shd w:val="clear" w:color="auto" w:fill="auto"/>
            <w:noWrap/>
            <w:hideMark/>
          </w:tcPr>
          <w:p w14:paraId="077CDC0D" w14:textId="77777777" w:rsidR="00704151" w:rsidRPr="00687637" w:rsidRDefault="00704151" w:rsidP="00924B64">
            <w:pPr>
              <w:jc w:val="center"/>
              <w:rPr>
                <w:sz w:val="18"/>
                <w:szCs w:val="18"/>
                <w:lang w:eastAsia="en-GB"/>
              </w:rPr>
            </w:pPr>
            <w:r w:rsidRPr="00687637">
              <w:rPr>
                <w:sz w:val="18"/>
                <w:szCs w:val="18"/>
                <w:lang w:eastAsia="en-GB"/>
              </w:rPr>
              <w:t>4</w:t>
            </w:r>
          </w:p>
        </w:tc>
      </w:tr>
      <w:tr w:rsidR="00704151" w:rsidRPr="00687637" w14:paraId="2D677A96" w14:textId="77777777" w:rsidTr="00924B64">
        <w:trPr>
          <w:trHeight w:val="300"/>
        </w:trPr>
        <w:tc>
          <w:tcPr>
            <w:tcW w:w="696" w:type="dxa"/>
            <w:tcBorders>
              <w:top w:val="nil"/>
              <w:left w:val="nil"/>
              <w:bottom w:val="nil"/>
              <w:right w:val="nil"/>
            </w:tcBorders>
            <w:shd w:val="clear" w:color="auto" w:fill="auto"/>
            <w:noWrap/>
            <w:hideMark/>
          </w:tcPr>
          <w:p w14:paraId="4F5FE19F" w14:textId="77777777" w:rsidR="00704151" w:rsidRPr="00687637" w:rsidRDefault="00704151" w:rsidP="00924B64">
            <w:pPr>
              <w:jc w:val="center"/>
              <w:rPr>
                <w:sz w:val="18"/>
                <w:szCs w:val="18"/>
                <w:lang w:eastAsia="en-GB"/>
              </w:rPr>
            </w:pPr>
            <w:r w:rsidRPr="00687637">
              <w:rPr>
                <w:sz w:val="18"/>
                <w:szCs w:val="18"/>
                <w:lang w:eastAsia="en-GB"/>
              </w:rPr>
              <w:t>9</w:t>
            </w:r>
          </w:p>
        </w:tc>
        <w:tc>
          <w:tcPr>
            <w:tcW w:w="4454" w:type="dxa"/>
            <w:tcBorders>
              <w:top w:val="nil"/>
              <w:left w:val="nil"/>
              <w:bottom w:val="nil"/>
              <w:right w:val="nil"/>
            </w:tcBorders>
            <w:shd w:val="clear" w:color="auto" w:fill="auto"/>
            <w:noWrap/>
            <w:hideMark/>
          </w:tcPr>
          <w:p w14:paraId="2C5F711F" w14:textId="77777777" w:rsidR="00704151" w:rsidRPr="00687637" w:rsidRDefault="00704151" w:rsidP="00924B64">
            <w:pPr>
              <w:rPr>
                <w:sz w:val="18"/>
                <w:szCs w:val="18"/>
                <w:lang w:eastAsia="en-GB"/>
              </w:rPr>
            </w:pPr>
            <w:r w:rsidRPr="00687637">
              <w:rPr>
                <w:sz w:val="18"/>
                <w:szCs w:val="18"/>
                <w:lang w:eastAsia="en-GB"/>
              </w:rPr>
              <w:t>Sun protection</w:t>
            </w:r>
          </w:p>
        </w:tc>
        <w:tc>
          <w:tcPr>
            <w:tcW w:w="1201" w:type="dxa"/>
            <w:tcBorders>
              <w:top w:val="nil"/>
              <w:left w:val="nil"/>
              <w:bottom w:val="nil"/>
              <w:right w:val="nil"/>
            </w:tcBorders>
            <w:shd w:val="clear" w:color="auto" w:fill="auto"/>
            <w:noWrap/>
            <w:hideMark/>
          </w:tcPr>
          <w:p w14:paraId="64837C5D" w14:textId="77777777" w:rsidR="00704151" w:rsidRPr="00687637" w:rsidRDefault="00704151" w:rsidP="00924B64">
            <w:pPr>
              <w:jc w:val="center"/>
              <w:rPr>
                <w:sz w:val="18"/>
                <w:szCs w:val="18"/>
                <w:lang w:eastAsia="en-GB"/>
              </w:rPr>
            </w:pPr>
            <w:r w:rsidRPr="00687637">
              <w:rPr>
                <w:sz w:val="18"/>
                <w:szCs w:val="18"/>
                <w:lang w:eastAsia="en-GB"/>
              </w:rPr>
              <w:t>6,785</w:t>
            </w:r>
          </w:p>
        </w:tc>
        <w:tc>
          <w:tcPr>
            <w:tcW w:w="696" w:type="dxa"/>
            <w:tcBorders>
              <w:top w:val="nil"/>
              <w:left w:val="nil"/>
              <w:bottom w:val="nil"/>
              <w:right w:val="nil"/>
            </w:tcBorders>
            <w:shd w:val="clear" w:color="auto" w:fill="auto"/>
            <w:noWrap/>
            <w:hideMark/>
          </w:tcPr>
          <w:p w14:paraId="2346EE47" w14:textId="77777777" w:rsidR="00704151" w:rsidRPr="00687637" w:rsidRDefault="00704151" w:rsidP="00924B64">
            <w:pPr>
              <w:jc w:val="center"/>
              <w:rPr>
                <w:sz w:val="18"/>
                <w:szCs w:val="18"/>
                <w:lang w:eastAsia="en-GB"/>
              </w:rPr>
            </w:pPr>
            <w:r w:rsidRPr="00687637">
              <w:rPr>
                <w:sz w:val="18"/>
                <w:szCs w:val="18"/>
                <w:lang w:eastAsia="en-GB"/>
              </w:rPr>
              <w:t>2.4</w:t>
            </w:r>
          </w:p>
        </w:tc>
        <w:tc>
          <w:tcPr>
            <w:tcW w:w="1283" w:type="dxa"/>
            <w:tcBorders>
              <w:top w:val="nil"/>
              <w:left w:val="nil"/>
              <w:bottom w:val="nil"/>
              <w:right w:val="nil"/>
            </w:tcBorders>
            <w:shd w:val="clear" w:color="auto" w:fill="auto"/>
            <w:noWrap/>
            <w:hideMark/>
          </w:tcPr>
          <w:p w14:paraId="732FE23F" w14:textId="77777777" w:rsidR="00704151" w:rsidRPr="00687637" w:rsidRDefault="00704151" w:rsidP="00924B64">
            <w:pPr>
              <w:jc w:val="center"/>
              <w:rPr>
                <w:sz w:val="18"/>
                <w:szCs w:val="18"/>
                <w:lang w:eastAsia="en-GB"/>
              </w:rPr>
            </w:pPr>
            <w:r w:rsidRPr="00687637">
              <w:rPr>
                <w:sz w:val="18"/>
                <w:szCs w:val="18"/>
                <w:lang w:eastAsia="en-GB"/>
              </w:rPr>
              <w:t>11</w:t>
            </w:r>
          </w:p>
        </w:tc>
        <w:tc>
          <w:tcPr>
            <w:tcW w:w="696" w:type="dxa"/>
            <w:tcBorders>
              <w:top w:val="nil"/>
              <w:left w:val="nil"/>
              <w:bottom w:val="nil"/>
              <w:right w:val="nil"/>
            </w:tcBorders>
            <w:shd w:val="clear" w:color="auto" w:fill="auto"/>
            <w:noWrap/>
            <w:hideMark/>
          </w:tcPr>
          <w:p w14:paraId="0F077D88" w14:textId="77777777" w:rsidR="00704151" w:rsidRPr="00687637" w:rsidRDefault="00704151" w:rsidP="00924B64">
            <w:pPr>
              <w:jc w:val="center"/>
              <w:rPr>
                <w:sz w:val="18"/>
                <w:szCs w:val="18"/>
                <w:lang w:eastAsia="en-GB"/>
              </w:rPr>
            </w:pPr>
            <w:r w:rsidRPr="00687637">
              <w:rPr>
                <w:sz w:val="18"/>
                <w:szCs w:val="18"/>
                <w:lang w:eastAsia="en-GB"/>
              </w:rPr>
              <w:t>1.8</w:t>
            </w:r>
          </w:p>
        </w:tc>
      </w:tr>
      <w:tr w:rsidR="00704151" w:rsidRPr="00687637" w14:paraId="46355DB3" w14:textId="77777777" w:rsidTr="00924B64">
        <w:trPr>
          <w:trHeight w:val="300"/>
        </w:trPr>
        <w:tc>
          <w:tcPr>
            <w:tcW w:w="696" w:type="dxa"/>
            <w:tcBorders>
              <w:top w:val="nil"/>
              <w:left w:val="nil"/>
              <w:bottom w:val="nil"/>
              <w:right w:val="nil"/>
            </w:tcBorders>
            <w:shd w:val="clear" w:color="auto" w:fill="auto"/>
            <w:noWrap/>
            <w:hideMark/>
          </w:tcPr>
          <w:p w14:paraId="75D69E76" w14:textId="77777777" w:rsidR="00704151" w:rsidRPr="00687637" w:rsidRDefault="00704151" w:rsidP="00924B64">
            <w:pPr>
              <w:jc w:val="center"/>
              <w:rPr>
                <w:sz w:val="18"/>
                <w:szCs w:val="18"/>
                <w:lang w:eastAsia="en-GB"/>
              </w:rPr>
            </w:pPr>
            <w:r w:rsidRPr="00687637">
              <w:rPr>
                <w:sz w:val="18"/>
                <w:szCs w:val="18"/>
                <w:lang w:eastAsia="en-GB"/>
              </w:rPr>
              <w:t>10</w:t>
            </w:r>
          </w:p>
        </w:tc>
        <w:tc>
          <w:tcPr>
            <w:tcW w:w="4454" w:type="dxa"/>
            <w:tcBorders>
              <w:top w:val="nil"/>
              <w:left w:val="nil"/>
              <w:right w:val="nil"/>
            </w:tcBorders>
            <w:shd w:val="clear" w:color="auto" w:fill="auto"/>
            <w:noWrap/>
            <w:hideMark/>
          </w:tcPr>
          <w:p w14:paraId="458A0A21" w14:textId="77777777" w:rsidR="00704151" w:rsidRPr="00687637" w:rsidRDefault="00704151" w:rsidP="00924B64">
            <w:pPr>
              <w:rPr>
                <w:sz w:val="18"/>
                <w:szCs w:val="18"/>
                <w:lang w:eastAsia="en-GB"/>
              </w:rPr>
            </w:pPr>
            <w:r w:rsidRPr="00687637">
              <w:rPr>
                <w:sz w:val="18"/>
                <w:szCs w:val="18"/>
                <w:lang w:eastAsia="en-GB"/>
              </w:rPr>
              <w:t>Country page guide</w:t>
            </w:r>
          </w:p>
        </w:tc>
        <w:tc>
          <w:tcPr>
            <w:tcW w:w="1201" w:type="dxa"/>
            <w:tcBorders>
              <w:top w:val="nil"/>
              <w:left w:val="nil"/>
              <w:right w:val="nil"/>
            </w:tcBorders>
            <w:shd w:val="clear" w:color="auto" w:fill="auto"/>
            <w:noWrap/>
            <w:hideMark/>
          </w:tcPr>
          <w:p w14:paraId="5BB3782B" w14:textId="77777777" w:rsidR="00704151" w:rsidRPr="00687637" w:rsidRDefault="00704151" w:rsidP="00924B64">
            <w:pPr>
              <w:jc w:val="center"/>
              <w:rPr>
                <w:sz w:val="18"/>
                <w:szCs w:val="18"/>
                <w:lang w:eastAsia="en-GB"/>
              </w:rPr>
            </w:pPr>
            <w:r w:rsidRPr="00687637">
              <w:rPr>
                <w:sz w:val="18"/>
                <w:szCs w:val="18"/>
                <w:lang w:eastAsia="en-GB"/>
              </w:rPr>
              <w:t>5,825</w:t>
            </w:r>
          </w:p>
        </w:tc>
        <w:tc>
          <w:tcPr>
            <w:tcW w:w="696" w:type="dxa"/>
            <w:tcBorders>
              <w:top w:val="nil"/>
              <w:left w:val="nil"/>
              <w:right w:val="nil"/>
            </w:tcBorders>
            <w:shd w:val="clear" w:color="auto" w:fill="auto"/>
            <w:noWrap/>
            <w:hideMark/>
          </w:tcPr>
          <w:p w14:paraId="0F15DDD8" w14:textId="77777777" w:rsidR="00704151" w:rsidRPr="00687637" w:rsidRDefault="00704151" w:rsidP="00924B64">
            <w:pPr>
              <w:jc w:val="center"/>
              <w:rPr>
                <w:sz w:val="18"/>
                <w:szCs w:val="18"/>
                <w:lang w:eastAsia="en-GB"/>
              </w:rPr>
            </w:pPr>
            <w:r w:rsidRPr="00687637">
              <w:rPr>
                <w:sz w:val="18"/>
                <w:szCs w:val="18"/>
                <w:lang w:eastAsia="en-GB"/>
              </w:rPr>
              <w:t>2.1</w:t>
            </w:r>
          </w:p>
        </w:tc>
        <w:tc>
          <w:tcPr>
            <w:tcW w:w="1283" w:type="dxa"/>
            <w:tcBorders>
              <w:top w:val="nil"/>
              <w:left w:val="nil"/>
              <w:right w:val="nil"/>
            </w:tcBorders>
            <w:shd w:val="clear" w:color="auto" w:fill="auto"/>
            <w:noWrap/>
            <w:hideMark/>
          </w:tcPr>
          <w:p w14:paraId="54EC613D" w14:textId="77777777" w:rsidR="00704151" w:rsidRPr="00687637" w:rsidRDefault="00704151" w:rsidP="00924B64">
            <w:pPr>
              <w:jc w:val="center"/>
              <w:rPr>
                <w:sz w:val="18"/>
                <w:szCs w:val="18"/>
                <w:lang w:eastAsia="en-GB"/>
              </w:rPr>
            </w:pPr>
            <w:r w:rsidRPr="00687637">
              <w:rPr>
                <w:sz w:val="18"/>
                <w:szCs w:val="18"/>
                <w:lang w:eastAsia="en-GB"/>
              </w:rPr>
              <w:t>6.4</w:t>
            </w:r>
          </w:p>
        </w:tc>
        <w:tc>
          <w:tcPr>
            <w:tcW w:w="696" w:type="dxa"/>
            <w:tcBorders>
              <w:top w:val="nil"/>
              <w:left w:val="nil"/>
              <w:right w:val="nil"/>
            </w:tcBorders>
            <w:shd w:val="clear" w:color="auto" w:fill="auto"/>
            <w:noWrap/>
            <w:hideMark/>
          </w:tcPr>
          <w:p w14:paraId="0B5B3CBA" w14:textId="77777777" w:rsidR="00704151" w:rsidRPr="00687637" w:rsidRDefault="00704151" w:rsidP="00924B64">
            <w:pPr>
              <w:jc w:val="center"/>
              <w:rPr>
                <w:sz w:val="18"/>
                <w:szCs w:val="18"/>
                <w:lang w:eastAsia="en-GB"/>
              </w:rPr>
            </w:pPr>
            <w:r w:rsidRPr="00687637">
              <w:rPr>
                <w:sz w:val="18"/>
                <w:szCs w:val="18"/>
                <w:lang w:eastAsia="en-GB"/>
              </w:rPr>
              <w:t>1.1</w:t>
            </w:r>
          </w:p>
        </w:tc>
      </w:tr>
      <w:tr w:rsidR="00704151" w:rsidRPr="00687637" w14:paraId="3F8B84C6" w14:textId="77777777" w:rsidTr="00924B64">
        <w:trPr>
          <w:trHeight w:val="300"/>
        </w:trPr>
        <w:tc>
          <w:tcPr>
            <w:tcW w:w="696" w:type="dxa"/>
            <w:tcBorders>
              <w:top w:val="nil"/>
              <w:left w:val="nil"/>
              <w:right w:val="nil"/>
            </w:tcBorders>
            <w:shd w:val="clear" w:color="auto" w:fill="auto"/>
            <w:noWrap/>
            <w:hideMark/>
          </w:tcPr>
          <w:p w14:paraId="0858635D" w14:textId="77777777" w:rsidR="00704151" w:rsidRPr="00687637" w:rsidRDefault="00704151" w:rsidP="00924B64">
            <w:pPr>
              <w:jc w:val="center"/>
              <w:rPr>
                <w:sz w:val="18"/>
                <w:szCs w:val="18"/>
                <w:lang w:eastAsia="en-GB"/>
              </w:rPr>
            </w:pPr>
          </w:p>
        </w:tc>
        <w:tc>
          <w:tcPr>
            <w:tcW w:w="4454" w:type="dxa"/>
            <w:tcBorders>
              <w:top w:val="nil"/>
              <w:left w:val="nil"/>
              <w:bottom w:val="single" w:sz="4" w:space="0" w:color="auto"/>
              <w:right w:val="nil"/>
            </w:tcBorders>
            <w:shd w:val="clear" w:color="auto" w:fill="auto"/>
            <w:noWrap/>
            <w:hideMark/>
          </w:tcPr>
          <w:p w14:paraId="41E89744" w14:textId="77777777" w:rsidR="00704151" w:rsidRPr="00687637" w:rsidRDefault="00704151" w:rsidP="00924B64">
            <w:pPr>
              <w:rPr>
                <w:sz w:val="18"/>
                <w:szCs w:val="18"/>
                <w:lang w:eastAsia="en-GB"/>
              </w:rPr>
            </w:pPr>
            <w:r w:rsidRPr="00687637">
              <w:rPr>
                <w:sz w:val="18"/>
                <w:szCs w:val="18"/>
                <w:lang w:eastAsia="en-GB"/>
              </w:rPr>
              <w:t>Other</w:t>
            </w:r>
          </w:p>
        </w:tc>
        <w:tc>
          <w:tcPr>
            <w:tcW w:w="1201" w:type="dxa"/>
            <w:tcBorders>
              <w:top w:val="nil"/>
              <w:left w:val="nil"/>
              <w:bottom w:val="single" w:sz="4" w:space="0" w:color="auto"/>
              <w:right w:val="nil"/>
            </w:tcBorders>
            <w:shd w:val="clear" w:color="auto" w:fill="auto"/>
            <w:noWrap/>
            <w:hideMark/>
          </w:tcPr>
          <w:p w14:paraId="12FFD330" w14:textId="77777777" w:rsidR="00704151" w:rsidRPr="00687637" w:rsidRDefault="00704151" w:rsidP="00924B64">
            <w:pPr>
              <w:jc w:val="center"/>
              <w:rPr>
                <w:sz w:val="18"/>
                <w:szCs w:val="18"/>
                <w:lang w:eastAsia="en-GB"/>
              </w:rPr>
            </w:pPr>
            <w:r w:rsidRPr="00687637">
              <w:rPr>
                <w:sz w:val="18"/>
                <w:szCs w:val="18"/>
                <w:lang w:eastAsia="en-GB"/>
              </w:rPr>
              <w:t>59,849</w:t>
            </w:r>
          </w:p>
        </w:tc>
        <w:tc>
          <w:tcPr>
            <w:tcW w:w="696" w:type="dxa"/>
            <w:tcBorders>
              <w:top w:val="nil"/>
              <w:left w:val="nil"/>
              <w:bottom w:val="single" w:sz="4" w:space="0" w:color="auto"/>
              <w:right w:val="nil"/>
            </w:tcBorders>
            <w:shd w:val="clear" w:color="auto" w:fill="auto"/>
            <w:noWrap/>
            <w:hideMark/>
          </w:tcPr>
          <w:p w14:paraId="7B5596D9" w14:textId="77777777" w:rsidR="00704151" w:rsidRPr="00687637" w:rsidRDefault="00704151" w:rsidP="00924B64">
            <w:pPr>
              <w:jc w:val="center"/>
              <w:rPr>
                <w:sz w:val="18"/>
                <w:szCs w:val="18"/>
                <w:lang w:eastAsia="en-GB"/>
              </w:rPr>
            </w:pPr>
            <w:r w:rsidRPr="00687637">
              <w:rPr>
                <w:sz w:val="18"/>
                <w:szCs w:val="18"/>
                <w:lang w:eastAsia="en-GB"/>
              </w:rPr>
              <w:t>21</w:t>
            </w:r>
          </w:p>
        </w:tc>
        <w:tc>
          <w:tcPr>
            <w:tcW w:w="1283" w:type="dxa"/>
            <w:tcBorders>
              <w:top w:val="nil"/>
              <w:left w:val="nil"/>
              <w:bottom w:val="single" w:sz="4" w:space="0" w:color="auto"/>
              <w:right w:val="nil"/>
            </w:tcBorders>
            <w:shd w:val="clear" w:color="auto" w:fill="auto"/>
            <w:noWrap/>
            <w:hideMark/>
          </w:tcPr>
          <w:p w14:paraId="1D890ECD" w14:textId="77777777" w:rsidR="00704151" w:rsidRPr="00687637" w:rsidRDefault="00704151" w:rsidP="00924B64">
            <w:pPr>
              <w:jc w:val="center"/>
              <w:rPr>
                <w:sz w:val="18"/>
                <w:szCs w:val="18"/>
                <w:lang w:eastAsia="en-GB"/>
              </w:rPr>
            </w:pPr>
            <w:r w:rsidRPr="00687637">
              <w:rPr>
                <w:sz w:val="18"/>
                <w:szCs w:val="18"/>
                <w:lang w:eastAsia="en-GB"/>
              </w:rPr>
              <w:t>137</w:t>
            </w:r>
          </w:p>
        </w:tc>
        <w:tc>
          <w:tcPr>
            <w:tcW w:w="696" w:type="dxa"/>
            <w:tcBorders>
              <w:top w:val="nil"/>
              <w:left w:val="nil"/>
              <w:bottom w:val="single" w:sz="4" w:space="0" w:color="auto"/>
              <w:right w:val="nil"/>
            </w:tcBorders>
            <w:shd w:val="clear" w:color="auto" w:fill="auto"/>
            <w:noWrap/>
            <w:hideMark/>
          </w:tcPr>
          <w:p w14:paraId="2E098DA3" w14:textId="77777777" w:rsidR="00704151" w:rsidRPr="00687637" w:rsidRDefault="00704151" w:rsidP="00924B64">
            <w:pPr>
              <w:jc w:val="center"/>
              <w:rPr>
                <w:sz w:val="18"/>
                <w:szCs w:val="18"/>
                <w:lang w:eastAsia="en-GB"/>
              </w:rPr>
            </w:pPr>
            <w:r w:rsidRPr="00687637">
              <w:rPr>
                <w:sz w:val="18"/>
                <w:szCs w:val="18"/>
                <w:lang w:eastAsia="en-GB"/>
              </w:rPr>
              <w:t>23</w:t>
            </w:r>
          </w:p>
        </w:tc>
      </w:tr>
      <w:tr w:rsidR="00704151" w:rsidRPr="00687637" w14:paraId="5AC18EB5" w14:textId="77777777" w:rsidTr="00924B64">
        <w:trPr>
          <w:trHeight w:val="300"/>
        </w:trPr>
        <w:tc>
          <w:tcPr>
            <w:tcW w:w="696" w:type="dxa"/>
            <w:tcBorders>
              <w:left w:val="nil"/>
              <w:bottom w:val="single" w:sz="4" w:space="0" w:color="auto"/>
              <w:right w:val="nil"/>
            </w:tcBorders>
            <w:shd w:val="clear" w:color="auto" w:fill="auto"/>
            <w:noWrap/>
          </w:tcPr>
          <w:p w14:paraId="6671829C" w14:textId="77777777" w:rsidR="00704151" w:rsidRPr="00687637" w:rsidRDefault="00704151" w:rsidP="00924B64">
            <w:pPr>
              <w:jc w:val="center"/>
              <w:rPr>
                <w:sz w:val="18"/>
                <w:szCs w:val="18"/>
                <w:lang w:eastAsia="en-GB"/>
              </w:rPr>
            </w:pPr>
          </w:p>
        </w:tc>
        <w:tc>
          <w:tcPr>
            <w:tcW w:w="4454" w:type="dxa"/>
            <w:tcBorders>
              <w:top w:val="single" w:sz="4" w:space="0" w:color="auto"/>
              <w:left w:val="nil"/>
              <w:bottom w:val="single" w:sz="4" w:space="0" w:color="auto"/>
              <w:right w:val="nil"/>
            </w:tcBorders>
            <w:shd w:val="clear" w:color="auto" w:fill="auto"/>
            <w:noWrap/>
          </w:tcPr>
          <w:p w14:paraId="2BAC7CFB" w14:textId="77777777" w:rsidR="00704151" w:rsidRPr="00687637" w:rsidRDefault="00704151" w:rsidP="00924B64">
            <w:pPr>
              <w:rPr>
                <w:sz w:val="18"/>
                <w:szCs w:val="18"/>
                <w:lang w:eastAsia="en-GB"/>
              </w:rPr>
            </w:pPr>
            <w:r w:rsidRPr="00687637">
              <w:rPr>
                <w:sz w:val="18"/>
                <w:szCs w:val="18"/>
                <w:lang w:eastAsia="en-GB"/>
              </w:rPr>
              <w:t>Total</w:t>
            </w:r>
          </w:p>
        </w:tc>
        <w:tc>
          <w:tcPr>
            <w:tcW w:w="1201" w:type="dxa"/>
            <w:tcBorders>
              <w:top w:val="single" w:sz="4" w:space="0" w:color="auto"/>
              <w:left w:val="nil"/>
              <w:bottom w:val="single" w:sz="4" w:space="0" w:color="auto"/>
              <w:right w:val="nil"/>
            </w:tcBorders>
            <w:shd w:val="clear" w:color="auto" w:fill="auto"/>
            <w:noWrap/>
          </w:tcPr>
          <w:p w14:paraId="134368A7" w14:textId="77777777" w:rsidR="00704151" w:rsidRPr="00687637" w:rsidRDefault="00704151" w:rsidP="00924B64">
            <w:pPr>
              <w:jc w:val="center"/>
              <w:rPr>
                <w:sz w:val="18"/>
                <w:szCs w:val="18"/>
                <w:lang w:eastAsia="en-GB"/>
              </w:rPr>
            </w:pPr>
            <w:r w:rsidRPr="00687637">
              <w:rPr>
                <w:sz w:val="18"/>
                <w:szCs w:val="18"/>
                <w:lang w:eastAsia="en-GB"/>
              </w:rPr>
              <w:t>281,362</w:t>
            </w:r>
          </w:p>
        </w:tc>
        <w:tc>
          <w:tcPr>
            <w:tcW w:w="696" w:type="dxa"/>
            <w:tcBorders>
              <w:top w:val="single" w:sz="4" w:space="0" w:color="auto"/>
              <w:left w:val="nil"/>
              <w:bottom w:val="single" w:sz="4" w:space="0" w:color="auto"/>
              <w:right w:val="nil"/>
            </w:tcBorders>
            <w:shd w:val="clear" w:color="auto" w:fill="auto"/>
            <w:noWrap/>
          </w:tcPr>
          <w:p w14:paraId="1C127C60" w14:textId="77777777" w:rsidR="00704151" w:rsidRPr="00687637" w:rsidRDefault="00704151" w:rsidP="00924B64">
            <w:pPr>
              <w:jc w:val="center"/>
              <w:rPr>
                <w:sz w:val="18"/>
                <w:szCs w:val="18"/>
                <w:lang w:eastAsia="en-GB"/>
              </w:rPr>
            </w:pPr>
            <w:r w:rsidRPr="00687637">
              <w:rPr>
                <w:sz w:val="18"/>
                <w:szCs w:val="18"/>
                <w:lang w:eastAsia="en-GB"/>
              </w:rPr>
              <w:t>100</w:t>
            </w:r>
          </w:p>
        </w:tc>
        <w:tc>
          <w:tcPr>
            <w:tcW w:w="1283" w:type="dxa"/>
            <w:tcBorders>
              <w:top w:val="single" w:sz="4" w:space="0" w:color="auto"/>
              <w:left w:val="nil"/>
              <w:bottom w:val="single" w:sz="4" w:space="0" w:color="auto"/>
              <w:right w:val="nil"/>
            </w:tcBorders>
            <w:shd w:val="clear" w:color="auto" w:fill="auto"/>
            <w:noWrap/>
          </w:tcPr>
          <w:p w14:paraId="0C3A4113" w14:textId="77777777" w:rsidR="00704151" w:rsidRPr="00687637" w:rsidRDefault="00704151" w:rsidP="00924B64">
            <w:pPr>
              <w:jc w:val="center"/>
              <w:rPr>
                <w:sz w:val="18"/>
                <w:szCs w:val="18"/>
                <w:lang w:eastAsia="en-GB"/>
              </w:rPr>
            </w:pPr>
            <w:r w:rsidRPr="00687637">
              <w:rPr>
                <w:sz w:val="18"/>
                <w:szCs w:val="18"/>
                <w:lang w:eastAsia="en-GB"/>
              </w:rPr>
              <w:t>601</w:t>
            </w:r>
          </w:p>
        </w:tc>
        <w:tc>
          <w:tcPr>
            <w:tcW w:w="696" w:type="dxa"/>
            <w:tcBorders>
              <w:top w:val="single" w:sz="4" w:space="0" w:color="auto"/>
              <w:left w:val="nil"/>
              <w:bottom w:val="single" w:sz="4" w:space="0" w:color="auto"/>
              <w:right w:val="nil"/>
            </w:tcBorders>
            <w:shd w:val="clear" w:color="auto" w:fill="auto"/>
            <w:noWrap/>
          </w:tcPr>
          <w:p w14:paraId="31DF3358" w14:textId="77777777" w:rsidR="00704151" w:rsidRPr="00687637" w:rsidRDefault="00704151" w:rsidP="00924B64">
            <w:pPr>
              <w:jc w:val="center"/>
              <w:rPr>
                <w:sz w:val="18"/>
                <w:szCs w:val="18"/>
                <w:lang w:eastAsia="en-GB"/>
              </w:rPr>
            </w:pPr>
            <w:r w:rsidRPr="00687637">
              <w:rPr>
                <w:sz w:val="18"/>
                <w:szCs w:val="18"/>
                <w:lang w:eastAsia="en-GB"/>
              </w:rPr>
              <w:t>100</w:t>
            </w:r>
          </w:p>
        </w:tc>
      </w:tr>
    </w:tbl>
    <w:p w14:paraId="4E8CAA7E" w14:textId="77777777" w:rsidR="00704151" w:rsidRPr="00687637" w:rsidRDefault="00704151" w:rsidP="00704151">
      <w:pPr>
        <w:rPr>
          <w:sz w:val="18"/>
        </w:rPr>
      </w:pPr>
    </w:p>
    <w:p w14:paraId="05757D77" w14:textId="77777777" w:rsidR="00704151" w:rsidRPr="00687637" w:rsidRDefault="00704151" w:rsidP="00704151">
      <w:pPr>
        <w:rPr>
          <w:sz w:val="18"/>
        </w:rPr>
      </w:pPr>
    </w:p>
    <w:p w14:paraId="4967425D" w14:textId="77777777" w:rsidR="00704151" w:rsidRPr="00687637" w:rsidRDefault="00704151" w:rsidP="00704151">
      <w:pPr>
        <w:pStyle w:val="Caption"/>
        <w:rPr>
          <w:rFonts w:ascii="Times New Roman" w:hAnsi="Times New Roman" w:cs="Times New Roman"/>
          <w:color w:val="auto"/>
        </w:rPr>
      </w:pPr>
      <w:bookmarkStart w:id="33" w:name="_Ref468197150"/>
      <w:r w:rsidRPr="00687637">
        <w:rPr>
          <w:rFonts w:ascii="Times New Roman" w:hAnsi="Times New Roman" w:cs="Times New Roman"/>
          <w:color w:val="auto"/>
        </w:rPr>
        <w:t xml:space="preserve">Figure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Figure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1</w:t>
      </w:r>
      <w:r w:rsidRPr="00687637">
        <w:rPr>
          <w:rFonts w:ascii="Times New Roman" w:hAnsi="Times New Roman" w:cs="Times New Roman"/>
          <w:noProof/>
          <w:color w:val="auto"/>
        </w:rPr>
        <w:fldChar w:fldCharType="end"/>
      </w:r>
      <w:bookmarkEnd w:id="33"/>
      <w:r w:rsidRPr="00687637">
        <w:rPr>
          <w:rFonts w:ascii="Times New Roman" w:hAnsi="Times New Roman" w:cs="Times New Roman"/>
          <w:color w:val="auto"/>
        </w:rPr>
        <w:t xml:space="preserve">   TravelHealthPro.org.uk website for the travel health sector.</w:t>
      </w:r>
    </w:p>
    <w:p w14:paraId="604A058A" w14:textId="77777777" w:rsidR="00704151" w:rsidRPr="00687637" w:rsidRDefault="00704151" w:rsidP="00704151">
      <w:pPr>
        <w:pStyle w:val="Caption"/>
        <w:rPr>
          <w:rFonts w:ascii="Times New Roman" w:hAnsi="Times New Roman" w:cs="Times New Roman"/>
          <w:color w:val="auto"/>
        </w:rPr>
      </w:pPr>
      <w:bookmarkStart w:id="34" w:name="_Ref468197589"/>
      <w:r w:rsidRPr="00687637">
        <w:rPr>
          <w:rFonts w:ascii="Times New Roman" w:hAnsi="Times New Roman" w:cs="Times New Roman"/>
          <w:color w:val="auto"/>
        </w:rPr>
        <w:lastRenderedPageBreak/>
        <w:t xml:space="preserve">Figure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Figure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2</w:t>
      </w:r>
      <w:r w:rsidRPr="00687637">
        <w:rPr>
          <w:rFonts w:ascii="Times New Roman" w:hAnsi="Times New Roman" w:cs="Times New Roman"/>
          <w:noProof/>
          <w:color w:val="auto"/>
        </w:rPr>
        <w:fldChar w:fldCharType="end"/>
      </w:r>
      <w:bookmarkEnd w:id="34"/>
      <w:r w:rsidRPr="00687637">
        <w:rPr>
          <w:rFonts w:ascii="Times New Roman" w:hAnsi="Times New Roman" w:cs="Times New Roman"/>
          <w:color w:val="auto"/>
        </w:rPr>
        <w:t xml:space="preserve">   Time trend of unique pageviews on TravelHealthPro.org.uk, September 2015 – August 2016. Vertical line: WHO Zika virus PHEIC on 1 February 2016.</w:t>
      </w:r>
    </w:p>
    <w:p w14:paraId="7CC67090" w14:textId="77777777" w:rsidR="00704151" w:rsidRPr="00687637" w:rsidRDefault="00704151" w:rsidP="00704151">
      <w:pPr>
        <w:pStyle w:val="Caption"/>
        <w:ind w:left="720" w:hanging="720"/>
        <w:rPr>
          <w:rFonts w:ascii="Times New Roman" w:hAnsi="Times New Roman" w:cs="Times New Roman"/>
          <w:color w:val="auto"/>
        </w:rPr>
      </w:pPr>
      <w:bookmarkStart w:id="35" w:name="_Ref468197897"/>
      <w:r w:rsidRPr="00687637">
        <w:rPr>
          <w:rFonts w:ascii="Times New Roman" w:hAnsi="Times New Roman" w:cs="Times New Roman"/>
          <w:color w:val="auto"/>
        </w:rPr>
        <w:t xml:space="preserve">Figure </w:t>
      </w:r>
      <w:r w:rsidRPr="00687637">
        <w:rPr>
          <w:rFonts w:ascii="Times New Roman" w:hAnsi="Times New Roman" w:cs="Times New Roman"/>
          <w:color w:val="auto"/>
        </w:rPr>
        <w:fldChar w:fldCharType="begin"/>
      </w:r>
      <w:r w:rsidRPr="00687637">
        <w:rPr>
          <w:rFonts w:ascii="Times New Roman" w:hAnsi="Times New Roman" w:cs="Times New Roman"/>
          <w:color w:val="auto"/>
        </w:rPr>
        <w:instrText xml:space="preserve"> SEQ Figure \* ARABIC </w:instrText>
      </w:r>
      <w:r w:rsidRPr="00687637">
        <w:rPr>
          <w:rFonts w:ascii="Times New Roman" w:hAnsi="Times New Roman" w:cs="Times New Roman"/>
          <w:color w:val="auto"/>
        </w:rPr>
        <w:fldChar w:fldCharType="separate"/>
      </w:r>
      <w:r w:rsidRPr="00687637">
        <w:rPr>
          <w:rFonts w:ascii="Times New Roman" w:hAnsi="Times New Roman" w:cs="Times New Roman"/>
          <w:noProof/>
          <w:color w:val="auto"/>
        </w:rPr>
        <w:t>3</w:t>
      </w:r>
      <w:r w:rsidRPr="00687637">
        <w:rPr>
          <w:rFonts w:ascii="Times New Roman" w:hAnsi="Times New Roman" w:cs="Times New Roman"/>
          <w:noProof/>
          <w:color w:val="auto"/>
        </w:rPr>
        <w:fldChar w:fldCharType="end"/>
      </w:r>
      <w:bookmarkEnd w:id="35"/>
      <w:r w:rsidRPr="00687637">
        <w:rPr>
          <w:rFonts w:ascii="Times New Roman" w:hAnsi="Times New Roman" w:cs="Times New Roman"/>
          <w:color w:val="auto"/>
        </w:rPr>
        <w:t xml:space="preserve">   Time trends of country, news, and factsheet items on TravelHealthPro.org.uk, September 2015 – August 2016. Vertical line: WHO Zika virus PHEIC on 1 February 2016.</w:t>
      </w:r>
    </w:p>
    <w:p w14:paraId="204F7396" w14:textId="77777777" w:rsidR="00704151" w:rsidRPr="00687637" w:rsidRDefault="00704151"/>
    <w:sectPr w:rsidR="00704151" w:rsidRPr="00687637" w:rsidSect="00687637">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3BCA" w14:textId="77777777" w:rsidR="00964C75" w:rsidRDefault="00964C75" w:rsidP="00704151">
      <w:r>
        <w:separator/>
      </w:r>
    </w:p>
  </w:endnote>
  <w:endnote w:type="continuationSeparator" w:id="0">
    <w:p w14:paraId="6078BFE3" w14:textId="77777777" w:rsidR="00964C75" w:rsidRDefault="00964C75" w:rsidP="007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188156"/>
      <w:docPartObj>
        <w:docPartGallery w:val="Page Numbers (Bottom of Page)"/>
        <w:docPartUnique/>
      </w:docPartObj>
    </w:sdtPr>
    <w:sdtEndPr>
      <w:rPr>
        <w:noProof/>
      </w:rPr>
    </w:sdtEndPr>
    <w:sdtContent>
      <w:p w14:paraId="455D3FCF" w14:textId="006A789A" w:rsidR="00924B64" w:rsidRDefault="00924B64">
        <w:pPr>
          <w:pStyle w:val="Footer"/>
          <w:jc w:val="center"/>
        </w:pPr>
        <w:r>
          <w:fldChar w:fldCharType="begin"/>
        </w:r>
        <w:r>
          <w:instrText xml:space="preserve"> PAGE   \* MERGEFORMAT </w:instrText>
        </w:r>
        <w:r>
          <w:fldChar w:fldCharType="separate"/>
        </w:r>
        <w:r w:rsidR="00B00157">
          <w:rPr>
            <w:noProof/>
          </w:rPr>
          <w:t>1</w:t>
        </w:r>
        <w:r>
          <w:rPr>
            <w:noProof/>
          </w:rPr>
          <w:fldChar w:fldCharType="end"/>
        </w:r>
      </w:p>
    </w:sdtContent>
  </w:sdt>
  <w:p w14:paraId="41025EF1" w14:textId="77777777" w:rsidR="00924B64" w:rsidRDefault="00924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FFF11" w14:textId="77777777" w:rsidR="00964C75" w:rsidRDefault="00964C75" w:rsidP="00704151">
      <w:r>
        <w:separator/>
      </w:r>
    </w:p>
  </w:footnote>
  <w:footnote w:type="continuationSeparator" w:id="0">
    <w:p w14:paraId="19932552" w14:textId="77777777" w:rsidR="00964C75" w:rsidRDefault="00964C75" w:rsidP="0070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7271" w14:textId="77777777" w:rsidR="00924B64" w:rsidRDefault="00924B64">
    <w:pPr>
      <w:pStyle w:val="Header"/>
      <w:jc w:val="right"/>
    </w:pPr>
  </w:p>
  <w:p w14:paraId="572C094E" w14:textId="77777777" w:rsidR="00924B64" w:rsidRDefault="00924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4E9"/>
    <w:multiLevelType w:val="hybridMultilevel"/>
    <w:tmpl w:val="3C1C4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26E01"/>
    <w:multiLevelType w:val="hybridMultilevel"/>
    <w:tmpl w:val="F904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B0671"/>
    <w:multiLevelType w:val="hybridMultilevel"/>
    <w:tmpl w:val="9738A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35E10"/>
    <w:multiLevelType w:val="hybridMultilevel"/>
    <w:tmpl w:val="9738A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63064"/>
    <w:multiLevelType w:val="hybridMultilevel"/>
    <w:tmpl w:val="5D94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B104C"/>
    <w:multiLevelType w:val="hybridMultilevel"/>
    <w:tmpl w:val="B278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C51EB"/>
    <w:multiLevelType w:val="hybridMultilevel"/>
    <w:tmpl w:val="BAA03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AA"/>
    <w:rsid w:val="002B21AA"/>
    <w:rsid w:val="002C0C38"/>
    <w:rsid w:val="0053157A"/>
    <w:rsid w:val="005B2A71"/>
    <w:rsid w:val="00687637"/>
    <w:rsid w:val="00704151"/>
    <w:rsid w:val="008028BE"/>
    <w:rsid w:val="00822A59"/>
    <w:rsid w:val="00874487"/>
    <w:rsid w:val="008F532D"/>
    <w:rsid w:val="00924B64"/>
    <w:rsid w:val="00964C75"/>
    <w:rsid w:val="00977B15"/>
    <w:rsid w:val="00B00157"/>
    <w:rsid w:val="00BA6DA1"/>
    <w:rsid w:val="00BB59CC"/>
    <w:rsid w:val="00C55F20"/>
    <w:rsid w:val="00D1764A"/>
    <w:rsid w:val="00FB0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D995"/>
  <w15:docId w15:val="{5339396B-F21E-4A13-975C-5F4AA4CF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1A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2B21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1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1AA"/>
    <w:rPr>
      <w:rFonts w:asciiTheme="majorHAnsi" w:eastAsiaTheme="majorEastAsia" w:hAnsiTheme="majorHAnsi" w:cstheme="majorBidi"/>
      <w:spacing w:val="-10"/>
      <w:kern w:val="28"/>
      <w:sz w:val="56"/>
      <w:szCs w:val="56"/>
      <w:lang w:eastAsia="ar-SA"/>
    </w:rPr>
  </w:style>
  <w:style w:type="character" w:customStyle="1" w:styleId="Heading1Char">
    <w:name w:val="Heading 1 Char"/>
    <w:basedOn w:val="DefaultParagraphFont"/>
    <w:link w:val="Heading1"/>
    <w:uiPriority w:val="9"/>
    <w:rsid w:val="002B21AA"/>
    <w:rPr>
      <w:rFonts w:asciiTheme="majorHAnsi" w:eastAsiaTheme="majorEastAsia" w:hAnsiTheme="majorHAnsi" w:cstheme="majorBidi"/>
      <w:color w:val="2F5496" w:themeColor="accent1" w:themeShade="BF"/>
      <w:sz w:val="32"/>
      <w:szCs w:val="32"/>
      <w:lang w:eastAsia="ar-SA"/>
    </w:rPr>
  </w:style>
  <w:style w:type="paragraph" w:styleId="TOCHeading">
    <w:name w:val="TOC Heading"/>
    <w:basedOn w:val="Heading1"/>
    <w:next w:val="Normal"/>
    <w:uiPriority w:val="39"/>
    <w:unhideWhenUsed/>
    <w:qFormat/>
    <w:rsid w:val="002B21AA"/>
    <w:pPr>
      <w:suppressAutoHyphens w:val="0"/>
      <w:spacing w:line="259" w:lineRule="auto"/>
      <w:outlineLvl w:val="9"/>
    </w:pPr>
    <w:rPr>
      <w:lang w:val="en-US" w:eastAsia="en-US"/>
    </w:rPr>
  </w:style>
  <w:style w:type="paragraph" w:styleId="TOC1">
    <w:name w:val="toc 1"/>
    <w:basedOn w:val="Normal"/>
    <w:next w:val="Normal"/>
    <w:autoRedefine/>
    <w:uiPriority w:val="39"/>
    <w:unhideWhenUsed/>
    <w:rsid w:val="002B21AA"/>
    <w:pPr>
      <w:spacing w:after="100"/>
    </w:pPr>
  </w:style>
  <w:style w:type="character" w:styleId="Hyperlink">
    <w:name w:val="Hyperlink"/>
    <w:basedOn w:val="DefaultParagraphFont"/>
    <w:uiPriority w:val="99"/>
    <w:unhideWhenUsed/>
    <w:rsid w:val="002B21AA"/>
    <w:rPr>
      <w:color w:val="0563C1" w:themeColor="hyperlink"/>
      <w:u w:val="single"/>
    </w:rPr>
  </w:style>
  <w:style w:type="paragraph" w:styleId="Bibliography">
    <w:name w:val="Bibliography"/>
    <w:basedOn w:val="Normal"/>
    <w:next w:val="Normal"/>
    <w:uiPriority w:val="37"/>
    <w:unhideWhenUsed/>
    <w:rsid w:val="00C55F20"/>
  </w:style>
  <w:style w:type="paragraph" w:styleId="ListParagraph">
    <w:name w:val="List Paragraph"/>
    <w:basedOn w:val="Normal"/>
    <w:uiPriority w:val="34"/>
    <w:qFormat/>
    <w:rsid w:val="00C55F20"/>
    <w:pPr>
      <w:suppressAutoHyphens w:val="0"/>
      <w:spacing w:after="160" w:line="480" w:lineRule="auto"/>
      <w:ind w:left="720"/>
      <w:contextualSpacing/>
    </w:pPr>
    <w:rPr>
      <w:rFonts w:eastAsiaTheme="minorHAnsi" w:cstheme="minorBidi"/>
      <w:szCs w:val="22"/>
      <w:lang w:eastAsia="en-US"/>
    </w:rPr>
  </w:style>
  <w:style w:type="paragraph" w:styleId="NoSpacing">
    <w:name w:val="No Spacing"/>
    <w:uiPriority w:val="1"/>
    <w:qFormat/>
    <w:rsid w:val="00C55F20"/>
    <w:pPr>
      <w:spacing w:after="0" w:line="480" w:lineRule="auto"/>
    </w:pPr>
    <w:rPr>
      <w:rFonts w:ascii="Times New Roman" w:hAnsi="Times New Roman"/>
      <w:sz w:val="24"/>
    </w:rPr>
  </w:style>
  <w:style w:type="table" w:styleId="TableGrid">
    <w:name w:val="Table Grid"/>
    <w:basedOn w:val="TableNormal"/>
    <w:uiPriority w:val="39"/>
    <w:rsid w:val="0070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4151"/>
    <w:pPr>
      <w:suppressAutoHyphens w:val="0"/>
      <w:spacing w:after="200"/>
    </w:pPr>
    <w:rPr>
      <w:rFonts w:asciiTheme="minorHAnsi" w:eastAsiaTheme="minorHAnsi" w:hAnsiTheme="minorHAnsi" w:cstheme="minorBidi"/>
      <w:i/>
      <w:iCs/>
      <w:color w:val="44546A" w:themeColor="text2"/>
      <w:sz w:val="18"/>
      <w:szCs w:val="18"/>
      <w:lang w:eastAsia="en-US"/>
    </w:rPr>
  </w:style>
  <w:style w:type="paragraph" w:styleId="BalloonText">
    <w:name w:val="Balloon Text"/>
    <w:basedOn w:val="Normal"/>
    <w:link w:val="BalloonTextChar"/>
    <w:uiPriority w:val="99"/>
    <w:semiHidden/>
    <w:unhideWhenUsed/>
    <w:rsid w:val="00704151"/>
    <w:pPr>
      <w:suppressAutoHyphens w:val="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04151"/>
    <w:rPr>
      <w:rFonts w:ascii="Segoe UI" w:hAnsi="Segoe UI" w:cs="Segoe UI"/>
      <w:sz w:val="18"/>
      <w:szCs w:val="18"/>
    </w:rPr>
  </w:style>
  <w:style w:type="character" w:styleId="CommentReference">
    <w:name w:val="annotation reference"/>
    <w:basedOn w:val="DefaultParagraphFont"/>
    <w:uiPriority w:val="99"/>
    <w:semiHidden/>
    <w:unhideWhenUsed/>
    <w:rsid w:val="00704151"/>
    <w:rPr>
      <w:sz w:val="16"/>
      <w:szCs w:val="16"/>
    </w:rPr>
  </w:style>
  <w:style w:type="paragraph" w:styleId="CommentText">
    <w:name w:val="annotation text"/>
    <w:basedOn w:val="Normal"/>
    <w:link w:val="CommentTextChar"/>
    <w:uiPriority w:val="99"/>
    <w:semiHidden/>
    <w:unhideWhenUsed/>
    <w:rsid w:val="00704151"/>
    <w:pPr>
      <w:suppressAutoHyphens w:val="0"/>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704151"/>
    <w:rPr>
      <w:sz w:val="20"/>
      <w:szCs w:val="20"/>
    </w:rPr>
  </w:style>
  <w:style w:type="paragraph" w:styleId="CommentSubject">
    <w:name w:val="annotation subject"/>
    <w:basedOn w:val="CommentText"/>
    <w:next w:val="CommentText"/>
    <w:link w:val="CommentSubjectChar"/>
    <w:uiPriority w:val="99"/>
    <w:semiHidden/>
    <w:unhideWhenUsed/>
    <w:rsid w:val="00704151"/>
    <w:rPr>
      <w:b/>
      <w:bCs/>
    </w:rPr>
  </w:style>
  <w:style w:type="character" w:customStyle="1" w:styleId="CommentSubjectChar">
    <w:name w:val="Comment Subject Char"/>
    <w:basedOn w:val="CommentTextChar"/>
    <w:link w:val="CommentSubject"/>
    <w:uiPriority w:val="99"/>
    <w:semiHidden/>
    <w:rsid w:val="00704151"/>
    <w:rPr>
      <w:b/>
      <w:bCs/>
      <w:sz w:val="20"/>
      <w:szCs w:val="20"/>
    </w:rPr>
  </w:style>
  <w:style w:type="paragraph" w:styleId="Header">
    <w:name w:val="header"/>
    <w:basedOn w:val="Normal"/>
    <w:link w:val="HeaderChar"/>
    <w:uiPriority w:val="99"/>
    <w:unhideWhenUsed/>
    <w:rsid w:val="00704151"/>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04151"/>
  </w:style>
  <w:style w:type="paragraph" w:styleId="Footer">
    <w:name w:val="footer"/>
    <w:basedOn w:val="Normal"/>
    <w:link w:val="FooterChar"/>
    <w:uiPriority w:val="99"/>
    <w:unhideWhenUsed/>
    <w:rsid w:val="00704151"/>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04151"/>
  </w:style>
  <w:style w:type="paragraph" w:styleId="Revision">
    <w:name w:val="Revision"/>
    <w:hidden/>
    <w:uiPriority w:val="99"/>
    <w:semiHidden/>
    <w:rsid w:val="00704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trends;%20country" TargetMode="External"/><Relationship Id="rId13" Type="http://schemas.openxmlformats.org/officeDocument/2006/relationships/hyperlink" Target="mailto:Hilary.Simons@lstmed.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ob.petersen@uclh.nhs.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turalearthdat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google.co.uk/" TargetMode="External"/><Relationship Id="rId5" Type="http://schemas.openxmlformats.org/officeDocument/2006/relationships/webSettings" Target="webSettings.xml"/><Relationship Id="rId15" Type="http://schemas.openxmlformats.org/officeDocument/2006/relationships/hyperlink" Target="http://www.nisra.gov.uk" TargetMode="External"/><Relationship Id="rId10" Type="http://schemas.openxmlformats.org/officeDocument/2006/relationships/hyperlink" Target="http://www.google.co.uk/trends;%20count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kob.petersen@uclh.nhs.uk" TargetMode="External"/><Relationship Id="rId14" Type="http://schemas.openxmlformats.org/officeDocument/2006/relationships/hyperlink" Target="mailto:dipti.patel@ucl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C0B0-0C19-498F-AF62-6B113AD0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32852</Words>
  <Characters>187259</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Petersen</dc:creator>
  <cp:lastModifiedBy>Stacy Murtagh</cp:lastModifiedBy>
  <cp:revision>2</cp:revision>
  <dcterms:created xsi:type="dcterms:W3CDTF">2018-01-24T14:33:00Z</dcterms:created>
  <dcterms:modified xsi:type="dcterms:W3CDTF">2018-01-24T14:33:00Z</dcterms:modified>
</cp:coreProperties>
</file>