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AC23D" w14:textId="77777777" w:rsidR="001A0A23" w:rsidRDefault="001A0A23" w:rsidP="001A0A23">
      <w:pPr>
        <w:pStyle w:val="Standaard1"/>
        <w:tabs>
          <w:tab w:val="left" w:pos="1985"/>
        </w:tabs>
        <w:rPr>
          <w:b/>
        </w:rPr>
      </w:pPr>
      <w:r>
        <w:rPr>
          <w:b/>
        </w:rPr>
        <w:t xml:space="preserve">Good intentions do not replace ethical conduct </w:t>
      </w:r>
      <w:bookmarkStart w:id="0" w:name="_GoBack"/>
      <w:bookmarkEnd w:id="0"/>
      <w:r>
        <w:rPr>
          <w:b/>
        </w:rPr>
        <w:t xml:space="preserve">in </w:t>
      </w:r>
      <w:r w:rsidRPr="00564BA2">
        <w:rPr>
          <w:b/>
        </w:rPr>
        <w:t>research</w:t>
      </w:r>
      <w:r>
        <w:rPr>
          <w:b/>
        </w:rPr>
        <w:t xml:space="preserve">: violation of ethics in HIV-study in </w:t>
      </w:r>
      <w:r w:rsidRPr="00564BA2">
        <w:rPr>
          <w:b/>
        </w:rPr>
        <w:t>Kenya</w:t>
      </w:r>
    </w:p>
    <w:p w14:paraId="7FDA8BDA" w14:textId="77777777" w:rsidR="001A0A23" w:rsidRDefault="001A0A23" w:rsidP="00564BA2"/>
    <w:p w14:paraId="7E342766" w14:textId="77777777" w:rsidR="001A0A23" w:rsidRDefault="001A0A23" w:rsidP="00564BA2"/>
    <w:p w14:paraId="5085BFD3" w14:textId="597CD6E2" w:rsidR="00564BA2" w:rsidRPr="001A0A23" w:rsidRDefault="00564BA2" w:rsidP="00564BA2">
      <w:pPr>
        <w:rPr>
          <w:rFonts w:ascii="Times" w:eastAsia="Times New Roman" w:hAnsi="Times" w:cs="Times New Roman"/>
          <w:color w:val="auto"/>
          <w:sz w:val="20"/>
          <w:szCs w:val="20"/>
          <w:vertAlign w:val="superscript"/>
          <w:lang w:val="en-US"/>
        </w:rPr>
      </w:pPr>
      <w:r>
        <w:t>Joyce L Browne</w:t>
      </w:r>
      <w:r w:rsidR="001A0A23">
        <w:rPr>
          <w:vertAlign w:val="superscript"/>
        </w:rPr>
        <w:t>1</w:t>
      </w:r>
      <w:r>
        <w:t xml:space="preserve">* &amp; Menno </w:t>
      </w:r>
      <w:r w:rsidR="002E244A">
        <w:t xml:space="preserve">R </w:t>
      </w:r>
      <w:r>
        <w:t>Smit</w:t>
      </w:r>
      <w:r w:rsidR="001A0A23">
        <w:rPr>
          <w:vertAlign w:val="superscript"/>
        </w:rPr>
        <w:t>2</w:t>
      </w:r>
      <w:r>
        <w:t xml:space="preserve">*, </w:t>
      </w:r>
      <w:r w:rsidR="00120AF9">
        <w:t>Francis</w:t>
      </w:r>
      <w:r>
        <w:t xml:space="preserve"> Angira</w:t>
      </w:r>
      <w:r w:rsidR="001A0A23">
        <w:rPr>
          <w:vertAlign w:val="superscript"/>
        </w:rPr>
        <w:t>3</w:t>
      </w:r>
      <w:r>
        <w:t>, Rieke van der Graaf</w:t>
      </w:r>
      <w:r w:rsidR="001A0A23" w:rsidRPr="001A0A23">
        <w:rPr>
          <w:vertAlign w:val="superscript"/>
        </w:rPr>
        <w:t>4</w:t>
      </w:r>
      <w:r>
        <w:t xml:space="preserve">, </w:t>
      </w:r>
      <w:r w:rsidRPr="00564BA2">
        <w:t xml:space="preserve">Elizabeth </w:t>
      </w:r>
      <w:r w:rsidR="00440BAC">
        <w:t xml:space="preserve">A </w:t>
      </w:r>
      <w:r w:rsidRPr="00564BA2">
        <w:t>Bukusi</w:t>
      </w:r>
      <w:r w:rsidR="001A0A23">
        <w:rPr>
          <w:vertAlign w:val="superscript"/>
        </w:rPr>
        <w:t>5,6</w:t>
      </w:r>
    </w:p>
    <w:p w14:paraId="361CF39F" w14:textId="46089A31" w:rsidR="00564BA2" w:rsidRDefault="00440BAC" w:rsidP="00564BA2">
      <w:pPr>
        <w:pStyle w:val="Standaard1"/>
      </w:pPr>
      <w:r>
        <w:t>*Joint first authors</w:t>
      </w:r>
    </w:p>
    <w:p w14:paraId="0FBAD8CE" w14:textId="77777777" w:rsidR="00564BA2" w:rsidRDefault="00564BA2" w:rsidP="00564BA2">
      <w:pPr>
        <w:pStyle w:val="Standaard1"/>
      </w:pPr>
    </w:p>
    <w:p w14:paraId="31D861FA" w14:textId="4C5BC14A" w:rsidR="001A0A23" w:rsidRPr="001A0A23" w:rsidRDefault="001A0A23" w:rsidP="00564BA2">
      <w:pPr>
        <w:pStyle w:val="Standaard1"/>
        <w:rPr>
          <w:sz w:val="18"/>
        </w:rPr>
      </w:pPr>
      <w:r w:rsidRPr="001A0A23">
        <w:rPr>
          <w:sz w:val="18"/>
          <w:vertAlign w:val="superscript"/>
        </w:rPr>
        <w:t>1</w:t>
      </w:r>
      <w:r w:rsidRPr="001A0A23">
        <w:rPr>
          <w:sz w:val="18"/>
        </w:rPr>
        <w:t xml:space="preserve"> Julius Global Health, Julius Center for Health Sciences and Primary Care, University Medical Center Utrecht</w:t>
      </w:r>
    </w:p>
    <w:p w14:paraId="7713174F" w14:textId="0F8BC590" w:rsidR="001A0A23" w:rsidRPr="001A0A23" w:rsidRDefault="001A0A23" w:rsidP="00564BA2">
      <w:pPr>
        <w:pStyle w:val="Standaard1"/>
        <w:rPr>
          <w:sz w:val="18"/>
        </w:rPr>
      </w:pPr>
      <w:r w:rsidRPr="001A0A23">
        <w:rPr>
          <w:sz w:val="18"/>
          <w:vertAlign w:val="superscript"/>
        </w:rPr>
        <w:t>2</w:t>
      </w:r>
      <w:r w:rsidRPr="001A0A23">
        <w:rPr>
          <w:sz w:val="18"/>
        </w:rPr>
        <w:t xml:space="preserve"> </w:t>
      </w:r>
      <w:r w:rsidR="00180C99">
        <w:rPr>
          <w:sz w:val="18"/>
        </w:rPr>
        <w:t xml:space="preserve">Department of Clinical Sciences, </w:t>
      </w:r>
      <w:r w:rsidRPr="001A0A23">
        <w:rPr>
          <w:sz w:val="18"/>
        </w:rPr>
        <w:t>Liverpool School of Tropical Medicine, Liverpool, United Kingdom</w:t>
      </w:r>
    </w:p>
    <w:p w14:paraId="5B6F721C" w14:textId="0026CFE0" w:rsidR="001A0A23" w:rsidRPr="001A0A23" w:rsidRDefault="001A0A23" w:rsidP="00564BA2">
      <w:pPr>
        <w:pStyle w:val="Standaard1"/>
        <w:rPr>
          <w:sz w:val="18"/>
        </w:rPr>
      </w:pPr>
      <w:r w:rsidRPr="001A0A23">
        <w:rPr>
          <w:sz w:val="18"/>
          <w:vertAlign w:val="superscript"/>
        </w:rPr>
        <w:t>3</w:t>
      </w:r>
      <w:r w:rsidRPr="001A0A23">
        <w:rPr>
          <w:sz w:val="18"/>
        </w:rPr>
        <w:t xml:space="preserve"> </w:t>
      </w:r>
      <w:r w:rsidR="00180C99">
        <w:rPr>
          <w:sz w:val="18"/>
        </w:rPr>
        <w:t xml:space="preserve">HIV Research Branch, Centre for Global Health Research, </w:t>
      </w:r>
      <w:r w:rsidRPr="001A0A23">
        <w:rPr>
          <w:sz w:val="18"/>
        </w:rPr>
        <w:t>Kenya Medical Research Institute, Kisumu, Kenya</w:t>
      </w:r>
    </w:p>
    <w:p w14:paraId="38BDC4C5" w14:textId="7AE4B30B" w:rsidR="001A0A23" w:rsidRPr="001A0A23" w:rsidRDefault="001A0A23" w:rsidP="00564BA2">
      <w:pPr>
        <w:pStyle w:val="Standaard1"/>
        <w:rPr>
          <w:sz w:val="18"/>
        </w:rPr>
      </w:pPr>
      <w:r w:rsidRPr="001A0A23">
        <w:rPr>
          <w:sz w:val="18"/>
          <w:vertAlign w:val="superscript"/>
        </w:rPr>
        <w:t>4</w:t>
      </w:r>
      <w:r w:rsidRPr="001A0A23">
        <w:rPr>
          <w:sz w:val="18"/>
        </w:rPr>
        <w:t xml:space="preserve"> Department of Medical Humanities, Julius Center for Health Sciences and Primary Care, University Medical Center Utrecht, Utrecht, the Netherlands.</w:t>
      </w:r>
    </w:p>
    <w:p w14:paraId="6EFD7415" w14:textId="77777777" w:rsidR="001A0A23" w:rsidRPr="001A0A23" w:rsidRDefault="001A0A23" w:rsidP="00564BA2">
      <w:pPr>
        <w:pStyle w:val="Standaard1"/>
        <w:rPr>
          <w:sz w:val="18"/>
        </w:rPr>
      </w:pPr>
      <w:r w:rsidRPr="001A0A23">
        <w:rPr>
          <w:sz w:val="18"/>
          <w:vertAlign w:val="superscript"/>
        </w:rPr>
        <w:t>5</w:t>
      </w:r>
      <w:r w:rsidRPr="001A0A23">
        <w:rPr>
          <w:sz w:val="18"/>
        </w:rPr>
        <w:t xml:space="preserve"> Center for Microbiology Research, Kenya Medical Research Institute, Nairobi, Kenya</w:t>
      </w:r>
    </w:p>
    <w:p w14:paraId="32B5B13F" w14:textId="0F956F83" w:rsidR="001A0A23" w:rsidRPr="001A0A23" w:rsidRDefault="001A0A23" w:rsidP="00564BA2">
      <w:pPr>
        <w:pStyle w:val="Standaard1"/>
        <w:rPr>
          <w:sz w:val="18"/>
        </w:rPr>
      </w:pPr>
      <w:r w:rsidRPr="001A0A23">
        <w:rPr>
          <w:sz w:val="18"/>
          <w:vertAlign w:val="superscript"/>
        </w:rPr>
        <w:t>6</w:t>
      </w:r>
      <w:r w:rsidRPr="001A0A23">
        <w:rPr>
          <w:sz w:val="18"/>
        </w:rPr>
        <w:t xml:space="preserve"> Departments of Global Health and Obstetrics and Gynecology</w:t>
      </w:r>
      <w:r w:rsidR="00676399">
        <w:rPr>
          <w:sz w:val="18"/>
        </w:rPr>
        <w:t>,</w:t>
      </w:r>
      <w:r w:rsidRPr="001A0A23">
        <w:rPr>
          <w:sz w:val="18"/>
        </w:rPr>
        <w:t xml:space="preserve"> University of Washington, Seattle, United States.</w:t>
      </w:r>
    </w:p>
    <w:p w14:paraId="4BCCF9D7" w14:textId="1340FC21" w:rsidR="00180C99" w:rsidRDefault="00180C99" w:rsidP="00180C99">
      <w:pPr>
        <w:pStyle w:val="Standaard1"/>
      </w:pPr>
      <w:r>
        <w:t xml:space="preserve">Disclaimer: </w:t>
      </w:r>
      <w:r w:rsidRPr="00180C99">
        <w:t>The opinions expressed in this article are those of the authors and do not necessarily reflect the off</w:t>
      </w:r>
      <w:r>
        <w:t xml:space="preserve">icial </w:t>
      </w:r>
      <w:r w:rsidR="00676399">
        <w:t>view</w:t>
      </w:r>
      <w:r>
        <w:t xml:space="preserve"> of their affiliated institutions.</w:t>
      </w:r>
    </w:p>
    <w:p w14:paraId="04318893" w14:textId="77777777" w:rsidR="001A0A23" w:rsidRDefault="001A0A23">
      <w:pPr>
        <w:pStyle w:val="Standaard1"/>
      </w:pPr>
    </w:p>
    <w:p w14:paraId="3F421762" w14:textId="02C42BA2" w:rsidR="005F6391" w:rsidRPr="00564BA2" w:rsidRDefault="00C57F9C">
      <w:pPr>
        <w:pStyle w:val="Standaard1"/>
        <w:rPr>
          <w:color w:val="auto"/>
        </w:rPr>
      </w:pPr>
      <w:r>
        <w:t xml:space="preserve">The Dutch Disciplinary Tribunal officially </w:t>
      </w:r>
      <w:r w:rsidR="0057671F">
        <w:t>‘</w:t>
      </w:r>
      <w:r>
        <w:t>warned</w:t>
      </w:r>
      <w:r w:rsidR="0057671F">
        <w:t>’</w:t>
      </w:r>
      <w:r>
        <w:t xml:space="preserve"> t</w:t>
      </w:r>
      <w:r w:rsidR="00564BA2">
        <w:t xml:space="preserve">wo Dutch physicians </w:t>
      </w:r>
      <w:r w:rsidR="005A5B99">
        <w:rPr>
          <w:color w:val="auto"/>
        </w:rPr>
        <w:t>following</w:t>
      </w:r>
      <w:r>
        <w:rPr>
          <w:color w:val="auto"/>
        </w:rPr>
        <w:t xml:space="preserve"> their study </w:t>
      </w:r>
      <w:r w:rsidR="00ED76FF">
        <w:rPr>
          <w:color w:val="auto"/>
        </w:rPr>
        <w:t>with a Ken</w:t>
      </w:r>
      <w:r w:rsidR="00127FAD">
        <w:rPr>
          <w:color w:val="auto"/>
        </w:rPr>
        <w:t>y</w:t>
      </w:r>
      <w:r w:rsidR="00ED76FF">
        <w:rPr>
          <w:color w:val="auto"/>
        </w:rPr>
        <w:t xml:space="preserve">an collaborator </w:t>
      </w:r>
      <w:r w:rsidR="000D41AE">
        <w:rPr>
          <w:color w:val="auto"/>
        </w:rPr>
        <w:t>on</w:t>
      </w:r>
      <w:r w:rsidR="005A5B99">
        <w:rPr>
          <w:color w:val="auto"/>
        </w:rPr>
        <w:t xml:space="preserve"> </w:t>
      </w:r>
      <w:r w:rsidR="00564BA2" w:rsidRPr="00564BA2">
        <w:rPr>
          <w:color w:val="auto"/>
        </w:rPr>
        <w:t xml:space="preserve">the efficacy of the homeopathic substance </w:t>
      </w:r>
      <w:proofErr w:type="spellStart"/>
      <w:r w:rsidR="00564BA2" w:rsidRPr="00564BA2">
        <w:rPr>
          <w:color w:val="auto"/>
        </w:rPr>
        <w:t>Iquilai</w:t>
      </w:r>
      <w:proofErr w:type="spellEnd"/>
      <w:r w:rsidR="00564BA2" w:rsidRPr="00564BA2">
        <w:rPr>
          <w:color w:val="auto"/>
        </w:rPr>
        <w:t xml:space="preserve"> (‘a potentized mineral supplement’) </w:t>
      </w:r>
      <w:r w:rsidR="005A5B99">
        <w:rPr>
          <w:color w:val="auto"/>
        </w:rPr>
        <w:t>in</w:t>
      </w:r>
      <w:r w:rsidR="005A5B99" w:rsidRPr="00564BA2">
        <w:rPr>
          <w:color w:val="auto"/>
        </w:rPr>
        <w:t xml:space="preserve"> </w:t>
      </w:r>
      <w:r w:rsidR="00564BA2" w:rsidRPr="00564BA2">
        <w:rPr>
          <w:color w:val="auto"/>
        </w:rPr>
        <w:t>228 HIV/AIDS patients in Kenya.</w:t>
      </w:r>
      <w:r w:rsidR="00564BA2" w:rsidRPr="00564BA2">
        <w:rPr>
          <w:color w:val="auto"/>
          <w:vertAlign w:val="superscript"/>
        </w:rPr>
        <w:t>1</w:t>
      </w:r>
      <w:r w:rsidR="0057671F">
        <w:rPr>
          <w:color w:val="auto"/>
          <w:vertAlign w:val="superscript"/>
        </w:rPr>
        <w:t>,2</w:t>
      </w:r>
      <w:r w:rsidR="00564BA2" w:rsidRPr="00564BA2">
        <w:rPr>
          <w:color w:val="auto"/>
        </w:rPr>
        <w:t xml:space="preserve"> </w:t>
      </w:r>
      <w:r w:rsidR="00ED76FF">
        <w:rPr>
          <w:color w:val="auto"/>
        </w:rPr>
        <w:t>The case was brought forward by the Dutch Health Inspectorate, who had launc</w:t>
      </w:r>
      <w:r w:rsidR="00127FAD">
        <w:rPr>
          <w:color w:val="auto"/>
        </w:rPr>
        <w:t>h</w:t>
      </w:r>
      <w:r w:rsidR="00ED76FF">
        <w:rPr>
          <w:color w:val="auto"/>
        </w:rPr>
        <w:t xml:space="preserve">ed an investigation into the practice of the two involved physicians. </w:t>
      </w:r>
      <w:r>
        <w:rPr>
          <w:color w:val="auto"/>
        </w:rPr>
        <w:t>T</w:t>
      </w:r>
      <w:r w:rsidRPr="00564BA2">
        <w:rPr>
          <w:color w:val="auto"/>
        </w:rPr>
        <w:t xml:space="preserve">he </w:t>
      </w:r>
      <w:r w:rsidR="0057671F">
        <w:rPr>
          <w:color w:val="auto"/>
        </w:rPr>
        <w:t xml:space="preserve">Tribunal deemed the study incompatible with </w:t>
      </w:r>
      <w:r>
        <w:rPr>
          <w:color w:val="auto"/>
        </w:rPr>
        <w:t xml:space="preserve">basic medical ethical principles </w:t>
      </w:r>
      <w:r w:rsidR="0057671F">
        <w:rPr>
          <w:color w:val="auto"/>
        </w:rPr>
        <w:t xml:space="preserve">for human </w:t>
      </w:r>
      <w:r w:rsidR="005A5B99">
        <w:rPr>
          <w:color w:val="auto"/>
        </w:rPr>
        <w:t>subjects</w:t>
      </w:r>
      <w:r w:rsidR="00D54270">
        <w:rPr>
          <w:color w:val="auto"/>
        </w:rPr>
        <w:t>’</w:t>
      </w:r>
      <w:r w:rsidR="0057671F">
        <w:rPr>
          <w:color w:val="auto"/>
        </w:rPr>
        <w:t xml:space="preserve"> research, as laid down in </w:t>
      </w:r>
      <w:r>
        <w:rPr>
          <w:color w:val="auto"/>
        </w:rPr>
        <w:t xml:space="preserve">the World Medical Association’s Declaration </w:t>
      </w:r>
      <w:r w:rsidR="00D54270">
        <w:rPr>
          <w:color w:val="auto"/>
        </w:rPr>
        <w:t>o</w:t>
      </w:r>
      <w:r>
        <w:rPr>
          <w:color w:val="auto"/>
        </w:rPr>
        <w:t>f Helsinki</w:t>
      </w:r>
      <w:r w:rsidR="0057671F">
        <w:rPr>
          <w:color w:val="auto"/>
        </w:rPr>
        <w:t xml:space="preserve">: the study lacked a </w:t>
      </w:r>
      <w:r w:rsidR="00564BA2" w:rsidRPr="00564BA2">
        <w:rPr>
          <w:color w:val="auto"/>
        </w:rPr>
        <w:t>proper study protocol</w:t>
      </w:r>
      <w:r>
        <w:rPr>
          <w:color w:val="auto"/>
        </w:rPr>
        <w:t xml:space="preserve">, </w:t>
      </w:r>
      <w:r w:rsidR="00564BA2" w:rsidRPr="00564BA2">
        <w:rPr>
          <w:color w:val="auto"/>
        </w:rPr>
        <w:t>informed consent form</w:t>
      </w:r>
      <w:r w:rsidR="00802BF0">
        <w:rPr>
          <w:color w:val="auto"/>
        </w:rPr>
        <w:t>s</w:t>
      </w:r>
      <w:r w:rsidR="00564BA2" w:rsidRPr="00564BA2">
        <w:rPr>
          <w:color w:val="auto"/>
        </w:rPr>
        <w:t>, risk assessment,</w:t>
      </w:r>
      <w:r>
        <w:rPr>
          <w:color w:val="auto"/>
        </w:rPr>
        <w:t xml:space="preserve"> and ethical approval</w:t>
      </w:r>
      <w:r w:rsidR="00564BA2" w:rsidRPr="00564BA2">
        <w:rPr>
          <w:color w:val="auto"/>
        </w:rPr>
        <w:t>.</w:t>
      </w:r>
      <w:r w:rsidR="00564BA2" w:rsidRPr="00564BA2">
        <w:rPr>
          <w:color w:val="auto"/>
          <w:vertAlign w:val="superscript"/>
        </w:rPr>
        <w:t>2</w:t>
      </w:r>
      <w:r w:rsidR="00440BAC">
        <w:rPr>
          <w:color w:val="auto"/>
          <w:vertAlign w:val="superscript"/>
        </w:rPr>
        <w:t>,3</w:t>
      </w:r>
      <w:r w:rsidR="00564BA2" w:rsidRPr="00564BA2">
        <w:rPr>
          <w:color w:val="auto"/>
        </w:rPr>
        <w:t xml:space="preserve"> </w:t>
      </w:r>
    </w:p>
    <w:p w14:paraId="71F3C197" w14:textId="77777777" w:rsidR="00ED76FF" w:rsidRDefault="00ED76FF" w:rsidP="00151983">
      <w:pPr>
        <w:pStyle w:val="Standaard1"/>
        <w:rPr>
          <w:color w:val="auto"/>
        </w:rPr>
      </w:pPr>
    </w:p>
    <w:p w14:paraId="480BED33" w14:textId="2CB6EEA5" w:rsidR="00ED76FF" w:rsidRDefault="00564BA2" w:rsidP="00151983">
      <w:pPr>
        <w:pStyle w:val="Standaard1"/>
        <w:rPr>
          <w:color w:val="auto"/>
        </w:rPr>
      </w:pPr>
      <w:r w:rsidRPr="00564BA2">
        <w:rPr>
          <w:color w:val="auto"/>
        </w:rPr>
        <w:t xml:space="preserve">This case and its ruling are remarkable for at least two reasons. First, </w:t>
      </w:r>
      <w:r w:rsidR="005233F8">
        <w:rPr>
          <w:color w:val="auto"/>
        </w:rPr>
        <w:t xml:space="preserve">we </w:t>
      </w:r>
      <w:r w:rsidR="00ED76FF">
        <w:rPr>
          <w:color w:val="auto"/>
        </w:rPr>
        <w:t>appreciate</w:t>
      </w:r>
      <w:r w:rsidR="005233F8">
        <w:rPr>
          <w:color w:val="auto"/>
        </w:rPr>
        <w:t xml:space="preserve"> the Tribunal</w:t>
      </w:r>
      <w:r w:rsidR="00ED76FF">
        <w:rPr>
          <w:color w:val="auto"/>
        </w:rPr>
        <w:t>’s</w:t>
      </w:r>
      <w:r w:rsidR="005233F8">
        <w:rPr>
          <w:color w:val="auto"/>
        </w:rPr>
        <w:t xml:space="preserve"> </w:t>
      </w:r>
      <w:r w:rsidR="00ED76FF">
        <w:rPr>
          <w:color w:val="auto"/>
        </w:rPr>
        <w:t>recognition of</w:t>
      </w:r>
      <w:r w:rsidR="005233F8" w:rsidRPr="00564BA2">
        <w:rPr>
          <w:color w:val="auto"/>
        </w:rPr>
        <w:t xml:space="preserve"> previous jurisprudence that their mandate </w:t>
      </w:r>
      <w:r w:rsidR="005233F8">
        <w:rPr>
          <w:color w:val="auto"/>
        </w:rPr>
        <w:t xml:space="preserve">in oversight </w:t>
      </w:r>
      <w:r w:rsidR="005233F8" w:rsidRPr="00564BA2">
        <w:rPr>
          <w:color w:val="auto"/>
        </w:rPr>
        <w:t>over Dutch doctors exten</w:t>
      </w:r>
      <w:r w:rsidR="005233F8">
        <w:rPr>
          <w:color w:val="auto"/>
        </w:rPr>
        <w:t xml:space="preserve">ds beyond the country’s borders. This </w:t>
      </w:r>
      <w:r w:rsidR="00ED76FF">
        <w:rPr>
          <w:color w:val="auto"/>
        </w:rPr>
        <w:t>strengthens</w:t>
      </w:r>
      <w:r w:rsidR="005233F8">
        <w:rPr>
          <w:color w:val="auto"/>
        </w:rPr>
        <w:t xml:space="preserve"> the</w:t>
      </w:r>
      <w:r w:rsidR="005233F8" w:rsidRPr="00564BA2">
        <w:rPr>
          <w:color w:val="auto"/>
        </w:rPr>
        <w:t xml:space="preserve"> </w:t>
      </w:r>
      <w:r w:rsidRPr="00564BA2">
        <w:rPr>
          <w:color w:val="auto"/>
        </w:rPr>
        <w:t xml:space="preserve">extent to </w:t>
      </w:r>
      <w:r w:rsidR="008635FE">
        <w:rPr>
          <w:color w:val="auto"/>
        </w:rPr>
        <w:t>which foreign physicians</w:t>
      </w:r>
      <w:r w:rsidR="00440BAC">
        <w:rPr>
          <w:color w:val="auto"/>
        </w:rPr>
        <w:t xml:space="preserve"> working</w:t>
      </w:r>
      <w:r w:rsidR="008635FE">
        <w:rPr>
          <w:color w:val="auto"/>
        </w:rPr>
        <w:t xml:space="preserve"> in low </w:t>
      </w:r>
      <w:r w:rsidR="000A64AA">
        <w:rPr>
          <w:color w:val="auto"/>
        </w:rPr>
        <w:t>resource</w:t>
      </w:r>
      <w:r w:rsidRPr="00564BA2">
        <w:rPr>
          <w:color w:val="auto"/>
        </w:rPr>
        <w:t xml:space="preserve"> countries can be held accountable for their actions.</w:t>
      </w:r>
      <w:r w:rsidR="000D41AE" w:rsidRPr="000D41AE">
        <w:rPr>
          <w:color w:val="auto"/>
        </w:rPr>
        <w:t xml:space="preserve"> </w:t>
      </w:r>
    </w:p>
    <w:p w14:paraId="60776870" w14:textId="7EAC5EA5" w:rsidR="000D41AE" w:rsidRPr="00564BA2" w:rsidRDefault="00802BF0" w:rsidP="000D41AE">
      <w:pPr>
        <w:pStyle w:val="Standaard1"/>
        <w:rPr>
          <w:color w:val="auto"/>
        </w:rPr>
      </w:pPr>
      <w:r>
        <w:rPr>
          <w:color w:val="auto"/>
        </w:rPr>
        <w:t xml:space="preserve">Second, </w:t>
      </w:r>
      <w:r w:rsidR="00127FAD">
        <w:rPr>
          <w:color w:val="auto"/>
        </w:rPr>
        <w:t>given the misconduct</w:t>
      </w:r>
      <w:r w:rsidR="00D54270">
        <w:rPr>
          <w:color w:val="auto"/>
        </w:rPr>
        <w:t>,</w:t>
      </w:r>
      <w:r w:rsidR="00127FAD">
        <w:rPr>
          <w:color w:val="auto"/>
        </w:rPr>
        <w:t xml:space="preserve"> the </w:t>
      </w:r>
      <w:r w:rsidR="00C21430">
        <w:rPr>
          <w:color w:val="auto"/>
        </w:rPr>
        <w:t xml:space="preserve">lack </w:t>
      </w:r>
      <w:r w:rsidR="00127FAD">
        <w:rPr>
          <w:color w:val="auto"/>
        </w:rPr>
        <w:t xml:space="preserve">of a </w:t>
      </w:r>
      <w:r w:rsidR="00440BAC">
        <w:rPr>
          <w:color w:val="auto"/>
        </w:rPr>
        <w:t>‘</w:t>
      </w:r>
      <w:r w:rsidR="00C21430">
        <w:rPr>
          <w:color w:val="auto"/>
        </w:rPr>
        <w:t>reprimand</w:t>
      </w:r>
      <w:r w:rsidR="00440BAC">
        <w:rPr>
          <w:color w:val="auto"/>
        </w:rPr>
        <w:t>’</w:t>
      </w:r>
      <w:r w:rsidR="00127FAD">
        <w:rPr>
          <w:color w:val="auto"/>
        </w:rPr>
        <w:t xml:space="preserve"> seems mild</w:t>
      </w:r>
      <w:r w:rsidR="000D41AE">
        <w:rPr>
          <w:color w:val="auto"/>
        </w:rPr>
        <w:t xml:space="preserve">. The Tribunal justified it’s ruling with the </w:t>
      </w:r>
      <w:r w:rsidR="000D41AE" w:rsidRPr="00564BA2">
        <w:rPr>
          <w:color w:val="auto"/>
        </w:rPr>
        <w:t>‘good intentions’</w:t>
      </w:r>
      <w:r w:rsidR="000D41AE">
        <w:rPr>
          <w:color w:val="auto"/>
        </w:rPr>
        <w:t xml:space="preserve"> of the involved researchers</w:t>
      </w:r>
      <w:r w:rsidR="000D41AE" w:rsidRPr="00564BA2">
        <w:rPr>
          <w:color w:val="auto"/>
        </w:rPr>
        <w:t>, and the assumptions that ‘patients were well informed’ and ‘were not exposed to health risks’</w:t>
      </w:r>
      <w:r w:rsidR="000D41AE">
        <w:rPr>
          <w:color w:val="auto"/>
        </w:rPr>
        <w:t xml:space="preserve">. </w:t>
      </w:r>
      <w:r w:rsidR="00ED76FF">
        <w:rPr>
          <w:color w:val="auto"/>
        </w:rPr>
        <w:t>Although we cannot comment on the former, there was no evidence to substantiate the latter two considerations</w:t>
      </w:r>
      <w:r w:rsidR="00127FAD">
        <w:rPr>
          <w:color w:val="auto"/>
        </w:rPr>
        <w:t xml:space="preserve">; consent forms were </w:t>
      </w:r>
      <w:proofErr w:type="gramStart"/>
      <w:r w:rsidR="00127FAD">
        <w:rPr>
          <w:color w:val="auto"/>
        </w:rPr>
        <w:t>lacking</w:t>
      </w:r>
      <w:proofErr w:type="gramEnd"/>
      <w:r w:rsidR="00127FAD">
        <w:rPr>
          <w:color w:val="auto"/>
        </w:rPr>
        <w:t xml:space="preserve"> and data collection was </w:t>
      </w:r>
      <w:r w:rsidR="000867EA">
        <w:rPr>
          <w:color w:val="auto"/>
        </w:rPr>
        <w:t>inconsistent</w:t>
      </w:r>
      <w:r w:rsidR="00ED76FF">
        <w:rPr>
          <w:color w:val="auto"/>
        </w:rPr>
        <w:t xml:space="preserve">. </w:t>
      </w:r>
      <w:r w:rsidR="000D41AE">
        <w:rPr>
          <w:color w:val="auto"/>
        </w:rPr>
        <w:t>W</w:t>
      </w:r>
      <w:r w:rsidR="000D41AE" w:rsidRPr="00564BA2">
        <w:rPr>
          <w:color w:val="auto"/>
        </w:rPr>
        <w:t>e strongly believe that for all research – and especially in low resource settings where institutional ethical safeguards may be limited or easier to circumvent – that the burden to understand and comply with ethical principles is on the researcher</w:t>
      </w:r>
      <w:r w:rsidR="00440BAC">
        <w:rPr>
          <w:color w:val="auto"/>
        </w:rPr>
        <w:t>,</w:t>
      </w:r>
      <w:r w:rsidR="005B3286">
        <w:rPr>
          <w:color w:val="auto"/>
        </w:rPr>
        <w:t xml:space="preserve"> whether foreign or local</w:t>
      </w:r>
      <w:r w:rsidR="00151983">
        <w:rPr>
          <w:color w:val="auto"/>
        </w:rPr>
        <w:t xml:space="preserve">, </w:t>
      </w:r>
      <w:r w:rsidR="00ED76FF">
        <w:rPr>
          <w:color w:val="auto"/>
        </w:rPr>
        <w:t xml:space="preserve">all </w:t>
      </w:r>
      <w:r w:rsidR="00151983">
        <w:rPr>
          <w:color w:val="auto"/>
        </w:rPr>
        <w:t>good intentions aside.</w:t>
      </w:r>
      <w:r w:rsidR="000D41AE" w:rsidRPr="00564BA2">
        <w:rPr>
          <w:color w:val="auto"/>
        </w:rPr>
        <w:t xml:space="preserve"> </w:t>
      </w:r>
      <w:r w:rsidR="00940C55">
        <w:rPr>
          <w:color w:val="auto"/>
        </w:rPr>
        <w:t>Finally, r</w:t>
      </w:r>
      <w:r w:rsidR="00F5443D">
        <w:rPr>
          <w:color w:val="auto"/>
        </w:rPr>
        <w:t>esearch collaborators from low resource settings must also be held accountable</w:t>
      </w:r>
      <w:r w:rsidR="00D06086">
        <w:rPr>
          <w:color w:val="auto"/>
        </w:rPr>
        <w:t xml:space="preserve"> and every opportunity seized to collaboratively strengthe</w:t>
      </w:r>
      <w:r w:rsidR="00DD25B3">
        <w:rPr>
          <w:color w:val="auto"/>
        </w:rPr>
        <w:t>n institutional ethical protection</w:t>
      </w:r>
      <w:r w:rsidR="00D06086">
        <w:rPr>
          <w:color w:val="auto"/>
        </w:rPr>
        <w:t xml:space="preserve"> systems in low resource settings</w:t>
      </w:r>
      <w:r w:rsidR="00D54270">
        <w:rPr>
          <w:color w:val="auto"/>
        </w:rPr>
        <w:t>.</w:t>
      </w:r>
    </w:p>
    <w:p w14:paraId="2637DF7F" w14:textId="77777777" w:rsidR="005F6391" w:rsidRDefault="005F6391">
      <w:pPr>
        <w:pStyle w:val="Standaard1"/>
      </w:pPr>
    </w:p>
    <w:p w14:paraId="7B511936" w14:textId="77777777" w:rsidR="001A0A23" w:rsidRDefault="001A0A23">
      <w:pPr>
        <w:pStyle w:val="Standaard1"/>
      </w:pPr>
    </w:p>
    <w:p w14:paraId="71411417" w14:textId="77777777" w:rsidR="001A0A23" w:rsidRDefault="001A0A23">
      <w:pPr>
        <w:pStyle w:val="Standaard1"/>
      </w:pPr>
    </w:p>
    <w:p w14:paraId="68ACB0B6" w14:textId="77777777" w:rsidR="001A0A23" w:rsidRDefault="001A0A23">
      <w:pPr>
        <w:pStyle w:val="Standaard1"/>
      </w:pPr>
    </w:p>
    <w:p w14:paraId="440427C9" w14:textId="77777777" w:rsidR="001A0A23" w:rsidRDefault="001A0A23">
      <w:pPr>
        <w:pStyle w:val="Standaard1"/>
      </w:pPr>
    </w:p>
    <w:p w14:paraId="4885CECC" w14:textId="77777777" w:rsidR="005F6391" w:rsidRDefault="00564BA2">
      <w:pPr>
        <w:pStyle w:val="Standaard1"/>
      </w:pPr>
      <w:r>
        <w:t>References:</w:t>
      </w:r>
    </w:p>
    <w:p w14:paraId="505B42C6" w14:textId="0999DF2C" w:rsidR="00564BA2" w:rsidRDefault="00564BA2" w:rsidP="00564BA2">
      <w:pPr>
        <w:pStyle w:val="Standaard1"/>
        <w:numPr>
          <w:ilvl w:val="0"/>
          <w:numId w:val="1"/>
        </w:numPr>
      </w:pPr>
      <w:r w:rsidRPr="00564BA2">
        <w:t xml:space="preserve">Aids Remedy Fund. </w:t>
      </w:r>
      <w:proofErr w:type="spellStart"/>
      <w:r w:rsidRPr="00564BA2">
        <w:t>Iquilai</w:t>
      </w:r>
      <w:proofErr w:type="spellEnd"/>
      <w:r w:rsidRPr="00564BA2">
        <w:t xml:space="preserve"> - homeopathic therapy for HIV/AIDS. Amsterdam, 2008. Available: </w:t>
      </w:r>
      <w:hyperlink r:id="rId7" w:history="1">
        <w:r w:rsidR="002E244A" w:rsidRPr="00E44C0C">
          <w:rPr>
            <w:rStyle w:val="Hyperlink"/>
          </w:rPr>
          <w:t>http://www.aidsremedyfund.org/docs/arf_info.pdf</w:t>
        </w:r>
      </w:hyperlink>
      <w:r w:rsidR="002E244A">
        <w:t xml:space="preserve"> </w:t>
      </w:r>
      <w:r w:rsidRPr="00564BA2">
        <w:t>(accessed 2 August 2017).</w:t>
      </w:r>
    </w:p>
    <w:p w14:paraId="581D7787" w14:textId="3F60D135" w:rsidR="00564BA2" w:rsidRPr="002E244A" w:rsidRDefault="00564BA2" w:rsidP="00564BA2">
      <w:pPr>
        <w:pStyle w:val="Standaard1"/>
        <w:numPr>
          <w:ilvl w:val="0"/>
          <w:numId w:val="1"/>
        </w:numPr>
      </w:pPr>
      <w:r>
        <w:rPr>
          <w:color w:val="auto"/>
          <w:lang w:val="en-US"/>
        </w:rPr>
        <w:t xml:space="preserve">Dutch Disciplinary Tribunal decisions in cases C2017.044 and C2017.045. Available: </w:t>
      </w:r>
      <w:hyperlink r:id="rId8" w:history="1">
        <w:r>
          <w:rPr>
            <w:color w:val="1155CC"/>
            <w:u w:val="single" w:color="1155CC"/>
            <w:lang w:val="en-US"/>
          </w:rPr>
          <w:t>http://tuchtrecht.overheid.nl/nieuw/gezondheidszorg/uitspraak/2017/ECLI_NL_TGZCTG_2017_217</w:t>
        </w:r>
      </w:hyperlink>
      <w:r>
        <w:rPr>
          <w:color w:val="auto"/>
          <w:lang w:val="en-US"/>
        </w:rPr>
        <w:t xml:space="preserve"> and </w:t>
      </w:r>
      <w:hyperlink r:id="rId9" w:history="1">
        <w:r>
          <w:rPr>
            <w:color w:val="1155CC"/>
            <w:u w:val="single" w:color="1155CC"/>
            <w:lang w:val="en-US"/>
          </w:rPr>
          <w:t>http://tuchtrecht.overheid.nl/nieuw/gezondheidszorg/uitspraak/2017/ECLI_NL_TGZCTG_2017_224</w:t>
        </w:r>
      </w:hyperlink>
      <w:r>
        <w:rPr>
          <w:color w:val="auto"/>
          <w:lang w:val="en-US"/>
        </w:rPr>
        <w:t xml:space="preserve"> (accessed 2 August 2017).</w:t>
      </w:r>
    </w:p>
    <w:p w14:paraId="7D7F4876" w14:textId="1774E5A4" w:rsidR="005F6391" w:rsidRDefault="00D54270" w:rsidP="00452168">
      <w:pPr>
        <w:pStyle w:val="Standaard1"/>
        <w:numPr>
          <w:ilvl w:val="0"/>
          <w:numId w:val="1"/>
        </w:numPr>
      </w:pPr>
      <w:r w:rsidRPr="002E244A">
        <w:rPr>
          <w:color w:val="auto"/>
          <w:lang w:val="en-US"/>
        </w:rPr>
        <w:t xml:space="preserve">World Medical Association. Declaration of Helsinki: Ethical Principles for Medical Research Involving Human Subjects. Fortaleza, Brazil, October 2013. Available: </w:t>
      </w:r>
      <w:hyperlink r:id="rId10" w:history="1">
        <w:r w:rsidRPr="002E244A">
          <w:rPr>
            <w:rStyle w:val="Hyperlink"/>
            <w:lang w:val="en-US"/>
          </w:rPr>
          <w:t>https://www.wma.net/policies-post/wma-declaration-of-helsinki-ethical-principles-for-medical-research-involving-human-subjects/</w:t>
        </w:r>
      </w:hyperlink>
      <w:r w:rsidRPr="002E244A">
        <w:rPr>
          <w:color w:val="auto"/>
          <w:lang w:val="en-US"/>
        </w:rPr>
        <w:t xml:space="preserve"> (accessed 2 August 2017). </w:t>
      </w:r>
    </w:p>
    <w:sectPr w:rsidR="005F6391">
      <w:footerReference w:type="even" r:id="rId11"/>
      <w:footerReference w:type="default" r:id="rId12"/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95231" w14:textId="77777777" w:rsidR="00A429D6" w:rsidRDefault="00A429D6" w:rsidP="001A0A23">
      <w:pPr>
        <w:spacing w:line="240" w:lineRule="auto"/>
      </w:pPr>
      <w:r>
        <w:separator/>
      </w:r>
    </w:p>
  </w:endnote>
  <w:endnote w:type="continuationSeparator" w:id="0">
    <w:p w14:paraId="338DBEAC" w14:textId="77777777" w:rsidR="00A429D6" w:rsidRDefault="00A429D6" w:rsidP="001A0A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9AB8C" w14:textId="77777777" w:rsidR="001A0A23" w:rsidRDefault="001A0A23" w:rsidP="008544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CEF1A9" w14:textId="77777777" w:rsidR="001A0A23" w:rsidRDefault="001A0A23" w:rsidP="001A0A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916C5" w14:textId="16660947" w:rsidR="001A0A23" w:rsidRDefault="001A0A23" w:rsidP="008544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1D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60FF90" w14:textId="77777777" w:rsidR="001A0A23" w:rsidRDefault="001A0A23" w:rsidP="001A0A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55883" w14:textId="77777777" w:rsidR="00A429D6" w:rsidRDefault="00A429D6" w:rsidP="001A0A23">
      <w:pPr>
        <w:spacing w:line="240" w:lineRule="auto"/>
      </w:pPr>
      <w:r>
        <w:separator/>
      </w:r>
    </w:p>
  </w:footnote>
  <w:footnote w:type="continuationSeparator" w:id="0">
    <w:p w14:paraId="7DB3E70D" w14:textId="77777777" w:rsidR="00A429D6" w:rsidRDefault="00A429D6" w:rsidP="001A0A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73F03"/>
    <w:multiLevelType w:val="multilevel"/>
    <w:tmpl w:val="2F96EC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391"/>
    <w:rsid w:val="000867EA"/>
    <w:rsid w:val="000A64AA"/>
    <w:rsid w:val="000B1D20"/>
    <w:rsid w:val="000D41AE"/>
    <w:rsid w:val="00114A8F"/>
    <w:rsid w:val="00120AF9"/>
    <w:rsid w:val="00127FAD"/>
    <w:rsid w:val="00151983"/>
    <w:rsid w:val="00163128"/>
    <w:rsid w:val="00180C99"/>
    <w:rsid w:val="001A0A23"/>
    <w:rsid w:val="002E244A"/>
    <w:rsid w:val="004350F8"/>
    <w:rsid w:val="00440BAC"/>
    <w:rsid w:val="005233F8"/>
    <w:rsid w:val="00564BA2"/>
    <w:rsid w:val="00567C93"/>
    <w:rsid w:val="0057671F"/>
    <w:rsid w:val="005A5B99"/>
    <w:rsid w:val="005B3286"/>
    <w:rsid w:val="005F6391"/>
    <w:rsid w:val="00606337"/>
    <w:rsid w:val="00676399"/>
    <w:rsid w:val="006A4C49"/>
    <w:rsid w:val="00802BF0"/>
    <w:rsid w:val="008635FE"/>
    <w:rsid w:val="008E6270"/>
    <w:rsid w:val="00940C55"/>
    <w:rsid w:val="00A429D6"/>
    <w:rsid w:val="00C21430"/>
    <w:rsid w:val="00C57F9C"/>
    <w:rsid w:val="00CB08A5"/>
    <w:rsid w:val="00D06086"/>
    <w:rsid w:val="00D157EC"/>
    <w:rsid w:val="00D54270"/>
    <w:rsid w:val="00DD25B3"/>
    <w:rsid w:val="00ED76FF"/>
    <w:rsid w:val="00F5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6FD56C"/>
  <w15:docId w15:val="{D5A4944D-E9CC-460C-B0C5-7BEB6961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ard1"/>
    <w:next w:val="Standaard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Standaard1"/>
    <w:next w:val="Standaard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Standaard1"/>
    <w:next w:val="Standaard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Standaard1"/>
    <w:next w:val="Standaard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Standaard1"/>
    <w:next w:val="Standaard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Standaard1"/>
    <w:next w:val="Standaard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ard1">
    <w:name w:val="Standaard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Standaard1"/>
    <w:next w:val="Standaard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Standaard1"/>
    <w:next w:val="Standaard1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BA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A2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64BA2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7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71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2B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D5427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427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E244A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1A0A23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A23"/>
  </w:style>
  <w:style w:type="character" w:styleId="PageNumber">
    <w:name w:val="page number"/>
    <w:basedOn w:val="DefaultParagraphFont"/>
    <w:uiPriority w:val="99"/>
    <w:semiHidden/>
    <w:unhideWhenUsed/>
    <w:rsid w:val="001A0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chtrecht.overheid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idsremedyfund.org/docs/arf_info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wma.net/policies-post/wma-declaration-of-helsinki-ethical-principles-for-medical-research-involving-human-subjec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uchtrecht.overheid.nl/nieuw/gezondheidszorg/uitspraak/2017/ECLI_NL_TGZCTG_2017_2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Graaf, R. van der</dc:creator>
  <cp:lastModifiedBy>Menno Smit</cp:lastModifiedBy>
  <cp:revision>3</cp:revision>
  <dcterms:created xsi:type="dcterms:W3CDTF">2017-08-04T16:36:00Z</dcterms:created>
  <dcterms:modified xsi:type="dcterms:W3CDTF">2018-02-21T12:54:00Z</dcterms:modified>
</cp:coreProperties>
</file>