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000D8" w14:textId="77777777" w:rsidR="00110C96" w:rsidRDefault="009F06EA" w:rsidP="006226CE">
      <w:pPr>
        <w:rPr>
          <w:rFonts w:cs="Arial"/>
          <w:b/>
          <w:sz w:val="20"/>
          <w:szCs w:val="20"/>
        </w:rPr>
      </w:pPr>
      <w:bookmarkStart w:id="0" w:name="_GoBack"/>
      <w:bookmarkEnd w:id="0"/>
      <w:r>
        <w:rPr>
          <w:rFonts w:cs="Arial"/>
          <w:b/>
          <w:sz w:val="20"/>
          <w:szCs w:val="20"/>
        </w:rPr>
        <w:t>Improving</w:t>
      </w:r>
      <w:r w:rsidR="0015163A">
        <w:rPr>
          <w:rFonts w:cs="Arial"/>
          <w:b/>
          <w:sz w:val="20"/>
          <w:szCs w:val="20"/>
        </w:rPr>
        <w:t xml:space="preserve"> rifampicin resistant tuberculosis</w:t>
      </w:r>
      <w:r w:rsidR="00110C96">
        <w:rPr>
          <w:rFonts w:cs="Arial"/>
          <w:b/>
          <w:sz w:val="20"/>
          <w:szCs w:val="20"/>
        </w:rPr>
        <w:t xml:space="preserve"> diagnosis with </w:t>
      </w:r>
      <w:r w:rsidR="00110C96" w:rsidRPr="00110C96">
        <w:rPr>
          <w:rFonts w:cs="Arial"/>
          <w:b/>
          <w:sz w:val="20"/>
          <w:szCs w:val="20"/>
        </w:rPr>
        <w:t>Xpert® MTB/RIF</w:t>
      </w:r>
      <w:r w:rsidR="00110C96">
        <w:rPr>
          <w:rFonts w:cs="Arial"/>
          <w:b/>
          <w:sz w:val="20"/>
          <w:szCs w:val="20"/>
        </w:rPr>
        <w:t>: modelling interventions and costs</w:t>
      </w:r>
    </w:p>
    <w:p w14:paraId="6ADD408C" w14:textId="77777777" w:rsidR="00110C96" w:rsidRDefault="00110C96" w:rsidP="00A60A74">
      <w:pPr>
        <w:jc w:val="both"/>
        <w:rPr>
          <w:rFonts w:cs="Arial"/>
          <w:b/>
          <w:sz w:val="20"/>
          <w:szCs w:val="20"/>
        </w:rPr>
      </w:pPr>
    </w:p>
    <w:p w14:paraId="45023225" w14:textId="77777777" w:rsidR="00A60A74" w:rsidRPr="00A60A74" w:rsidRDefault="00A60A74" w:rsidP="00A60A74">
      <w:pPr>
        <w:jc w:val="both"/>
        <w:rPr>
          <w:rFonts w:cs="Arial"/>
          <w:b/>
          <w:sz w:val="20"/>
          <w:szCs w:val="20"/>
        </w:rPr>
      </w:pPr>
      <w:r w:rsidRPr="00A60A74">
        <w:rPr>
          <w:rFonts w:cs="Arial"/>
          <w:b/>
          <w:sz w:val="20"/>
          <w:szCs w:val="20"/>
        </w:rPr>
        <w:t>Authors:</w:t>
      </w:r>
    </w:p>
    <w:p w14:paraId="004A95E1" w14:textId="77777777" w:rsidR="00A60A74" w:rsidRPr="00A60A74" w:rsidRDefault="00A60A74" w:rsidP="00A60A74">
      <w:pPr>
        <w:jc w:val="both"/>
        <w:rPr>
          <w:rFonts w:cs="Arial"/>
          <w:sz w:val="20"/>
          <w:szCs w:val="20"/>
        </w:rPr>
      </w:pPr>
      <w:r w:rsidRPr="00A60A74">
        <w:rPr>
          <w:rFonts w:cs="Arial"/>
        </w:rPr>
        <w:t>Rory Dunbar</w:t>
      </w:r>
      <w:r w:rsidRPr="00A60A74">
        <w:rPr>
          <w:rFonts w:cs="Arial"/>
          <w:vertAlign w:val="superscript"/>
        </w:rPr>
        <w:t>1</w:t>
      </w:r>
      <w:r w:rsidRPr="00A60A74">
        <w:rPr>
          <w:rFonts w:cs="Arial"/>
        </w:rPr>
        <w:t>, Pren Naidoo</w:t>
      </w:r>
      <w:r w:rsidRPr="00A60A74">
        <w:rPr>
          <w:rFonts w:cs="Arial"/>
          <w:vertAlign w:val="superscript"/>
        </w:rPr>
        <w:t>1</w:t>
      </w:r>
      <w:r w:rsidRPr="00A60A74">
        <w:rPr>
          <w:rFonts w:cs="Arial"/>
        </w:rPr>
        <w:t>, Nulda Beyers</w:t>
      </w:r>
      <w:r w:rsidRPr="00A60A74">
        <w:rPr>
          <w:rFonts w:cs="Arial"/>
          <w:vertAlign w:val="superscript"/>
        </w:rPr>
        <w:t>1</w:t>
      </w:r>
      <w:r w:rsidRPr="00A60A74">
        <w:rPr>
          <w:rFonts w:cs="Arial"/>
        </w:rPr>
        <w:t>, Ivor Langley</w:t>
      </w:r>
      <w:r w:rsidRPr="00A60A74">
        <w:rPr>
          <w:rFonts w:cs="Arial"/>
          <w:vertAlign w:val="superscript"/>
        </w:rPr>
        <w:t>2</w:t>
      </w:r>
    </w:p>
    <w:p w14:paraId="48648372" w14:textId="77777777" w:rsidR="00A60A74" w:rsidRPr="00A60A74" w:rsidRDefault="00A60A74" w:rsidP="00A60A74">
      <w:pPr>
        <w:pStyle w:val="Default"/>
        <w:spacing w:line="360" w:lineRule="auto"/>
        <w:jc w:val="both"/>
        <w:rPr>
          <w:rFonts w:ascii="Arial" w:hAnsi="Arial" w:cs="Arial"/>
          <w:b/>
          <w:color w:val="auto"/>
          <w:sz w:val="20"/>
          <w:szCs w:val="20"/>
          <w:lang w:val="en-ZA"/>
        </w:rPr>
      </w:pPr>
    </w:p>
    <w:p w14:paraId="53139AC9" w14:textId="77777777" w:rsidR="00A60A74" w:rsidRPr="00A60A74" w:rsidRDefault="00A60A74" w:rsidP="00A60A74">
      <w:pPr>
        <w:pStyle w:val="Default"/>
        <w:spacing w:line="360" w:lineRule="auto"/>
        <w:jc w:val="both"/>
        <w:rPr>
          <w:rFonts w:ascii="Arial" w:hAnsi="Arial" w:cs="Arial"/>
          <w:b/>
          <w:color w:val="auto"/>
          <w:sz w:val="20"/>
          <w:szCs w:val="20"/>
          <w:lang w:val="en-ZA"/>
        </w:rPr>
      </w:pPr>
      <w:r w:rsidRPr="00A60A74">
        <w:rPr>
          <w:rFonts w:ascii="Arial" w:hAnsi="Arial" w:cs="Arial"/>
          <w:b/>
          <w:color w:val="auto"/>
          <w:sz w:val="20"/>
          <w:szCs w:val="20"/>
          <w:lang w:val="en-ZA"/>
        </w:rPr>
        <w:t>Affiliations:</w:t>
      </w:r>
    </w:p>
    <w:p w14:paraId="3225E83D" w14:textId="77777777" w:rsidR="00A60A74" w:rsidRPr="00A60A74" w:rsidRDefault="00A60A74" w:rsidP="00A60A74">
      <w:pPr>
        <w:pStyle w:val="Default"/>
        <w:spacing w:line="360" w:lineRule="auto"/>
        <w:jc w:val="both"/>
        <w:rPr>
          <w:rFonts w:ascii="Arial" w:hAnsi="Arial" w:cs="Arial"/>
          <w:b/>
          <w:color w:val="auto"/>
          <w:sz w:val="20"/>
          <w:szCs w:val="20"/>
          <w:lang w:val="en-ZA"/>
        </w:rPr>
      </w:pPr>
    </w:p>
    <w:p w14:paraId="734B301E" w14:textId="77777777" w:rsidR="00A60A74" w:rsidRPr="00A60A74" w:rsidRDefault="00A60A74" w:rsidP="00A60A74">
      <w:pPr>
        <w:pStyle w:val="Default"/>
        <w:spacing w:line="360" w:lineRule="auto"/>
        <w:jc w:val="both"/>
        <w:rPr>
          <w:rFonts w:ascii="Arial" w:hAnsi="Arial" w:cs="Arial"/>
          <w:color w:val="auto"/>
          <w:sz w:val="20"/>
          <w:szCs w:val="20"/>
          <w:lang w:val="en-ZA"/>
        </w:rPr>
      </w:pPr>
      <w:r w:rsidRPr="00A60A74">
        <w:rPr>
          <w:rFonts w:ascii="Arial" w:hAnsi="Arial" w:cs="Arial"/>
          <w:color w:val="auto"/>
          <w:sz w:val="20"/>
          <w:szCs w:val="20"/>
          <w:vertAlign w:val="superscript"/>
          <w:lang w:val="en-ZA"/>
        </w:rPr>
        <w:t>1</w:t>
      </w:r>
      <w:bookmarkStart w:id="1" w:name="OLE_LINK11"/>
      <w:bookmarkStart w:id="2" w:name="OLE_LINK18"/>
      <w:r w:rsidRPr="00A60A74">
        <w:rPr>
          <w:rFonts w:ascii="Arial" w:hAnsi="Arial" w:cs="Arial"/>
          <w:color w:val="auto"/>
          <w:sz w:val="20"/>
          <w:szCs w:val="20"/>
          <w:lang w:val="en-ZA"/>
        </w:rPr>
        <w:t>Desmond Tutu TB Centre, Department of Paediatrics and Child Health, Faculty of Medicine and Health Sciences, Stellenbosch University, South Africa</w:t>
      </w:r>
      <w:bookmarkEnd w:id="1"/>
      <w:bookmarkEnd w:id="2"/>
    </w:p>
    <w:p w14:paraId="2681E570" w14:textId="77777777" w:rsidR="00A60A74" w:rsidRPr="00A60A74" w:rsidRDefault="00A60A74" w:rsidP="00A60A74">
      <w:pPr>
        <w:pStyle w:val="Default"/>
        <w:spacing w:line="360" w:lineRule="auto"/>
        <w:rPr>
          <w:rFonts w:ascii="Arial" w:hAnsi="Arial" w:cs="Arial"/>
          <w:color w:val="auto"/>
          <w:sz w:val="20"/>
          <w:szCs w:val="20"/>
          <w:lang w:val="en-ZA"/>
        </w:rPr>
      </w:pPr>
      <w:r w:rsidRPr="00A60A74">
        <w:rPr>
          <w:rFonts w:ascii="Arial" w:hAnsi="Arial" w:cs="Arial"/>
          <w:color w:val="auto"/>
          <w:sz w:val="20"/>
          <w:szCs w:val="20"/>
          <w:vertAlign w:val="superscript"/>
          <w:lang w:val="en-ZA"/>
        </w:rPr>
        <w:t>2</w:t>
      </w:r>
      <w:r w:rsidRPr="00A60A74">
        <w:rPr>
          <w:rFonts w:ascii="Arial" w:hAnsi="Arial" w:cs="Arial"/>
          <w:color w:val="auto"/>
          <w:sz w:val="20"/>
          <w:szCs w:val="20"/>
          <w:lang w:val="en-ZA"/>
        </w:rPr>
        <w:t>Centre for Applied Heath Research and Delivery, Liverpool School of Tropical Medicine, Liverpool, United Kingdom</w:t>
      </w:r>
    </w:p>
    <w:p w14:paraId="604BBAF3" w14:textId="77777777" w:rsidR="00A60A74" w:rsidRPr="00A60A74" w:rsidRDefault="00A60A74" w:rsidP="00784A93">
      <w:pPr>
        <w:rPr>
          <w:rFonts w:cs="Arial"/>
        </w:rPr>
      </w:pPr>
    </w:p>
    <w:p w14:paraId="544FDE22" w14:textId="77777777" w:rsidR="00784A93" w:rsidRPr="00A60A74" w:rsidRDefault="00784A93" w:rsidP="00784A93">
      <w:pPr>
        <w:rPr>
          <w:rFonts w:cs="Arial"/>
        </w:rPr>
      </w:pPr>
    </w:p>
    <w:p w14:paraId="1709A0BC" w14:textId="15B8F0D3" w:rsidR="008A16E0" w:rsidRPr="009B4EED" w:rsidRDefault="008A16E0" w:rsidP="008A16E0">
      <w:pPr>
        <w:pStyle w:val="Default"/>
        <w:spacing w:line="360" w:lineRule="auto"/>
        <w:jc w:val="both"/>
        <w:rPr>
          <w:rFonts w:ascii="Arial" w:hAnsi="Arial" w:cs="Arial"/>
          <w:color w:val="auto"/>
          <w:sz w:val="20"/>
          <w:szCs w:val="20"/>
          <w:lang w:val="en-ZA"/>
        </w:rPr>
      </w:pPr>
      <w:r w:rsidRPr="009B4EED">
        <w:rPr>
          <w:rFonts w:ascii="Arial" w:hAnsi="Arial" w:cs="Arial"/>
          <w:b/>
          <w:color w:val="auto"/>
          <w:sz w:val="20"/>
          <w:szCs w:val="20"/>
          <w:lang w:val="en-ZA"/>
        </w:rPr>
        <w:t>Running head:</w:t>
      </w:r>
      <w:r w:rsidRPr="009B4EED">
        <w:rPr>
          <w:rFonts w:ascii="Arial" w:hAnsi="Arial" w:cs="Arial"/>
          <w:color w:val="auto"/>
          <w:sz w:val="20"/>
          <w:szCs w:val="20"/>
          <w:lang w:val="en-ZA"/>
        </w:rPr>
        <w:t xml:space="preserve"> </w:t>
      </w:r>
      <w:r w:rsidR="00462978">
        <w:rPr>
          <w:rFonts w:ascii="Arial" w:hAnsi="Arial" w:cs="Arial"/>
          <w:color w:val="auto"/>
          <w:sz w:val="20"/>
          <w:szCs w:val="20"/>
          <w:lang w:val="en-ZA"/>
        </w:rPr>
        <w:t xml:space="preserve">Modelling RMP-R TB diagnosis and cost </w:t>
      </w:r>
    </w:p>
    <w:p w14:paraId="676812BA" w14:textId="77777777" w:rsidR="008A16E0" w:rsidRPr="009B4EED" w:rsidRDefault="008A16E0" w:rsidP="008A16E0">
      <w:pPr>
        <w:pStyle w:val="Default"/>
        <w:spacing w:line="360" w:lineRule="auto"/>
        <w:jc w:val="both"/>
        <w:rPr>
          <w:rFonts w:ascii="Arial" w:hAnsi="Arial" w:cs="Arial"/>
          <w:color w:val="auto"/>
          <w:sz w:val="20"/>
          <w:szCs w:val="20"/>
          <w:lang w:val="en-ZA"/>
        </w:rPr>
      </w:pPr>
    </w:p>
    <w:p w14:paraId="1EA35FE2" w14:textId="63BD4EBD" w:rsidR="008A16E0" w:rsidRPr="009B4EED" w:rsidRDefault="008A16E0" w:rsidP="008A16E0">
      <w:pPr>
        <w:pStyle w:val="Default"/>
        <w:spacing w:line="360" w:lineRule="auto"/>
        <w:jc w:val="both"/>
        <w:rPr>
          <w:rFonts w:ascii="Arial" w:hAnsi="Arial" w:cs="Arial"/>
          <w:color w:val="auto"/>
          <w:sz w:val="20"/>
          <w:szCs w:val="20"/>
          <w:lang w:val="en-ZA"/>
        </w:rPr>
      </w:pPr>
      <w:r w:rsidRPr="009B4EED">
        <w:rPr>
          <w:rFonts w:ascii="Arial" w:hAnsi="Arial" w:cs="Arial"/>
          <w:b/>
          <w:color w:val="auto"/>
          <w:sz w:val="20"/>
          <w:szCs w:val="20"/>
          <w:lang w:val="en-ZA"/>
        </w:rPr>
        <w:t>Abstract word count:</w:t>
      </w:r>
      <w:r w:rsidRPr="009B4EED">
        <w:rPr>
          <w:rFonts w:ascii="Arial" w:hAnsi="Arial" w:cs="Arial"/>
          <w:color w:val="auto"/>
          <w:sz w:val="20"/>
          <w:szCs w:val="20"/>
          <w:lang w:val="en-ZA"/>
        </w:rPr>
        <w:t xml:space="preserve"> </w:t>
      </w:r>
      <w:r w:rsidR="00C37C8F">
        <w:rPr>
          <w:rFonts w:ascii="Arial" w:hAnsi="Arial" w:cs="Arial"/>
          <w:color w:val="auto"/>
          <w:sz w:val="20"/>
          <w:szCs w:val="20"/>
          <w:lang w:val="en-ZA"/>
        </w:rPr>
        <w:t>200</w:t>
      </w:r>
    </w:p>
    <w:p w14:paraId="7CA233AB" w14:textId="7FBB2BD2" w:rsidR="008A16E0" w:rsidRPr="009B4EED" w:rsidRDefault="008A16E0" w:rsidP="008A16E0">
      <w:pPr>
        <w:pStyle w:val="Default"/>
        <w:spacing w:line="360" w:lineRule="auto"/>
        <w:jc w:val="both"/>
        <w:rPr>
          <w:rFonts w:ascii="Arial" w:hAnsi="Arial" w:cs="Arial"/>
          <w:color w:val="auto"/>
          <w:sz w:val="20"/>
          <w:szCs w:val="20"/>
          <w:lang w:val="en-ZA"/>
        </w:rPr>
      </w:pPr>
      <w:r w:rsidRPr="009B4EED">
        <w:rPr>
          <w:rFonts w:ascii="Arial" w:hAnsi="Arial" w:cs="Arial"/>
          <w:b/>
          <w:color w:val="auto"/>
          <w:sz w:val="20"/>
          <w:szCs w:val="20"/>
          <w:lang w:val="en-ZA"/>
        </w:rPr>
        <w:t>Text word count:</w:t>
      </w:r>
      <w:r w:rsidRPr="009B4EED">
        <w:rPr>
          <w:rFonts w:ascii="Arial" w:hAnsi="Arial" w:cs="Arial"/>
          <w:color w:val="auto"/>
          <w:sz w:val="20"/>
          <w:szCs w:val="20"/>
          <w:lang w:val="en-ZA"/>
        </w:rPr>
        <w:t xml:space="preserve"> </w:t>
      </w:r>
      <w:r w:rsidR="00441FAC">
        <w:rPr>
          <w:rFonts w:ascii="Arial" w:hAnsi="Arial" w:cs="Arial"/>
          <w:color w:val="auto"/>
          <w:sz w:val="20"/>
          <w:szCs w:val="20"/>
          <w:lang w:val="en-ZA"/>
        </w:rPr>
        <w:t>2919</w:t>
      </w:r>
    </w:p>
    <w:p w14:paraId="75A52DC4" w14:textId="3FD2B335" w:rsidR="008A16E0" w:rsidRDefault="008A16E0" w:rsidP="008A16E0">
      <w:pPr>
        <w:pStyle w:val="Default"/>
        <w:spacing w:line="360" w:lineRule="auto"/>
        <w:jc w:val="both"/>
        <w:rPr>
          <w:rFonts w:ascii="Arial" w:hAnsi="Arial" w:cs="Arial"/>
          <w:color w:val="auto"/>
          <w:sz w:val="20"/>
          <w:szCs w:val="20"/>
        </w:rPr>
      </w:pPr>
      <w:r w:rsidRPr="009B4EED">
        <w:rPr>
          <w:rFonts w:ascii="Arial" w:hAnsi="Arial" w:cs="Arial"/>
          <w:b/>
          <w:color w:val="auto"/>
          <w:sz w:val="20"/>
          <w:szCs w:val="20"/>
        </w:rPr>
        <w:t>Number of references:</w:t>
      </w:r>
      <w:r w:rsidRPr="009B4EED">
        <w:rPr>
          <w:rFonts w:ascii="Arial" w:hAnsi="Arial" w:cs="Arial"/>
          <w:color w:val="auto"/>
          <w:sz w:val="20"/>
          <w:szCs w:val="20"/>
        </w:rPr>
        <w:t xml:space="preserve"> </w:t>
      </w:r>
      <w:r w:rsidR="00EB22F3">
        <w:rPr>
          <w:rFonts w:ascii="Arial" w:hAnsi="Arial" w:cs="Arial"/>
          <w:color w:val="auto"/>
          <w:sz w:val="20"/>
          <w:szCs w:val="20"/>
        </w:rPr>
        <w:t>18</w:t>
      </w:r>
    </w:p>
    <w:p w14:paraId="5CD9A1C7" w14:textId="20E03358" w:rsidR="008A16E0" w:rsidRPr="009B4EED" w:rsidRDefault="008A16E0" w:rsidP="008A16E0">
      <w:pPr>
        <w:pStyle w:val="Default"/>
        <w:spacing w:line="360" w:lineRule="auto"/>
        <w:jc w:val="both"/>
        <w:rPr>
          <w:rFonts w:ascii="Arial" w:hAnsi="Arial" w:cs="Arial"/>
          <w:color w:val="auto"/>
          <w:sz w:val="20"/>
          <w:szCs w:val="20"/>
        </w:rPr>
      </w:pPr>
      <w:r w:rsidRPr="009B4EED">
        <w:rPr>
          <w:rFonts w:ascii="Arial" w:hAnsi="Arial" w:cs="Arial"/>
          <w:b/>
          <w:color w:val="auto"/>
          <w:sz w:val="20"/>
          <w:szCs w:val="20"/>
        </w:rPr>
        <w:t>Number of tables:</w:t>
      </w:r>
      <w:r w:rsidRPr="009B4EED">
        <w:rPr>
          <w:rFonts w:ascii="Arial" w:hAnsi="Arial" w:cs="Arial"/>
          <w:color w:val="auto"/>
          <w:sz w:val="20"/>
          <w:szCs w:val="20"/>
        </w:rPr>
        <w:t xml:space="preserve"> </w:t>
      </w:r>
      <w:r w:rsidR="00EB22F3">
        <w:rPr>
          <w:rFonts w:ascii="Arial" w:hAnsi="Arial" w:cs="Arial"/>
          <w:color w:val="auto"/>
          <w:sz w:val="20"/>
          <w:szCs w:val="20"/>
        </w:rPr>
        <w:t>4</w:t>
      </w:r>
    </w:p>
    <w:p w14:paraId="24202696" w14:textId="25765849" w:rsidR="008A16E0" w:rsidRPr="009B4EED" w:rsidRDefault="008A16E0" w:rsidP="008A16E0">
      <w:pPr>
        <w:pStyle w:val="Default"/>
        <w:spacing w:line="360" w:lineRule="auto"/>
        <w:jc w:val="both"/>
        <w:rPr>
          <w:rFonts w:ascii="Arial" w:hAnsi="Arial" w:cs="Arial"/>
          <w:color w:val="auto"/>
          <w:sz w:val="20"/>
          <w:szCs w:val="20"/>
        </w:rPr>
      </w:pPr>
      <w:r w:rsidRPr="009B4EED">
        <w:rPr>
          <w:rFonts w:ascii="Arial" w:hAnsi="Arial" w:cs="Arial"/>
          <w:b/>
          <w:color w:val="auto"/>
          <w:sz w:val="20"/>
          <w:szCs w:val="20"/>
        </w:rPr>
        <w:t>Number of figures:</w:t>
      </w:r>
      <w:r>
        <w:rPr>
          <w:rFonts w:ascii="Arial" w:hAnsi="Arial" w:cs="Arial"/>
          <w:color w:val="auto"/>
          <w:sz w:val="20"/>
          <w:szCs w:val="20"/>
        </w:rPr>
        <w:t xml:space="preserve"> </w:t>
      </w:r>
      <w:r w:rsidR="00EB22F3">
        <w:rPr>
          <w:rFonts w:ascii="Arial" w:hAnsi="Arial" w:cs="Arial"/>
          <w:color w:val="auto"/>
          <w:sz w:val="20"/>
          <w:szCs w:val="20"/>
        </w:rPr>
        <w:t>3</w:t>
      </w:r>
    </w:p>
    <w:p w14:paraId="0075136D" w14:textId="77777777" w:rsidR="008A16E0" w:rsidRPr="009B4EED" w:rsidRDefault="008A16E0" w:rsidP="008A16E0">
      <w:pPr>
        <w:pStyle w:val="Default"/>
        <w:spacing w:line="360" w:lineRule="auto"/>
        <w:jc w:val="both"/>
        <w:rPr>
          <w:rFonts w:ascii="Arial" w:hAnsi="Arial" w:cs="Arial"/>
          <w:color w:val="auto"/>
          <w:sz w:val="20"/>
          <w:szCs w:val="20"/>
        </w:rPr>
      </w:pPr>
    </w:p>
    <w:p w14:paraId="2676E24A" w14:textId="4E9DD7E4" w:rsidR="008A16E0" w:rsidRPr="00E10C60" w:rsidRDefault="008A16E0" w:rsidP="008A16E0">
      <w:pPr>
        <w:pStyle w:val="Default"/>
        <w:spacing w:line="360" w:lineRule="auto"/>
        <w:jc w:val="both"/>
        <w:rPr>
          <w:rFonts w:ascii="Arial" w:hAnsi="Arial" w:cs="Arial"/>
          <w:color w:val="auto"/>
          <w:sz w:val="20"/>
          <w:szCs w:val="20"/>
        </w:rPr>
      </w:pPr>
      <w:r>
        <w:rPr>
          <w:rFonts w:ascii="Arial" w:hAnsi="Arial" w:cs="Arial"/>
          <w:b/>
          <w:color w:val="auto"/>
          <w:sz w:val="20"/>
          <w:szCs w:val="20"/>
        </w:rPr>
        <w:t>Keywords:</w:t>
      </w:r>
      <w:r w:rsidRPr="009B4EED">
        <w:rPr>
          <w:rFonts w:ascii="Arial" w:hAnsi="Arial" w:cs="Arial"/>
          <w:b/>
          <w:color w:val="auto"/>
          <w:sz w:val="20"/>
          <w:szCs w:val="20"/>
        </w:rPr>
        <w:t xml:space="preserve"> </w:t>
      </w:r>
      <w:r w:rsidR="00E10C60">
        <w:rPr>
          <w:rFonts w:ascii="Arial" w:hAnsi="Arial" w:cs="Arial"/>
          <w:color w:val="auto"/>
          <w:sz w:val="20"/>
          <w:szCs w:val="20"/>
        </w:rPr>
        <w:t>MDR/RMP-R TB; diagnostic algorithms; adherence; HIV testing; operational modelling</w:t>
      </w:r>
    </w:p>
    <w:p w14:paraId="39D3F25F" w14:textId="77777777" w:rsidR="008A16E0" w:rsidRPr="009B4EED" w:rsidRDefault="008A16E0" w:rsidP="008A16E0">
      <w:pPr>
        <w:pStyle w:val="Default"/>
        <w:spacing w:line="360" w:lineRule="auto"/>
        <w:jc w:val="both"/>
        <w:rPr>
          <w:rFonts w:ascii="Arial" w:hAnsi="Arial" w:cs="Arial"/>
          <w:color w:val="auto"/>
          <w:sz w:val="20"/>
          <w:szCs w:val="20"/>
        </w:rPr>
      </w:pPr>
    </w:p>
    <w:p w14:paraId="1306026A" w14:textId="77777777" w:rsidR="008A16E0" w:rsidRPr="009B4EED" w:rsidRDefault="008A16E0" w:rsidP="008A16E0">
      <w:pPr>
        <w:pStyle w:val="Default"/>
        <w:spacing w:line="360" w:lineRule="auto"/>
        <w:jc w:val="both"/>
        <w:rPr>
          <w:rFonts w:ascii="Arial" w:hAnsi="Arial" w:cs="Arial"/>
          <w:b/>
          <w:color w:val="auto"/>
          <w:sz w:val="20"/>
          <w:szCs w:val="20"/>
          <w:lang w:val="en-ZA"/>
        </w:rPr>
      </w:pPr>
      <w:r w:rsidRPr="009B4EED">
        <w:rPr>
          <w:rFonts w:ascii="Arial" w:hAnsi="Arial" w:cs="Arial"/>
          <w:b/>
          <w:color w:val="auto"/>
          <w:sz w:val="20"/>
          <w:szCs w:val="20"/>
          <w:lang w:val="en-ZA"/>
        </w:rPr>
        <w:t>Correspondence address:</w:t>
      </w:r>
    </w:p>
    <w:p w14:paraId="68975AD9" w14:textId="77777777" w:rsidR="008A16E0" w:rsidRPr="009B4EED" w:rsidRDefault="008A16E0" w:rsidP="008A16E0">
      <w:pPr>
        <w:pStyle w:val="Default"/>
        <w:spacing w:line="360" w:lineRule="auto"/>
        <w:jc w:val="both"/>
        <w:rPr>
          <w:rStyle w:val="Hyperlink"/>
          <w:rFonts w:ascii="Arial" w:hAnsi="Arial" w:cs="Arial"/>
          <w:color w:val="auto"/>
          <w:sz w:val="20"/>
          <w:szCs w:val="20"/>
          <w:lang w:val="en-ZA"/>
        </w:rPr>
      </w:pPr>
      <w:r w:rsidRPr="009B4EED">
        <w:rPr>
          <w:rFonts w:ascii="Arial" w:hAnsi="Arial" w:cs="Arial"/>
          <w:color w:val="auto"/>
          <w:sz w:val="20"/>
          <w:szCs w:val="20"/>
          <w:lang w:val="en-ZA"/>
        </w:rPr>
        <w:t xml:space="preserve">Rory Dunbar:  </w:t>
      </w:r>
      <w:hyperlink r:id="rId8" w:history="1">
        <w:r w:rsidRPr="009B4EED">
          <w:rPr>
            <w:rStyle w:val="Hyperlink"/>
            <w:rFonts w:ascii="Arial" w:hAnsi="Arial" w:cs="Arial"/>
            <w:color w:val="auto"/>
            <w:sz w:val="20"/>
            <w:szCs w:val="20"/>
            <w:lang w:val="en-ZA"/>
          </w:rPr>
          <w:t>rdun@sun.ac.za</w:t>
        </w:r>
      </w:hyperlink>
    </w:p>
    <w:p w14:paraId="11851578" w14:textId="77777777" w:rsidR="008A16E0" w:rsidRPr="009B4EED" w:rsidRDefault="008A16E0" w:rsidP="008A16E0">
      <w:pPr>
        <w:pStyle w:val="Default"/>
        <w:spacing w:line="360" w:lineRule="auto"/>
        <w:jc w:val="both"/>
        <w:rPr>
          <w:rStyle w:val="Hyperlink"/>
          <w:rFonts w:ascii="Arial" w:hAnsi="Arial" w:cs="Arial"/>
          <w:color w:val="auto"/>
          <w:sz w:val="20"/>
          <w:szCs w:val="20"/>
          <w:lang w:val="en-ZA"/>
        </w:rPr>
      </w:pPr>
    </w:p>
    <w:p w14:paraId="39955FE1" w14:textId="77777777" w:rsidR="008A16E0" w:rsidRPr="009B4EED" w:rsidRDefault="008A16E0" w:rsidP="008A16E0">
      <w:pPr>
        <w:pStyle w:val="Default"/>
        <w:spacing w:line="360" w:lineRule="auto"/>
        <w:jc w:val="both"/>
        <w:rPr>
          <w:rStyle w:val="Hyperlink"/>
          <w:rFonts w:ascii="Arial" w:hAnsi="Arial" w:cs="Arial"/>
          <w:color w:val="auto"/>
          <w:sz w:val="20"/>
          <w:szCs w:val="20"/>
          <w:lang w:val="en-ZA"/>
        </w:rPr>
      </w:pPr>
    </w:p>
    <w:p w14:paraId="328C18ED" w14:textId="77777777" w:rsidR="008A16E0" w:rsidRPr="009B4EED" w:rsidRDefault="008A16E0" w:rsidP="008A16E0">
      <w:pPr>
        <w:pStyle w:val="Default"/>
        <w:spacing w:line="360" w:lineRule="auto"/>
        <w:jc w:val="both"/>
        <w:rPr>
          <w:rFonts w:ascii="Arial" w:hAnsi="Arial" w:cs="Arial"/>
          <w:b/>
          <w:color w:val="auto"/>
          <w:sz w:val="20"/>
          <w:szCs w:val="20"/>
          <w:lang w:val="en-ZA"/>
        </w:rPr>
      </w:pPr>
      <w:r w:rsidRPr="009B4EED">
        <w:rPr>
          <w:rFonts w:ascii="Arial" w:hAnsi="Arial" w:cs="Arial"/>
          <w:b/>
          <w:color w:val="auto"/>
          <w:sz w:val="20"/>
          <w:szCs w:val="20"/>
          <w:lang w:val="en-ZA"/>
        </w:rPr>
        <w:t>Conflicts of interest</w:t>
      </w:r>
    </w:p>
    <w:p w14:paraId="43A4FBF0" w14:textId="77777777" w:rsidR="0007292E" w:rsidRDefault="008A16E0" w:rsidP="00BB6333">
      <w:pPr>
        <w:pStyle w:val="Default"/>
        <w:spacing w:line="360" w:lineRule="auto"/>
        <w:jc w:val="both"/>
        <w:rPr>
          <w:rFonts w:ascii="Arial" w:hAnsi="Arial" w:cs="Arial"/>
          <w:color w:val="auto"/>
          <w:sz w:val="20"/>
          <w:szCs w:val="20"/>
        </w:rPr>
      </w:pPr>
      <w:r w:rsidRPr="009B4EED">
        <w:rPr>
          <w:rFonts w:ascii="Arial" w:hAnsi="Arial" w:cs="Arial"/>
          <w:color w:val="auto"/>
          <w:sz w:val="20"/>
          <w:szCs w:val="20"/>
        </w:rPr>
        <w:t>The authors declare that they have no financial or non-financial conflicts of interests.</w:t>
      </w:r>
    </w:p>
    <w:p w14:paraId="2B61F6BD" w14:textId="77777777" w:rsidR="0007292E" w:rsidRDefault="0007292E">
      <w:pPr>
        <w:rPr>
          <w:rFonts w:eastAsia="Calibri" w:cs="Arial"/>
          <w:sz w:val="20"/>
          <w:szCs w:val="20"/>
          <w:lang w:val="en-GB" w:eastAsia="en-GB"/>
        </w:rPr>
      </w:pPr>
      <w:r>
        <w:rPr>
          <w:rFonts w:cs="Arial"/>
          <w:sz w:val="20"/>
          <w:szCs w:val="20"/>
        </w:rPr>
        <w:br w:type="page"/>
      </w:r>
    </w:p>
    <w:p w14:paraId="6088BF91" w14:textId="77777777" w:rsidR="003D3124" w:rsidRPr="003D3124" w:rsidRDefault="003D3124" w:rsidP="003D3124">
      <w:pPr>
        <w:rPr>
          <w:rFonts w:cs="Arial"/>
          <w:b/>
          <w:sz w:val="20"/>
          <w:szCs w:val="20"/>
        </w:rPr>
      </w:pPr>
      <w:r w:rsidRPr="003D3124">
        <w:rPr>
          <w:rFonts w:cs="Arial"/>
          <w:b/>
          <w:sz w:val="20"/>
          <w:szCs w:val="20"/>
        </w:rPr>
        <w:lastRenderedPageBreak/>
        <w:t>Setting</w:t>
      </w:r>
    </w:p>
    <w:p w14:paraId="792A16E8" w14:textId="77777777" w:rsidR="003D3124" w:rsidRPr="003D3124" w:rsidRDefault="003D3124" w:rsidP="003D3124">
      <w:pPr>
        <w:rPr>
          <w:rFonts w:cs="Arial"/>
          <w:sz w:val="20"/>
          <w:szCs w:val="20"/>
        </w:rPr>
      </w:pPr>
      <w:r w:rsidRPr="003D3124">
        <w:rPr>
          <w:rFonts w:cs="Arial"/>
          <w:sz w:val="20"/>
          <w:szCs w:val="20"/>
        </w:rPr>
        <w:t>Cape Town, South Africa</w:t>
      </w:r>
    </w:p>
    <w:p w14:paraId="5EBDBE70" w14:textId="77777777" w:rsidR="003D3124" w:rsidRPr="003D3124" w:rsidRDefault="003D3124" w:rsidP="003D3124">
      <w:pPr>
        <w:rPr>
          <w:rFonts w:cs="Arial"/>
          <w:b/>
          <w:sz w:val="20"/>
          <w:szCs w:val="20"/>
        </w:rPr>
      </w:pPr>
      <w:r w:rsidRPr="003D3124">
        <w:rPr>
          <w:rFonts w:cs="Arial"/>
          <w:b/>
          <w:sz w:val="20"/>
          <w:szCs w:val="20"/>
        </w:rPr>
        <w:t>Objective</w:t>
      </w:r>
    </w:p>
    <w:p w14:paraId="303FA7C7" w14:textId="77777777" w:rsidR="003D3124" w:rsidRPr="003D3124" w:rsidRDefault="003D3124" w:rsidP="003D3124">
      <w:pPr>
        <w:rPr>
          <w:rFonts w:cs="Arial"/>
          <w:sz w:val="20"/>
          <w:szCs w:val="20"/>
        </w:rPr>
      </w:pPr>
      <w:r w:rsidRPr="003D3124">
        <w:rPr>
          <w:rFonts w:cs="Arial"/>
          <w:sz w:val="20"/>
          <w:szCs w:val="20"/>
        </w:rPr>
        <w:t>To model RMP-R diagnosis and laboratory costs in smear/culture and Xpert-based algorithms and the effect of varying adherence and HIV testing in the Xpert-based algorithm.</w:t>
      </w:r>
    </w:p>
    <w:p w14:paraId="15145603" w14:textId="77777777" w:rsidR="003D3124" w:rsidRPr="003D3124" w:rsidRDefault="003D3124" w:rsidP="003D3124">
      <w:pPr>
        <w:rPr>
          <w:rFonts w:cs="Arial"/>
          <w:b/>
          <w:sz w:val="20"/>
          <w:szCs w:val="20"/>
        </w:rPr>
      </w:pPr>
      <w:r w:rsidRPr="003D3124">
        <w:rPr>
          <w:rFonts w:cs="Arial"/>
          <w:b/>
          <w:sz w:val="20"/>
          <w:szCs w:val="20"/>
        </w:rPr>
        <w:t>Methods</w:t>
      </w:r>
    </w:p>
    <w:p w14:paraId="483466F7" w14:textId="6ED1C522" w:rsidR="003D3124" w:rsidRPr="003D3124" w:rsidRDefault="003D3124" w:rsidP="003D3124">
      <w:pPr>
        <w:rPr>
          <w:rFonts w:cs="Arial"/>
          <w:sz w:val="20"/>
          <w:szCs w:val="20"/>
        </w:rPr>
      </w:pPr>
      <w:r w:rsidRPr="003D3124">
        <w:rPr>
          <w:rFonts w:cs="Arial"/>
          <w:sz w:val="20"/>
          <w:szCs w:val="20"/>
        </w:rPr>
        <w:t>We used a validated operational model</w:t>
      </w:r>
      <w:r w:rsidR="00C37C8F">
        <w:rPr>
          <w:rFonts w:cs="Arial"/>
          <w:sz w:val="20"/>
          <w:szCs w:val="20"/>
        </w:rPr>
        <w:t xml:space="preserve"> (</w:t>
      </w:r>
      <w:r w:rsidR="00AD2DFF">
        <w:rPr>
          <w:rFonts w:cs="Arial"/>
          <w:sz w:val="20"/>
          <w:szCs w:val="20"/>
        </w:rPr>
        <w:t>100,000 population)</w:t>
      </w:r>
      <w:r w:rsidRPr="003D3124">
        <w:rPr>
          <w:rFonts w:cs="Arial"/>
          <w:sz w:val="20"/>
          <w:szCs w:val="20"/>
        </w:rPr>
        <w:t xml:space="preserve"> and published laboratory cost data</w:t>
      </w:r>
      <w:r w:rsidR="00AD2DFF">
        <w:rPr>
          <w:rFonts w:cs="Arial"/>
          <w:sz w:val="20"/>
          <w:szCs w:val="20"/>
        </w:rPr>
        <w:t>.</w:t>
      </w:r>
      <w:r w:rsidRPr="003D3124">
        <w:rPr>
          <w:rFonts w:cs="Arial"/>
          <w:sz w:val="20"/>
          <w:szCs w:val="20"/>
        </w:rPr>
        <w:t xml:space="preserve"> </w:t>
      </w:r>
      <w:r w:rsidR="00AD2DFF">
        <w:rPr>
          <w:rFonts w:cs="Arial"/>
          <w:sz w:val="20"/>
          <w:szCs w:val="20"/>
        </w:rPr>
        <w:t>We</w:t>
      </w:r>
      <w:r w:rsidRPr="003D3124">
        <w:rPr>
          <w:rFonts w:cs="Arial"/>
          <w:sz w:val="20"/>
          <w:szCs w:val="20"/>
        </w:rPr>
        <w:t xml:space="preserve"> estimate</w:t>
      </w:r>
      <w:r w:rsidR="00AD2DFF">
        <w:rPr>
          <w:rFonts w:cs="Arial"/>
          <w:sz w:val="20"/>
          <w:szCs w:val="20"/>
        </w:rPr>
        <w:t>d</w:t>
      </w:r>
      <w:r w:rsidRPr="003D3124">
        <w:rPr>
          <w:rFonts w:cs="Arial"/>
          <w:sz w:val="20"/>
          <w:szCs w:val="20"/>
        </w:rPr>
        <w:t xml:space="preserve"> the number and cost of RMP-R TB cases identified between a smear/culture and Xpert-based algorithm. We </w:t>
      </w:r>
      <w:r w:rsidR="00AD2DFF">
        <w:rPr>
          <w:rFonts w:cs="Arial"/>
          <w:sz w:val="20"/>
          <w:szCs w:val="20"/>
        </w:rPr>
        <w:t xml:space="preserve">modelled </w:t>
      </w:r>
      <w:r w:rsidRPr="003D3124">
        <w:rPr>
          <w:rFonts w:cs="Arial"/>
          <w:sz w:val="20"/>
          <w:szCs w:val="20"/>
        </w:rPr>
        <w:t xml:space="preserve">varying adherence and </w:t>
      </w:r>
      <w:r w:rsidR="00C37C8F">
        <w:rPr>
          <w:rFonts w:cs="Arial"/>
          <w:sz w:val="20"/>
          <w:szCs w:val="20"/>
        </w:rPr>
        <w:t xml:space="preserve">different </w:t>
      </w:r>
      <w:r w:rsidRPr="003D3124">
        <w:rPr>
          <w:rFonts w:cs="Arial"/>
          <w:sz w:val="20"/>
          <w:szCs w:val="20"/>
        </w:rPr>
        <w:t>levels of known HIV-status to the Xpert-based algorithm.</w:t>
      </w:r>
    </w:p>
    <w:p w14:paraId="1D5EDC36" w14:textId="77777777" w:rsidR="003D3124" w:rsidRPr="003D3124" w:rsidRDefault="003D3124" w:rsidP="003D3124">
      <w:pPr>
        <w:rPr>
          <w:rFonts w:cs="Arial"/>
          <w:b/>
          <w:sz w:val="20"/>
          <w:szCs w:val="20"/>
        </w:rPr>
      </w:pPr>
      <w:r w:rsidRPr="003D3124">
        <w:rPr>
          <w:rFonts w:cs="Arial"/>
          <w:b/>
          <w:sz w:val="20"/>
          <w:szCs w:val="20"/>
        </w:rPr>
        <w:t>Results</w:t>
      </w:r>
    </w:p>
    <w:p w14:paraId="5B32CC39" w14:textId="045F84C7" w:rsidR="003D3124" w:rsidRPr="003D3124" w:rsidRDefault="003D3124" w:rsidP="003D3124">
      <w:pPr>
        <w:rPr>
          <w:rFonts w:cs="Arial"/>
          <w:sz w:val="20"/>
          <w:szCs w:val="20"/>
        </w:rPr>
      </w:pPr>
      <w:r w:rsidRPr="003D3124">
        <w:rPr>
          <w:rFonts w:cs="Arial"/>
          <w:sz w:val="20"/>
          <w:szCs w:val="20"/>
        </w:rPr>
        <w:t xml:space="preserve">RMP-R TB cases identified increased from 603 with smear/culture to 1,178 with the Xpert-based algorithm (100% adherence - 60% knew their HIV status). The overall laboratory cost increased from U$1,073,858 to U$2,430,050 and the cost per RMP-TB case identified increased from U$1,781 to U$2,063 in respective algorithms. </w:t>
      </w:r>
    </w:p>
    <w:p w14:paraId="46D180EC" w14:textId="77777777" w:rsidR="003D3124" w:rsidRPr="003D3124" w:rsidRDefault="003D3124" w:rsidP="003D3124">
      <w:pPr>
        <w:rPr>
          <w:rFonts w:cs="Arial"/>
          <w:sz w:val="20"/>
          <w:szCs w:val="20"/>
        </w:rPr>
      </w:pPr>
      <w:r w:rsidRPr="003D3124">
        <w:rPr>
          <w:rFonts w:cs="Arial"/>
          <w:sz w:val="20"/>
          <w:szCs w:val="20"/>
        </w:rPr>
        <w:t>When adherence to the Xpert-based algorithm was increased from 50% to 100% (60% knew their HIV-status), the number of RMP-R TB cases identified increased from 721 to 1,178.</w:t>
      </w:r>
    </w:p>
    <w:p w14:paraId="6E4BABE2" w14:textId="77777777" w:rsidR="003D3124" w:rsidRPr="003D3124" w:rsidRDefault="003D3124" w:rsidP="003D3124">
      <w:pPr>
        <w:rPr>
          <w:rFonts w:cs="Arial"/>
          <w:b/>
          <w:sz w:val="20"/>
          <w:szCs w:val="20"/>
        </w:rPr>
      </w:pPr>
      <w:r w:rsidRPr="003D3124">
        <w:rPr>
          <w:rFonts w:cs="Arial"/>
          <w:b/>
          <w:sz w:val="20"/>
          <w:szCs w:val="20"/>
        </w:rPr>
        <w:t>Conclusion</w:t>
      </w:r>
    </w:p>
    <w:p w14:paraId="0617EE9A" w14:textId="76A5F607" w:rsidR="00C37C8F" w:rsidRDefault="00C37C8F" w:rsidP="003D3124">
      <w:pPr>
        <w:rPr>
          <w:rFonts w:cs="Arial"/>
          <w:sz w:val="20"/>
          <w:szCs w:val="20"/>
        </w:rPr>
      </w:pPr>
      <w:r w:rsidRPr="00C37C8F">
        <w:rPr>
          <w:rFonts w:cs="Arial"/>
          <w:sz w:val="20"/>
          <w:szCs w:val="20"/>
        </w:rPr>
        <w:t>The Xpert-based algorithm is efficient in identifying RMP-R TB as the increase in costs is offset by the increase in the number of cases identified. Adherence to the Xpert-based algorithm is important to ensure all presumptive TB cases receive the benefit of simultaneous TB and RMP-R testing.</w:t>
      </w:r>
    </w:p>
    <w:p w14:paraId="401C8584" w14:textId="3A6EBB1E" w:rsidR="0053168C" w:rsidRPr="003D3124" w:rsidRDefault="0053168C" w:rsidP="003D3124">
      <w:pPr>
        <w:rPr>
          <w:rFonts w:cs="Arial"/>
          <w:sz w:val="20"/>
          <w:szCs w:val="20"/>
        </w:rPr>
      </w:pPr>
      <w:r w:rsidRPr="003D3124">
        <w:rPr>
          <w:rFonts w:cs="Arial"/>
          <w:sz w:val="20"/>
          <w:szCs w:val="20"/>
        </w:rPr>
        <w:br w:type="page"/>
      </w:r>
    </w:p>
    <w:p w14:paraId="213AF292" w14:textId="77777777" w:rsidR="0007292E" w:rsidRPr="008A1BFA" w:rsidRDefault="0053168C" w:rsidP="00BB6333">
      <w:pPr>
        <w:pStyle w:val="Default"/>
        <w:spacing w:line="360" w:lineRule="auto"/>
        <w:jc w:val="both"/>
        <w:rPr>
          <w:rFonts w:ascii="Arial" w:hAnsi="Arial" w:cs="Arial"/>
          <w:b/>
          <w:color w:val="auto"/>
        </w:rPr>
      </w:pPr>
      <w:r w:rsidRPr="008A1BFA">
        <w:rPr>
          <w:rFonts w:ascii="Arial" w:hAnsi="Arial" w:cs="Arial"/>
          <w:b/>
          <w:color w:val="auto"/>
        </w:rPr>
        <w:lastRenderedPageBreak/>
        <w:t>Introduction</w:t>
      </w:r>
      <w:r w:rsidR="00BD3D7C">
        <w:rPr>
          <w:rFonts w:ascii="Arial" w:hAnsi="Arial" w:cs="Arial"/>
          <w:b/>
          <w:color w:val="auto"/>
        </w:rPr>
        <w:t xml:space="preserve"> </w:t>
      </w:r>
    </w:p>
    <w:p w14:paraId="6D7887CE" w14:textId="77F919A5" w:rsidR="00076B21" w:rsidRDefault="00B203C6" w:rsidP="001C18B0">
      <w:r>
        <w:t xml:space="preserve">Globally the multidrug-resistant tuberculosis (MDR-TB) </w:t>
      </w:r>
      <w:r w:rsidR="005D7F10">
        <w:t xml:space="preserve">crisis </w:t>
      </w:r>
      <w:r w:rsidR="00B17D69">
        <w:t>is</w:t>
      </w:r>
      <w:r>
        <w:t xml:space="preserve"> continuing</w:t>
      </w:r>
      <w:r w:rsidR="00B17D69">
        <w:t>. T</w:t>
      </w:r>
      <w:r w:rsidR="005D7F10">
        <w:t xml:space="preserve">he burden of MDR-TB </w:t>
      </w:r>
      <w:r w:rsidR="00B17D69">
        <w:t xml:space="preserve">is </w:t>
      </w:r>
      <w:r w:rsidR="005D7F10">
        <w:t xml:space="preserve">decreasing </w:t>
      </w:r>
      <w:r w:rsidR="00571222">
        <w:t xml:space="preserve">more </w:t>
      </w:r>
      <w:r w:rsidR="005D7F10">
        <w:t>slow</w:t>
      </w:r>
      <w:r w:rsidR="00571222">
        <w:t>ly</w:t>
      </w:r>
      <w:r w:rsidR="005D7F10">
        <w:t xml:space="preserve"> than the overall burden of </w:t>
      </w:r>
      <w:r w:rsidR="000A1A0F">
        <w:t>tuberculosis (</w:t>
      </w:r>
      <w:r w:rsidR="008B1BF0">
        <w:t>TB</w:t>
      </w:r>
      <w:r w:rsidR="000A1A0F">
        <w:t>)</w:t>
      </w:r>
      <w:r w:rsidR="00B17D69">
        <w:t xml:space="preserve"> and in some countries </w:t>
      </w:r>
      <w:r w:rsidR="000A1A0F">
        <w:t>the MDR-TB burden is on the increase</w:t>
      </w:r>
      <w:r w:rsidR="008B1BF0">
        <w:t>.</w:t>
      </w:r>
      <w:r w:rsidR="0063519E">
        <w:fldChar w:fldCharType="begin" w:fldLock="1"/>
      </w:r>
      <w:r w:rsidR="006E2482">
        <w:instrText>ADDIN CSL_CITATION { "citationItems" : [ { "id" : "ITEM-1", "itemData" : { "DOI" : "WHO/HTM/TB/2016.13", "author" : [ { "dropping-particle" : "", "family" : "World Health Organization", "given" : "", "non-dropping-particle" : "", "parse-names" : false, "suffix" : "" } ], "id" : "ITEM-1", "issued" : { "date-parts" : [ [ "2016" ] ] }, "publisher-place" : "Geneva, Switzerland", "title" : "Global Tuberculosis Report 2016", "type" : "report" }, "uris" : [ "http://www.mendeley.com/documents/?uuid=9780c800-aef9-4875-bd6f-ebed5c61c2d7" ] } ], "mendeley" : { "formattedCitation" : "&lt;sup&gt;1&lt;/sup&gt;", "plainTextFormattedCitation" : "1", "previouslyFormattedCitation" : "&lt;sup&gt;1&lt;/sup&gt;" }, "properties" : { "noteIndex" : 0 }, "schema" : "https://github.com/citation-style-language/schema/raw/master/csl-citation.json" }</w:instrText>
      </w:r>
      <w:r w:rsidR="0063519E">
        <w:fldChar w:fldCharType="separate"/>
      </w:r>
      <w:r w:rsidR="0063519E" w:rsidRPr="0063519E">
        <w:rPr>
          <w:noProof/>
          <w:vertAlign w:val="superscript"/>
        </w:rPr>
        <w:t>1</w:t>
      </w:r>
      <w:r w:rsidR="0063519E">
        <w:fldChar w:fldCharType="end"/>
      </w:r>
      <w:r w:rsidR="003B58F5">
        <w:t xml:space="preserve"> The World Health Organisation (WHO) collectively defines cases of </w:t>
      </w:r>
      <w:r w:rsidR="003B58F5" w:rsidRPr="00A12098">
        <w:t xml:space="preserve">MDR-TB </w:t>
      </w:r>
      <w:r w:rsidR="00A927FE">
        <w:t>(</w:t>
      </w:r>
      <w:r w:rsidR="00A927FE" w:rsidRPr="00A12098">
        <w:t>defined as resistance to rifampicin and isoniazid</w:t>
      </w:r>
      <w:r w:rsidR="00A927FE">
        <w:t>)</w:t>
      </w:r>
      <w:r w:rsidR="00A927FE" w:rsidRPr="00A12098">
        <w:t xml:space="preserve"> </w:t>
      </w:r>
      <w:r w:rsidR="003B58F5" w:rsidRPr="00A12098">
        <w:t>and</w:t>
      </w:r>
      <w:r w:rsidR="003B58F5">
        <w:t xml:space="preserve"> rifampicin-resistant</w:t>
      </w:r>
      <w:r w:rsidR="006565CB">
        <w:t xml:space="preserve"> (RMP-R)</w:t>
      </w:r>
      <w:r w:rsidR="006565CB" w:rsidRPr="00A12098">
        <w:t xml:space="preserve"> </w:t>
      </w:r>
      <w:r w:rsidR="003B58F5">
        <w:t xml:space="preserve">TB </w:t>
      </w:r>
      <w:r w:rsidR="00A27C02">
        <w:t>as MDR/</w:t>
      </w:r>
      <w:r w:rsidR="00197DC6">
        <w:t xml:space="preserve">RMP-R </w:t>
      </w:r>
      <w:r w:rsidR="00A27C02">
        <w:t>TB with the recommendation to start a</w:t>
      </w:r>
      <w:r w:rsidR="00FF1023">
        <w:t xml:space="preserve">ll </w:t>
      </w:r>
      <w:r w:rsidR="00A927FE">
        <w:t>these</w:t>
      </w:r>
      <w:r w:rsidR="00FF1023">
        <w:t xml:space="preserve"> cases </w:t>
      </w:r>
      <w:r w:rsidR="00A27C02">
        <w:t xml:space="preserve">on </w:t>
      </w:r>
      <w:r w:rsidR="009B6353">
        <w:t xml:space="preserve">a </w:t>
      </w:r>
      <w:r w:rsidR="00FF1023">
        <w:t>second-line MDR-TB regimen.</w:t>
      </w:r>
      <w:r w:rsidR="00812911" w:rsidRPr="00812911">
        <w:rPr>
          <w:color w:val="FF0000"/>
        </w:rPr>
        <w:fldChar w:fldCharType="begin" w:fldLock="1"/>
      </w:r>
      <w:r w:rsidR="00812911" w:rsidRPr="00812911">
        <w:rPr>
          <w:color w:val="FF0000"/>
        </w:rPr>
        <w:instrText>ADDIN CSL_CITATION { "citationItems" : [ { "id" : "ITEM-1", "itemData" : { "DOI" : "WHO/HTM/TB/2016.13", "author" : [ { "dropping-particle" : "", "family" : "World Health Organization", "given" : "", "non-dropping-particle" : "", "parse-names" : false, "suffix" : "" } ], "id" : "ITEM-1", "issued" : { "date-parts" : [ [ "2016" ] ] }, "publisher-place" : "Geneva, Switzerland", "title" : "Global Tuberculosis Report 2016", "type" : "report" }, "uris" : [ "http://www.mendeley.com/documents/?uuid=9780c800-aef9-4875-bd6f-ebed5c61c2d7" ] } ], "mendeley" : { "formattedCitation" : "&lt;sup&gt;1&lt;/sup&gt;", "plainTextFormattedCitation" : "1", "previouslyFormattedCitation" : "&lt;sup&gt;1&lt;/sup&gt;" }, "properties" : { "noteIndex" : 0 }, "schema" : "https://github.com/citation-style-language/schema/raw/master/csl-citation.json" }</w:instrText>
      </w:r>
      <w:r w:rsidR="00812911" w:rsidRPr="00812911">
        <w:rPr>
          <w:color w:val="FF0000"/>
        </w:rPr>
        <w:fldChar w:fldCharType="separate"/>
      </w:r>
      <w:r w:rsidR="00812911" w:rsidRPr="00812911">
        <w:rPr>
          <w:noProof/>
          <w:color w:val="FF0000"/>
          <w:vertAlign w:val="superscript"/>
        </w:rPr>
        <w:t>1</w:t>
      </w:r>
      <w:r w:rsidR="00812911" w:rsidRPr="00812911">
        <w:rPr>
          <w:color w:val="FF0000"/>
        </w:rPr>
        <w:fldChar w:fldCharType="end"/>
      </w:r>
    </w:p>
    <w:p w14:paraId="216EA11C" w14:textId="77777777" w:rsidR="003D3EDB" w:rsidRDefault="00682041" w:rsidP="001C18B0">
      <w:r>
        <w:t xml:space="preserve">The gaps between the </w:t>
      </w:r>
      <w:r w:rsidR="00A927FE">
        <w:t xml:space="preserve">estimated </w:t>
      </w:r>
      <w:r>
        <w:t xml:space="preserve">number of  </w:t>
      </w:r>
      <w:r w:rsidR="00AF6839">
        <w:t xml:space="preserve">incident </w:t>
      </w:r>
      <w:r>
        <w:t>MDR/</w:t>
      </w:r>
      <w:r w:rsidR="008048BF">
        <w:t xml:space="preserve">RMP-R </w:t>
      </w:r>
      <w:r>
        <w:t>TB cases, the number diagnosed and the number notified are still of major concern.</w:t>
      </w:r>
      <w:r w:rsidR="00161780">
        <w:t xml:space="preserve"> Globally there were 3.4 million bacteriologically confirmed TB cases notified in 2015 of which only 30% </w:t>
      </w:r>
      <w:r w:rsidR="00E67B09">
        <w:t xml:space="preserve">were reported to have </w:t>
      </w:r>
      <w:r w:rsidR="00161780">
        <w:t xml:space="preserve">had a </w:t>
      </w:r>
      <w:r w:rsidR="00E821A6">
        <w:t>drug susceptibility test</w:t>
      </w:r>
      <w:r w:rsidR="00160570">
        <w:t xml:space="preserve"> (</w:t>
      </w:r>
      <w:r w:rsidR="00161780">
        <w:t>DST</w:t>
      </w:r>
      <w:r w:rsidR="00160570">
        <w:t>)</w:t>
      </w:r>
      <w:r w:rsidR="00E67B09">
        <w:t xml:space="preserve"> f</w:t>
      </w:r>
      <w:r w:rsidR="00161780">
        <w:t xml:space="preserve">or </w:t>
      </w:r>
      <w:r w:rsidR="00161780" w:rsidRPr="00956BE3">
        <w:t>rifampicin</w:t>
      </w:r>
      <w:r w:rsidR="00E67B09">
        <w:t>.</w:t>
      </w:r>
      <w:r w:rsidR="00FD3217">
        <w:t xml:space="preserve"> </w:t>
      </w:r>
      <w:r w:rsidR="00914DBC">
        <w:t>In 2015</w:t>
      </w:r>
      <w:r w:rsidR="00571222">
        <w:t>,</w:t>
      </w:r>
      <w:r w:rsidR="00914DBC">
        <w:t xml:space="preserve"> 132,120 </w:t>
      </w:r>
      <w:r w:rsidR="00914DBC" w:rsidRPr="00956BE3">
        <w:t>cases of MDR/</w:t>
      </w:r>
      <w:r w:rsidR="008048BF">
        <w:t>RMP-R</w:t>
      </w:r>
      <w:r w:rsidR="008048BF" w:rsidRPr="00956BE3">
        <w:t xml:space="preserve"> </w:t>
      </w:r>
      <w:r w:rsidR="00914DBC" w:rsidRPr="00956BE3">
        <w:t>TB were detected</w:t>
      </w:r>
      <w:r w:rsidR="00914DBC">
        <w:t xml:space="preserve"> </w:t>
      </w:r>
      <w:r w:rsidR="00914DBC" w:rsidRPr="00956BE3">
        <w:t>and notified</w:t>
      </w:r>
      <w:r w:rsidR="00914DBC">
        <w:t xml:space="preserve"> globally which amounts to only 40% </w:t>
      </w:r>
      <w:r w:rsidR="00914DBC" w:rsidRPr="00956BE3">
        <w:t xml:space="preserve">of the estimated </w:t>
      </w:r>
      <w:r w:rsidR="002675BE">
        <w:t>340,</w:t>
      </w:r>
      <w:r w:rsidR="00552518">
        <w:t>000 MDR/RMP-R</w:t>
      </w:r>
      <w:r w:rsidR="00552518" w:rsidRPr="00956BE3">
        <w:t xml:space="preserve"> </w:t>
      </w:r>
      <w:r w:rsidR="00914DBC" w:rsidRPr="00956BE3">
        <w:t>TB cases that could have been detected</w:t>
      </w:r>
      <w:r w:rsidR="00914DBC">
        <w:t xml:space="preserve"> </w:t>
      </w:r>
      <w:r w:rsidR="00914DBC" w:rsidRPr="00956BE3">
        <w:t>had DST been provided to all pulmonary TB patients</w:t>
      </w:r>
      <w:r w:rsidR="00914DBC">
        <w:t xml:space="preserve"> </w:t>
      </w:r>
      <w:r w:rsidR="00914DBC" w:rsidRPr="00956BE3">
        <w:t>notified in 2015</w:t>
      </w:r>
      <w:r w:rsidR="00914DBC">
        <w:t>.</w:t>
      </w:r>
      <w:r w:rsidR="00EB70FC">
        <w:fldChar w:fldCharType="begin" w:fldLock="1"/>
      </w:r>
      <w:r w:rsidR="006E2482">
        <w:instrText>ADDIN CSL_CITATION { "citationItems" : [ { "id" : "ITEM-1", "itemData" : { "DOI" : "WHO/HTM/TB/2016.13", "author" : [ { "dropping-particle" : "", "family" : "World Health Organization", "given" : "", "non-dropping-particle" : "", "parse-names" : false, "suffix" : "" } ], "id" : "ITEM-1", "issued" : { "date-parts" : [ [ "2016" ] ] }, "publisher-place" : "Geneva, Switzerland", "title" : "Global Tuberculosis Report 2016", "type" : "report" }, "uris" : [ "http://www.mendeley.com/documents/?uuid=9780c800-aef9-4875-bd6f-ebed5c61c2d7" ] } ], "mendeley" : { "formattedCitation" : "&lt;sup&gt;1&lt;/sup&gt;", "plainTextFormattedCitation" : "1", "previouslyFormattedCitation" : "&lt;sup&gt;1&lt;/sup&gt;" }, "properties" : { "noteIndex" : 0 }, "schema" : "https://github.com/citation-style-language/schema/raw/master/csl-citation.json" }</w:instrText>
      </w:r>
      <w:r w:rsidR="00EB70FC">
        <w:fldChar w:fldCharType="separate"/>
      </w:r>
      <w:r w:rsidR="0063519E" w:rsidRPr="0063519E">
        <w:rPr>
          <w:noProof/>
          <w:vertAlign w:val="superscript"/>
        </w:rPr>
        <w:t>1</w:t>
      </w:r>
      <w:r w:rsidR="00EB70FC">
        <w:fldChar w:fldCharType="end"/>
      </w:r>
      <w:r w:rsidR="00C02A79">
        <w:t xml:space="preserve"> </w:t>
      </w:r>
    </w:p>
    <w:p w14:paraId="7F8FD9FF" w14:textId="39E1C3F4" w:rsidR="00B42AFE" w:rsidRDefault="00701A89" w:rsidP="004F74D3">
      <w:pPr>
        <w:rPr>
          <w:szCs w:val="20"/>
        </w:rPr>
      </w:pPr>
      <w:r>
        <w:rPr>
          <w:lang w:val="en-US"/>
        </w:rPr>
        <w:t>In South Africa</w:t>
      </w:r>
      <w:r w:rsidR="00900D47">
        <w:rPr>
          <w:lang w:val="en-US"/>
        </w:rPr>
        <w:t>,</w:t>
      </w:r>
      <w:r>
        <w:rPr>
          <w:lang w:val="en-US"/>
        </w:rPr>
        <w:t xml:space="preserve"> there were a total of 294,603 TB cases notified in 2015 of whom 196,783 (66.8%) were tested for </w:t>
      </w:r>
      <w:r w:rsidR="00822E22">
        <w:rPr>
          <w:szCs w:val="20"/>
        </w:rPr>
        <w:t>RMP resistance</w:t>
      </w:r>
      <w:r w:rsidR="000A7959">
        <w:rPr>
          <w:lang w:val="en-US"/>
        </w:rPr>
        <w:t xml:space="preserve">. </w:t>
      </w:r>
      <w:r w:rsidR="003D3EDB">
        <w:rPr>
          <w:lang w:val="en-US"/>
        </w:rPr>
        <w:t xml:space="preserve">Of the </w:t>
      </w:r>
      <w:r w:rsidR="00777270">
        <w:rPr>
          <w:lang w:val="en-US"/>
        </w:rPr>
        <w:t>1</w:t>
      </w:r>
      <w:r w:rsidR="000A7959">
        <w:rPr>
          <w:lang w:val="en-US"/>
        </w:rPr>
        <w:t>9,613</w:t>
      </w:r>
      <w:r w:rsidR="00065804">
        <w:rPr>
          <w:lang w:val="en-US"/>
        </w:rPr>
        <w:t xml:space="preserve"> MDR/</w:t>
      </w:r>
      <w:r w:rsidR="00065804">
        <w:rPr>
          <w:szCs w:val="20"/>
        </w:rPr>
        <w:t>RMP-R</w:t>
      </w:r>
      <w:r w:rsidR="00065804">
        <w:rPr>
          <w:lang w:val="en-US"/>
        </w:rPr>
        <w:t xml:space="preserve"> TB cases diagnosed</w:t>
      </w:r>
      <w:r w:rsidR="00113A39">
        <w:rPr>
          <w:lang w:val="en-US"/>
        </w:rPr>
        <w:t xml:space="preserve"> </w:t>
      </w:r>
      <w:r>
        <w:rPr>
          <w:lang w:val="en-US"/>
        </w:rPr>
        <w:t>only 12,527 were reported to have started treatment.</w:t>
      </w:r>
      <w:r w:rsidR="00312C45">
        <w:rPr>
          <w:lang w:val="en-US"/>
        </w:rPr>
        <w:fldChar w:fldCharType="begin" w:fldLock="1"/>
      </w:r>
      <w:r w:rsidR="00F27AAC">
        <w:rPr>
          <w:lang w:val="en-US"/>
        </w:rPr>
        <w:instrText>ADDIN CSL_CITATION { "citationItems" : [ { "id" : "ITEM-1", "itemData" : { "DOI" : "WHO/HTM/TB/2016.13", "author" : [ { "dropping-particle" : "", "family" : "World Health Organization", "given" : "", "non-dropping-particle" : "", "parse-names" : false, "suffix" : "" } ], "id" : "ITEM-1", "issued" : { "date-parts" : [ [ "2016" ] ] }, "publisher-place" : "Geneva, Switzerland", "title" : "Global Tuberculosis Report 2016", "type" : "report" }, "uris" : [ "http://www.mendeley.com/documents/?uuid=9780c800-aef9-4875-bd6f-ebed5c61c2d7" ] } ], "mendeley" : { "formattedCitation" : "&lt;sup&gt;1&lt;/sup&gt;", "plainTextFormattedCitation" : "1", "previouslyFormattedCitation" : "&lt;sup&gt;1&lt;/sup&gt;" }, "properties" : { "noteIndex" : 0 }, "schema" : "https://github.com/citation-style-language/schema/raw/master/csl-citation.json" }</w:instrText>
      </w:r>
      <w:r w:rsidR="00312C45">
        <w:rPr>
          <w:lang w:val="en-US"/>
        </w:rPr>
        <w:fldChar w:fldCharType="separate"/>
      </w:r>
      <w:r w:rsidR="00312C45" w:rsidRPr="00312C45">
        <w:rPr>
          <w:noProof/>
          <w:vertAlign w:val="superscript"/>
          <w:lang w:val="en-US"/>
        </w:rPr>
        <w:t>1</w:t>
      </w:r>
      <w:r w:rsidR="00312C45">
        <w:rPr>
          <w:lang w:val="en-US"/>
        </w:rPr>
        <w:fldChar w:fldCharType="end"/>
      </w:r>
    </w:p>
    <w:p w14:paraId="59456507" w14:textId="18903A47" w:rsidR="00A65E32" w:rsidRDefault="00A043BE" w:rsidP="004F74D3">
      <w:pPr>
        <w:rPr>
          <w:lang w:val="en-US"/>
        </w:rPr>
      </w:pPr>
      <w:r>
        <w:rPr>
          <w:szCs w:val="20"/>
        </w:rPr>
        <w:t>The WHO endorsed the use of Xpert</w:t>
      </w:r>
      <w:r w:rsidRPr="00537BDA">
        <w:rPr>
          <w:szCs w:val="20"/>
        </w:rPr>
        <w:t>® MTB/RIF (Xpert) (Cepheid, Sunnyvale, CA, USA)</w:t>
      </w:r>
      <w:r>
        <w:rPr>
          <w:szCs w:val="20"/>
        </w:rPr>
        <w:t xml:space="preserve">  in 2010</w:t>
      </w:r>
      <w:r>
        <w:rPr>
          <w:szCs w:val="20"/>
        </w:rPr>
        <w:fldChar w:fldCharType="begin" w:fldLock="1"/>
      </w:r>
      <w:r w:rsidR="00254EF9">
        <w:rPr>
          <w:szCs w:val="20"/>
        </w:rPr>
        <w:instrText>ADDIN CSL_CITATION { "citationItems" : [ { "id" : "ITEM-1", "itemData" : { "DOI" : "WHO/HTM/TB/2011.4", "abstract" : "Rapid implementation of the Xpert MTB/RIF diagnostic test: technical and operational \" How-to \" ; practical considerations. 1.Tuberculosis, Multidrug-resistant -diagnosis. 2.Tuberculosis -diagnosis. 3.Rifampin -pharmacology. 4.Mycobacterium tuberculosis -isolation and purification. 5.HIV infections -diagnosis. 6.Sensitivity and specificity. 7.Manuals. I.World Health Organization. ISBN 978 92 4 150156 9 (NLM classification: WF 310)", "author" : [ { "dropping-particle" : "", "family" : "World Health Organization", "given" : "", "non-dropping-particle" : "", "parse-names" : false, "suffix" : "" } ], "id" : "ITEM-1", "issued" : { "date-parts" : [ [ "2011" ] ] }, "publisher-place" : "Geneva, Switzerland", "title" : "Rapid Implementation of the Xpert MTB/RIF diagnostic test", "type" : "report" }, "uris" : [ "http://www.mendeley.com/documents/?uuid=2eb61db3-e9d9-3f9e-90fb-a7690fafdc67" ] } ], "mendeley" : { "formattedCitation" : "&lt;sup&gt;2&lt;/sup&gt;", "plainTextFormattedCitation" : "2", "previouslyFormattedCitation" : "&lt;sup&gt;2&lt;/sup&gt;" }, "properties" : { "noteIndex" : 0 }, "schema" : "https://github.com/citation-style-language/schema/raw/master/csl-citation.json" }</w:instrText>
      </w:r>
      <w:r>
        <w:rPr>
          <w:szCs w:val="20"/>
        </w:rPr>
        <w:fldChar w:fldCharType="separate"/>
      </w:r>
      <w:r w:rsidR="0063519E" w:rsidRPr="0063519E">
        <w:rPr>
          <w:noProof/>
          <w:szCs w:val="20"/>
          <w:vertAlign w:val="superscript"/>
        </w:rPr>
        <w:t>2</w:t>
      </w:r>
      <w:r>
        <w:rPr>
          <w:szCs w:val="20"/>
        </w:rPr>
        <w:fldChar w:fldCharType="end"/>
      </w:r>
      <w:r>
        <w:rPr>
          <w:szCs w:val="20"/>
        </w:rPr>
        <w:t xml:space="preserve"> after which South Africa </w:t>
      </w:r>
      <w:r w:rsidR="00AF6839">
        <w:rPr>
          <w:szCs w:val="20"/>
        </w:rPr>
        <w:t>implemented</w:t>
      </w:r>
      <w:r>
        <w:rPr>
          <w:szCs w:val="20"/>
        </w:rPr>
        <w:t xml:space="preserve"> Xpert</w:t>
      </w:r>
      <w:r w:rsidR="007B0954">
        <w:rPr>
          <w:szCs w:val="20"/>
        </w:rPr>
        <w:t xml:space="preserve"> in 2011</w:t>
      </w:r>
      <w:r>
        <w:rPr>
          <w:szCs w:val="20"/>
        </w:rPr>
        <w:t xml:space="preserve"> as a replacement test for </w:t>
      </w:r>
      <w:r w:rsidR="00FC7186">
        <w:rPr>
          <w:szCs w:val="20"/>
        </w:rPr>
        <w:t xml:space="preserve">smear microscopy for </w:t>
      </w:r>
      <w:r>
        <w:rPr>
          <w:szCs w:val="20"/>
        </w:rPr>
        <w:t xml:space="preserve">all presumptive </w:t>
      </w:r>
      <w:r w:rsidR="00900D47">
        <w:rPr>
          <w:szCs w:val="20"/>
        </w:rPr>
        <w:t xml:space="preserve">TB </w:t>
      </w:r>
      <w:r>
        <w:rPr>
          <w:szCs w:val="20"/>
        </w:rPr>
        <w:t>cases.</w:t>
      </w:r>
      <w:r w:rsidR="00C43449">
        <w:rPr>
          <w:szCs w:val="20"/>
        </w:rPr>
        <w:t xml:space="preserve"> </w:t>
      </w:r>
      <w:r w:rsidR="00C02A79">
        <w:rPr>
          <w:lang w:val="en-US"/>
        </w:rPr>
        <w:t xml:space="preserve">The </w:t>
      </w:r>
      <w:r w:rsidR="00AF6839">
        <w:rPr>
          <w:lang w:val="en-US"/>
        </w:rPr>
        <w:t xml:space="preserve">introduction </w:t>
      </w:r>
      <w:r w:rsidR="00C02A79">
        <w:rPr>
          <w:lang w:val="en-US"/>
        </w:rPr>
        <w:t xml:space="preserve">of the </w:t>
      </w:r>
      <w:r w:rsidR="001A5663">
        <w:rPr>
          <w:lang w:val="en-US"/>
        </w:rPr>
        <w:t xml:space="preserve">more sensitive </w:t>
      </w:r>
      <w:r w:rsidR="00C02A79" w:rsidRPr="00537BDA">
        <w:rPr>
          <w:szCs w:val="20"/>
        </w:rPr>
        <w:t>Xpert</w:t>
      </w:r>
      <w:r>
        <w:rPr>
          <w:szCs w:val="20"/>
        </w:rPr>
        <w:t xml:space="preserve"> </w:t>
      </w:r>
      <w:r w:rsidR="00C02A79">
        <w:rPr>
          <w:szCs w:val="20"/>
        </w:rPr>
        <w:t>test</w:t>
      </w:r>
      <w:r w:rsidR="0050723B">
        <w:rPr>
          <w:szCs w:val="20"/>
        </w:rPr>
        <w:fldChar w:fldCharType="begin" w:fldLock="1"/>
      </w:r>
      <w:r w:rsidR="00254EF9">
        <w:rPr>
          <w:szCs w:val="20"/>
        </w:rPr>
        <w:instrText>ADDIN CSL_CITATION { "citationItems" : [ { "id" : "ITEM-1", "itemData" : { "author" : [ { "dropping-particle" : "", "family" : "World Health Organization", "given" : "", "non-dropping-particle" : "", "parse-names" : false, "suffix" : "" } ], "id" : "ITEM-1", "issued" : { "date-parts" : [ [ "2013" ] ] }, "publisher-place" : "Geneva, Switzerland", "title" : "Automated real-time nucleic acid amplification technology for rapid and simultaneous detection of tuberculosis and rifampicin resistance: Xpert MTB/RIF System. Policy update.", "type" : "report" }, "uris" : [ "http://www.mendeley.com/documents/?uuid=58a5bdbe-632f-3a34-9a53-85fc9de5bbab" ] }, { "id" : "ITEM-2", "itemData" : { "DOI" : "WHO/HTM/TB/2011.4", "abstract" : "Rapid implementation of the Xpert MTB/RIF diagnostic test: technical and operational \" How-to \" ; practical considerations. 1.Tuberculosis, Multidrug-resistant -diagnosis. 2.Tuberculosis -diagnosis. 3.Rifampin -pharmacology. 4.Mycobacterium tuberculosis -isolation and purification. 5.HIV infections -diagnosis. 6.Sensitivity and specificity. 7.Manuals. I.World Health Organization. ISBN 978 92 4 150156 9 (NLM classification: WF 310)", "author" : [ { "dropping-particle" : "", "family" : "World Health Organization", "given" : "", "non-dropping-particle" : "", "parse-names" : false, "suffix" : "" } ], "id" : "ITEM-2", "issued" : { "date-parts" : [ [ "2011" ] ] }, "publisher-place" : "Geneva, Switzerland", "title" : "Rapid Implementation of the Xpert MTB/RIF diagnostic test", "type" : "report" }, "uris" : [ "http://www.mendeley.com/documents/?uuid=2eb61db3-e9d9-3f9e-90fb-a7690fafdc67" ] } ], "mendeley" : { "formattedCitation" : "&lt;sup&gt;2,3&lt;/sup&gt;", "plainTextFormattedCitation" : "2,3", "previouslyFormattedCitation" : "&lt;sup&gt;2,3&lt;/sup&gt;" }, "properties" : { "noteIndex" : 0 }, "schema" : "https://github.com/citation-style-language/schema/raw/master/csl-citation.json" }</w:instrText>
      </w:r>
      <w:r w:rsidR="0050723B">
        <w:rPr>
          <w:szCs w:val="20"/>
        </w:rPr>
        <w:fldChar w:fldCharType="separate"/>
      </w:r>
      <w:r w:rsidR="0050723B" w:rsidRPr="0050723B">
        <w:rPr>
          <w:noProof/>
          <w:szCs w:val="20"/>
          <w:vertAlign w:val="superscript"/>
        </w:rPr>
        <w:t>2,3</w:t>
      </w:r>
      <w:r w:rsidR="0050723B">
        <w:rPr>
          <w:szCs w:val="20"/>
        </w:rPr>
        <w:fldChar w:fldCharType="end"/>
      </w:r>
      <w:r w:rsidR="001A5663">
        <w:rPr>
          <w:szCs w:val="20"/>
        </w:rPr>
        <w:t xml:space="preserve"> offered </w:t>
      </w:r>
      <w:r w:rsidR="00C02A79">
        <w:rPr>
          <w:szCs w:val="20"/>
        </w:rPr>
        <w:t xml:space="preserve">improved TB case detection with the added benefit of simultaneous screening for </w:t>
      </w:r>
      <w:r w:rsidR="00AB300F">
        <w:rPr>
          <w:szCs w:val="20"/>
        </w:rPr>
        <w:t>RMP-R</w:t>
      </w:r>
      <w:r w:rsidR="00C02A79">
        <w:rPr>
          <w:szCs w:val="20"/>
        </w:rPr>
        <w:t xml:space="preserve">. </w:t>
      </w:r>
      <w:r w:rsidR="004B0D91">
        <w:rPr>
          <w:szCs w:val="20"/>
        </w:rPr>
        <w:t>The Xpert test make</w:t>
      </w:r>
      <w:r w:rsidR="002C5A56">
        <w:rPr>
          <w:szCs w:val="20"/>
        </w:rPr>
        <w:t>s</w:t>
      </w:r>
      <w:r w:rsidR="004B0D91">
        <w:rPr>
          <w:szCs w:val="20"/>
        </w:rPr>
        <w:t xml:space="preserve"> it possible for a </w:t>
      </w:r>
      <w:r w:rsidR="000B2A7B">
        <w:rPr>
          <w:szCs w:val="20"/>
        </w:rPr>
        <w:t xml:space="preserve">RMP-R TB </w:t>
      </w:r>
      <w:r w:rsidR="004B0D91">
        <w:rPr>
          <w:szCs w:val="20"/>
        </w:rPr>
        <w:t xml:space="preserve">result </w:t>
      </w:r>
      <w:r w:rsidR="002C5A56">
        <w:rPr>
          <w:szCs w:val="20"/>
        </w:rPr>
        <w:t xml:space="preserve">to </w:t>
      </w:r>
      <w:r w:rsidR="003A6ABB">
        <w:rPr>
          <w:szCs w:val="20"/>
        </w:rPr>
        <w:t xml:space="preserve">be available </w:t>
      </w:r>
      <w:r w:rsidR="003A6ABB" w:rsidRPr="003A6ABB">
        <w:rPr>
          <w:color w:val="FF0000"/>
          <w:szCs w:val="20"/>
        </w:rPr>
        <w:t>within a few hours</w:t>
      </w:r>
      <w:r w:rsidR="00713348">
        <w:rPr>
          <w:szCs w:val="20"/>
        </w:rPr>
        <w:t xml:space="preserve"> for pre-treatment cases</w:t>
      </w:r>
      <w:r w:rsidR="004B0D91">
        <w:rPr>
          <w:szCs w:val="20"/>
        </w:rPr>
        <w:t xml:space="preserve"> rather than </w:t>
      </w:r>
      <w:r w:rsidR="001A5663">
        <w:rPr>
          <w:szCs w:val="20"/>
        </w:rPr>
        <w:t xml:space="preserve">in </w:t>
      </w:r>
      <w:r w:rsidR="00D0014A">
        <w:rPr>
          <w:szCs w:val="20"/>
        </w:rPr>
        <w:t xml:space="preserve">2 to 6 </w:t>
      </w:r>
      <w:r w:rsidR="004B0D91">
        <w:rPr>
          <w:szCs w:val="20"/>
        </w:rPr>
        <w:t>weeks as would be the case with culture-based testing.</w:t>
      </w:r>
      <w:r w:rsidR="005B1329">
        <w:rPr>
          <w:szCs w:val="20"/>
        </w:rPr>
        <w:fldChar w:fldCharType="begin" w:fldLock="1"/>
      </w:r>
      <w:r w:rsidR="006A5DC1">
        <w:rPr>
          <w:szCs w:val="20"/>
        </w:rPr>
        <w:instrText>ADDIN CSL_CITATION { "citationItems" : [ { "id" : "ITEM-1", "itemData" : { "DOI" : "10.1016/S0140-6736(11)60438-8", "ISSN" : "1474-547X", "PMID" : "21507477", "abstract" : "BACKGROUND The Xpert MTB/RIF test (Cepheid, Sunnyvale, CA, USA) can detect tuberculosis and its multidrug-resistant form with very high sensitivity and specificity in controlled studies, but no performance data exist from district and subdistrict health facilities in tuberculosis-endemic countries. We aimed to assess operational feasibility, accuracy, and effectiveness of implementation in such settings. METHODS We assessed adults (\u226518 years) with suspected tuberculosis or multidrug-resistant tuberculosis consecutively presenting with cough lasting at least 2 weeks to urban health centres in South Africa, Peru, and India, drug-resistance screening facilities in Azerbaijan and the Philippines, and an emergency room in Uganda. Patients were excluded from the main analyses if their second sputum sample was collected more than 1 week after the first sample, or if no valid reference standard or MTB/RIF test was available. We compared one-off direct MTB/RIF testing in nine microscopy laboratories adjacent to study sites with 2-3 sputum smears and 1-3 cultures, dependent on site, and drug-susceptibility testing. We assessed indicators of robustness including indeterminate rate and between-site performance, and compared time to detection, reporting, and treatment, and patient dropouts for the techniques used. FINDINGS We enrolled 6648 participants between Aug 11, 2009, and June 26, 2010. One-off MTB/RIF testing detected 933 (90\u00b73%) of 1033 culture-confirmed cases of tuberculosis, compared with 699 (67\u00b71%) of 1041 for microscopy. MTB/RIF test sensitivity was 76\u00b79% in smear-negative, culture-positive patients (296 of 385 samples), and 99\u00b70% specific (2846 of 2876 non-tuberculosis samples). MTB/RIF test sensitivity for rifampicin resistance was 94\u00b74% (236 of 250) and specificity was 98\u00b73% (796 of 810). Unlike microscopy, MTB/RIF test sensitivity was not significantly lower in patients with HIV co-infection. Median time to detection of tuberculosis for the MTB/RIF test was 0 days (IQR 0-1), compared with 1 day (0-1) for microscopy, 30 days (23-43) for solid culture, and 16 days (13-21) for liquid culture. Median time to detection of resistance was 20 days (10-26) for line-probe assay and 106 days (30-124) for conventional drug-susceptibility testing. Use of the MTB/RIF test reduced median time to treatment for smear-negative tuberculosis from 56 days (39-81) to 5 days (2-8). The indeterminate rate of MTB/RIF testing was 2\u00b74% (126 of 5321 samples) compared with 4\u00b76%\u2026", "author" : [ { "dropping-particle" : "", "family" : "Boehme", "given" : "Catharina C", "non-dropping-particle" : "", "parse-names" : false, "suffix" : "" }, { "dropping-particle" : "", "family" : "Nicol", "given" : "Mark P", "non-dropping-particle" : "", "parse-names" : false, "suffix" : "" }, { "dropping-particle" : "", "family" : "Nabeta", "given" : "Pamela", "non-dropping-particle" : "", "parse-names" : false, "suffix" : "" }, { "dropping-particle" : "", "family" : "Michael", "given" : "Joy S", "non-dropping-particle" : "", "parse-names" : false, "suffix" : "" }, { "dropping-particle" : "", "family" : "Gotuzzo", "given" : "Eduardo", "non-dropping-particle" : "", "parse-names" : false, "suffix" : "" }, { "dropping-particle" : "", "family" : "Tahirli", "given" : "Rasim", "non-dropping-particle" : "", "parse-names" : false, "suffix" : "" }, { "dropping-particle" : "", "family" : "Gler", "given" : "Ma Tarcela", "non-dropping-particle" : "", "parse-names" : false, "suffix" : "" }, { "dropping-particle" : "", "family" : "Blakemore", "given" : "Robert", "non-dropping-particle" : "", "parse-names" : false, "suffix" : "" }, { "dropping-particle" : "", "family" : "Worodria", "given" : "William", "non-dropping-particle" : "", "parse-names" : false, "suffix" : "" }, { "dropping-particle" : "", "family" : "Gray", "given" : "Christen", "non-dropping-particle" : "", "parse-names" : false, "suffix" : "" }, { "dropping-particle" : "", "family" : "Huang", "given" : "Laurence", "non-dropping-particle" : "", "parse-names" : false, "suffix" : "" }, { "dropping-particle" : "", "family" : "Caceres", "given" : "Tatiana", "non-dropping-particle" : "", "parse-names" : false, "suffix" : "" }, { "dropping-particle" : "", "family" : "Mehdiyev", "given" : "Rafail", "non-dropping-particle" : "", "parse-names" : false, "suffix" : "" }, { "dropping-particle" : "", "family" : "Raymond", "given" : "Lawrence", "non-dropping-particle" : "", "parse-names" : false, "suffix" : "" }, { "dropping-particle" : "", "family" : "Whitelaw", "given" : "Andrew", "non-dropping-particle" : "", "parse-names" : false, "suffix" : "" }, { "dropping-particle" : "", "family" : "Sagadevan", "given" : "Kalaiselvan", "non-dropping-particle" : "", "parse-names" : false, "suffix" : "" }, { "dropping-particle" : "", "family" : "Alexander", "given" : "Heather", "non-dropping-particle" : "", "parse-names" : false, "suffix" : "" }, { "dropping-particle" : "", "family" : "Albert", "given" : "Heidi", "non-dropping-particle" : "", "parse-names" : false, "suffix" : "" }, { "dropping-particle" : "", "family" : "Cobelens", "given" : "Frank", "non-dropping-particle" : "", "parse-names" : false, "suffix" : "" }, { "dropping-particle" : "", "family" : "Cox", "given" : "Helen", "non-dropping-particle" : "", "parse-names" : false, "suffix" : "" }, { "dropping-particle" : "", "family" : "Alland", "given" : "David", "non-dropping-particle" : "", "parse-names" : false, "suffix" : "" }, { "dropping-particle" : "", "family" : "Perkins", "given" : "Mark D", "non-dropping-particle" : "", "parse-names" : false, "suffix" : "" } ], "container-title" : "Lancet (London, England)", "id" : "ITEM-1", "issue" : "9776", "issued" : { "date-parts" : [ [ "2011", "4", "30" ] ] }, "page" : "1495-505", "publisher" : "Elsevier", "title" : "Feasibility, diagnostic accuracy, and effectiveness of decentralised use of the Xpert MTB/RIF test for diagnosis of tuberculosis and multidrug resistance: a multicentre implementation study.", "type" : "article-journal", "volume" : "377" }, "uris" : [ "http://www.mendeley.com/documents/?uuid=1ed4c53b-0922-3dea-a266-6e57b1fd2d64" ] } ], "mendeley" : { "formattedCitation" : "&lt;sup&gt;4&lt;/sup&gt;", "plainTextFormattedCitation" : "4", "previouslyFormattedCitation" : "&lt;sup&gt;4&lt;/sup&gt;" }, "properties" : { "noteIndex" : 0 }, "schema" : "https://github.com/citation-style-language/schema/raw/master/csl-citation.json" }</w:instrText>
      </w:r>
      <w:r w:rsidR="005B1329">
        <w:rPr>
          <w:szCs w:val="20"/>
        </w:rPr>
        <w:fldChar w:fldCharType="separate"/>
      </w:r>
      <w:r w:rsidR="0050723B" w:rsidRPr="0050723B">
        <w:rPr>
          <w:noProof/>
          <w:szCs w:val="20"/>
          <w:vertAlign w:val="superscript"/>
        </w:rPr>
        <w:t>4</w:t>
      </w:r>
      <w:r w:rsidR="005B1329">
        <w:rPr>
          <w:szCs w:val="20"/>
        </w:rPr>
        <w:fldChar w:fldCharType="end"/>
      </w:r>
      <w:r w:rsidR="002D6949">
        <w:rPr>
          <w:szCs w:val="20"/>
        </w:rPr>
        <w:t xml:space="preserve"> However, studies have reported variable </w:t>
      </w:r>
      <w:r w:rsidR="00F97895">
        <w:rPr>
          <w:szCs w:val="20"/>
        </w:rPr>
        <w:t>adherence to the Xpert-based algorithm</w:t>
      </w:r>
      <w:r w:rsidR="002D6949">
        <w:rPr>
          <w:szCs w:val="20"/>
        </w:rPr>
        <w:t>.</w:t>
      </w:r>
      <w:r w:rsidR="00BE5ACF">
        <w:rPr>
          <w:szCs w:val="20"/>
        </w:rPr>
        <w:t xml:space="preserve"> </w:t>
      </w:r>
      <w:r w:rsidR="00A65E32">
        <w:rPr>
          <w:lang w:val="en-US"/>
        </w:rPr>
        <w:t xml:space="preserve">A nationwide retrospective cohort study in South Africa </w:t>
      </w:r>
      <w:r w:rsidR="00474055">
        <w:rPr>
          <w:lang w:val="en-US"/>
        </w:rPr>
        <w:t xml:space="preserve">assessing </w:t>
      </w:r>
      <w:r w:rsidR="00A65E32">
        <w:rPr>
          <w:lang w:val="en-US"/>
        </w:rPr>
        <w:t xml:space="preserve">second-line treatment initiation reported that in 2013, after full </w:t>
      </w:r>
      <w:r w:rsidR="00701A89">
        <w:rPr>
          <w:lang w:val="en-US"/>
        </w:rPr>
        <w:t xml:space="preserve">national </w:t>
      </w:r>
      <w:r w:rsidR="00A65E32">
        <w:rPr>
          <w:lang w:val="en-US"/>
        </w:rPr>
        <w:t xml:space="preserve">rollout of Xpert, only 59% of </w:t>
      </w:r>
      <w:r w:rsidR="00561FE1">
        <w:rPr>
          <w:szCs w:val="20"/>
        </w:rPr>
        <w:t xml:space="preserve">RMP-R </w:t>
      </w:r>
      <w:r w:rsidR="00A65E32">
        <w:rPr>
          <w:lang w:val="en-US"/>
        </w:rPr>
        <w:t xml:space="preserve">TB cases received an initial </w:t>
      </w:r>
      <w:r w:rsidR="00874924">
        <w:rPr>
          <w:lang w:val="en-US"/>
        </w:rPr>
        <w:t xml:space="preserve">Xpert test and 63% of </w:t>
      </w:r>
      <w:r w:rsidR="00561FE1">
        <w:rPr>
          <w:szCs w:val="20"/>
        </w:rPr>
        <w:t xml:space="preserve">RMP-R </w:t>
      </w:r>
      <w:r w:rsidR="00874924">
        <w:rPr>
          <w:lang w:val="en-US"/>
        </w:rPr>
        <w:t>TB cases diagnosed started treatmen</w:t>
      </w:r>
      <w:r w:rsidR="000A791B">
        <w:rPr>
          <w:lang w:val="en-US"/>
        </w:rPr>
        <w:t>t.</w:t>
      </w:r>
      <w:r w:rsidR="00474055">
        <w:rPr>
          <w:lang w:val="en-US"/>
        </w:rPr>
        <w:fldChar w:fldCharType="begin" w:fldLock="1"/>
      </w:r>
      <w:r w:rsidR="006A5DC1">
        <w:rPr>
          <w:lang w:val="en-US"/>
        </w:rPr>
        <w:instrText>ADDIN CSL_CITATION { "citationItems" : [ { "id" : "ITEM-1", "itemData" : { "DOI" : "10.1371/journal.pmed.1002238", "ISSN" : "1549-1676", "author" : [ { "dropping-particle" : "", "family" : "Cox", "given" : "Helen", "non-dropping-particle" : "", "parse-names" : false, "suffix" : "" }, { "dropping-particle" : "", "family" : "Dickson-Hall", "given" : "Lindy", "non-dropping-particle" : "", "parse-names" : false, "suffix" : "" }, { "dropping-particle" : "", "family" : "Ndjeka", "given" : "Norbert", "non-dropping-particle" : "", "parse-names" : false, "suffix" : "" }, { "dropping-particle" : "", "family" : "van\u2019t Hoog", "given" : "Anja", "non-dropping-particle" : "", "parse-names" : false, "suffix" : "" }, { "dropping-particle" : "", "family" : "Grant", "given" : "Alison", "non-dropping-particle" : "", "parse-names" : false, "suffix" : "" }, { "dropping-particle" : "", "family" : "Cobelens", "given" : "Frank", "non-dropping-particle" : "", "parse-names" : false, "suffix" : "" }, { "dropping-particle" : "", "family" : "Stevens", "given" : "Wendy", "non-dropping-particle" : "", "parse-names" : false, "suffix" : "" }, { "dropping-particle" : "", "family" : "Nicol", "given" : "Mark", "non-dropping-particle" : "", "parse-names" : false, "suffix" : "" } ], "container-title" : "PLOS Medicine", "editor" : [ { "dropping-particle" : "", "family" : "Suthar", "given" : "Amitabh Bipin", "non-dropping-particle" : "", "parse-names" : false, "suffix" : "" } ], "id" : "ITEM-1", "issue" : "2", "issued" : { "date-parts" : [ [ "2017", "2", "21" ] ] }, "page" : "e1002238", "publisher" : "South African National Department of Health", "title" : "Delays and loss to follow-up before treatment of drug-resistant tuberculosis following implementation of Xpert MTB/RIF in South Africa: A retrospective cohort study", "type" : "article-journal", "volume" : "14" }, "uris" : [ "http://www.mendeley.com/documents/?uuid=dddec788-3810-3a96-bc94-231a877c6123" ] } ], "mendeley" : { "formattedCitation" : "&lt;sup&gt;5&lt;/sup&gt;", "plainTextFormattedCitation" : "5", "previouslyFormattedCitation" : "&lt;sup&gt;5&lt;/sup&gt;" }, "properties" : { "noteIndex" : 0 }, "schema" : "https://github.com/citation-style-language/schema/raw/master/csl-citation.json" }</w:instrText>
      </w:r>
      <w:r w:rsidR="00474055">
        <w:rPr>
          <w:lang w:val="en-US"/>
        </w:rPr>
        <w:fldChar w:fldCharType="separate"/>
      </w:r>
      <w:r w:rsidR="0050723B" w:rsidRPr="0050723B">
        <w:rPr>
          <w:noProof/>
          <w:vertAlign w:val="superscript"/>
          <w:lang w:val="en-US"/>
        </w:rPr>
        <w:t>5</w:t>
      </w:r>
      <w:r w:rsidR="00474055">
        <w:rPr>
          <w:lang w:val="en-US"/>
        </w:rPr>
        <w:fldChar w:fldCharType="end"/>
      </w:r>
    </w:p>
    <w:p w14:paraId="2C9E84AE" w14:textId="6ED72D8A" w:rsidR="00B856D6" w:rsidRDefault="003D3EDB" w:rsidP="004F74D3">
      <w:pPr>
        <w:rPr>
          <w:szCs w:val="20"/>
        </w:rPr>
      </w:pPr>
      <w:r>
        <w:rPr>
          <w:szCs w:val="20"/>
        </w:rPr>
        <w:t>The</w:t>
      </w:r>
      <w:r w:rsidR="002D6949">
        <w:rPr>
          <w:szCs w:val="20"/>
        </w:rPr>
        <w:t xml:space="preserve"> </w:t>
      </w:r>
      <w:r w:rsidR="002D6949" w:rsidRPr="00CF0341">
        <w:rPr>
          <w:szCs w:val="20"/>
        </w:rPr>
        <w:t>PROVE IT</w:t>
      </w:r>
      <w:r w:rsidR="002D6949">
        <w:rPr>
          <w:szCs w:val="20"/>
        </w:rPr>
        <w:t xml:space="preserve"> </w:t>
      </w:r>
      <w:r w:rsidR="002D6949" w:rsidRPr="00F64C29">
        <w:rPr>
          <w:szCs w:val="20"/>
        </w:rPr>
        <w:t>(Policy Relevant Outcomes from</w:t>
      </w:r>
      <w:r w:rsidR="002D6949">
        <w:rPr>
          <w:szCs w:val="20"/>
        </w:rPr>
        <w:t xml:space="preserve"> Validating Evidence on ImpacT)</w:t>
      </w:r>
      <w:r w:rsidR="002D6949" w:rsidRPr="00CF0341">
        <w:rPr>
          <w:szCs w:val="20"/>
        </w:rPr>
        <w:t xml:space="preserve"> Study</w:t>
      </w:r>
      <w:r w:rsidR="002D6949">
        <w:rPr>
          <w:szCs w:val="20"/>
        </w:rPr>
        <w:t xml:space="preserve"> evaluating the impact of Xpert </w:t>
      </w:r>
      <w:r w:rsidR="00131F72">
        <w:rPr>
          <w:szCs w:val="20"/>
        </w:rPr>
        <w:t xml:space="preserve"> in Cape Town</w:t>
      </w:r>
      <w:r w:rsidR="006F1E8F">
        <w:rPr>
          <w:szCs w:val="20"/>
        </w:rPr>
        <w:t>,</w:t>
      </w:r>
      <w:r w:rsidR="00131F72">
        <w:rPr>
          <w:szCs w:val="20"/>
        </w:rPr>
        <w:t xml:space="preserve"> South Africa</w:t>
      </w:r>
      <w:r w:rsidR="006F1E8F">
        <w:rPr>
          <w:szCs w:val="20"/>
        </w:rPr>
        <w:t>,</w:t>
      </w:r>
      <w:r w:rsidR="00131F72">
        <w:rPr>
          <w:szCs w:val="20"/>
        </w:rPr>
        <w:t xml:space="preserve"> </w:t>
      </w:r>
      <w:r w:rsidR="00843FD2">
        <w:rPr>
          <w:szCs w:val="20"/>
        </w:rPr>
        <w:t xml:space="preserve">compared the </w:t>
      </w:r>
      <w:r w:rsidR="0032718E">
        <w:rPr>
          <w:szCs w:val="20"/>
        </w:rPr>
        <w:t xml:space="preserve">proportion of </w:t>
      </w:r>
      <w:r w:rsidR="00C451A2">
        <w:rPr>
          <w:szCs w:val="20"/>
        </w:rPr>
        <w:t xml:space="preserve">RMP-R </w:t>
      </w:r>
      <w:r w:rsidR="0032718E">
        <w:rPr>
          <w:szCs w:val="20"/>
        </w:rPr>
        <w:t xml:space="preserve">TB cases diagnosed pre-treatment </w:t>
      </w:r>
      <w:r w:rsidR="002D6949">
        <w:rPr>
          <w:szCs w:val="20"/>
        </w:rPr>
        <w:t>in the</w:t>
      </w:r>
      <w:r w:rsidR="0032718E">
        <w:rPr>
          <w:szCs w:val="20"/>
        </w:rPr>
        <w:t xml:space="preserve"> smear/culture</w:t>
      </w:r>
      <w:r w:rsidR="005C4DC2">
        <w:rPr>
          <w:szCs w:val="20"/>
        </w:rPr>
        <w:t>-based</w:t>
      </w:r>
      <w:r w:rsidR="0032718E">
        <w:rPr>
          <w:szCs w:val="20"/>
        </w:rPr>
        <w:t xml:space="preserve"> and Xpert-based algorithm</w:t>
      </w:r>
      <w:r w:rsidR="002D6949">
        <w:rPr>
          <w:szCs w:val="20"/>
        </w:rPr>
        <w:t>s</w:t>
      </w:r>
      <w:r w:rsidR="0032718E">
        <w:rPr>
          <w:szCs w:val="20"/>
        </w:rPr>
        <w:t>.</w:t>
      </w:r>
      <w:r w:rsidR="00FA6336">
        <w:rPr>
          <w:szCs w:val="20"/>
        </w:rPr>
        <w:fldChar w:fldCharType="begin" w:fldLock="1"/>
      </w:r>
      <w:r w:rsidR="003147E8">
        <w:rPr>
          <w:szCs w:val="20"/>
        </w:rPr>
        <w:instrText>ADDIN CSL_CITATION { "citationItems" : [ { "id" : "ITEM-1", "itemData" : { "DOI" : "10.1371/journal.pone.0172143", "ISSN" : "1932-6203", "author" : [ { "dropping-particle" : "", "family" : "Naidoo", "given" : "Pren", "non-dropping-particle" : "", "parse-names" : false, "suffix" : "" }, { "dropping-particle" : "", "family" : "Dunbar", "given" : "Rory", "non-dropping-particle" : "", "parse-names" : false, "suffix" : "" }, { "dropping-particle" : "", "family" : "Caldwell", "given" : "Judy", "non-dropping-particle" : "", "parse-names" : false, "suffix" : "" }, { "dropping-particle" : "", "family" : "Lombard", "given" : "Carl", "non-dropping-particle" : "", "parse-names" : false, "suffix" : "" }, { "dropping-particle" : "", "family" : "Beyers", "given" : "Nulda", "non-dropping-particle" : "", "parse-names" : false, "suffix" : "" } ], "container-title" : "PLOS ONE", "editor" : [ { "dropping-particle" : "", "family" : "Pai", "given" : "Madhukar", "non-dropping-particle" : "", "parse-names" : false, "suffix" : "" } ], "id" : "ITEM-1", "issue" : "2", "issued" : { "date-parts" : [ [ "2017", "2", "15" ] ] }, "page" : "e0172143", "publisher" : "Public Library of Science", "title" : "Has universal screening with Xpert\u00ae MTB/RIF increased the proportion of multidrug-resistant tuberculosis cases diagnosed in a routine operational setting?", "type" : "article-journal", "volume" : "12" }, "uris" : [ "http://www.mendeley.com/documents/?uuid=ec19f3b9-b35a-3fa9-bb81-f957bbf073fc" ] } ], "mendeley" : { "formattedCitation" : "&lt;sup&gt;6&lt;/sup&gt;", "plainTextFormattedCitation" : "6", "previouslyFormattedCitation" : "&lt;sup&gt;6&lt;/sup&gt;" }, "properties" : { "noteIndex" : 0 }, "schema" : "https://github.com/citation-style-language/schema/raw/master/csl-citation.json" }</w:instrText>
      </w:r>
      <w:r w:rsidR="00FA6336">
        <w:rPr>
          <w:szCs w:val="20"/>
        </w:rPr>
        <w:fldChar w:fldCharType="separate"/>
      </w:r>
      <w:r w:rsidR="0050723B" w:rsidRPr="0050723B">
        <w:rPr>
          <w:noProof/>
          <w:szCs w:val="20"/>
          <w:vertAlign w:val="superscript"/>
        </w:rPr>
        <w:t>6</w:t>
      </w:r>
      <w:r w:rsidR="00FA6336">
        <w:rPr>
          <w:szCs w:val="20"/>
        </w:rPr>
        <w:fldChar w:fldCharType="end"/>
      </w:r>
      <w:r w:rsidR="00FA6336">
        <w:rPr>
          <w:szCs w:val="20"/>
        </w:rPr>
        <w:t xml:space="preserve"> </w:t>
      </w:r>
      <w:r w:rsidR="00457333">
        <w:rPr>
          <w:szCs w:val="20"/>
        </w:rPr>
        <w:t xml:space="preserve">This study found that the proportion </w:t>
      </w:r>
      <w:r w:rsidR="005411D0">
        <w:rPr>
          <w:szCs w:val="20"/>
        </w:rPr>
        <w:t xml:space="preserve">of TB cases with DST </w:t>
      </w:r>
      <w:r w:rsidR="00066EC3" w:rsidRPr="00066EC3">
        <w:rPr>
          <w:szCs w:val="20"/>
        </w:rPr>
        <w:t xml:space="preserve">undertaken pre-treatment </w:t>
      </w:r>
      <w:r w:rsidR="005411D0">
        <w:rPr>
          <w:szCs w:val="20"/>
        </w:rPr>
        <w:t>increased from</w:t>
      </w:r>
      <w:r w:rsidR="00066EC3" w:rsidRPr="00066EC3">
        <w:rPr>
          <w:szCs w:val="20"/>
        </w:rPr>
        <w:t xml:space="preserve"> 42.7% </w:t>
      </w:r>
      <w:r w:rsidR="007B0041">
        <w:rPr>
          <w:szCs w:val="20"/>
        </w:rPr>
        <w:t>in the</w:t>
      </w:r>
      <w:r w:rsidR="0091386C">
        <w:rPr>
          <w:szCs w:val="20"/>
        </w:rPr>
        <w:t xml:space="preserve"> smear/culture-based </w:t>
      </w:r>
      <w:r w:rsidR="007B0041">
        <w:rPr>
          <w:szCs w:val="20"/>
        </w:rPr>
        <w:t xml:space="preserve">algorithm </w:t>
      </w:r>
      <w:r w:rsidR="00066EC3" w:rsidRPr="00066EC3">
        <w:rPr>
          <w:szCs w:val="20"/>
        </w:rPr>
        <w:t xml:space="preserve">to 78.9% in </w:t>
      </w:r>
      <w:r w:rsidR="007B0041">
        <w:rPr>
          <w:szCs w:val="20"/>
        </w:rPr>
        <w:t xml:space="preserve">the </w:t>
      </w:r>
      <w:r w:rsidR="0091386C">
        <w:rPr>
          <w:szCs w:val="20"/>
        </w:rPr>
        <w:t>Xpert-based algorithm</w:t>
      </w:r>
      <w:r w:rsidR="00827502">
        <w:rPr>
          <w:szCs w:val="20"/>
        </w:rPr>
        <w:t xml:space="preserve">. The proportion of </w:t>
      </w:r>
      <w:r w:rsidR="00F97895">
        <w:rPr>
          <w:szCs w:val="20"/>
        </w:rPr>
        <w:t xml:space="preserve">TB cases with </w:t>
      </w:r>
      <w:r w:rsidR="00C451A2">
        <w:rPr>
          <w:szCs w:val="20"/>
        </w:rPr>
        <w:t xml:space="preserve">RMP-R </w:t>
      </w:r>
      <w:r w:rsidR="00827502">
        <w:rPr>
          <w:szCs w:val="20"/>
        </w:rPr>
        <w:t xml:space="preserve">diagnosed </w:t>
      </w:r>
      <w:r w:rsidR="00F97895">
        <w:rPr>
          <w:szCs w:val="20"/>
        </w:rPr>
        <w:t>was</w:t>
      </w:r>
      <w:r w:rsidR="00F97895" w:rsidRPr="00066EC3">
        <w:rPr>
          <w:szCs w:val="20"/>
        </w:rPr>
        <w:t xml:space="preserve"> </w:t>
      </w:r>
      <w:r w:rsidR="00066EC3" w:rsidRPr="00066EC3">
        <w:rPr>
          <w:szCs w:val="20"/>
        </w:rPr>
        <w:t>5.5% and 7.7%</w:t>
      </w:r>
      <w:r w:rsidR="00827502">
        <w:rPr>
          <w:szCs w:val="20"/>
        </w:rPr>
        <w:t xml:space="preserve"> </w:t>
      </w:r>
      <w:r w:rsidR="002D6949">
        <w:rPr>
          <w:szCs w:val="20"/>
        </w:rPr>
        <w:t xml:space="preserve">respectively </w:t>
      </w:r>
      <w:r w:rsidR="00827502">
        <w:rPr>
          <w:szCs w:val="20"/>
        </w:rPr>
        <w:t xml:space="preserve">- a </w:t>
      </w:r>
      <w:r w:rsidR="00D448CE">
        <w:rPr>
          <w:szCs w:val="20"/>
        </w:rPr>
        <w:t>33.3% increase</w:t>
      </w:r>
      <w:r w:rsidR="007A5254">
        <w:rPr>
          <w:szCs w:val="20"/>
        </w:rPr>
        <w:t xml:space="preserve"> in </w:t>
      </w:r>
      <w:r w:rsidR="00136075">
        <w:rPr>
          <w:szCs w:val="20"/>
        </w:rPr>
        <w:t xml:space="preserve">RMP-R </w:t>
      </w:r>
      <w:r w:rsidR="007A5254">
        <w:rPr>
          <w:szCs w:val="20"/>
        </w:rPr>
        <w:t>TB cases</w:t>
      </w:r>
      <w:r w:rsidR="005411D0">
        <w:rPr>
          <w:szCs w:val="20"/>
        </w:rPr>
        <w:t xml:space="preserve">. </w:t>
      </w:r>
      <w:r w:rsidR="004664A0">
        <w:rPr>
          <w:szCs w:val="20"/>
        </w:rPr>
        <w:t xml:space="preserve">A laboratory </w:t>
      </w:r>
      <w:r w:rsidR="002D6949">
        <w:rPr>
          <w:szCs w:val="20"/>
        </w:rPr>
        <w:t xml:space="preserve">costing study in PROVE </w:t>
      </w:r>
      <w:r w:rsidR="002D6949">
        <w:rPr>
          <w:szCs w:val="20"/>
        </w:rPr>
        <w:lastRenderedPageBreak/>
        <w:t>IT</w:t>
      </w:r>
      <w:r w:rsidR="004664A0">
        <w:rPr>
          <w:szCs w:val="20"/>
        </w:rPr>
        <w:t xml:space="preserve">, </w:t>
      </w:r>
      <w:r w:rsidR="007B0041">
        <w:rPr>
          <w:szCs w:val="20"/>
        </w:rPr>
        <w:t xml:space="preserve">reported </w:t>
      </w:r>
      <w:r w:rsidR="00F97895">
        <w:rPr>
          <w:szCs w:val="20"/>
        </w:rPr>
        <w:t xml:space="preserve">a 42% increase in overall TB diagnostic costs and </w:t>
      </w:r>
      <w:r w:rsidR="004664A0">
        <w:rPr>
          <w:szCs w:val="20"/>
        </w:rPr>
        <w:t xml:space="preserve">a 157% increase in the cost </w:t>
      </w:r>
      <w:r w:rsidR="00F97895">
        <w:rPr>
          <w:szCs w:val="20"/>
        </w:rPr>
        <w:t xml:space="preserve">per </w:t>
      </w:r>
      <w:r w:rsidR="004664A0">
        <w:rPr>
          <w:szCs w:val="20"/>
        </w:rPr>
        <w:t>TB case diagnos</w:t>
      </w:r>
      <w:r w:rsidR="00F97895">
        <w:rPr>
          <w:szCs w:val="20"/>
        </w:rPr>
        <w:t xml:space="preserve">ed </w:t>
      </w:r>
      <w:r w:rsidR="004664A0">
        <w:rPr>
          <w:szCs w:val="20"/>
        </w:rPr>
        <w:t xml:space="preserve">with the transition from a smear/culture to </w:t>
      </w:r>
      <w:r w:rsidR="00F97895">
        <w:rPr>
          <w:szCs w:val="20"/>
        </w:rPr>
        <w:t>the</w:t>
      </w:r>
      <w:r w:rsidR="004664A0">
        <w:rPr>
          <w:szCs w:val="20"/>
        </w:rPr>
        <w:t xml:space="preserve"> Xpert-based algorithm with a similar cost per MDR</w:t>
      </w:r>
      <w:r w:rsidR="00687095">
        <w:rPr>
          <w:szCs w:val="20"/>
        </w:rPr>
        <w:t xml:space="preserve">/RMP-R </w:t>
      </w:r>
      <w:r w:rsidR="004664A0">
        <w:rPr>
          <w:szCs w:val="20"/>
        </w:rPr>
        <w:t xml:space="preserve">TB case diagnosed of </w:t>
      </w:r>
      <w:r w:rsidR="00F525DA">
        <w:rPr>
          <w:szCs w:val="20"/>
        </w:rPr>
        <w:t>US$190.14 and US$183.86 respective</w:t>
      </w:r>
      <w:r w:rsidR="00F97895">
        <w:rPr>
          <w:szCs w:val="20"/>
        </w:rPr>
        <w:t>ly</w:t>
      </w:r>
      <w:r w:rsidR="00F525DA">
        <w:rPr>
          <w:szCs w:val="20"/>
        </w:rPr>
        <w:t>.</w:t>
      </w:r>
      <w:r w:rsidR="00476562">
        <w:rPr>
          <w:szCs w:val="20"/>
        </w:rPr>
        <w:fldChar w:fldCharType="begin" w:fldLock="1"/>
      </w:r>
      <w:r w:rsidR="006A5DC1">
        <w:rPr>
          <w:szCs w:val="20"/>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smear/culture and Xpert\u00ae MTB/RIF-based tuberculosis diagnostic algorithms", "type" : "article-journal", "volume" : "20" }, "uris" : [ "http://www.mendeley.com/documents/?uuid=5d15e329-b449-3eb5-a5c2-d8dfeae8435f" ] } ], "mendeley" : { "formattedCitation" : "&lt;sup&gt;7&lt;/sup&gt;", "plainTextFormattedCitation" : "7", "previouslyFormattedCitation" : "&lt;sup&gt;7&lt;/sup&gt;" }, "properties" : { "noteIndex" : 0 }, "schema" : "https://github.com/citation-style-language/schema/raw/master/csl-citation.json" }</w:instrText>
      </w:r>
      <w:r w:rsidR="00476562">
        <w:rPr>
          <w:szCs w:val="20"/>
        </w:rPr>
        <w:fldChar w:fldCharType="separate"/>
      </w:r>
      <w:r w:rsidR="0050723B" w:rsidRPr="0050723B">
        <w:rPr>
          <w:noProof/>
          <w:szCs w:val="20"/>
          <w:vertAlign w:val="superscript"/>
        </w:rPr>
        <w:t>7</w:t>
      </w:r>
      <w:r w:rsidR="00476562">
        <w:rPr>
          <w:szCs w:val="20"/>
        </w:rPr>
        <w:fldChar w:fldCharType="end"/>
      </w:r>
      <w:r w:rsidR="007B0041">
        <w:rPr>
          <w:szCs w:val="20"/>
        </w:rPr>
        <w:t xml:space="preserve"> Underlying difference</w:t>
      </w:r>
      <w:r w:rsidR="00755B10">
        <w:rPr>
          <w:szCs w:val="20"/>
        </w:rPr>
        <w:t>s</w:t>
      </w:r>
      <w:r w:rsidR="007B0041">
        <w:rPr>
          <w:szCs w:val="20"/>
        </w:rPr>
        <w:t xml:space="preserve"> in </w:t>
      </w:r>
      <w:r w:rsidR="00755B10">
        <w:rPr>
          <w:szCs w:val="20"/>
        </w:rPr>
        <w:t xml:space="preserve">the </w:t>
      </w:r>
      <w:r w:rsidR="007B0041">
        <w:rPr>
          <w:szCs w:val="20"/>
        </w:rPr>
        <w:t>population</w:t>
      </w:r>
      <w:r w:rsidR="00755B10">
        <w:rPr>
          <w:szCs w:val="20"/>
        </w:rPr>
        <w:t xml:space="preserve">s tested </w:t>
      </w:r>
      <w:r w:rsidR="004378CB" w:rsidRPr="004378CB">
        <w:rPr>
          <w:color w:val="FF0000"/>
          <w:szCs w:val="20"/>
        </w:rPr>
        <w:t>(prevalence of TB, HIV coinfection and drug resistance, TB cases with a previously history of TB treatment)</w:t>
      </w:r>
      <w:r w:rsidR="004378CB">
        <w:rPr>
          <w:szCs w:val="20"/>
        </w:rPr>
        <w:t xml:space="preserve"> </w:t>
      </w:r>
      <w:r w:rsidR="007B0041">
        <w:rPr>
          <w:szCs w:val="20"/>
        </w:rPr>
        <w:t xml:space="preserve">and adherence to the algorithms may have contributed to these findings and was a limitation </w:t>
      </w:r>
      <w:r w:rsidR="00026EBE">
        <w:rPr>
          <w:szCs w:val="20"/>
        </w:rPr>
        <w:t xml:space="preserve">in </w:t>
      </w:r>
      <w:r w:rsidR="007B0041">
        <w:rPr>
          <w:szCs w:val="20"/>
        </w:rPr>
        <w:t>both studies.</w:t>
      </w:r>
      <w:r w:rsidR="00755B10">
        <w:rPr>
          <w:szCs w:val="20"/>
        </w:rPr>
        <w:t xml:space="preserve"> </w:t>
      </w:r>
      <w:r w:rsidR="007B0041">
        <w:rPr>
          <w:szCs w:val="20"/>
        </w:rPr>
        <w:t xml:space="preserve"> </w:t>
      </w:r>
    </w:p>
    <w:p w14:paraId="4B1F6356" w14:textId="77777777" w:rsidR="008023A5" w:rsidRDefault="008E2D98" w:rsidP="004F74D3">
      <w:pPr>
        <w:rPr>
          <w:szCs w:val="20"/>
        </w:rPr>
      </w:pPr>
      <w:r>
        <w:rPr>
          <w:szCs w:val="20"/>
        </w:rPr>
        <w:t xml:space="preserve">This study </w:t>
      </w:r>
      <w:r w:rsidR="002C242E">
        <w:rPr>
          <w:szCs w:val="20"/>
        </w:rPr>
        <w:t>use</w:t>
      </w:r>
      <w:r w:rsidR="003D3EDB">
        <w:rPr>
          <w:szCs w:val="20"/>
        </w:rPr>
        <w:t>d</w:t>
      </w:r>
      <w:r w:rsidR="002C242E">
        <w:rPr>
          <w:szCs w:val="20"/>
        </w:rPr>
        <w:t xml:space="preserve"> an operationa</w:t>
      </w:r>
      <w:r w:rsidR="00F55BEB">
        <w:rPr>
          <w:szCs w:val="20"/>
        </w:rPr>
        <w:t>l</w:t>
      </w:r>
      <w:r w:rsidR="002C242E">
        <w:rPr>
          <w:szCs w:val="20"/>
        </w:rPr>
        <w:t xml:space="preserve"> model </w:t>
      </w:r>
      <w:r>
        <w:rPr>
          <w:szCs w:val="20"/>
        </w:rPr>
        <w:t xml:space="preserve">to </w:t>
      </w:r>
      <w:r w:rsidR="00EF2526">
        <w:rPr>
          <w:szCs w:val="20"/>
        </w:rPr>
        <w:t xml:space="preserve">compare the </w:t>
      </w:r>
      <w:r w:rsidR="0001196B">
        <w:rPr>
          <w:szCs w:val="20"/>
        </w:rPr>
        <w:t>number</w:t>
      </w:r>
      <w:r w:rsidR="0008649D">
        <w:rPr>
          <w:szCs w:val="20"/>
        </w:rPr>
        <w:t xml:space="preserve"> and proportion</w:t>
      </w:r>
      <w:r w:rsidR="0001196B">
        <w:rPr>
          <w:szCs w:val="20"/>
        </w:rPr>
        <w:t xml:space="preserve"> </w:t>
      </w:r>
      <w:r w:rsidR="00F676CF">
        <w:rPr>
          <w:szCs w:val="20"/>
        </w:rPr>
        <w:t>o</w:t>
      </w:r>
      <w:r w:rsidR="00944ADF">
        <w:rPr>
          <w:szCs w:val="20"/>
        </w:rPr>
        <w:t xml:space="preserve">f </w:t>
      </w:r>
      <w:r w:rsidR="0008649D">
        <w:rPr>
          <w:szCs w:val="20"/>
        </w:rPr>
        <w:t xml:space="preserve">RMP-R </w:t>
      </w:r>
      <w:r w:rsidR="00E47E77">
        <w:rPr>
          <w:szCs w:val="20"/>
        </w:rPr>
        <w:t xml:space="preserve">TB </w:t>
      </w:r>
      <w:r w:rsidR="00944ADF">
        <w:rPr>
          <w:szCs w:val="20"/>
        </w:rPr>
        <w:t xml:space="preserve">cases </w:t>
      </w:r>
      <w:r w:rsidR="0008649D">
        <w:rPr>
          <w:szCs w:val="20"/>
        </w:rPr>
        <w:t>identified</w:t>
      </w:r>
      <w:r w:rsidR="00065804">
        <w:rPr>
          <w:szCs w:val="20"/>
        </w:rPr>
        <w:t>,</w:t>
      </w:r>
      <w:r w:rsidR="00CF0D83">
        <w:rPr>
          <w:szCs w:val="20"/>
        </w:rPr>
        <w:t xml:space="preserve"> </w:t>
      </w:r>
      <w:r w:rsidR="00EF2526">
        <w:rPr>
          <w:szCs w:val="20"/>
        </w:rPr>
        <w:t xml:space="preserve">and </w:t>
      </w:r>
      <w:r w:rsidR="00F676CF">
        <w:rPr>
          <w:szCs w:val="20"/>
        </w:rPr>
        <w:t xml:space="preserve">the </w:t>
      </w:r>
      <w:r w:rsidR="00EF2526">
        <w:rPr>
          <w:szCs w:val="20"/>
        </w:rPr>
        <w:t xml:space="preserve">cost </w:t>
      </w:r>
      <w:r w:rsidR="00474055">
        <w:rPr>
          <w:szCs w:val="20"/>
        </w:rPr>
        <w:t xml:space="preserve">per </w:t>
      </w:r>
      <w:r w:rsidR="0008649D">
        <w:rPr>
          <w:szCs w:val="20"/>
        </w:rPr>
        <w:t xml:space="preserve">RMP-R </w:t>
      </w:r>
      <w:r w:rsidR="00EF2526">
        <w:rPr>
          <w:szCs w:val="20"/>
        </w:rPr>
        <w:t xml:space="preserve">TB </w:t>
      </w:r>
      <w:r w:rsidR="00474055">
        <w:rPr>
          <w:szCs w:val="20"/>
        </w:rPr>
        <w:t xml:space="preserve">case </w:t>
      </w:r>
      <w:r w:rsidR="001D5894">
        <w:rPr>
          <w:szCs w:val="20"/>
        </w:rPr>
        <w:t>identified</w:t>
      </w:r>
      <w:r w:rsidR="00474055">
        <w:rPr>
          <w:szCs w:val="20"/>
        </w:rPr>
        <w:t xml:space="preserve"> </w:t>
      </w:r>
      <w:r w:rsidR="00EF2526">
        <w:rPr>
          <w:szCs w:val="20"/>
        </w:rPr>
        <w:t xml:space="preserve">between a smear/culture and </w:t>
      </w:r>
      <w:r w:rsidR="00853D22">
        <w:rPr>
          <w:szCs w:val="20"/>
        </w:rPr>
        <w:t xml:space="preserve">an </w:t>
      </w:r>
      <w:r w:rsidR="00EF2526">
        <w:rPr>
          <w:szCs w:val="20"/>
        </w:rPr>
        <w:t>Xpert-based algorithm.</w:t>
      </w:r>
      <w:r w:rsidR="009669E0">
        <w:rPr>
          <w:szCs w:val="20"/>
        </w:rPr>
        <w:t xml:space="preserve"> </w:t>
      </w:r>
      <w:r w:rsidR="00853D22" w:rsidRPr="001D5894">
        <w:rPr>
          <w:szCs w:val="20"/>
        </w:rPr>
        <w:t>Since</w:t>
      </w:r>
      <w:r w:rsidR="009669E0" w:rsidRPr="001D5894">
        <w:rPr>
          <w:szCs w:val="20"/>
        </w:rPr>
        <w:t xml:space="preserve"> adherence to the Xpert-based algorithm </w:t>
      </w:r>
      <w:r w:rsidR="00E47E77" w:rsidRPr="001D5894">
        <w:rPr>
          <w:szCs w:val="20"/>
        </w:rPr>
        <w:t xml:space="preserve">in South Africa </w:t>
      </w:r>
      <w:r w:rsidR="00853D22" w:rsidRPr="001D5894">
        <w:rPr>
          <w:szCs w:val="20"/>
        </w:rPr>
        <w:t>has been sub-optimal</w:t>
      </w:r>
      <w:r w:rsidR="00852525">
        <w:rPr>
          <w:szCs w:val="20"/>
        </w:rPr>
        <w:t>,</w:t>
      </w:r>
      <w:r w:rsidR="00853D22" w:rsidRPr="001D5894">
        <w:rPr>
          <w:szCs w:val="20"/>
        </w:rPr>
        <w:t xml:space="preserve"> </w:t>
      </w:r>
      <w:r w:rsidR="001D5894" w:rsidRPr="001D5894">
        <w:rPr>
          <w:szCs w:val="20"/>
        </w:rPr>
        <w:t>we evaluated the effect of increased adherence to the algorithm and increased HIV testing amongst presumptive TB cases (which influences the ability to diagnose Xpert-negative TB cases</w:t>
      </w:r>
      <w:r w:rsidR="001D5894" w:rsidRPr="00026EBE">
        <w:rPr>
          <w:szCs w:val="20"/>
        </w:rPr>
        <w:t>) on the number and proportio</w:t>
      </w:r>
      <w:r w:rsidR="00F13078">
        <w:rPr>
          <w:szCs w:val="20"/>
        </w:rPr>
        <w:t>n of RMP-R TB cases identified.</w:t>
      </w:r>
    </w:p>
    <w:p w14:paraId="47E615D0" w14:textId="77777777" w:rsidR="008A1BFA" w:rsidRDefault="008A1BFA" w:rsidP="00C87543">
      <w:pPr>
        <w:pStyle w:val="Default"/>
        <w:spacing w:line="360" w:lineRule="auto"/>
        <w:jc w:val="both"/>
        <w:rPr>
          <w:rFonts w:ascii="Arial" w:hAnsi="Arial" w:cs="Arial"/>
          <w:b/>
          <w:color w:val="auto"/>
        </w:rPr>
      </w:pPr>
      <w:r w:rsidRPr="008A1BFA">
        <w:rPr>
          <w:rFonts w:ascii="Arial" w:hAnsi="Arial" w:cs="Arial"/>
          <w:b/>
          <w:color w:val="auto"/>
        </w:rPr>
        <w:t>Methods</w:t>
      </w:r>
    </w:p>
    <w:p w14:paraId="60DFA6C6" w14:textId="77777777" w:rsidR="00A135FF" w:rsidRPr="004F74D3" w:rsidRDefault="00A135FF" w:rsidP="00A135FF">
      <w:pPr>
        <w:pStyle w:val="Default"/>
        <w:spacing w:line="360" w:lineRule="auto"/>
        <w:jc w:val="both"/>
        <w:rPr>
          <w:rFonts w:ascii="Arial" w:hAnsi="Arial" w:cs="Arial"/>
          <w:b/>
          <w:color w:val="auto"/>
          <w:sz w:val="22"/>
          <w:szCs w:val="22"/>
        </w:rPr>
      </w:pPr>
      <w:r w:rsidRPr="004F74D3">
        <w:rPr>
          <w:rFonts w:ascii="Arial" w:hAnsi="Arial" w:cs="Arial"/>
          <w:b/>
          <w:color w:val="auto"/>
          <w:sz w:val="22"/>
          <w:szCs w:val="22"/>
        </w:rPr>
        <w:t>Definitions</w:t>
      </w:r>
    </w:p>
    <w:p w14:paraId="7F0DEE71" w14:textId="2CB52AC0" w:rsidR="00A135FF" w:rsidRPr="004F74D3" w:rsidRDefault="00A135FF" w:rsidP="004F74D3">
      <w:pPr>
        <w:pStyle w:val="Default"/>
        <w:spacing w:line="360" w:lineRule="auto"/>
        <w:jc w:val="both"/>
        <w:rPr>
          <w:rFonts w:ascii="Arial" w:hAnsi="Arial" w:cs="Arial"/>
          <w:i/>
          <w:color w:val="auto"/>
          <w:sz w:val="22"/>
          <w:szCs w:val="22"/>
        </w:rPr>
      </w:pPr>
      <w:r w:rsidRPr="004F74D3">
        <w:rPr>
          <w:rFonts w:ascii="Arial" w:hAnsi="Arial" w:cs="Arial"/>
          <w:b/>
          <w:i/>
          <w:color w:val="auto"/>
          <w:sz w:val="22"/>
          <w:szCs w:val="22"/>
        </w:rPr>
        <w:t>Presumptive case:</w:t>
      </w:r>
      <w:r w:rsidRPr="004F74D3">
        <w:rPr>
          <w:rFonts w:ascii="Arial" w:hAnsi="Arial" w:cs="Arial"/>
          <w:i/>
          <w:color w:val="auto"/>
          <w:sz w:val="22"/>
          <w:szCs w:val="22"/>
        </w:rPr>
        <w:t xml:space="preserve"> </w:t>
      </w:r>
      <w:r w:rsidR="00A01DC8" w:rsidRPr="004F74D3">
        <w:rPr>
          <w:rFonts w:ascii="Arial" w:hAnsi="Arial" w:cs="Arial"/>
          <w:i/>
          <w:color w:val="auto"/>
          <w:sz w:val="22"/>
          <w:szCs w:val="22"/>
        </w:rPr>
        <w:t xml:space="preserve">We defined a </w:t>
      </w:r>
      <w:r w:rsidR="00AB0DE8" w:rsidRPr="004F74D3">
        <w:rPr>
          <w:rFonts w:ascii="Arial" w:hAnsi="Arial" w:cs="Arial"/>
          <w:i/>
          <w:color w:val="auto"/>
          <w:sz w:val="22"/>
          <w:szCs w:val="22"/>
        </w:rPr>
        <w:t>p</w:t>
      </w:r>
      <w:r w:rsidR="00A01DC8" w:rsidRPr="004F74D3">
        <w:rPr>
          <w:rFonts w:ascii="Arial" w:hAnsi="Arial" w:cs="Arial"/>
          <w:i/>
          <w:color w:val="auto"/>
          <w:sz w:val="22"/>
          <w:szCs w:val="22"/>
        </w:rPr>
        <w:t xml:space="preserve">resumptive </w:t>
      </w:r>
      <w:r w:rsidR="00E055DE" w:rsidRPr="004F74D3">
        <w:rPr>
          <w:rFonts w:ascii="Arial" w:hAnsi="Arial" w:cs="Arial"/>
          <w:i/>
          <w:color w:val="auto"/>
          <w:sz w:val="22"/>
          <w:szCs w:val="22"/>
        </w:rPr>
        <w:t xml:space="preserve">TB </w:t>
      </w:r>
      <w:r w:rsidR="00A01DC8" w:rsidRPr="004F74D3">
        <w:rPr>
          <w:rFonts w:ascii="Arial" w:hAnsi="Arial" w:cs="Arial"/>
          <w:i/>
          <w:color w:val="auto"/>
          <w:sz w:val="22"/>
          <w:szCs w:val="22"/>
        </w:rPr>
        <w:t>c</w:t>
      </w:r>
      <w:r w:rsidRPr="004F74D3">
        <w:rPr>
          <w:rFonts w:ascii="Arial" w:hAnsi="Arial" w:cs="Arial"/>
          <w:i/>
          <w:color w:val="auto"/>
          <w:sz w:val="22"/>
          <w:szCs w:val="22"/>
        </w:rPr>
        <w:t>ase</w:t>
      </w:r>
      <w:r w:rsidR="00A01DC8" w:rsidRPr="004F74D3">
        <w:rPr>
          <w:rFonts w:ascii="Arial" w:hAnsi="Arial" w:cs="Arial"/>
          <w:i/>
          <w:color w:val="auto"/>
          <w:sz w:val="22"/>
          <w:szCs w:val="22"/>
        </w:rPr>
        <w:t xml:space="preserve"> </w:t>
      </w:r>
      <w:r w:rsidR="000D08E9" w:rsidRPr="004F74D3">
        <w:rPr>
          <w:rFonts w:ascii="Arial" w:hAnsi="Arial" w:cs="Arial"/>
          <w:i/>
          <w:color w:val="auto"/>
          <w:sz w:val="22"/>
          <w:szCs w:val="22"/>
        </w:rPr>
        <w:t xml:space="preserve">in the model </w:t>
      </w:r>
      <w:r w:rsidR="00A01DC8" w:rsidRPr="004F74D3">
        <w:rPr>
          <w:rFonts w:ascii="Arial" w:hAnsi="Arial" w:cs="Arial"/>
          <w:i/>
          <w:color w:val="auto"/>
          <w:sz w:val="22"/>
          <w:szCs w:val="22"/>
        </w:rPr>
        <w:t>as an individual who</w:t>
      </w:r>
      <w:r w:rsidRPr="004F74D3">
        <w:rPr>
          <w:rFonts w:ascii="Arial" w:hAnsi="Arial" w:cs="Arial"/>
          <w:i/>
          <w:color w:val="auto"/>
          <w:sz w:val="22"/>
          <w:szCs w:val="22"/>
        </w:rPr>
        <w:t xml:space="preserve"> had </w:t>
      </w:r>
      <w:r w:rsidR="00D41709" w:rsidRPr="004F74D3">
        <w:rPr>
          <w:rFonts w:ascii="Arial" w:hAnsi="Arial" w:cs="Arial"/>
          <w:i/>
          <w:color w:val="auto"/>
          <w:sz w:val="22"/>
          <w:szCs w:val="22"/>
        </w:rPr>
        <w:t xml:space="preserve">pre-treatment </w:t>
      </w:r>
      <w:r w:rsidRPr="004F74D3">
        <w:rPr>
          <w:rFonts w:ascii="Arial" w:hAnsi="Arial" w:cs="Arial"/>
          <w:i/>
          <w:color w:val="auto"/>
          <w:sz w:val="22"/>
          <w:szCs w:val="22"/>
        </w:rPr>
        <w:t xml:space="preserve">sputum </w:t>
      </w:r>
      <w:r w:rsidR="00297CB5" w:rsidRPr="004F74D3">
        <w:rPr>
          <w:rFonts w:ascii="Arial" w:hAnsi="Arial" w:cs="Arial"/>
          <w:i/>
          <w:color w:val="auto"/>
          <w:sz w:val="22"/>
          <w:szCs w:val="22"/>
        </w:rPr>
        <w:t>specimens</w:t>
      </w:r>
      <w:r w:rsidRPr="004F74D3">
        <w:rPr>
          <w:rFonts w:ascii="Arial" w:hAnsi="Arial" w:cs="Arial"/>
          <w:i/>
          <w:color w:val="auto"/>
          <w:sz w:val="22"/>
          <w:szCs w:val="22"/>
        </w:rPr>
        <w:t xml:space="preserve"> collected for </w:t>
      </w:r>
      <w:r w:rsidR="00B35E2B" w:rsidRPr="004F74D3">
        <w:rPr>
          <w:rFonts w:ascii="Arial" w:hAnsi="Arial" w:cs="Arial"/>
          <w:i/>
          <w:color w:val="auto"/>
          <w:sz w:val="22"/>
          <w:szCs w:val="22"/>
        </w:rPr>
        <w:t xml:space="preserve">TB </w:t>
      </w:r>
      <w:r w:rsidR="00D41709" w:rsidRPr="004F74D3">
        <w:rPr>
          <w:rFonts w:ascii="Arial" w:hAnsi="Arial" w:cs="Arial"/>
          <w:i/>
          <w:color w:val="auto"/>
          <w:sz w:val="22"/>
          <w:szCs w:val="22"/>
        </w:rPr>
        <w:t>diagnostic purposes</w:t>
      </w:r>
      <w:r w:rsidRPr="004F74D3">
        <w:rPr>
          <w:rFonts w:ascii="Arial" w:hAnsi="Arial" w:cs="Arial"/>
          <w:i/>
          <w:color w:val="auto"/>
          <w:sz w:val="22"/>
          <w:szCs w:val="22"/>
        </w:rPr>
        <w:t>.</w:t>
      </w:r>
    </w:p>
    <w:p w14:paraId="54815033" w14:textId="67E107FA" w:rsidR="00A135FF" w:rsidRPr="004F74D3" w:rsidRDefault="00A135FF" w:rsidP="004F74D3">
      <w:pPr>
        <w:pStyle w:val="Default"/>
        <w:spacing w:line="360" w:lineRule="auto"/>
        <w:jc w:val="both"/>
        <w:rPr>
          <w:rFonts w:ascii="Arial" w:hAnsi="Arial" w:cs="Arial"/>
          <w:i/>
          <w:color w:val="auto"/>
          <w:sz w:val="22"/>
          <w:szCs w:val="22"/>
        </w:rPr>
      </w:pPr>
      <w:r w:rsidRPr="004F74D3">
        <w:rPr>
          <w:rFonts w:ascii="Arial" w:hAnsi="Arial" w:cs="Arial"/>
          <w:b/>
          <w:i/>
          <w:color w:val="auto"/>
          <w:sz w:val="22"/>
          <w:szCs w:val="22"/>
        </w:rPr>
        <w:t>TB case:</w:t>
      </w:r>
      <w:r w:rsidRPr="004F74D3">
        <w:rPr>
          <w:rFonts w:ascii="Arial" w:hAnsi="Arial" w:cs="Arial"/>
          <w:color w:val="auto"/>
          <w:sz w:val="22"/>
          <w:szCs w:val="22"/>
        </w:rPr>
        <w:t xml:space="preserve"> </w:t>
      </w:r>
      <w:r w:rsidRPr="004F74D3">
        <w:rPr>
          <w:rFonts w:ascii="Arial" w:hAnsi="Arial" w:cs="Arial"/>
          <w:i/>
          <w:color w:val="auto"/>
          <w:sz w:val="22"/>
          <w:szCs w:val="22"/>
        </w:rPr>
        <w:t xml:space="preserve">We defined a TB case in the model as an individual with culture positive TB, irrespective of how the individual was ultimately </w:t>
      </w:r>
      <w:r w:rsidR="00B35E2B" w:rsidRPr="004F74D3">
        <w:rPr>
          <w:rFonts w:ascii="Arial" w:hAnsi="Arial" w:cs="Arial"/>
          <w:i/>
          <w:color w:val="auto"/>
          <w:sz w:val="22"/>
          <w:szCs w:val="22"/>
        </w:rPr>
        <w:t>identified</w:t>
      </w:r>
      <w:r w:rsidRPr="004F74D3">
        <w:rPr>
          <w:rFonts w:ascii="Arial" w:hAnsi="Arial" w:cs="Arial"/>
          <w:i/>
          <w:color w:val="auto"/>
          <w:sz w:val="22"/>
          <w:szCs w:val="22"/>
        </w:rPr>
        <w:t xml:space="preserve"> (</w:t>
      </w:r>
      <w:r w:rsidR="0080537D" w:rsidRPr="004F74D3">
        <w:rPr>
          <w:rFonts w:ascii="Arial" w:hAnsi="Arial" w:cs="Arial"/>
          <w:i/>
          <w:color w:val="auto"/>
          <w:sz w:val="22"/>
          <w:szCs w:val="22"/>
        </w:rPr>
        <w:t>i.e.</w:t>
      </w:r>
      <w:r w:rsidRPr="004F74D3">
        <w:rPr>
          <w:rFonts w:ascii="Arial" w:hAnsi="Arial" w:cs="Arial"/>
          <w:i/>
          <w:color w:val="auto"/>
          <w:sz w:val="22"/>
          <w:szCs w:val="22"/>
        </w:rPr>
        <w:t xml:space="preserve"> test</w:t>
      </w:r>
      <w:r w:rsidR="00E47E77" w:rsidRPr="004F74D3">
        <w:rPr>
          <w:rFonts w:ascii="Arial" w:hAnsi="Arial" w:cs="Arial"/>
          <w:i/>
          <w:color w:val="auto"/>
          <w:sz w:val="22"/>
          <w:szCs w:val="22"/>
        </w:rPr>
        <w:t>ed</w:t>
      </w:r>
      <w:r w:rsidRPr="004F74D3">
        <w:rPr>
          <w:rFonts w:ascii="Arial" w:hAnsi="Arial" w:cs="Arial"/>
          <w:i/>
          <w:color w:val="auto"/>
          <w:sz w:val="22"/>
          <w:szCs w:val="22"/>
        </w:rPr>
        <w:t xml:space="preserve"> positive by either sputum smear microscopy</w:t>
      </w:r>
      <w:r w:rsidR="002546A1" w:rsidRPr="004F74D3">
        <w:rPr>
          <w:rFonts w:ascii="Arial" w:hAnsi="Arial" w:cs="Arial"/>
          <w:i/>
          <w:color w:val="auto"/>
          <w:sz w:val="22"/>
          <w:szCs w:val="22"/>
        </w:rPr>
        <w:t xml:space="preserve"> or</w:t>
      </w:r>
      <w:r w:rsidRPr="004F74D3">
        <w:rPr>
          <w:rFonts w:ascii="Arial" w:hAnsi="Arial" w:cs="Arial"/>
          <w:i/>
          <w:color w:val="auto"/>
          <w:sz w:val="22"/>
          <w:szCs w:val="22"/>
        </w:rPr>
        <w:t xml:space="preserve"> culture or Xpert). False positive cases</w:t>
      </w:r>
      <w:r w:rsidR="001678EC">
        <w:rPr>
          <w:rFonts w:ascii="Arial" w:hAnsi="Arial" w:cs="Arial"/>
          <w:i/>
          <w:color w:val="auto"/>
          <w:sz w:val="22"/>
          <w:szCs w:val="22"/>
        </w:rPr>
        <w:t xml:space="preserve"> </w:t>
      </w:r>
      <w:r w:rsidR="001678EC" w:rsidRPr="001678EC">
        <w:rPr>
          <w:rFonts w:ascii="Arial" w:hAnsi="Arial" w:cs="Arial"/>
          <w:i/>
          <w:color w:val="FF0000"/>
          <w:sz w:val="22"/>
          <w:szCs w:val="22"/>
        </w:rPr>
        <w:t>(culture negative with a positive test result by either sputum smear microscopy or Xpert)</w:t>
      </w:r>
      <w:r w:rsidRPr="001678EC">
        <w:rPr>
          <w:rFonts w:ascii="Arial" w:hAnsi="Arial" w:cs="Arial"/>
          <w:i/>
          <w:color w:val="FF0000"/>
          <w:sz w:val="22"/>
          <w:szCs w:val="22"/>
        </w:rPr>
        <w:t xml:space="preserve"> </w:t>
      </w:r>
      <w:r w:rsidR="00832476" w:rsidRPr="004F74D3">
        <w:rPr>
          <w:rFonts w:ascii="Arial" w:hAnsi="Arial" w:cs="Arial"/>
          <w:i/>
          <w:color w:val="auto"/>
          <w:sz w:val="22"/>
          <w:szCs w:val="22"/>
        </w:rPr>
        <w:t xml:space="preserve">identified in the model </w:t>
      </w:r>
      <w:r w:rsidRPr="004F74D3">
        <w:rPr>
          <w:rFonts w:ascii="Arial" w:hAnsi="Arial" w:cs="Arial"/>
          <w:i/>
          <w:color w:val="auto"/>
          <w:sz w:val="22"/>
          <w:szCs w:val="22"/>
        </w:rPr>
        <w:t xml:space="preserve">were excluded.  </w:t>
      </w:r>
    </w:p>
    <w:p w14:paraId="7FEE84C6" w14:textId="0978F6A7" w:rsidR="00495A75" w:rsidRPr="004F74D3" w:rsidRDefault="0080537D" w:rsidP="004F74D3">
      <w:pPr>
        <w:pStyle w:val="Default"/>
        <w:spacing w:line="360" w:lineRule="auto"/>
        <w:jc w:val="both"/>
        <w:rPr>
          <w:rFonts w:ascii="Arial" w:hAnsi="Arial" w:cs="Arial"/>
          <w:i/>
          <w:color w:val="auto"/>
          <w:sz w:val="22"/>
          <w:szCs w:val="22"/>
        </w:rPr>
      </w:pPr>
      <w:r w:rsidRPr="004F74D3">
        <w:rPr>
          <w:rFonts w:ascii="Arial" w:hAnsi="Arial" w:cs="Arial"/>
          <w:b/>
          <w:i/>
          <w:color w:val="auto"/>
          <w:sz w:val="22"/>
          <w:szCs w:val="22"/>
        </w:rPr>
        <w:t>R</w:t>
      </w:r>
      <w:r w:rsidR="002546A1" w:rsidRPr="004F74D3">
        <w:rPr>
          <w:rFonts w:ascii="Arial" w:hAnsi="Arial" w:cs="Arial"/>
          <w:b/>
          <w:i/>
          <w:color w:val="auto"/>
          <w:sz w:val="22"/>
          <w:szCs w:val="22"/>
        </w:rPr>
        <w:t>MP-</w:t>
      </w:r>
      <w:r w:rsidRPr="004F74D3">
        <w:rPr>
          <w:rFonts w:ascii="Arial" w:hAnsi="Arial" w:cs="Arial"/>
          <w:b/>
          <w:i/>
          <w:color w:val="auto"/>
          <w:sz w:val="22"/>
          <w:szCs w:val="22"/>
        </w:rPr>
        <w:t>R</w:t>
      </w:r>
      <w:r w:rsidR="002546A1" w:rsidRPr="004F74D3">
        <w:rPr>
          <w:rFonts w:ascii="Arial" w:hAnsi="Arial" w:cs="Arial"/>
          <w:b/>
          <w:i/>
          <w:color w:val="auto"/>
          <w:sz w:val="22"/>
          <w:szCs w:val="22"/>
        </w:rPr>
        <w:t xml:space="preserve"> </w:t>
      </w:r>
      <w:r w:rsidR="00D41709" w:rsidRPr="004F74D3">
        <w:rPr>
          <w:rFonts w:ascii="Arial" w:hAnsi="Arial" w:cs="Arial"/>
          <w:b/>
          <w:i/>
          <w:color w:val="auto"/>
          <w:sz w:val="22"/>
          <w:szCs w:val="22"/>
        </w:rPr>
        <w:t>TB</w:t>
      </w:r>
      <w:r w:rsidRPr="004F74D3">
        <w:rPr>
          <w:rFonts w:ascii="Arial" w:hAnsi="Arial" w:cs="Arial"/>
          <w:b/>
          <w:i/>
          <w:color w:val="auto"/>
          <w:sz w:val="22"/>
          <w:szCs w:val="22"/>
        </w:rPr>
        <w:t xml:space="preserve"> case</w:t>
      </w:r>
      <w:r w:rsidR="00D22D65" w:rsidRPr="004F74D3">
        <w:rPr>
          <w:rFonts w:ascii="Arial" w:hAnsi="Arial" w:cs="Arial"/>
          <w:b/>
          <w:i/>
          <w:color w:val="auto"/>
          <w:sz w:val="22"/>
          <w:szCs w:val="22"/>
        </w:rPr>
        <w:t>:</w:t>
      </w:r>
      <w:r w:rsidR="00B35E2B" w:rsidRPr="004F74D3">
        <w:rPr>
          <w:rFonts w:ascii="Arial" w:hAnsi="Arial" w:cs="Arial"/>
          <w:color w:val="auto"/>
          <w:sz w:val="22"/>
          <w:szCs w:val="22"/>
        </w:rPr>
        <w:t xml:space="preserve"> </w:t>
      </w:r>
      <w:r w:rsidR="00B35E2B" w:rsidRPr="004F74D3">
        <w:rPr>
          <w:rFonts w:ascii="Arial" w:hAnsi="Arial" w:cs="Arial"/>
          <w:i/>
          <w:color w:val="auto"/>
          <w:sz w:val="22"/>
          <w:szCs w:val="22"/>
        </w:rPr>
        <w:t xml:space="preserve">We defined a RMP-R </w:t>
      </w:r>
      <w:r w:rsidR="00D22D65" w:rsidRPr="004F74D3">
        <w:rPr>
          <w:rFonts w:ascii="Arial" w:hAnsi="Arial" w:cs="Arial"/>
          <w:i/>
          <w:color w:val="auto"/>
          <w:sz w:val="22"/>
          <w:szCs w:val="22"/>
        </w:rPr>
        <w:t xml:space="preserve">TB case in the model as a TB case </w:t>
      </w:r>
      <w:r w:rsidR="00A236C7" w:rsidRPr="004F74D3">
        <w:rPr>
          <w:rFonts w:ascii="Arial" w:hAnsi="Arial" w:cs="Arial"/>
          <w:i/>
          <w:color w:val="auto"/>
          <w:sz w:val="22"/>
          <w:szCs w:val="22"/>
        </w:rPr>
        <w:t xml:space="preserve">with </w:t>
      </w:r>
      <w:r w:rsidR="00F93090" w:rsidRPr="004F74D3">
        <w:rPr>
          <w:rFonts w:ascii="Arial" w:hAnsi="Arial" w:cs="Arial"/>
          <w:i/>
          <w:color w:val="auto"/>
          <w:sz w:val="22"/>
          <w:szCs w:val="22"/>
        </w:rPr>
        <w:t>rifampicin resistance</w:t>
      </w:r>
      <w:r w:rsidR="00B35E2B" w:rsidRPr="004F74D3">
        <w:rPr>
          <w:rFonts w:ascii="Arial" w:hAnsi="Arial" w:cs="Arial"/>
          <w:i/>
          <w:color w:val="auto"/>
          <w:sz w:val="22"/>
          <w:szCs w:val="22"/>
        </w:rPr>
        <w:t>. F</w:t>
      </w:r>
      <w:r w:rsidR="00F93090" w:rsidRPr="004F74D3">
        <w:rPr>
          <w:rFonts w:ascii="Arial" w:hAnsi="Arial" w:cs="Arial"/>
          <w:i/>
          <w:color w:val="auto"/>
          <w:sz w:val="22"/>
          <w:szCs w:val="22"/>
        </w:rPr>
        <w:t>alse</w:t>
      </w:r>
      <w:r w:rsidR="00F64C82" w:rsidRPr="004F74D3">
        <w:rPr>
          <w:rFonts w:ascii="Arial" w:hAnsi="Arial" w:cs="Arial"/>
          <w:i/>
          <w:color w:val="auto"/>
          <w:sz w:val="22"/>
          <w:szCs w:val="22"/>
        </w:rPr>
        <w:t xml:space="preserve"> </w:t>
      </w:r>
      <w:r w:rsidR="007B01C5" w:rsidRPr="004F74D3">
        <w:rPr>
          <w:rFonts w:ascii="Arial" w:hAnsi="Arial" w:cs="Arial"/>
          <w:i/>
          <w:color w:val="auto"/>
          <w:sz w:val="22"/>
          <w:szCs w:val="22"/>
        </w:rPr>
        <w:t>positive</w:t>
      </w:r>
      <w:r w:rsidR="00F93090" w:rsidRPr="004F74D3">
        <w:rPr>
          <w:rFonts w:ascii="Arial" w:hAnsi="Arial" w:cs="Arial"/>
          <w:i/>
          <w:color w:val="auto"/>
          <w:sz w:val="22"/>
          <w:szCs w:val="22"/>
        </w:rPr>
        <w:t xml:space="preserve"> </w:t>
      </w:r>
      <w:r w:rsidR="00852525" w:rsidRPr="004F74D3">
        <w:rPr>
          <w:rFonts w:ascii="Arial" w:hAnsi="Arial" w:cs="Arial"/>
          <w:i/>
          <w:color w:val="auto"/>
          <w:sz w:val="22"/>
          <w:szCs w:val="22"/>
        </w:rPr>
        <w:t>RMP-R</w:t>
      </w:r>
      <w:r w:rsidR="00F93090" w:rsidRPr="004F74D3">
        <w:rPr>
          <w:rFonts w:ascii="Arial" w:hAnsi="Arial" w:cs="Arial"/>
          <w:i/>
          <w:color w:val="auto"/>
          <w:sz w:val="22"/>
          <w:szCs w:val="22"/>
        </w:rPr>
        <w:t xml:space="preserve"> TB cases</w:t>
      </w:r>
      <w:r w:rsidR="00B35E2B" w:rsidRPr="004F74D3">
        <w:rPr>
          <w:rFonts w:ascii="Arial" w:hAnsi="Arial" w:cs="Arial"/>
          <w:i/>
          <w:color w:val="auto"/>
          <w:sz w:val="22"/>
          <w:szCs w:val="22"/>
        </w:rPr>
        <w:t xml:space="preserve"> </w:t>
      </w:r>
      <w:r w:rsidR="00741907">
        <w:rPr>
          <w:rFonts w:cs="Arial"/>
          <w:color w:val="FF0000"/>
        </w:rPr>
        <w:t xml:space="preserve">(TB cases who are not RMP-R with an incorrect RMP-R result by either LPA or Xpert) </w:t>
      </w:r>
      <w:r w:rsidR="00B35E2B" w:rsidRPr="004F74D3">
        <w:rPr>
          <w:rFonts w:ascii="Arial" w:hAnsi="Arial" w:cs="Arial"/>
          <w:i/>
          <w:color w:val="auto"/>
          <w:sz w:val="22"/>
          <w:szCs w:val="22"/>
        </w:rPr>
        <w:t>were excluded</w:t>
      </w:r>
      <w:r w:rsidR="00F93090" w:rsidRPr="004F74D3">
        <w:rPr>
          <w:rFonts w:ascii="Arial" w:hAnsi="Arial" w:cs="Arial"/>
          <w:i/>
          <w:color w:val="auto"/>
          <w:sz w:val="22"/>
          <w:szCs w:val="22"/>
        </w:rPr>
        <w:t>.</w:t>
      </w:r>
      <w:r w:rsidR="00495A75" w:rsidRPr="004F74D3">
        <w:rPr>
          <w:rFonts w:ascii="Arial" w:hAnsi="Arial" w:cs="Arial"/>
          <w:i/>
          <w:color w:val="auto"/>
          <w:sz w:val="22"/>
          <w:szCs w:val="22"/>
        </w:rPr>
        <w:t xml:space="preserve"> </w:t>
      </w:r>
    </w:p>
    <w:p w14:paraId="7C688E5F" w14:textId="77777777" w:rsidR="00F2039C" w:rsidRPr="004F74D3" w:rsidRDefault="00F2039C" w:rsidP="004F74D3">
      <w:pPr>
        <w:pStyle w:val="Default"/>
        <w:spacing w:line="360" w:lineRule="auto"/>
        <w:jc w:val="both"/>
        <w:rPr>
          <w:rFonts w:ascii="Arial" w:hAnsi="Arial" w:cs="Arial"/>
          <w:i/>
          <w:color w:val="auto"/>
          <w:sz w:val="22"/>
          <w:szCs w:val="22"/>
        </w:rPr>
      </w:pPr>
      <w:r w:rsidRPr="004F74D3">
        <w:rPr>
          <w:rFonts w:ascii="Arial" w:hAnsi="Arial" w:cs="Arial"/>
          <w:b/>
          <w:i/>
          <w:color w:val="auto"/>
          <w:sz w:val="22"/>
          <w:szCs w:val="22"/>
        </w:rPr>
        <w:t xml:space="preserve">Adherence to algorithm: </w:t>
      </w:r>
      <w:r w:rsidR="0021352D" w:rsidRPr="004F74D3">
        <w:rPr>
          <w:rFonts w:ascii="Arial" w:hAnsi="Arial" w:cs="Arial"/>
          <w:i/>
          <w:color w:val="auto"/>
          <w:sz w:val="22"/>
          <w:szCs w:val="22"/>
        </w:rPr>
        <w:t xml:space="preserve">We defined adherence to </w:t>
      </w:r>
      <w:r w:rsidR="0014436C" w:rsidRPr="004F74D3">
        <w:rPr>
          <w:rFonts w:ascii="Arial" w:hAnsi="Arial" w:cs="Arial"/>
          <w:i/>
          <w:color w:val="auto"/>
          <w:sz w:val="22"/>
          <w:szCs w:val="22"/>
        </w:rPr>
        <w:t xml:space="preserve">an </w:t>
      </w:r>
      <w:r w:rsidR="0021352D" w:rsidRPr="004F74D3">
        <w:rPr>
          <w:rFonts w:ascii="Arial" w:hAnsi="Arial" w:cs="Arial"/>
          <w:i/>
          <w:color w:val="auto"/>
          <w:sz w:val="22"/>
          <w:szCs w:val="22"/>
        </w:rPr>
        <w:t>algorithm as the</w:t>
      </w:r>
      <w:r w:rsidR="0021352D" w:rsidRPr="004F74D3">
        <w:rPr>
          <w:rFonts w:ascii="Arial" w:hAnsi="Arial" w:cs="Arial"/>
          <w:b/>
          <w:i/>
          <w:color w:val="auto"/>
          <w:sz w:val="22"/>
          <w:szCs w:val="22"/>
        </w:rPr>
        <w:t xml:space="preserve"> </w:t>
      </w:r>
      <w:r w:rsidR="00D41709" w:rsidRPr="004F74D3">
        <w:rPr>
          <w:rFonts w:ascii="Arial" w:hAnsi="Arial" w:cs="Arial"/>
          <w:i/>
          <w:color w:val="auto"/>
          <w:sz w:val="22"/>
          <w:szCs w:val="22"/>
        </w:rPr>
        <w:t>proportion of</w:t>
      </w:r>
      <w:r w:rsidR="00D41709" w:rsidRPr="004F74D3">
        <w:rPr>
          <w:rFonts w:ascii="Arial" w:hAnsi="Arial" w:cs="Arial"/>
          <w:b/>
          <w:i/>
          <w:color w:val="auto"/>
          <w:sz w:val="22"/>
          <w:szCs w:val="22"/>
        </w:rPr>
        <w:t xml:space="preserve"> </w:t>
      </w:r>
      <w:r w:rsidRPr="004F74D3">
        <w:rPr>
          <w:rFonts w:ascii="Arial" w:hAnsi="Arial" w:cs="Arial"/>
          <w:i/>
          <w:color w:val="auto"/>
          <w:sz w:val="22"/>
          <w:szCs w:val="22"/>
        </w:rPr>
        <w:t xml:space="preserve">presumptive </w:t>
      </w:r>
      <w:r w:rsidR="00D41709" w:rsidRPr="004F74D3">
        <w:rPr>
          <w:rFonts w:ascii="Arial" w:hAnsi="Arial" w:cs="Arial"/>
          <w:i/>
          <w:color w:val="auto"/>
          <w:sz w:val="22"/>
          <w:szCs w:val="22"/>
        </w:rPr>
        <w:t xml:space="preserve">TB </w:t>
      </w:r>
      <w:r w:rsidRPr="004F74D3">
        <w:rPr>
          <w:rFonts w:ascii="Arial" w:hAnsi="Arial" w:cs="Arial"/>
          <w:i/>
          <w:color w:val="auto"/>
          <w:sz w:val="22"/>
          <w:szCs w:val="22"/>
        </w:rPr>
        <w:t xml:space="preserve">cases </w:t>
      </w:r>
      <w:r w:rsidR="00D41709" w:rsidRPr="004F74D3">
        <w:rPr>
          <w:rFonts w:ascii="Arial" w:hAnsi="Arial" w:cs="Arial"/>
          <w:i/>
          <w:color w:val="auto"/>
          <w:sz w:val="22"/>
          <w:szCs w:val="22"/>
        </w:rPr>
        <w:t xml:space="preserve">that </w:t>
      </w:r>
      <w:r w:rsidRPr="004F74D3">
        <w:rPr>
          <w:rFonts w:ascii="Arial" w:hAnsi="Arial" w:cs="Arial"/>
          <w:i/>
          <w:color w:val="auto"/>
          <w:sz w:val="22"/>
          <w:szCs w:val="22"/>
        </w:rPr>
        <w:t>receive</w:t>
      </w:r>
      <w:r w:rsidR="00D41709" w:rsidRPr="004F74D3">
        <w:rPr>
          <w:rFonts w:ascii="Arial" w:hAnsi="Arial" w:cs="Arial"/>
          <w:i/>
          <w:color w:val="auto"/>
          <w:sz w:val="22"/>
          <w:szCs w:val="22"/>
        </w:rPr>
        <w:t>d</w:t>
      </w:r>
      <w:r w:rsidRPr="004F74D3">
        <w:rPr>
          <w:rFonts w:ascii="Arial" w:hAnsi="Arial" w:cs="Arial"/>
          <w:i/>
          <w:color w:val="auto"/>
          <w:sz w:val="22"/>
          <w:szCs w:val="22"/>
        </w:rPr>
        <w:t xml:space="preserve"> the full sequence of test as stipulated by the diagnostic algorithm</w:t>
      </w:r>
      <w:r w:rsidR="001B63C0" w:rsidRPr="004F74D3">
        <w:rPr>
          <w:rFonts w:ascii="Arial" w:hAnsi="Arial" w:cs="Arial"/>
          <w:i/>
          <w:color w:val="auto"/>
          <w:sz w:val="22"/>
          <w:szCs w:val="22"/>
        </w:rPr>
        <w:t xml:space="preserve"> (</w:t>
      </w:r>
      <w:r w:rsidR="00D41709" w:rsidRPr="004F74D3">
        <w:rPr>
          <w:rFonts w:ascii="Arial" w:hAnsi="Arial" w:cs="Arial"/>
          <w:i/>
          <w:color w:val="auto"/>
          <w:sz w:val="22"/>
          <w:szCs w:val="22"/>
        </w:rPr>
        <w:t>Fig</w:t>
      </w:r>
      <w:r w:rsidR="001B63C0" w:rsidRPr="004F74D3">
        <w:rPr>
          <w:rFonts w:ascii="Arial" w:hAnsi="Arial" w:cs="Arial"/>
          <w:i/>
          <w:color w:val="auto"/>
          <w:sz w:val="22"/>
          <w:szCs w:val="22"/>
        </w:rPr>
        <w:t>ure</w:t>
      </w:r>
      <w:r w:rsidR="00D41709" w:rsidRPr="004F74D3">
        <w:rPr>
          <w:rFonts w:ascii="Arial" w:hAnsi="Arial" w:cs="Arial"/>
          <w:i/>
          <w:color w:val="auto"/>
          <w:sz w:val="22"/>
          <w:szCs w:val="22"/>
        </w:rPr>
        <w:t xml:space="preserve"> 1)</w:t>
      </w:r>
      <w:r w:rsidRPr="004F74D3">
        <w:rPr>
          <w:rFonts w:ascii="Arial" w:hAnsi="Arial" w:cs="Arial"/>
          <w:i/>
          <w:color w:val="auto"/>
          <w:sz w:val="22"/>
          <w:szCs w:val="22"/>
        </w:rPr>
        <w:t>.</w:t>
      </w:r>
      <w:r w:rsidR="001F1C76" w:rsidRPr="004F74D3">
        <w:rPr>
          <w:rFonts w:ascii="Arial" w:hAnsi="Arial" w:cs="Arial"/>
          <w:i/>
          <w:color w:val="auto"/>
          <w:sz w:val="22"/>
          <w:szCs w:val="22"/>
        </w:rPr>
        <w:fldChar w:fldCharType="begin" w:fldLock="1"/>
      </w:r>
      <w:r w:rsidR="006A5DC1" w:rsidRPr="004F74D3">
        <w:rPr>
          <w:rFonts w:ascii="Arial" w:hAnsi="Arial" w:cs="Arial"/>
          <w:i/>
          <w:color w:val="auto"/>
          <w:sz w:val="22"/>
          <w:szCs w:val="22"/>
        </w:rPr>
        <w:instrText>ADDIN CSL_CITATION { "citationItems" : [ { "id" : "ITEM-1", "itemData" : { "ISBN" : "9781920031824", "abstract" : "Tuberculosis and HIV/ AIDS are the drivers of morbidity and mortality in the country. Therefore more effort must be put into strategies that help us to: 1) reduce transmission of infection in the communities, 2) diagnose DS-TB and DR-TB early, 3) initiate treatment in all patients diagnosed with TB early, 4) retain patients in treatment and care until completion of treatment and 5) prevent TB in people lining with HIV by initiating all eligible HIV positive people on ART and Isoniazid preventive therapy. Implementing all these strategies in combination will help us as a country to attain the Millennium Development Goals. To this end, we have introduced new rapid diagnostic tests for drug susceptible and drug resistant TB, additional and new medicines for treating MDR and XDR-TB and are scaling up ward based outreach teams as part of PHC re engineering to provide care and support for patients at home and promote healthy lifestyle. Health care professionals play a pivotal role in the management of TB patients and we remain grateful for their dedication and hard work.", "author" : [ { "dropping-particle" : "", "family" : "Department of Health", "given" : "", "non-dropping-particle" : "", "parse-names" : false, "suffix" : "" } ], "id" : "ITEM-1", "issued" : { "date-parts" : [ [ "2014" ] ] }, "number-of-pages" : "19-28", "publisher-place" : "Pretoria, South Africa", "title" : "National Tuberculosis Management Guidelines 2014", "type" : "report" }, "uris" : [ "http://www.mendeley.com/documents/?uuid=451de89a-ef92-4293-9e5b-4c35009ba28c" ] } ], "mendeley" : { "formattedCitation" : "&lt;sup&gt;8&lt;/sup&gt;", "plainTextFormattedCitation" : "8", "previouslyFormattedCitation" : "&lt;sup&gt;8&lt;/sup&gt;" }, "properties" : { "noteIndex" : 0 }, "schema" : "https://github.com/citation-style-language/schema/raw/master/csl-citation.json" }</w:instrText>
      </w:r>
      <w:r w:rsidR="001F1C76" w:rsidRPr="004F74D3">
        <w:rPr>
          <w:rFonts w:ascii="Arial" w:hAnsi="Arial" w:cs="Arial"/>
          <w:i/>
          <w:color w:val="auto"/>
          <w:sz w:val="22"/>
          <w:szCs w:val="22"/>
        </w:rPr>
        <w:fldChar w:fldCharType="separate"/>
      </w:r>
      <w:r w:rsidR="0050723B" w:rsidRPr="004F74D3">
        <w:rPr>
          <w:rFonts w:ascii="Arial" w:hAnsi="Arial" w:cs="Arial"/>
          <w:noProof/>
          <w:color w:val="auto"/>
          <w:sz w:val="22"/>
          <w:szCs w:val="22"/>
          <w:vertAlign w:val="superscript"/>
        </w:rPr>
        <w:t>8</w:t>
      </w:r>
      <w:r w:rsidR="001F1C76" w:rsidRPr="004F74D3">
        <w:rPr>
          <w:rFonts w:ascii="Arial" w:hAnsi="Arial" w:cs="Arial"/>
          <w:i/>
          <w:color w:val="auto"/>
          <w:sz w:val="22"/>
          <w:szCs w:val="22"/>
        </w:rPr>
        <w:fldChar w:fldCharType="end"/>
      </w:r>
    </w:p>
    <w:p w14:paraId="4E67194C" w14:textId="77777777" w:rsidR="008A1BFA" w:rsidRDefault="008A1BFA" w:rsidP="00C87543">
      <w:pPr>
        <w:pStyle w:val="Default"/>
        <w:spacing w:line="360" w:lineRule="auto"/>
        <w:jc w:val="both"/>
        <w:rPr>
          <w:rFonts w:ascii="Arial" w:hAnsi="Arial" w:cs="Arial"/>
          <w:b/>
          <w:color w:val="auto"/>
          <w:sz w:val="20"/>
          <w:szCs w:val="20"/>
        </w:rPr>
      </w:pPr>
      <w:r w:rsidRPr="00264AB4">
        <w:rPr>
          <w:rFonts w:ascii="Arial" w:hAnsi="Arial" w:cs="Arial"/>
          <w:b/>
          <w:color w:val="auto"/>
          <w:sz w:val="20"/>
          <w:szCs w:val="20"/>
        </w:rPr>
        <w:t>Setting</w:t>
      </w:r>
      <w:r w:rsidR="00933159">
        <w:rPr>
          <w:rFonts w:ascii="Arial" w:hAnsi="Arial" w:cs="Arial"/>
          <w:b/>
          <w:color w:val="auto"/>
          <w:sz w:val="20"/>
          <w:szCs w:val="20"/>
        </w:rPr>
        <w:t xml:space="preserve"> and timeframe</w:t>
      </w:r>
    </w:p>
    <w:p w14:paraId="64425FDC" w14:textId="0893A3F2" w:rsidR="00BE0C88" w:rsidRDefault="00451A92" w:rsidP="004F74D3">
      <w:r>
        <w:t>The study is set in Cape Town</w:t>
      </w:r>
      <w:r w:rsidR="00700E39">
        <w:t>,</w:t>
      </w:r>
      <w:r w:rsidR="00700E39" w:rsidRPr="007334D5">
        <w:t xml:space="preserve"> one of the large cities in South Africa, with a population of 3.7 million in 2011 (National Census 2011</w:t>
      </w:r>
      <w:r w:rsidR="00700E39">
        <w:t xml:space="preserve">). </w:t>
      </w:r>
      <w:r w:rsidR="008C3A65">
        <w:t>MDR</w:t>
      </w:r>
      <w:r w:rsidR="00BF31C4">
        <w:t>/RMP-R</w:t>
      </w:r>
      <w:r w:rsidR="008C3A65">
        <w:t xml:space="preserve"> case notification among TB cases increase</w:t>
      </w:r>
      <w:r w:rsidR="00FE1660" w:rsidRPr="00FE1660">
        <w:rPr>
          <w:color w:val="FF0000"/>
        </w:rPr>
        <w:t>d</w:t>
      </w:r>
      <w:r w:rsidR="008C3A65">
        <w:t xml:space="preserve"> from 3.6%</w:t>
      </w:r>
      <w:r w:rsidR="008975DF">
        <w:t xml:space="preserve"> (1,020/28,644)</w:t>
      </w:r>
      <w:r w:rsidR="008C3A65">
        <w:t xml:space="preserve"> in 2011 to 4.4%</w:t>
      </w:r>
      <w:r w:rsidR="008975DF">
        <w:t xml:space="preserve"> (1,134/25,846)</w:t>
      </w:r>
      <w:r w:rsidR="008C3A65">
        <w:t xml:space="preserve"> in 2013 </w:t>
      </w:r>
      <w:r w:rsidR="008C3A65" w:rsidRPr="007334D5">
        <w:t>(Routine TB Programme Data, Cape Town Health Directorate, April 2016).</w:t>
      </w:r>
      <w:r w:rsidR="008C3A65">
        <w:t xml:space="preserve"> </w:t>
      </w:r>
    </w:p>
    <w:p w14:paraId="62CF3A98" w14:textId="6B1AA9D9" w:rsidR="00451A92" w:rsidRDefault="00BE0C88" w:rsidP="004F74D3">
      <w:r>
        <w:t>In Cape Town, f</w:t>
      </w:r>
      <w:r w:rsidR="00451A92">
        <w:t xml:space="preserve">ree </w:t>
      </w:r>
      <w:r w:rsidR="00451A92" w:rsidRPr="005F03FE">
        <w:t xml:space="preserve">TB diagnostic services are provided at 142 primary health care (PHC) facilities in eight health sub-districts. </w:t>
      </w:r>
      <w:r w:rsidR="00451A92">
        <w:t xml:space="preserve">All TB diagnostic tests are performed at a </w:t>
      </w:r>
      <w:r w:rsidR="00451A92" w:rsidRPr="005F03FE">
        <w:t>central</w:t>
      </w:r>
      <w:r w:rsidR="00451A92">
        <w:t xml:space="preserve"> </w:t>
      </w:r>
      <w:r w:rsidR="00451A92">
        <w:lastRenderedPageBreak/>
        <w:t>laboratory,</w:t>
      </w:r>
      <w:r w:rsidR="00451A92" w:rsidRPr="005F03FE">
        <w:t xml:space="preserve"> National Health Laboratory Services (NHLS)</w:t>
      </w:r>
      <w:r w:rsidR="00D1508A">
        <w:t>,</w:t>
      </w:r>
      <w:r w:rsidR="00451A92">
        <w:t xml:space="preserve"> with a</w:t>
      </w:r>
      <w:r w:rsidR="00451A92" w:rsidRPr="005F03FE">
        <w:t xml:space="preserve">ll sputum </w:t>
      </w:r>
      <w:r w:rsidR="00141966">
        <w:t>specimens</w:t>
      </w:r>
      <w:r w:rsidR="00451A92" w:rsidRPr="005F03FE">
        <w:t xml:space="preserve"> collected for TB testing at PHC facilities couriered to </w:t>
      </w:r>
      <w:r w:rsidR="00451A92">
        <w:t>NHLS</w:t>
      </w:r>
      <w:r w:rsidR="00451A92" w:rsidRPr="005F03FE">
        <w:t xml:space="preserve"> on a daily basis for testing and results returned to facilities via courier and fax.</w:t>
      </w:r>
    </w:p>
    <w:p w14:paraId="1BFC7AA3" w14:textId="5C0E3C03" w:rsidR="0002693C" w:rsidRDefault="0002693C" w:rsidP="004F74D3">
      <w:r>
        <w:t>Up until August 2011 a smear/culture-based algo</w:t>
      </w:r>
      <w:r w:rsidR="005E428A">
        <w:t>rithm was in place in Cape Town and f</w:t>
      </w:r>
      <w:r>
        <w:t>rom August 2011 an Xpert-based algorithm was introduced</w:t>
      </w:r>
      <w:r w:rsidR="005E428A">
        <w:t xml:space="preserve"> </w:t>
      </w:r>
      <w:r w:rsidR="000C1F5A">
        <w:t xml:space="preserve">with Xpert </w:t>
      </w:r>
      <w:r w:rsidR="000C1F5A" w:rsidRPr="00B54F05">
        <w:t>replacing smear microscopy</w:t>
      </w:r>
      <w:r w:rsidR="000C1F5A">
        <w:t xml:space="preserve"> as a 1</w:t>
      </w:r>
      <w:r w:rsidR="000C1F5A" w:rsidRPr="004E0794">
        <w:rPr>
          <w:vertAlign w:val="superscript"/>
        </w:rPr>
        <w:t>st</w:t>
      </w:r>
      <w:r w:rsidR="000C1F5A">
        <w:t>-line test</w:t>
      </w:r>
      <w:r w:rsidR="00161AD3">
        <w:t xml:space="preserve"> (Figure 1)</w:t>
      </w:r>
      <w:r w:rsidR="005E428A">
        <w:t xml:space="preserve">. The </w:t>
      </w:r>
      <w:r w:rsidR="00C45AFC">
        <w:t>rollout</w:t>
      </w:r>
      <w:r w:rsidR="005E428A">
        <w:t xml:space="preserve"> of the Xpert-based algorithm was completed by </w:t>
      </w:r>
      <w:r w:rsidR="00161AD3">
        <w:t>February 2013</w:t>
      </w:r>
      <w:r w:rsidR="00455F98">
        <w:t xml:space="preserve"> </w:t>
      </w:r>
      <w:r w:rsidR="00455F98" w:rsidRPr="00C46388">
        <w:rPr>
          <w:color w:val="FF0000"/>
        </w:rPr>
        <w:t xml:space="preserve">(16 </w:t>
      </w:r>
      <w:r w:rsidR="00C46388" w:rsidRPr="00C46388">
        <w:rPr>
          <w:color w:val="FF0000"/>
        </w:rPr>
        <w:t>Xpert</w:t>
      </w:r>
      <w:r w:rsidR="00455F98" w:rsidRPr="00C46388">
        <w:rPr>
          <w:color w:val="FF0000"/>
        </w:rPr>
        <w:t xml:space="preserve"> GX XVI modules</w:t>
      </w:r>
      <w:r w:rsidR="0086249E">
        <w:rPr>
          <w:color w:val="FF0000"/>
        </w:rPr>
        <w:t xml:space="preserve"> were introduced</w:t>
      </w:r>
      <w:r w:rsidR="003147E8">
        <w:rPr>
          <w:color w:val="FF0000"/>
        </w:rPr>
        <w:fldChar w:fldCharType="begin" w:fldLock="1"/>
      </w:r>
      <w:r w:rsidR="003147E8">
        <w:rPr>
          <w:color w:val="FF0000"/>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smear/culture and Xpert\u00ae MTB/RIF-based tuberculosis diagnostic algorithms", "type" : "article-journal", "volume" : "20" }, "uris" : [ "http://www.mendeley.com/documents/?uuid=5d15e329-b449-3eb5-a5c2-d8dfeae8435f" ] } ], "mendeley" : { "formattedCitation" : "&lt;sup&gt;7&lt;/sup&gt;", "plainTextFormattedCitation" : "7", "previouslyFormattedCitation" : "&lt;sup&gt;7&lt;/sup&gt;" }, "properties" : { "noteIndex" : 0 }, "schema" : "https://github.com/citation-style-language/schema/raw/master/csl-citation.json" }</w:instrText>
      </w:r>
      <w:r w:rsidR="003147E8">
        <w:rPr>
          <w:color w:val="FF0000"/>
        </w:rPr>
        <w:fldChar w:fldCharType="separate"/>
      </w:r>
      <w:r w:rsidR="003147E8" w:rsidRPr="003147E8">
        <w:rPr>
          <w:noProof/>
          <w:color w:val="FF0000"/>
          <w:vertAlign w:val="superscript"/>
        </w:rPr>
        <w:t>7</w:t>
      </w:r>
      <w:r w:rsidR="003147E8">
        <w:rPr>
          <w:color w:val="FF0000"/>
        </w:rPr>
        <w:fldChar w:fldCharType="end"/>
      </w:r>
      <w:r w:rsidR="00455F98" w:rsidRPr="00C46388">
        <w:rPr>
          <w:color w:val="FF0000"/>
        </w:rPr>
        <w:t>)</w:t>
      </w:r>
      <w:r w:rsidR="00161AD3">
        <w:t>.</w:t>
      </w:r>
    </w:p>
    <w:p w14:paraId="3FF985B9" w14:textId="77777777" w:rsidR="00AC30D4" w:rsidRDefault="0002693C" w:rsidP="007334D5">
      <w:pPr>
        <w:pStyle w:val="Default"/>
        <w:spacing w:line="360" w:lineRule="auto"/>
        <w:jc w:val="both"/>
        <w:rPr>
          <w:rFonts w:ascii="Arial" w:hAnsi="Arial" w:cs="Arial"/>
          <w:sz w:val="20"/>
          <w:szCs w:val="20"/>
        </w:rPr>
      </w:pPr>
      <w:r>
        <w:rPr>
          <w:rFonts w:ascii="Arial" w:hAnsi="Arial" w:cs="Arial"/>
          <w:sz w:val="20"/>
          <w:szCs w:val="20"/>
        </w:rPr>
        <w:t xml:space="preserve"> </w:t>
      </w:r>
    </w:p>
    <w:p w14:paraId="628BE11F" w14:textId="77777777" w:rsidR="00CB0625" w:rsidRPr="00CB0625" w:rsidRDefault="00CB0625" w:rsidP="00CB0625">
      <w:pPr>
        <w:pStyle w:val="Default"/>
        <w:spacing w:line="360" w:lineRule="auto"/>
        <w:jc w:val="both"/>
        <w:rPr>
          <w:rFonts w:ascii="Arial" w:hAnsi="Arial" w:cs="Arial"/>
          <w:b/>
          <w:color w:val="auto"/>
          <w:sz w:val="20"/>
          <w:szCs w:val="20"/>
        </w:rPr>
      </w:pPr>
      <w:r w:rsidRPr="00CB0625">
        <w:rPr>
          <w:rFonts w:ascii="Arial" w:hAnsi="Arial" w:cs="Arial"/>
          <w:b/>
          <w:color w:val="auto"/>
          <w:sz w:val="20"/>
          <w:szCs w:val="20"/>
        </w:rPr>
        <w:t>Model development</w:t>
      </w:r>
    </w:p>
    <w:p w14:paraId="2B485714" w14:textId="3457390B" w:rsidR="00CB0625" w:rsidRDefault="00445A5A" w:rsidP="00CB0625">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We developed and validated an operational model </w:t>
      </w:r>
      <w:r w:rsidRPr="007334D5">
        <w:rPr>
          <w:rFonts w:ascii="Arial" w:hAnsi="Arial" w:cs="Arial"/>
          <w:color w:val="auto"/>
          <w:sz w:val="20"/>
          <w:szCs w:val="20"/>
        </w:rPr>
        <w:t>using routine National Health Laboratory data collect</w:t>
      </w:r>
      <w:r>
        <w:rPr>
          <w:rFonts w:ascii="Arial" w:hAnsi="Arial" w:cs="Arial"/>
          <w:color w:val="auto"/>
          <w:sz w:val="20"/>
          <w:szCs w:val="20"/>
        </w:rPr>
        <w:t xml:space="preserve">ed for the period 2010 </w:t>
      </w:r>
      <w:r w:rsidR="00521761">
        <w:rPr>
          <w:rFonts w:ascii="Arial" w:hAnsi="Arial" w:cs="Arial"/>
          <w:color w:val="auto"/>
          <w:sz w:val="20"/>
          <w:szCs w:val="20"/>
        </w:rPr>
        <w:t>to 2013</w:t>
      </w:r>
      <w:r w:rsidR="00917746">
        <w:rPr>
          <w:rFonts w:ascii="Arial" w:hAnsi="Arial" w:cs="Arial"/>
          <w:color w:val="auto"/>
          <w:sz w:val="20"/>
          <w:szCs w:val="20"/>
        </w:rPr>
        <w:t xml:space="preserve"> </w:t>
      </w:r>
      <w:r>
        <w:rPr>
          <w:rFonts w:ascii="Arial" w:hAnsi="Arial" w:cs="Arial"/>
          <w:color w:val="auto"/>
          <w:sz w:val="20"/>
          <w:szCs w:val="20"/>
        </w:rPr>
        <w:t>in Cape Town</w:t>
      </w:r>
      <w:r w:rsidR="009D7ACC">
        <w:rPr>
          <w:rFonts w:ascii="Arial" w:hAnsi="Arial" w:cs="Arial"/>
          <w:color w:val="auto"/>
          <w:sz w:val="20"/>
          <w:szCs w:val="20"/>
        </w:rPr>
        <w:t xml:space="preserve">, </w:t>
      </w:r>
      <w:r w:rsidR="001351D1">
        <w:rPr>
          <w:rFonts w:ascii="Arial" w:hAnsi="Arial" w:cs="Arial"/>
          <w:color w:val="auto"/>
          <w:sz w:val="20"/>
          <w:szCs w:val="20"/>
        </w:rPr>
        <w:t xml:space="preserve">including </w:t>
      </w:r>
      <w:r w:rsidR="009D7ACC">
        <w:rPr>
          <w:rFonts w:ascii="Arial" w:hAnsi="Arial" w:cs="Arial"/>
          <w:color w:val="auto"/>
          <w:sz w:val="20"/>
          <w:szCs w:val="20"/>
        </w:rPr>
        <w:t xml:space="preserve">the period </w:t>
      </w:r>
      <w:r w:rsidR="001351D1">
        <w:rPr>
          <w:rFonts w:ascii="Arial" w:hAnsi="Arial" w:cs="Arial"/>
          <w:color w:val="auto"/>
          <w:sz w:val="20"/>
          <w:szCs w:val="20"/>
        </w:rPr>
        <w:t xml:space="preserve">when </w:t>
      </w:r>
      <w:r w:rsidR="009D7ACC">
        <w:rPr>
          <w:rFonts w:ascii="Arial" w:hAnsi="Arial" w:cs="Arial"/>
          <w:color w:val="auto"/>
          <w:sz w:val="20"/>
          <w:szCs w:val="20"/>
        </w:rPr>
        <w:t>Xpert was rolled</w:t>
      </w:r>
      <w:r w:rsidR="00412EB0">
        <w:rPr>
          <w:rFonts w:ascii="Arial" w:hAnsi="Arial" w:cs="Arial"/>
          <w:color w:val="auto"/>
          <w:sz w:val="20"/>
          <w:szCs w:val="20"/>
        </w:rPr>
        <w:t xml:space="preserve"> </w:t>
      </w:r>
      <w:r w:rsidR="009D7ACC">
        <w:rPr>
          <w:rFonts w:ascii="Arial" w:hAnsi="Arial" w:cs="Arial"/>
          <w:color w:val="auto"/>
          <w:sz w:val="20"/>
          <w:szCs w:val="20"/>
        </w:rPr>
        <w:t>out</w:t>
      </w:r>
      <w:r>
        <w:rPr>
          <w:rFonts w:ascii="Arial" w:hAnsi="Arial" w:cs="Arial"/>
          <w:color w:val="auto"/>
          <w:sz w:val="20"/>
          <w:szCs w:val="20"/>
        </w:rPr>
        <w:t>.</w:t>
      </w:r>
      <w:r>
        <w:rPr>
          <w:rFonts w:ascii="Arial" w:hAnsi="Arial" w:cs="Arial"/>
          <w:color w:val="auto"/>
          <w:sz w:val="20"/>
          <w:szCs w:val="20"/>
        </w:rPr>
        <w:fldChar w:fldCharType="begin" w:fldLock="1"/>
      </w:r>
      <w:r w:rsidR="006A5DC1">
        <w:rPr>
          <w:rFonts w:ascii="Arial" w:hAnsi="Arial" w:cs="Arial"/>
          <w:color w:val="auto"/>
          <w:sz w:val="20"/>
          <w:szCs w:val="20"/>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"mendeley" : { "formattedCitation" : "&lt;sup&gt;9&lt;/sup&gt;", "plainTextFormattedCitation" : "9", "previouslyFormattedCitation" : "&lt;sup&gt;9&lt;/sup&gt;" }, "properties" : { "noteIndex" : 0 }, "schema" : "https://github.com/citation-style-language/schema/raw/master/csl-citation.json" }</w:instrText>
      </w:r>
      <w:r>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9</w:t>
      </w:r>
      <w:r>
        <w:rPr>
          <w:rFonts w:ascii="Arial" w:hAnsi="Arial" w:cs="Arial"/>
          <w:color w:val="auto"/>
          <w:sz w:val="20"/>
          <w:szCs w:val="20"/>
        </w:rPr>
        <w:fldChar w:fldCharType="end"/>
      </w:r>
      <w:r>
        <w:rPr>
          <w:rFonts w:ascii="Arial" w:hAnsi="Arial" w:cs="Arial"/>
          <w:color w:val="auto"/>
          <w:sz w:val="20"/>
          <w:szCs w:val="20"/>
        </w:rPr>
        <w:t xml:space="preserve"> </w:t>
      </w:r>
      <w:r w:rsidRPr="007334D5">
        <w:rPr>
          <w:rFonts w:ascii="Arial" w:hAnsi="Arial" w:cs="Arial"/>
          <w:color w:val="auto"/>
          <w:sz w:val="20"/>
          <w:szCs w:val="20"/>
        </w:rPr>
        <w:t xml:space="preserve"> </w:t>
      </w:r>
      <w:r w:rsidR="00CB0625" w:rsidRPr="00CB0625">
        <w:rPr>
          <w:rFonts w:ascii="Arial" w:hAnsi="Arial" w:cs="Arial"/>
          <w:color w:val="auto"/>
          <w:sz w:val="20"/>
          <w:szCs w:val="20"/>
        </w:rPr>
        <w:t>The Witness package</w:t>
      </w:r>
      <w:r w:rsidR="00CF288C">
        <w:rPr>
          <w:rFonts w:ascii="Arial" w:hAnsi="Arial" w:cs="Arial"/>
          <w:color w:val="auto"/>
          <w:sz w:val="20"/>
          <w:szCs w:val="20"/>
        </w:rPr>
        <w:fldChar w:fldCharType="begin" w:fldLock="1"/>
      </w:r>
      <w:r w:rsidR="006A5DC1">
        <w:rPr>
          <w:rFonts w:ascii="Arial" w:hAnsi="Arial" w:cs="Arial"/>
          <w:color w:val="auto"/>
          <w:sz w:val="20"/>
          <w:szCs w:val="20"/>
        </w:rPr>
        <w:instrText>ADDIN CSL_CITATION { "citationItems" : [ { "id" : "ITEM-1", "itemData" : { "author" : [ { "dropping-particle" : "", "family" : "Lanner", "given" : "", "non-dropping-particle" : "", "parse-names" : false, "suffix" : "" } ], "id" : "ITEM-1", "issued" : { "date-parts" : [ [ "0" ] ] }, "number" : "14", "publisher-place" : "Redditch, UK", "title" : "WITNESS Service and Process Performance Edition", "type" : "article" }, "uris" : [ "http://www.mendeley.com/documents/?uuid=1173f414-82c8-4dfb-9a49-8f886b903aa3" ] } ], "mendeley" : { "formattedCitation" : "&lt;sup&gt;10&lt;/sup&gt;", "plainTextFormattedCitation" : "10", "previouslyFormattedCitation" : "&lt;sup&gt;10&lt;/sup&gt;" }, "properties" : { "noteIndex" : 0 }, "schema" : "https://github.com/citation-style-language/schema/raw/master/csl-citation.json" }</w:instrText>
      </w:r>
      <w:r w:rsidR="00CF288C">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10</w:t>
      </w:r>
      <w:r w:rsidR="00CF288C">
        <w:rPr>
          <w:rFonts w:ascii="Arial" w:hAnsi="Arial" w:cs="Arial"/>
          <w:color w:val="auto"/>
          <w:sz w:val="20"/>
          <w:szCs w:val="20"/>
        </w:rPr>
        <w:fldChar w:fldCharType="end"/>
      </w:r>
      <w:r w:rsidR="00CB0625" w:rsidRPr="00CB0625">
        <w:rPr>
          <w:rFonts w:ascii="Arial" w:hAnsi="Arial" w:cs="Arial"/>
          <w:color w:val="auto"/>
          <w:sz w:val="20"/>
          <w:szCs w:val="20"/>
        </w:rPr>
        <w:t>, a discrete event an</w:t>
      </w:r>
      <w:r w:rsidR="00B66DCB">
        <w:rPr>
          <w:rFonts w:ascii="Arial" w:hAnsi="Arial" w:cs="Arial"/>
          <w:color w:val="auto"/>
          <w:sz w:val="20"/>
          <w:szCs w:val="20"/>
        </w:rPr>
        <w:t>d continuous process simulator</w:t>
      </w:r>
      <w:r w:rsidR="00E53BBA">
        <w:rPr>
          <w:rFonts w:ascii="Arial" w:hAnsi="Arial" w:cs="Arial"/>
          <w:color w:val="auto"/>
          <w:sz w:val="20"/>
          <w:szCs w:val="20"/>
        </w:rPr>
        <w:t>,</w:t>
      </w:r>
      <w:r w:rsidR="00CB0625" w:rsidRPr="00CB0625">
        <w:rPr>
          <w:rFonts w:ascii="Arial" w:hAnsi="Arial" w:cs="Arial"/>
          <w:color w:val="auto"/>
          <w:sz w:val="20"/>
          <w:szCs w:val="20"/>
        </w:rPr>
        <w:t xml:space="preserve"> was used to develop a comprehensive model to represent the</w:t>
      </w:r>
      <w:r w:rsidR="00AF4463">
        <w:rPr>
          <w:rFonts w:ascii="Arial" w:hAnsi="Arial" w:cs="Arial"/>
          <w:color w:val="auto"/>
          <w:sz w:val="20"/>
          <w:szCs w:val="20"/>
        </w:rPr>
        <w:t xml:space="preserve"> diagnosis of pulmonary TB</w:t>
      </w:r>
      <w:r w:rsidR="00B66DCB">
        <w:rPr>
          <w:rFonts w:ascii="Arial" w:hAnsi="Arial" w:cs="Arial"/>
          <w:color w:val="auto"/>
          <w:sz w:val="20"/>
          <w:szCs w:val="20"/>
        </w:rPr>
        <w:t xml:space="preserve"> and </w:t>
      </w:r>
      <w:r w:rsidR="00500598">
        <w:rPr>
          <w:rFonts w:ascii="Arial" w:hAnsi="Arial" w:cs="Arial"/>
          <w:color w:val="auto"/>
          <w:sz w:val="20"/>
          <w:szCs w:val="20"/>
        </w:rPr>
        <w:t xml:space="preserve">RMP-R </w:t>
      </w:r>
      <w:r w:rsidR="00B66DCB">
        <w:rPr>
          <w:rFonts w:ascii="Arial" w:hAnsi="Arial" w:cs="Arial"/>
          <w:color w:val="auto"/>
          <w:sz w:val="20"/>
          <w:szCs w:val="20"/>
        </w:rPr>
        <w:t>TB</w:t>
      </w:r>
      <w:r w:rsidR="00CB0625" w:rsidRPr="00CB0625">
        <w:rPr>
          <w:rFonts w:ascii="Arial" w:hAnsi="Arial" w:cs="Arial"/>
          <w:color w:val="auto"/>
          <w:sz w:val="20"/>
          <w:szCs w:val="20"/>
        </w:rPr>
        <w:t xml:space="preserve"> in Cape Town. The model incorporated the TB diagnostic algorithms (Figure 1) </w:t>
      </w:r>
      <w:r w:rsidR="009D0D18">
        <w:rPr>
          <w:rFonts w:ascii="Arial" w:hAnsi="Arial" w:cs="Arial"/>
          <w:color w:val="auto"/>
          <w:sz w:val="20"/>
          <w:szCs w:val="20"/>
        </w:rPr>
        <w:t xml:space="preserve">with </w:t>
      </w:r>
      <w:r w:rsidR="00E01978" w:rsidRPr="00CB0625">
        <w:rPr>
          <w:rFonts w:ascii="Arial" w:hAnsi="Arial" w:cs="Arial"/>
          <w:color w:val="auto"/>
          <w:sz w:val="20"/>
          <w:szCs w:val="20"/>
        </w:rPr>
        <w:t xml:space="preserve">specimen </w:t>
      </w:r>
      <w:r w:rsidR="00CB0625" w:rsidRPr="00CB0625">
        <w:rPr>
          <w:rFonts w:ascii="Arial" w:hAnsi="Arial" w:cs="Arial"/>
          <w:color w:val="auto"/>
          <w:sz w:val="20"/>
          <w:szCs w:val="20"/>
        </w:rPr>
        <w:t>flow from specimen collection, through laboratory test procedures</w:t>
      </w:r>
      <w:r w:rsidR="00B450FB">
        <w:rPr>
          <w:rFonts w:ascii="Arial" w:hAnsi="Arial" w:cs="Arial"/>
          <w:color w:val="auto"/>
          <w:sz w:val="20"/>
          <w:szCs w:val="20"/>
        </w:rPr>
        <w:t xml:space="preserve">, </w:t>
      </w:r>
      <w:r w:rsidR="00B450FB" w:rsidRPr="00B450FB">
        <w:rPr>
          <w:rFonts w:ascii="Arial" w:hAnsi="Arial" w:cs="Arial"/>
          <w:color w:val="FF0000"/>
          <w:sz w:val="20"/>
          <w:szCs w:val="20"/>
        </w:rPr>
        <w:t>to a test result returned to the PHC facilities where the specimen were collected</w:t>
      </w:r>
      <w:r w:rsidR="00CB0625" w:rsidRPr="00CB0625">
        <w:rPr>
          <w:rFonts w:ascii="Arial" w:hAnsi="Arial" w:cs="Arial"/>
          <w:color w:val="auto"/>
          <w:sz w:val="20"/>
          <w:szCs w:val="20"/>
        </w:rPr>
        <w:t xml:space="preserve">. </w:t>
      </w:r>
      <w:r w:rsidR="00F2039C">
        <w:rPr>
          <w:rFonts w:ascii="Arial" w:hAnsi="Arial" w:cs="Arial"/>
          <w:color w:val="auto"/>
          <w:sz w:val="20"/>
          <w:szCs w:val="20"/>
        </w:rPr>
        <w:t xml:space="preserve">The model was </w:t>
      </w:r>
      <w:r w:rsidR="00576DDD">
        <w:rPr>
          <w:rFonts w:ascii="Arial" w:hAnsi="Arial" w:cs="Arial"/>
          <w:color w:val="auto"/>
          <w:sz w:val="20"/>
          <w:szCs w:val="20"/>
        </w:rPr>
        <w:t xml:space="preserve">developed for both the </w:t>
      </w:r>
      <w:r w:rsidR="002607A1">
        <w:rPr>
          <w:rFonts w:ascii="Arial" w:hAnsi="Arial" w:cs="Arial"/>
          <w:color w:val="auto"/>
          <w:sz w:val="20"/>
          <w:szCs w:val="20"/>
        </w:rPr>
        <w:t xml:space="preserve">previous </w:t>
      </w:r>
      <w:r w:rsidR="00576DDD">
        <w:rPr>
          <w:rFonts w:ascii="Arial" w:hAnsi="Arial" w:cs="Arial"/>
          <w:color w:val="auto"/>
          <w:sz w:val="20"/>
          <w:szCs w:val="20"/>
        </w:rPr>
        <w:t>smear/culture</w:t>
      </w:r>
      <w:r w:rsidR="002607A1">
        <w:rPr>
          <w:rFonts w:ascii="Arial" w:hAnsi="Arial" w:cs="Arial"/>
          <w:color w:val="auto"/>
          <w:sz w:val="20"/>
          <w:szCs w:val="20"/>
        </w:rPr>
        <w:t>-based</w:t>
      </w:r>
      <w:r w:rsidR="00576DDD">
        <w:rPr>
          <w:rFonts w:ascii="Arial" w:hAnsi="Arial" w:cs="Arial"/>
          <w:color w:val="auto"/>
          <w:sz w:val="20"/>
          <w:szCs w:val="20"/>
        </w:rPr>
        <w:t xml:space="preserve"> and </w:t>
      </w:r>
      <w:r w:rsidR="002607A1">
        <w:rPr>
          <w:rFonts w:ascii="Arial" w:hAnsi="Arial" w:cs="Arial"/>
          <w:color w:val="auto"/>
          <w:sz w:val="20"/>
          <w:szCs w:val="20"/>
        </w:rPr>
        <w:t xml:space="preserve">current </w:t>
      </w:r>
      <w:r w:rsidR="00576DDD">
        <w:rPr>
          <w:rFonts w:ascii="Arial" w:hAnsi="Arial" w:cs="Arial"/>
          <w:color w:val="auto"/>
          <w:sz w:val="20"/>
          <w:szCs w:val="20"/>
        </w:rPr>
        <w:t>Xpert-based algorithms as stipulated by the South African National TB program</w:t>
      </w:r>
      <w:r w:rsidR="00FE1660" w:rsidRPr="00FE1660">
        <w:rPr>
          <w:rFonts w:ascii="Arial" w:hAnsi="Arial" w:cs="Arial"/>
          <w:color w:val="FF0000"/>
          <w:sz w:val="20"/>
          <w:szCs w:val="20"/>
        </w:rPr>
        <w:t>me</w:t>
      </w:r>
      <w:r w:rsidR="00576DDD">
        <w:rPr>
          <w:rFonts w:ascii="Arial" w:hAnsi="Arial" w:cs="Arial"/>
          <w:color w:val="auto"/>
          <w:sz w:val="20"/>
          <w:szCs w:val="20"/>
        </w:rPr>
        <w:t>.</w:t>
      </w:r>
      <w:r w:rsidR="00951830">
        <w:rPr>
          <w:rFonts w:ascii="Arial" w:hAnsi="Arial" w:cs="Arial"/>
          <w:color w:val="auto"/>
          <w:sz w:val="20"/>
          <w:szCs w:val="20"/>
        </w:rPr>
        <w:fldChar w:fldCharType="begin" w:fldLock="1"/>
      </w:r>
      <w:r w:rsidR="006A5DC1">
        <w:rPr>
          <w:rFonts w:ascii="Arial" w:hAnsi="Arial" w:cs="Arial"/>
          <w:color w:val="auto"/>
          <w:sz w:val="20"/>
          <w:szCs w:val="20"/>
        </w:rPr>
        <w:instrText>ADDIN CSL_CITATION { "citationItems" : [ { "id" : "ITEM-1", "itemData" : { "ISBN" : "9781920031824", "abstract" : "Tuberculosis and HIV/ AIDS are the drivers of morbidity and mortality in the country. Therefore more effort must be put into strategies that help us to: 1) reduce transmission of infection in the communities, 2) diagnose DS-TB and DR-TB early, 3) initiate treatment in all patients diagnosed with TB early, 4) retain patients in treatment and care until completion of treatment and 5) prevent TB in people lining with HIV by initiating all eligible HIV positive people on ART and Isoniazid preventive therapy. Implementing all these strategies in combination will help us as a country to attain the Millennium Development Goals. To this end, we have introduced new rapid diagnostic tests for drug susceptible and drug resistant TB, additional and new medicines for treating MDR and XDR-TB and are scaling up ward based outreach teams as part of PHC re engineering to provide care and support for patients at home and promote healthy lifestyle. Health care professionals play a pivotal role in the management of TB patients and we remain grateful for their dedication and hard work.", "author" : [ { "dropping-particle" : "", "family" : "Department of Health", "given" : "", "non-dropping-particle" : "", "parse-names" : false, "suffix" : "" } ], "id" : "ITEM-1", "issued" : { "date-parts" : [ [ "2014" ] ] }, "number-of-pages" : "19-28", "publisher-place" : "Pretoria, South Africa", "title" : "National Tuberculosis Management Guidelines 2014", "type" : "report" }, "uris" : [ "http://www.mendeley.com/documents/?uuid=451de89a-ef92-4293-9e5b-4c35009ba28c" ] } ], "mendeley" : { "formattedCitation" : "&lt;sup&gt;8&lt;/sup&gt;", "plainTextFormattedCitation" : "8", "previouslyFormattedCitation" : "&lt;sup&gt;8&lt;/sup&gt;" }, "properties" : { "noteIndex" : 0 }, "schema" : "https://github.com/citation-style-language/schema/raw/master/csl-citation.json" }</w:instrText>
      </w:r>
      <w:r w:rsidR="00951830">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8</w:t>
      </w:r>
      <w:r w:rsidR="00951830">
        <w:rPr>
          <w:rFonts w:ascii="Arial" w:hAnsi="Arial" w:cs="Arial"/>
          <w:color w:val="auto"/>
          <w:sz w:val="20"/>
          <w:szCs w:val="20"/>
        </w:rPr>
        <w:fldChar w:fldCharType="end"/>
      </w:r>
      <w:r w:rsidR="00951830">
        <w:rPr>
          <w:rFonts w:ascii="Arial" w:hAnsi="Arial" w:cs="Arial"/>
          <w:color w:val="auto"/>
          <w:sz w:val="20"/>
          <w:szCs w:val="20"/>
        </w:rPr>
        <w:t xml:space="preserve"> </w:t>
      </w:r>
    </w:p>
    <w:p w14:paraId="11415490" w14:textId="77777777" w:rsidR="003B64E4" w:rsidRDefault="003B64E4" w:rsidP="00CB0625">
      <w:pPr>
        <w:pStyle w:val="Default"/>
        <w:spacing w:line="360" w:lineRule="auto"/>
        <w:jc w:val="both"/>
        <w:rPr>
          <w:rFonts w:ascii="Arial" w:hAnsi="Arial" w:cs="Arial"/>
          <w:color w:val="auto"/>
          <w:sz w:val="20"/>
          <w:szCs w:val="20"/>
        </w:rPr>
      </w:pPr>
    </w:p>
    <w:p w14:paraId="1255D7EE" w14:textId="77777777" w:rsidR="00CB0625" w:rsidRDefault="003E60A5" w:rsidP="00CB0625">
      <w:pPr>
        <w:pStyle w:val="Default"/>
        <w:spacing w:line="360" w:lineRule="auto"/>
        <w:jc w:val="both"/>
        <w:rPr>
          <w:rFonts w:ascii="Arial" w:hAnsi="Arial" w:cs="Arial"/>
          <w:color w:val="auto"/>
          <w:sz w:val="20"/>
          <w:szCs w:val="20"/>
        </w:rPr>
      </w:pPr>
      <w:r>
        <w:rPr>
          <w:rFonts w:ascii="Arial" w:hAnsi="Arial" w:cs="Arial"/>
          <w:color w:val="auto"/>
          <w:sz w:val="20"/>
          <w:szCs w:val="20"/>
        </w:rPr>
        <w:t>Further d</w:t>
      </w:r>
      <w:r w:rsidR="00CC7DE5">
        <w:rPr>
          <w:rFonts w:ascii="Arial" w:hAnsi="Arial" w:cs="Arial"/>
          <w:color w:val="auto"/>
          <w:sz w:val="20"/>
          <w:szCs w:val="20"/>
        </w:rPr>
        <w:t xml:space="preserve">etails regarding </w:t>
      </w:r>
      <w:r w:rsidR="00D40D81" w:rsidRPr="00CB0625">
        <w:rPr>
          <w:rFonts w:ascii="Arial" w:hAnsi="Arial" w:cs="Arial"/>
          <w:color w:val="auto"/>
          <w:sz w:val="20"/>
          <w:szCs w:val="20"/>
        </w:rPr>
        <w:t>model development</w:t>
      </w:r>
      <w:r w:rsidR="00D40D81">
        <w:rPr>
          <w:rFonts w:ascii="Arial" w:hAnsi="Arial" w:cs="Arial"/>
          <w:color w:val="auto"/>
          <w:sz w:val="20"/>
          <w:szCs w:val="20"/>
        </w:rPr>
        <w:t>,</w:t>
      </w:r>
      <w:r w:rsidR="00D40D81" w:rsidRPr="00CB0625">
        <w:rPr>
          <w:rFonts w:ascii="Arial" w:hAnsi="Arial" w:cs="Arial"/>
          <w:color w:val="auto"/>
          <w:sz w:val="20"/>
          <w:szCs w:val="20"/>
        </w:rPr>
        <w:t xml:space="preserve"> </w:t>
      </w:r>
      <w:r w:rsidR="00CB0625" w:rsidRPr="00CB0625">
        <w:rPr>
          <w:rFonts w:ascii="Arial" w:hAnsi="Arial" w:cs="Arial"/>
          <w:color w:val="auto"/>
          <w:sz w:val="20"/>
          <w:szCs w:val="20"/>
        </w:rPr>
        <w:t>validation</w:t>
      </w:r>
      <w:r w:rsidR="00D40D81">
        <w:rPr>
          <w:rFonts w:ascii="Arial" w:hAnsi="Arial" w:cs="Arial"/>
          <w:color w:val="auto"/>
          <w:sz w:val="20"/>
          <w:szCs w:val="20"/>
        </w:rPr>
        <w:t xml:space="preserve"> </w:t>
      </w:r>
      <w:r w:rsidR="00CB0625" w:rsidRPr="00CB0625">
        <w:rPr>
          <w:rFonts w:ascii="Arial" w:hAnsi="Arial" w:cs="Arial"/>
          <w:color w:val="auto"/>
          <w:sz w:val="20"/>
          <w:szCs w:val="20"/>
        </w:rPr>
        <w:t xml:space="preserve">as well as model sensitivity analysis </w:t>
      </w:r>
      <w:r w:rsidR="00FB338D">
        <w:rPr>
          <w:rFonts w:ascii="Arial" w:hAnsi="Arial" w:cs="Arial"/>
          <w:color w:val="auto"/>
          <w:sz w:val="20"/>
          <w:szCs w:val="20"/>
        </w:rPr>
        <w:t>was previously published</w:t>
      </w:r>
      <w:r w:rsidR="00CB0625" w:rsidRPr="00CB0625">
        <w:rPr>
          <w:rFonts w:ascii="Arial" w:hAnsi="Arial" w:cs="Arial"/>
          <w:color w:val="auto"/>
          <w:sz w:val="20"/>
          <w:szCs w:val="20"/>
        </w:rPr>
        <w:t>.</w:t>
      </w:r>
      <w:r w:rsidR="00CA646E">
        <w:rPr>
          <w:rFonts w:ascii="Arial" w:hAnsi="Arial" w:cs="Arial"/>
          <w:color w:val="auto"/>
          <w:sz w:val="20"/>
          <w:szCs w:val="20"/>
        </w:rPr>
        <w:fldChar w:fldCharType="begin" w:fldLock="1"/>
      </w:r>
      <w:r w:rsidR="006A5DC1">
        <w:rPr>
          <w:rFonts w:ascii="Arial" w:hAnsi="Arial" w:cs="Arial"/>
          <w:color w:val="auto"/>
          <w:sz w:val="20"/>
          <w:szCs w:val="20"/>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"mendeley" : { "formattedCitation" : "&lt;sup&gt;9&lt;/sup&gt;", "plainTextFormattedCitation" : "9", "previouslyFormattedCitation" : "&lt;sup&gt;9&lt;/sup&gt;" }, "properties" : { "noteIndex" : 0 }, "schema" : "https://github.com/citation-style-language/schema/raw/master/csl-citation.json" }</w:instrText>
      </w:r>
      <w:r w:rsidR="00CA646E">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9</w:t>
      </w:r>
      <w:r w:rsidR="00CA646E">
        <w:rPr>
          <w:rFonts w:ascii="Arial" w:hAnsi="Arial" w:cs="Arial"/>
          <w:color w:val="auto"/>
          <w:sz w:val="20"/>
          <w:szCs w:val="20"/>
        </w:rPr>
        <w:fldChar w:fldCharType="end"/>
      </w:r>
    </w:p>
    <w:p w14:paraId="0249811C" w14:textId="77777777" w:rsidR="00E53BBA" w:rsidRDefault="00E53BBA" w:rsidP="00CB0625">
      <w:pPr>
        <w:pStyle w:val="Default"/>
        <w:spacing w:line="360" w:lineRule="auto"/>
        <w:jc w:val="both"/>
        <w:rPr>
          <w:rFonts w:ascii="Arial" w:hAnsi="Arial" w:cs="Arial"/>
          <w:color w:val="auto"/>
          <w:sz w:val="20"/>
          <w:szCs w:val="20"/>
        </w:rPr>
      </w:pPr>
    </w:p>
    <w:p w14:paraId="58EAB2C3" w14:textId="77777777" w:rsidR="00AF3715" w:rsidRPr="00995785" w:rsidRDefault="00AF3715" w:rsidP="00AF3715">
      <w:pPr>
        <w:pStyle w:val="Default"/>
        <w:spacing w:line="360" w:lineRule="auto"/>
        <w:jc w:val="both"/>
        <w:rPr>
          <w:rFonts w:ascii="Arial" w:hAnsi="Arial" w:cs="Arial"/>
          <w:b/>
          <w:color w:val="auto"/>
          <w:sz w:val="20"/>
          <w:szCs w:val="20"/>
        </w:rPr>
      </w:pPr>
      <w:r w:rsidRPr="00995785">
        <w:rPr>
          <w:rFonts w:ascii="Arial" w:hAnsi="Arial" w:cs="Arial"/>
          <w:b/>
          <w:color w:val="auto"/>
          <w:sz w:val="20"/>
          <w:szCs w:val="20"/>
        </w:rPr>
        <w:t xml:space="preserve">Model inputs </w:t>
      </w:r>
    </w:p>
    <w:p w14:paraId="3ED8C765" w14:textId="7995B1D7" w:rsidR="001E77FF" w:rsidRDefault="00CF0341" w:rsidP="001E77FF">
      <w:pPr>
        <w:pStyle w:val="Default"/>
        <w:spacing w:line="360" w:lineRule="auto"/>
        <w:jc w:val="both"/>
        <w:rPr>
          <w:rFonts w:ascii="Arial" w:hAnsi="Arial" w:cs="Arial"/>
          <w:color w:val="auto"/>
          <w:sz w:val="20"/>
          <w:szCs w:val="20"/>
        </w:rPr>
      </w:pPr>
      <w:r w:rsidRPr="00CF0341">
        <w:rPr>
          <w:rFonts w:ascii="Arial" w:hAnsi="Arial" w:cs="Arial"/>
          <w:color w:val="auto"/>
          <w:sz w:val="20"/>
          <w:szCs w:val="20"/>
        </w:rPr>
        <w:t>As part of the PROVE IT</w:t>
      </w:r>
      <w:r w:rsidR="00F64C29">
        <w:rPr>
          <w:rFonts w:ascii="Arial" w:hAnsi="Arial" w:cs="Arial"/>
          <w:color w:val="auto"/>
          <w:sz w:val="20"/>
          <w:szCs w:val="20"/>
        </w:rPr>
        <w:t xml:space="preserve"> </w:t>
      </w:r>
      <w:r w:rsidR="00F64C29" w:rsidRPr="00F64C29">
        <w:rPr>
          <w:rFonts w:ascii="Arial" w:hAnsi="Arial" w:cs="Arial"/>
          <w:color w:val="auto"/>
          <w:sz w:val="20"/>
          <w:szCs w:val="20"/>
        </w:rPr>
        <w:t>(Policy Relevant Outcomes from</w:t>
      </w:r>
      <w:r w:rsidR="00F64C29">
        <w:rPr>
          <w:rFonts w:ascii="Arial" w:hAnsi="Arial" w:cs="Arial"/>
          <w:color w:val="auto"/>
          <w:sz w:val="20"/>
          <w:szCs w:val="20"/>
        </w:rPr>
        <w:t xml:space="preserve"> Validating Evidence on ImpacT)</w:t>
      </w:r>
      <w:r w:rsidRPr="00CF0341">
        <w:rPr>
          <w:rFonts w:ascii="Arial" w:hAnsi="Arial" w:cs="Arial"/>
          <w:color w:val="auto"/>
          <w:sz w:val="20"/>
          <w:szCs w:val="20"/>
        </w:rPr>
        <w:t xml:space="preserve"> Study</w:t>
      </w:r>
      <w:r w:rsidR="00DD414B">
        <w:rPr>
          <w:rFonts w:ascii="Arial" w:hAnsi="Arial" w:cs="Arial"/>
          <w:color w:val="auto"/>
          <w:sz w:val="20"/>
          <w:szCs w:val="20"/>
        </w:rPr>
        <w:t xml:space="preserve"> conducted in Cape Town</w:t>
      </w:r>
      <w:r w:rsidRPr="00CF0341">
        <w:rPr>
          <w:rFonts w:ascii="Arial" w:hAnsi="Arial" w:cs="Arial"/>
          <w:color w:val="auto"/>
          <w:sz w:val="20"/>
          <w:szCs w:val="20"/>
        </w:rPr>
        <w:t xml:space="preserve">, </w:t>
      </w:r>
      <w:r w:rsidR="00891318" w:rsidRPr="00C6433B">
        <w:rPr>
          <w:rFonts w:ascii="Arial" w:hAnsi="Arial" w:cs="Arial"/>
          <w:color w:val="auto"/>
          <w:sz w:val="20"/>
          <w:szCs w:val="20"/>
        </w:rPr>
        <w:t>routine TB and</w:t>
      </w:r>
      <w:r w:rsidR="00B30F3E" w:rsidRPr="00C6433B">
        <w:rPr>
          <w:rFonts w:ascii="Arial" w:hAnsi="Arial" w:cs="Arial"/>
          <w:color w:val="auto"/>
          <w:sz w:val="20"/>
          <w:szCs w:val="20"/>
        </w:rPr>
        <w:t xml:space="preserve"> </w:t>
      </w:r>
      <w:r w:rsidR="00564B52" w:rsidRPr="00C6433B">
        <w:rPr>
          <w:rFonts w:ascii="Arial" w:hAnsi="Arial" w:cs="Arial"/>
          <w:color w:val="auto"/>
          <w:sz w:val="20"/>
          <w:szCs w:val="20"/>
        </w:rPr>
        <w:t>MDR</w:t>
      </w:r>
      <w:r w:rsidR="00421FE8" w:rsidRPr="00C6433B">
        <w:rPr>
          <w:rFonts w:ascii="Arial" w:hAnsi="Arial" w:cs="Arial"/>
          <w:color w:val="auto"/>
          <w:sz w:val="20"/>
          <w:szCs w:val="20"/>
        </w:rPr>
        <w:t>/</w:t>
      </w:r>
      <w:r w:rsidR="00C6433B" w:rsidRPr="00C6433B">
        <w:rPr>
          <w:rFonts w:ascii="Arial" w:hAnsi="Arial" w:cs="Arial"/>
          <w:color w:val="auto"/>
          <w:sz w:val="20"/>
          <w:szCs w:val="20"/>
        </w:rPr>
        <w:t xml:space="preserve">RMP-R </w:t>
      </w:r>
      <w:r w:rsidR="00564B52" w:rsidRPr="00C6433B">
        <w:rPr>
          <w:rFonts w:ascii="Arial" w:hAnsi="Arial" w:cs="Arial"/>
          <w:color w:val="auto"/>
          <w:sz w:val="20"/>
          <w:szCs w:val="20"/>
        </w:rPr>
        <w:t>TB treatment data</w:t>
      </w:r>
      <w:r w:rsidR="00564B52">
        <w:rPr>
          <w:rFonts w:ascii="Arial" w:hAnsi="Arial" w:cs="Arial"/>
          <w:color w:val="auto"/>
          <w:sz w:val="20"/>
          <w:szCs w:val="20"/>
        </w:rPr>
        <w:t xml:space="preserve"> </w:t>
      </w:r>
      <w:r w:rsidR="00891318">
        <w:rPr>
          <w:rFonts w:ascii="Arial" w:hAnsi="Arial" w:cs="Arial"/>
          <w:color w:val="auto"/>
          <w:sz w:val="20"/>
          <w:szCs w:val="20"/>
        </w:rPr>
        <w:t>as well as</w:t>
      </w:r>
      <w:r w:rsidR="00564B52">
        <w:rPr>
          <w:rFonts w:ascii="Arial" w:hAnsi="Arial" w:cs="Arial"/>
          <w:color w:val="auto"/>
          <w:sz w:val="20"/>
          <w:szCs w:val="20"/>
        </w:rPr>
        <w:t xml:space="preserve"> </w:t>
      </w:r>
      <w:r w:rsidRPr="00CF0341">
        <w:rPr>
          <w:rFonts w:ascii="Arial" w:hAnsi="Arial" w:cs="Arial"/>
          <w:color w:val="auto"/>
          <w:sz w:val="20"/>
          <w:szCs w:val="20"/>
        </w:rPr>
        <w:t xml:space="preserve">NHLS data from presumptive </w:t>
      </w:r>
      <w:r w:rsidR="008946F3">
        <w:rPr>
          <w:rFonts w:ascii="Arial" w:hAnsi="Arial" w:cs="Arial"/>
          <w:color w:val="auto"/>
          <w:sz w:val="20"/>
          <w:szCs w:val="20"/>
        </w:rPr>
        <w:t xml:space="preserve">TB </w:t>
      </w:r>
      <w:r w:rsidRPr="00CF0341">
        <w:rPr>
          <w:rFonts w:ascii="Arial" w:hAnsi="Arial" w:cs="Arial"/>
          <w:color w:val="auto"/>
          <w:sz w:val="20"/>
          <w:szCs w:val="20"/>
        </w:rPr>
        <w:t>cases had previously been collected and analysed to compare TB yield</w:t>
      </w:r>
      <w:r w:rsidR="008D7422">
        <w:rPr>
          <w:rFonts w:ascii="Arial" w:hAnsi="Arial" w:cs="Arial"/>
          <w:color w:val="auto"/>
          <w:sz w:val="20"/>
          <w:szCs w:val="20"/>
        </w:rPr>
        <w:fldChar w:fldCharType="begin" w:fldLock="1"/>
      </w:r>
      <w:r w:rsidR="003147E8">
        <w:rPr>
          <w:rFonts w:ascii="Arial" w:hAnsi="Arial" w:cs="Arial"/>
          <w:color w:val="auto"/>
          <w:sz w:val="20"/>
          <w:szCs w:val="20"/>
        </w:rPr>
        <w:instrText>ADDIN CSL_CITATION { "citationItems" : [ { "id" : "ITEM-1",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"ITEM-1",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"&lt;sup&gt;11&lt;/sup&gt;", "plainTextFormattedCitation" : "11", "previouslyFormattedCitation" : "&lt;sup&gt;11&lt;/sup&gt;" }, "properties" : { "noteIndex" : 0 }, "schema" : "https://github.com/citation-style-language/schema/raw/master/csl-citation.json" }</w:instrText>
      </w:r>
      <w:r w:rsidR="008D7422">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11</w:t>
      </w:r>
      <w:r w:rsidR="008D7422">
        <w:rPr>
          <w:rFonts w:ascii="Arial" w:hAnsi="Arial" w:cs="Arial"/>
          <w:color w:val="auto"/>
          <w:sz w:val="20"/>
          <w:szCs w:val="20"/>
        </w:rPr>
        <w:fldChar w:fldCharType="end"/>
      </w:r>
      <w:r w:rsidR="003B7FC4">
        <w:rPr>
          <w:rFonts w:ascii="Arial" w:hAnsi="Arial" w:cs="Arial"/>
          <w:color w:val="auto"/>
          <w:sz w:val="20"/>
          <w:szCs w:val="20"/>
        </w:rPr>
        <w:t xml:space="preserve"> and</w:t>
      </w:r>
      <w:r w:rsidR="00293296">
        <w:rPr>
          <w:rFonts w:ascii="Arial" w:hAnsi="Arial" w:cs="Arial"/>
          <w:color w:val="auto"/>
          <w:sz w:val="20"/>
          <w:szCs w:val="20"/>
        </w:rPr>
        <w:t xml:space="preserve"> </w:t>
      </w:r>
      <w:r w:rsidR="00C6433B">
        <w:rPr>
          <w:rFonts w:ascii="Arial" w:hAnsi="Arial" w:cs="Arial"/>
          <w:color w:val="auto"/>
          <w:sz w:val="20"/>
          <w:szCs w:val="20"/>
        </w:rPr>
        <w:t xml:space="preserve">RMP-R </w:t>
      </w:r>
      <w:r w:rsidR="00293296">
        <w:rPr>
          <w:rFonts w:ascii="Arial" w:hAnsi="Arial" w:cs="Arial"/>
          <w:color w:val="auto"/>
          <w:sz w:val="20"/>
          <w:szCs w:val="20"/>
        </w:rPr>
        <w:t>TB yield</w:t>
      </w:r>
      <w:r w:rsidR="00C73A05">
        <w:rPr>
          <w:rFonts w:ascii="Arial" w:hAnsi="Arial" w:cs="Arial"/>
          <w:color w:val="auto"/>
          <w:sz w:val="20"/>
          <w:szCs w:val="20"/>
        </w:rPr>
        <w:fldChar w:fldCharType="begin" w:fldLock="1"/>
      </w:r>
      <w:r w:rsidR="003147E8">
        <w:rPr>
          <w:rFonts w:ascii="Arial" w:hAnsi="Arial" w:cs="Arial"/>
          <w:color w:val="auto"/>
          <w:sz w:val="20"/>
          <w:szCs w:val="20"/>
        </w:rPr>
        <w:instrText>ADDIN CSL_CITATION { "citationItems" : [ { "id" : "ITEM-1", "itemData" : { "DOI" : "10.1371/journal.pone.0172143", "ISSN" : "1932-6203", "author" : [ { "dropping-particle" : "", "family" : "Naidoo", "given" : "Pren", "non-dropping-particle" : "", "parse-names" : false, "suffix" : "" }, { "dropping-particle" : "", "family" : "Dunbar", "given" : "Rory", "non-dropping-particle" : "", "parse-names" : false, "suffix" : "" }, { "dropping-particle" : "", "family" : "Caldwell", "given" : "Judy", "non-dropping-particle" : "", "parse-names" : false, "suffix" : "" }, { "dropping-particle" : "", "family" : "Lombard", "given" : "Carl", "non-dropping-particle" : "", "parse-names" : false, "suffix" : "" }, { "dropping-particle" : "", "family" : "Beyers", "given" : "Nulda", "non-dropping-particle" : "", "parse-names" : false, "suffix" : "" } ], "container-title" : "PLOS ONE", "editor" : [ { "dropping-particle" : "", "family" : "Pai", "given" : "Madhukar", "non-dropping-particle" : "", "parse-names" : false, "suffix" : "" } ], "id" : "ITEM-1", "issue" : "2", "issued" : { "date-parts" : [ [ "2017", "2", "15" ] ] }, "page" : "e0172143", "publisher" : "Public Library of Science", "title" : "Has universal screening with Xpert\u00ae MTB/RIF increased the proportion of multidrug-resistant tuberculosis cases diagnosed in a routine operational setting?", "type" : "article-journal", "volume" : "12" }, "uris" : [ "http://www.mendeley.com/documents/?uuid=ec19f3b9-b35a-3fa9-bb81-f957bbf073fc" ] } ], "mendeley" : { "formattedCitation" : "&lt;sup&gt;6&lt;/sup&gt;", "plainTextFormattedCitation" : "6", "previouslyFormattedCitation" : "&lt;sup&gt;6&lt;/sup&gt;" }, "properties" : { "noteIndex" : 0 }, "schema" : "https://github.com/citation-style-language/schema/raw/master/csl-citation.json" }</w:instrText>
      </w:r>
      <w:r w:rsidR="00C73A05">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6</w:t>
      </w:r>
      <w:r w:rsidR="00C73A05">
        <w:rPr>
          <w:rFonts w:ascii="Arial" w:hAnsi="Arial" w:cs="Arial"/>
          <w:color w:val="auto"/>
          <w:sz w:val="20"/>
          <w:szCs w:val="20"/>
        </w:rPr>
        <w:fldChar w:fldCharType="end"/>
      </w:r>
      <w:r w:rsidR="00293296">
        <w:rPr>
          <w:rFonts w:ascii="Arial" w:hAnsi="Arial" w:cs="Arial"/>
          <w:color w:val="auto"/>
          <w:sz w:val="20"/>
          <w:szCs w:val="20"/>
        </w:rPr>
        <w:t xml:space="preserve"> </w:t>
      </w:r>
      <w:r w:rsidRPr="00CF0341">
        <w:rPr>
          <w:rFonts w:ascii="Arial" w:hAnsi="Arial" w:cs="Arial"/>
          <w:color w:val="auto"/>
          <w:sz w:val="20"/>
          <w:szCs w:val="20"/>
        </w:rPr>
        <w:t>in the smear/culture</w:t>
      </w:r>
      <w:r w:rsidR="00B30F3E">
        <w:rPr>
          <w:rFonts w:ascii="Arial" w:hAnsi="Arial" w:cs="Arial"/>
          <w:color w:val="auto"/>
          <w:sz w:val="20"/>
          <w:szCs w:val="20"/>
        </w:rPr>
        <w:t xml:space="preserve"> </w:t>
      </w:r>
      <w:r w:rsidR="00293296">
        <w:rPr>
          <w:rFonts w:ascii="Arial" w:hAnsi="Arial" w:cs="Arial"/>
          <w:color w:val="auto"/>
          <w:sz w:val="20"/>
          <w:szCs w:val="20"/>
        </w:rPr>
        <w:t xml:space="preserve">and the </w:t>
      </w:r>
      <w:r w:rsidRPr="00CF0341">
        <w:rPr>
          <w:rFonts w:ascii="Arial" w:hAnsi="Arial" w:cs="Arial"/>
          <w:color w:val="auto"/>
          <w:sz w:val="20"/>
          <w:szCs w:val="20"/>
        </w:rPr>
        <w:t>Xpert-based algorithm</w:t>
      </w:r>
      <w:r w:rsidR="00B30F3E">
        <w:rPr>
          <w:rFonts w:ascii="Arial" w:hAnsi="Arial" w:cs="Arial"/>
          <w:color w:val="auto"/>
          <w:sz w:val="20"/>
          <w:szCs w:val="20"/>
        </w:rPr>
        <w:t>s</w:t>
      </w:r>
      <w:r w:rsidRPr="00CF0341">
        <w:rPr>
          <w:rFonts w:ascii="Arial" w:hAnsi="Arial" w:cs="Arial"/>
          <w:color w:val="auto"/>
          <w:sz w:val="20"/>
          <w:szCs w:val="20"/>
        </w:rPr>
        <w:t>.</w:t>
      </w:r>
      <w:r w:rsidR="00A32B50">
        <w:rPr>
          <w:rFonts w:ascii="Arial" w:hAnsi="Arial" w:cs="Arial"/>
          <w:color w:val="auto"/>
          <w:sz w:val="20"/>
          <w:szCs w:val="20"/>
        </w:rPr>
        <w:t xml:space="preserve"> I</w:t>
      </w:r>
      <w:r w:rsidRPr="00CF0341">
        <w:rPr>
          <w:rFonts w:ascii="Arial" w:hAnsi="Arial" w:cs="Arial"/>
          <w:color w:val="auto"/>
          <w:sz w:val="20"/>
          <w:szCs w:val="20"/>
        </w:rPr>
        <w:t xml:space="preserve">nput parameters for the model used probability distributions derived from </w:t>
      </w:r>
      <w:r w:rsidR="00E47E77" w:rsidRPr="00CF0341">
        <w:rPr>
          <w:rFonts w:ascii="Arial" w:hAnsi="Arial" w:cs="Arial"/>
          <w:color w:val="auto"/>
          <w:sz w:val="20"/>
          <w:szCs w:val="20"/>
        </w:rPr>
        <w:t>th</w:t>
      </w:r>
      <w:r w:rsidR="00E47E77">
        <w:rPr>
          <w:rFonts w:ascii="Arial" w:hAnsi="Arial" w:cs="Arial"/>
          <w:color w:val="auto"/>
          <w:sz w:val="20"/>
          <w:szCs w:val="20"/>
        </w:rPr>
        <w:t>ese</w:t>
      </w:r>
      <w:r w:rsidR="00E47E77" w:rsidRPr="00CF0341">
        <w:rPr>
          <w:rFonts w:ascii="Arial" w:hAnsi="Arial" w:cs="Arial"/>
          <w:color w:val="auto"/>
          <w:sz w:val="20"/>
          <w:szCs w:val="20"/>
        </w:rPr>
        <w:t xml:space="preserve"> </w:t>
      </w:r>
      <w:r w:rsidRPr="00CF0341">
        <w:rPr>
          <w:rFonts w:ascii="Arial" w:hAnsi="Arial" w:cs="Arial"/>
          <w:color w:val="auto"/>
          <w:sz w:val="20"/>
          <w:szCs w:val="20"/>
        </w:rPr>
        <w:t>analys</w:t>
      </w:r>
      <w:r w:rsidR="00E47E77">
        <w:rPr>
          <w:rFonts w:ascii="Arial" w:hAnsi="Arial" w:cs="Arial"/>
          <w:color w:val="auto"/>
          <w:sz w:val="20"/>
          <w:szCs w:val="20"/>
        </w:rPr>
        <w:t>e</w:t>
      </w:r>
      <w:r w:rsidRPr="00CF0341">
        <w:rPr>
          <w:rFonts w:ascii="Arial" w:hAnsi="Arial" w:cs="Arial"/>
          <w:color w:val="auto"/>
          <w:sz w:val="20"/>
          <w:szCs w:val="20"/>
        </w:rPr>
        <w:t>s</w:t>
      </w:r>
      <w:r w:rsidR="00EF0FAD">
        <w:rPr>
          <w:rFonts w:ascii="Arial" w:hAnsi="Arial" w:cs="Arial"/>
          <w:color w:val="auto"/>
          <w:sz w:val="20"/>
          <w:szCs w:val="20"/>
        </w:rPr>
        <w:t xml:space="preserve"> (Table 2).</w:t>
      </w:r>
      <w:r w:rsidR="001E77FF" w:rsidRPr="001E77FF">
        <w:rPr>
          <w:rFonts w:ascii="Arial" w:hAnsi="Arial" w:cs="Arial"/>
          <w:color w:val="auto"/>
          <w:sz w:val="20"/>
          <w:szCs w:val="20"/>
        </w:rPr>
        <w:t xml:space="preserve"> </w:t>
      </w:r>
      <w:r w:rsidR="001E77FF">
        <w:rPr>
          <w:rFonts w:ascii="Arial" w:hAnsi="Arial" w:cs="Arial"/>
          <w:color w:val="auto"/>
          <w:sz w:val="20"/>
          <w:szCs w:val="20"/>
        </w:rPr>
        <w:t xml:space="preserve">We used identical input parameters to </w:t>
      </w:r>
      <w:r w:rsidR="00537E26">
        <w:rPr>
          <w:rFonts w:ascii="Arial" w:hAnsi="Arial" w:cs="Arial"/>
          <w:color w:val="auto"/>
          <w:sz w:val="20"/>
          <w:szCs w:val="20"/>
        </w:rPr>
        <w:t>model</w:t>
      </w:r>
      <w:r w:rsidR="001E77FF">
        <w:rPr>
          <w:rFonts w:ascii="Arial" w:hAnsi="Arial" w:cs="Arial"/>
          <w:color w:val="auto"/>
          <w:sz w:val="20"/>
          <w:szCs w:val="20"/>
        </w:rPr>
        <w:t xml:space="preserve"> the </w:t>
      </w:r>
      <w:r w:rsidR="00537E26">
        <w:rPr>
          <w:rFonts w:ascii="Arial" w:hAnsi="Arial" w:cs="Arial"/>
          <w:color w:val="auto"/>
          <w:sz w:val="20"/>
          <w:szCs w:val="20"/>
        </w:rPr>
        <w:t xml:space="preserve">number and </w:t>
      </w:r>
      <w:r w:rsidR="00EB6C65">
        <w:rPr>
          <w:rFonts w:ascii="Arial" w:hAnsi="Arial" w:cs="Arial"/>
          <w:color w:val="auto"/>
          <w:sz w:val="20"/>
          <w:szCs w:val="20"/>
        </w:rPr>
        <w:t>proportion</w:t>
      </w:r>
      <w:r w:rsidR="00537E26">
        <w:rPr>
          <w:rFonts w:ascii="Arial" w:hAnsi="Arial" w:cs="Arial"/>
          <w:color w:val="auto"/>
          <w:sz w:val="20"/>
          <w:szCs w:val="20"/>
        </w:rPr>
        <w:t xml:space="preserve"> of </w:t>
      </w:r>
      <w:r w:rsidR="00EB6C65">
        <w:rPr>
          <w:rFonts w:ascii="Arial" w:hAnsi="Arial" w:cs="Arial"/>
          <w:color w:val="auto"/>
          <w:sz w:val="20"/>
          <w:szCs w:val="20"/>
        </w:rPr>
        <w:t xml:space="preserve">RMP-R </w:t>
      </w:r>
      <w:r w:rsidR="001E77FF">
        <w:rPr>
          <w:rFonts w:ascii="Arial" w:hAnsi="Arial" w:cs="Arial"/>
          <w:color w:val="auto"/>
          <w:sz w:val="20"/>
          <w:szCs w:val="20"/>
        </w:rPr>
        <w:t xml:space="preserve">TB </w:t>
      </w:r>
      <w:r w:rsidR="00537E26">
        <w:rPr>
          <w:rFonts w:ascii="Arial" w:hAnsi="Arial" w:cs="Arial"/>
          <w:color w:val="auto"/>
          <w:sz w:val="20"/>
          <w:szCs w:val="20"/>
        </w:rPr>
        <w:t xml:space="preserve">cases identified </w:t>
      </w:r>
      <w:r w:rsidR="001E77FF">
        <w:rPr>
          <w:rFonts w:ascii="Arial" w:hAnsi="Arial" w:cs="Arial"/>
          <w:color w:val="auto"/>
          <w:sz w:val="20"/>
          <w:szCs w:val="20"/>
        </w:rPr>
        <w:t xml:space="preserve">amongst 100,000 presumptive TB cases </w:t>
      </w:r>
      <w:r w:rsidR="00537E26">
        <w:rPr>
          <w:rFonts w:ascii="Arial" w:hAnsi="Arial" w:cs="Arial"/>
          <w:color w:val="auto"/>
          <w:sz w:val="20"/>
          <w:szCs w:val="20"/>
        </w:rPr>
        <w:t xml:space="preserve">screened </w:t>
      </w:r>
      <w:r w:rsidR="001E77FF">
        <w:rPr>
          <w:rFonts w:ascii="Arial" w:hAnsi="Arial" w:cs="Arial"/>
          <w:color w:val="auto"/>
          <w:sz w:val="20"/>
          <w:szCs w:val="20"/>
        </w:rPr>
        <w:t xml:space="preserve">in the smear/culture and Xpert-based algorithms. </w:t>
      </w:r>
    </w:p>
    <w:p w14:paraId="1D665565" w14:textId="77777777" w:rsidR="00995785" w:rsidRDefault="00995785" w:rsidP="00AF3715">
      <w:pPr>
        <w:pStyle w:val="Default"/>
        <w:spacing w:line="360" w:lineRule="auto"/>
        <w:jc w:val="both"/>
        <w:rPr>
          <w:rFonts w:ascii="Arial" w:hAnsi="Arial" w:cs="Arial"/>
          <w:color w:val="auto"/>
          <w:sz w:val="20"/>
          <w:szCs w:val="20"/>
        </w:rPr>
      </w:pPr>
    </w:p>
    <w:p w14:paraId="79E6C626" w14:textId="22B0CB26" w:rsidR="003824BC" w:rsidRPr="006702D9" w:rsidRDefault="003824BC" w:rsidP="003824BC">
      <w:pPr>
        <w:pStyle w:val="Default"/>
        <w:spacing w:line="360" w:lineRule="auto"/>
        <w:jc w:val="both"/>
        <w:rPr>
          <w:rFonts w:ascii="Arial" w:hAnsi="Arial" w:cs="Arial"/>
          <w:color w:val="auto"/>
          <w:sz w:val="20"/>
          <w:szCs w:val="20"/>
        </w:rPr>
      </w:pPr>
      <w:r w:rsidRPr="006702D9">
        <w:rPr>
          <w:rFonts w:ascii="Arial" w:hAnsi="Arial" w:cs="Arial"/>
          <w:color w:val="auto"/>
          <w:sz w:val="20"/>
          <w:szCs w:val="20"/>
        </w:rPr>
        <w:t xml:space="preserve">Laboratory cost data per test in each algorithm were obtained from a costing evaluation undertaken at the high throughput central </w:t>
      </w:r>
      <w:r>
        <w:rPr>
          <w:rFonts w:ascii="Arial" w:hAnsi="Arial" w:cs="Arial"/>
          <w:color w:val="auto"/>
          <w:sz w:val="20"/>
          <w:szCs w:val="20"/>
        </w:rPr>
        <w:t>laboratory (NHLS) in Cape Town (Table 1).</w:t>
      </w:r>
      <w:r>
        <w:rPr>
          <w:rFonts w:ascii="Arial" w:hAnsi="Arial" w:cs="Arial"/>
          <w:color w:val="auto"/>
          <w:sz w:val="20"/>
          <w:szCs w:val="20"/>
        </w:rPr>
        <w:fldChar w:fldCharType="begin" w:fldLock="1"/>
      </w:r>
      <w:r w:rsidR="006A5DC1">
        <w:rPr>
          <w:rFonts w:ascii="Arial" w:hAnsi="Arial" w:cs="Arial"/>
          <w:color w:val="auto"/>
          <w:sz w:val="20"/>
          <w:szCs w:val="20"/>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smear/culture and Xpert\u00ae MTB/RIF-based tuberculosis diagnostic algorithms", "type" : "article-journal", "volume" : "20" }, "uris" : [ "http://www.mendeley.com/documents/?uuid=5d15e329-b449-3eb5-a5c2-d8dfeae8435f" ] } ], "mendeley" : { "formattedCitation" : "&lt;sup&gt;7&lt;/sup&gt;", "plainTextFormattedCitation" : "7", "previouslyFormattedCitation" : "&lt;sup&gt;7&lt;/sup&gt;" }, "properties" : { "noteIndex" : 0 }, "schema" : "https://github.com/citation-style-language/schema/raw/master/csl-citation.json" }</w:instrText>
      </w:r>
      <w:r>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7</w:t>
      </w:r>
      <w:r>
        <w:rPr>
          <w:rFonts w:ascii="Arial" w:hAnsi="Arial" w:cs="Arial"/>
          <w:color w:val="auto"/>
          <w:sz w:val="20"/>
          <w:szCs w:val="20"/>
        </w:rPr>
        <w:fldChar w:fldCharType="end"/>
      </w:r>
      <w:r w:rsidRPr="006702D9">
        <w:rPr>
          <w:rFonts w:ascii="Arial" w:hAnsi="Arial" w:cs="Arial"/>
          <w:color w:val="auto"/>
          <w:sz w:val="20"/>
          <w:szCs w:val="20"/>
        </w:rPr>
        <w:t xml:space="preserve"> Costs were calculated for sputum smear microscopy, culture</w:t>
      </w:r>
      <w:r w:rsidR="003732CD">
        <w:rPr>
          <w:rFonts w:ascii="Arial" w:hAnsi="Arial" w:cs="Arial"/>
          <w:color w:val="auto"/>
          <w:sz w:val="20"/>
          <w:szCs w:val="20"/>
        </w:rPr>
        <w:t xml:space="preserve">, </w:t>
      </w:r>
      <w:r w:rsidR="00FE1660" w:rsidRPr="00FE1660">
        <w:rPr>
          <w:rFonts w:ascii="Arial" w:hAnsi="Arial" w:cs="Arial"/>
          <w:color w:val="FF0000"/>
          <w:sz w:val="20"/>
          <w:szCs w:val="20"/>
        </w:rPr>
        <w:t xml:space="preserve">line probe assay (LPA) </w:t>
      </w:r>
      <w:r w:rsidRPr="006702D9">
        <w:rPr>
          <w:rFonts w:ascii="Arial" w:hAnsi="Arial" w:cs="Arial"/>
          <w:color w:val="auto"/>
          <w:sz w:val="20"/>
          <w:szCs w:val="20"/>
        </w:rPr>
        <w:t xml:space="preserve">and Xpert and used to estimate </w:t>
      </w:r>
      <w:r w:rsidR="003732CD">
        <w:rPr>
          <w:rFonts w:ascii="Arial" w:hAnsi="Arial" w:cs="Arial"/>
          <w:color w:val="auto"/>
          <w:sz w:val="20"/>
          <w:szCs w:val="20"/>
        </w:rPr>
        <w:t xml:space="preserve">total </w:t>
      </w:r>
      <w:r>
        <w:rPr>
          <w:rFonts w:ascii="Arial" w:hAnsi="Arial" w:cs="Arial"/>
          <w:color w:val="auto"/>
          <w:sz w:val="20"/>
          <w:szCs w:val="20"/>
        </w:rPr>
        <w:t>TB diagnostic cost</w:t>
      </w:r>
      <w:r w:rsidR="003732CD">
        <w:rPr>
          <w:rFonts w:ascii="Arial" w:hAnsi="Arial" w:cs="Arial"/>
          <w:color w:val="auto"/>
          <w:sz w:val="20"/>
          <w:szCs w:val="20"/>
        </w:rPr>
        <w:t>s in each algorithm (all expressed in 2013 values)</w:t>
      </w:r>
      <w:r w:rsidRPr="006702D9">
        <w:rPr>
          <w:rFonts w:ascii="Arial" w:hAnsi="Arial" w:cs="Arial"/>
          <w:color w:val="auto"/>
          <w:sz w:val="20"/>
          <w:szCs w:val="20"/>
        </w:rPr>
        <w:t xml:space="preserve">. </w:t>
      </w:r>
    </w:p>
    <w:p w14:paraId="254CA46E" w14:textId="77777777" w:rsidR="003824BC" w:rsidRDefault="003824BC" w:rsidP="003725D2">
      <w:pPr>
        <w:pStyle w:val="Default"/>
        <w:spacing w:line="360" w:lineRule="auto"/>
        <w:jc w:val="both"/>
        <w:rPr>
          <w:rFonts w:ascii="Arial" w:hAnsi="Arial" w:cs="Arial"/>
          <w:color w:val="auto"/>
          <w:sz w:val="20"/>
          <w:szCs w:val="20"/>
        </w:rPr>
      </w:pPr>
    </w:p>
    <w:p w14:paraId="084CD6EC" w14:textId="03FA1E5C" w:rsidR="009D7056" w:rsidRPr="009D7056" w:rsidRDefault="00625BC3" w:rsidP="00C5519B">
      <w:pPr>
        <w:pStyle w:val="Default"/>
        <w:spacing w:line="360" w:lineRule="auto"/>
        <w:jc w:val="both"/>
        <w:rPr>
          <w:rFonts w:ascii="Arial" w:hAnsi="Arial" w:cs="Arial"/>
          <w:color w:val="auto"/>
          <w:sz w:val="20"/>
          <w:szCs w:val="20"/>
        </w:rPr>
      </w:pPr>
      <w:r>
        <w:rPr>
          <w:rFonts w:ascii="Arial" w:hAnsi="Arial" w:cs="Arial"/>
          <w:color w:val="auto"/>
          <w:sz w:val="20"/>
          <w:szCs w:val="20"/>
        </w:rPr>
        <w:t>I</w:t>
      </w:r>
      <w:r w:rsidR="00D71349">
        <w:rPr>
          <w:rFonts w:ascii="Arial" w:hAnsi="Arial" w:cs="Arial"/>
          <w:color w:val="auto"/>
          <w:sz w:val="20"/>
          <w:szCs w:val="20"/>
        </w:rPr>
        <w:t>n the Xpert-based algorithm, we</w:t>
      </w:r>
      <w:r w:rsidR="00192AD8">
        <w:rPr>
          <w:rFonts w:ascii="Arial" w:hAnsi="Arial" w:cs="Arial"/>
          <w:color w:val="auto"/>
          <w:sz w:val="20"/>
          <w:szCs w:val="20"/>
        </w:rPr>
        <w:t xml:space="preserve"> modelled scenarios </w:t>
      </w:r>
      <w:r>
        <w:rPr>
          <w:rFonts w:ascii="Arial" w:hAnsi="Arial" w:cs="Arial"/>
          <w:color w:val="auto"/>
          <w:sz w:val="20"/>
          <w:szCs w:val="20"/>
        </w:rPr>
        <w:t xml:space="preserve">with varying </w:t>
      </w:r>
      <w:r w:rsidR="00192AD8">
        <w:rPr>
          <w:rFonts w:ascii="Arial" w:hAnsi="Arial" w:cs="Arial"/>
          <w:color w:val="auto"/>
          <w:sz w:val="20"/>
          <w:szCs w:val="20"/>
        </w:rPr>
        <w:t>level</w:t>
      </w:r>
      <w:r>
        <w:rPr>
          <w:rFonts w:ascii="Arial" w:hAnsi="Arial" w:cs="Arial"/>
          <w:color w:val="auto"/>
          <w:sz w:val="20"/>
          <w:szCs w:val="20"/>
        </w:rPr>
        <w:t>s</w:t>
      </w:r>
      <w:r w:rsidR="00192AD8">
        <w:rPr>
          <w:rFonts w:ascii="Arial" w:hAnsi="Arial" w:cs="Arial"/>
          <w:color w:val="auto"/>
          <w:sz w:val="20"/>
          <w:szCs w:val="20"/>
        </w:rPr>
        <w:t xml:space="preserve"> of adherence</w:t>
      </w:r>
      <w:r w:rsidR="00D854DD">
        <w:rPr>
          <w:rFonts w:ascii="Arial" w:hAnsi="Arial" w:cs="Arial"/>
          <w:color w:val="auto"/>
          <w:sz w:val="20"/>
          <w:szCs w:val="20"/>
        </w:rPr>
        <w:t xml:space="preserve"> to </w:t>
      </w:r>
      <w:r w:rsidR="00D71349">
        <w:rPr>
          <w:rFonts w:ascii="Arial" w:hAnsi="Arial" w:cs="Arial"/>
          <w:color w:val="auto"/>
          <w:sz w:val="20"/>
          <w:szCs w:val="20"/>
        </w:rPr>
        <w:t>the algorithm</w:t>
      </w:r>
      <w:r w:rsidR="00D854DD">
        <w:rPr>
          <w:rFonts w:ascii="Arial" w:hAnsi="Arial" w:cs="Arial"/>
          <w:color w:val="auto"/>
          <w:sz w:val="20"/>
          <w:szCs w:val="20"/>
        </w:rPr>
        <w:t xml:space="preserve"> </w:t>
      </w:r>
      <w:r>
        <w:rPr>
          <w:rFonts w:ascii="Arial" w:hAnsi="Arial" w:cs="Arial"/>
          <w:color w:val="auto"/>
          <w:sz w:val="20"/>
          <w:szCs w:val="20"/>
        </w:rPr>
        <w:t xml:space="preserve">(at increments of 10% from 50% to 100%) </w:t>
      </w:r>
      <w:r w:rsidR="00D854DD">
        <w:rPr>
          <w:rFonts w:ascii="Arial" w:hAnsi="Arial" w:cs="Arial"/>
          <w:color w:val="auto"/>
          <w:sz w:val="20"/>
          <w:szCs w:val="20"/>
        </w:rPr>
        <w:t xml:space="preserve">and </w:t>
      </w:r>
      <w:r w:rsidR="00934D29">
        <w:rPr>
          <w:rFonts w:ascii="Arial" w:hAnsi="Arial" w:cs="Arial"/>
          <w:color w:val="auto"/>
          <w:sz w:val="20"/>
          <w:szCs w:val="20"/>
        </w:rPr>
        <w:t xml:space="preserve">varying the </w:t>
      </w:r>
      <w:r w:rsidR="00D854DD">
        <w:rPr>
          <w:rFonts w:ascii="Arial" w:hAnsi="Arial" w:cs="Arial"/>
          <w:color w:val="auto"/>
          <w:sz w:val="20"/>
          <w:szCs w:val="20"/>
        </w:rPr>
        <w:t xml:space="preserve">proportion of presumptive </w:t>
      </w:r>
      <w:r>
        <w:rPr>
          <w:rFonts w:ascii="Arial" w:hAnsi="Arial" w:cs="Arial"/>
          <w:color w:val="auto"/>
          <w:sz w:val="20"/>
          <w:szCs w:val="20"/>
        </w:rPr>
        <w:t xml:space="preserve">TB </w:t>
      </w:r>
      <w:r w:rsidR="00D854DD">
        <w:rPr>
          <w:rFonts w:ascii="Arial" w:hAnsi="Arial" w:cs="Arial"/>
          <w:color w:val="auto"/>
          <w:sz w:val="20"/>
          <w:szCs w:val="20"/>
        </w:rPr>
        <w:t>cases</w:t>
      </w:r>
      <w:r w:rsidR="003725D2">
        <w:rPr>
          <w:rFonts w:ascii="Arial" w:hAnsi="Arial" w:cs="Arial"/>
          <w:color w:val="auto"/>
          <w:sz w:val="20"/>
          <w:szCs w:val="20"/>
        </w:rPr>
        <w:t xml:space="preserve"> that knew</w:t>
      </w:r>
      <w:r w:rsidR="00D854DD">
        <w:rPr>
          <w:rFonts w:ascii="Arial" w:hAnsi="Arial" w:cs="Arial"/>
          <w:color w:val="auto"/>
          <w:sz w:val="20"/>
          <w:szCs w:val="20"/>
        </w:rPr>
        <w:t xml:space="preserve"> their HIV status</w:t>
      </w:r>
      <w:r w:rsidR="003725D2">
        <w:rPr>
          <w:rFonts w:ascii="Arial" w:hAnsi="Arial" w:cs="Arial"/>
          <w:color w:val="auto"/>
          <w:sz w:val="20"/>
          <w:szCs w:val="20"/>
        </w:rPr>
        <w:t xml:space="preserve"> </w:t>
      </w:r>
      <w:r>
        <w:rPr>
          <w:rFonts w:ascii="Arial" w:hAnsi="Arial" w:cs="Arial"/>
          <w:color w:val="auto"/>
          <w:sz w:val="20"/>
          <w:szCs w:val="20"/>
        </w:rPr>
        <w:t xml:space="preserve">(at </w:t>
      </w:r>
      <w:r w:rsidR="003725D2">
        <w:rPr>
          <w:rFonts w:ascii="Arial" w:hAnsi="Arial" w:cs="Arial"/>
          <w:color w:val="auto"/>
          <w:sz w:val="20"/>
          <w:szCs w:val="20"/>
        </w:rPr>
        <w:t>60%, 80% and 100%</w:t>
      </w:r>
      <w:r>
        <w:rPr>
          <w:rFonts w:ascii="Arial" w:hAnsi="Arial" w:cs="Arial"/>
          <w:color w:val="auto"/>
          <w:sz w:val="20"/>
          <w:szCs w:val="20"/>
        </w:rPr>
        <w:t>)</w:t>
      </w:r>
      <w:r w:rsidR="002546A1">
        <w:rPr>
          <w:rFonts w:ascii="Arial" w:hAnsi="Arial" w:cs="Arial"/>
          <w:color w:val="auto"/>
          <w:sz w:val="20"/>
          <w:szCs w:val="20"/>
        </w:rPr>
        <w:t xml:space="preserve"> since </w:t>
      </w:r>
      <w:r w:rsidR="002546A1" w:rsidRPr="002546A1">
        <w:rPr>
          <w:rFonts w:ascii="Arial" w:hAnsi="Arial" w:cs="Arial"/>
          <w:color w:val="auto"/>
          <w:sz w:val="20"/>
          <w:szCs w:val="20"/>
        </w:rPr>
        <w:t>r</w:t>
      </w:r>
      <w:r w:rsidR="00C5519B" w:rsidRPr="002546A1">
        <w:rPr>
          <w:rFonts w:ascii="Arial" w:hAnsi="Arial" w:cs="Arial"/>
          <w:color w:val="auto"/>
          <w:sz w:val="20"/>
          <w:szCs w:val="20"/>
        </w:rPr>
        <w:t xml:space="preserve">outine NHLS data showed that 50% </w:t>
      </w:r>
      <w:r w:rsidR="002544F1" w:rsidRPr="002546A1">
        <w:rPr>
          <w:rFonts w:ascii="Arial" w:hAnsi="Arial" w:cs="Arial"/>
          <w:color w:val="auto"/>
          <w:sz w:val="20"/>
          <w:szCs w:val="20"/>
        </w:rPr>
        <w:t>of presumptive TB cases knew their HIV status</w:t>
      </w:r>
      <w:r w:rsidR="00C5519B" w:rsidRPr="002546A1">
        <w:rPr>
          <w:rFonts w:ascii="Arial" w:hAnsi="Arial" w:cs="Arial"/>
          <w:color w:val="auto"/>
          <w:sz w:val="20"/>
          <w:szCs w:val="20"/>
        </w:rPr>
        <w:t xml:space="preserve"> in 2013.</w:t>
      </w:r>
      <w:r w:rsidR="00585491" w:rsidRPr="002546A1">
        <w:rPr>
          <w:rFonts w:ascii="Arial" w:hAnsi="Arial" w:cs="Arial"/>
          <w:color w:val="auto"/>
          <w:sz w:val="20"/>
          <w:szCs w:val="20"/>
        </w:rPr>
        <w:fldChar w:fldCharType="begin" w:fldLock="1"/>
      </w:r>
      <w:r w:rsidR="003147E8">
        <w:rPr>
          <w:rFonts w:ascii="Arial" w:hAnsi="Arial" w:cs="Arial"/>
          <w:color w:val="auto"/>
          <w:sz w:val="20"/>
          <w:szCs w:val="20"/>
        </w:rPr>
        <w:instrText>ADDIN CSL_CITATION { "citationItems" : [ { "id" : "ITEM-1",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"ITEM-1",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"id" : "ITEM-2",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"ITEM-2", "issue" : "4", "issued" : { "date-parts" : [ [ "2017" ] ] }, "page" : "381-388", "title" : "Operational modelling: the mechanisms influencing TB diagnostic yield in an Xpert(\u00ae) MTB/RIF-based algorithm.", "type" : "article-journal", "volume" : "21" }, "uris" : [ "http://www.mendeley.com/documents/?uuid=f0e9d97f-4efa-4039-a2e2-f88a0981c760" ] } ], "mendeley" : { "formattedCitation" : "&lt;sup&gt;9,11&lt;/sup&gt;", "plainTextFormattedCitation" : "9,11", "previouslyFormattedCitation" : "&lt;sup&gt;9,11&lt;/sup&gt;" }, "properties" : { "noteIndex" : 0 }, "schema" : "https://github.com/citation-style-language/schema/raw/master/csl-citation.json" }</w:instrText>
      </w:r>
      <w:r w:rsidR="00585491" w:rsidRPr="002546A1">
        <w:rPr>
          <w:rFonts w:ascii="Arial" w:hAnsi="Arial" w:cs="Arial"/>
          <w:color w:val="auto"/>
          <w:sz w:val="20"/>
          <w:szCs w:val="20"/>
        </w:rPr>
        <w:fldChar w:fldCharType="separate"/>
      </w:r>
      <w:r w:rsidR="0050723B" w:rsidRPr="002546A1">
        <w:rPr>
          <w:rFonts w:ascii="Arial" w:hAnsi="Arial" w:cs="Arial"/>
          <w:noProof/>
          <w:color w:val="auto"/>
          <w:sz w:val="20"/>
          <w:szCs w:val="20"/>
          <w:vertAlign w:val="superscript"/>
        </w:rPr>
        <w:t>9,11</w:t>
      </w:r>
      <w:r w:rsidR="00585491" w:rsidRPr="002546A1">
        <w:rPr>
          <w:rFonts w:ascii="Arial" w:hAnsi="Arial" w:cs="Arial"/>
          <w:color w:val="auto"/>
          <w:sz w:val="20"/>
          <w:szCs w:val="20"/>
        </w:rPr>
        <w:fldChar w:fldCharType="end"/>
      </w:r>
      <w:r w:rsidR="00C5519B" w:rsidRPr="002546A1">
        <w:rPr>
          <w:rFonts w:ascii="Arial" w:hAnsi="Arial" w:cs="Arial"/>
          <w:color w:val="auto"/>
          <w:sz w:val="20"/>
          <w:szCs w:val="20"/>
        </w:rPr>
        <w:t xml:space="preserve"> </w:t>
      </w:r>
    </w:p>
    <w:p w14:paraId="06DDCFBD" w14:textId="77777777" w:rsidR="007F6F09" w:rsidRDefault="007F6F09" w:rsidP="000D57A5">
      <w:pPr>
        <w:pStyle w:val="Default"/>
        <w:spacing w:line="360" w:lineRule="auto"/>
        <w:rPr>
          <w:rFonts w:ascii="Arial" w:hAnsi="Arial" w:cs="Arial"/>
          <w:color w:val="auto"/>
          <w:sz w:val="20"/>
          <w:szCs w:val="20"/>
        </w:rPr>
      </w:pPr>
    </w:p>
    <w:p w14:paraId="06773B63" w14:textId="77777777" w:rsidR="00CC051E" w:rsidRDefault="00AF3715" w:rsidP="00AF3715">
      <w:pPr>
        <w:pStyle w:val="Default"/>
        <w:spacing w:line="360" w:lineRule="auto"/>
        <w:jc w:val="both"/>
        <w:rPr>
          <w:rFonts w:ascii="Arial" w:hAnsi="Arial" w:cs="Arial"/>
          <w:b/>
          <w:color w:val="auto"/>
          <w:sz w:val="20"/>
          <w:szCs w:val="20"/>
        </w:rPr>
      </w:pPr>
      <w:r w:rsidRPr="00995785">
        <w:rPr>
          <w:rFonts w:ascii="Arial" w:hAnsi="Arial" w:cs="Arial"/>
          <w:b/>
          <w:color w:val="auto"/>
          <w:sz w:val="20"/>
          <w:szCs w:val="20"/>
        </w:rPr>
        <w:t>Model outputs and analysis</w:t>
      </w:r>
    </w:p>
    <w:p w14:paraId="272E0182" w14:textId="0A09513E" w:rsidR="00556627" w:rsidRDefault="00A421D7" w:rsidP="00AF3715">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We firstly </w:t>
      </w:r>
      <w:r w:rsidR="00832476">
        <w:rPr>
          <w:rFonts w:ascii="Arial" w:hAnsi="Arial" w:cs="Arial"/>
          <w:color w:val="auto"/>
          <w:sz w:val="20"/>
          <w:szCs w:val="20"/>
        </w:rPr>
        <w:t xml:space="preserve">modelled </w:t>
      </w:r>
      <w:r>
        <w:rPr>
          <w:rFonts w:ascii="Arial" w:hAnsi="Arial" w:cs="Arial"/>
          <w:color w:val="auto"/>
          <w:sz w:val="20"/>
          <w:szCs w:val="20"/>
        </w:rPr>
        <w:t xml:space="preserve">the </w:t>
      </w:r>
      <w:r w:rsidR="00232FB9">
        <w:rPr>
          <w:rFonts w:ascii="Arial" w:hAnsi="Arial" w:cs="Arial"/>
          <w:color w:val="auto"/>
          <w:sz w:val="20"/>
          <w:szCs w:val="20"/>
        </w:rPr>
        <w:t xml:space="preserve">RMP-R </w:t>
      </w:r>
      <w:r w:rsidR="00832476">
        <w:rPr>
          <w:rFonts w:ascii="Arial" w:hAnsi="Arial" w:cs="Arial"/>
          <w:color w:val="auto"/>
          <w:sz w:val="20"/>
          <w:szCs w:val="20"/>
        </w:rPr>
        <w:t>TB cases identified and missed in</w:t>
      </w:r>
      <w:r w:rsidR="000C130F">
        <w:rPr>
          <w:rFonts w:ascii="Arial" w:hAnsi="Arial" w:cs="Arial"/>
          <w:color w:val="auto"/>
          <w:sz w:val="20"/>
          <w:szCs w:val="20"/>
        </w:rPr>
        <w:t xml:space="preserve"> the smear/culture</w:t>
      </w:r>
      <w:r>
        <w:rPr>
          <w:rFonts w:ascii="Arial" w:hAnsi="Arial" w:cs="Arial"/>
          <w:color w:val="auto"/>
          <w:sz w:val="20"/>
          <w:szCs w:val="20"/>
        </w:rPr>
        <w:t xml:space="preserve"> and Xpert-based algorithm</w:t>
      </w:r>
      <w:r w:rsidR="00832476">
        <w:rPr>
          <w:rFonts w:ascii="Arial" w:hAnsi="Arial" w:cs="Arial"/>
          <w:color w:val="auto"/>
          <w:sz w:val="20"/>
          <w:szCs w:val="20"/>
        </w:rPr>
        <w:t>s</w:t>
      </w:r>
      <w:r w:rsidR="00EE3F8C">
        <w:rPr>
          <w:rFonts w:ascii="Arial" w:hAnsi="Arial" w:cs="Arial"/>
          <w:color w:val="auto"/>
          <w:sz w:val="20"/>
          <w:szCs w:val="20"/>
        </w:rPr>
        <w:t xml:space="preserve">. </w:t>
      </w:r>
      <w:r w:rsidR="00495A75">
        <w:rPr>
          <w:rFonts w:ascii="Arial" w:hAnsi="Arial" w:cs="Arial"/>
          <w:color w:val="auto"/>
          <w:sz w:val="20"/>
          <w:szCs w:val="20"/>
        </w:rPr>
        <w:t xml:space="preserve">We report the </w:t>
      </w:r>
      <w:r w:rsidR="00232FB9">
        <w:rPr>
          <w:rFonts w:ascii="Arial" w:hAnsi="Arial" w:cs="Arial"/>
          <w:color w:val="auto"/>
          <w:sz w:val="20"/>
          <w:szCs w:val="20"/>
        </w:rPr>
        <w:t xml:space="preserve">RMP-R </w:t>
      </w:r>
      <w:r w:rsidR="00495A75">
        <w:rPr>
          <w:rFonts w:ascii="Arial" w:hAnsi="Arial" w:cs="Arial"/>
          <w:color w:val="auto"/>
          <w:sz w:val="20"/>
          <w:szCs w:val="20"/>
        </w:rPr>
        <w:t xml:space="preserve">cases </w:t>
      </w:r>
      <w:r w:rsidR="00CF0D83">
        <w:rPr>
          <w:rFonts w:ascii="Arial" w:hAnsi="Arial" w:cs="Arial"/>
          <w:color w:val="auto"/>
          <w:sz w:val="20"/>
          <w:szCs w:val="20"/>
        </w:rPr>
        <w:t xml:space="preserve">identified </w:t>
      </w:r>
      <w:r w:rsidR="00495A75">
        <w:rPr>
          <w:rFonts w:ascii="Arial" w:hAnsi="Arial" w:cs="Arial"/>
          <w:color w:val="auto"/>
          <w:sz w:val="20"/>
          <w:szCs w:val="20"/>
        </w:rPr>
        <w:t xml:space="preserve">as a </w:t>
      </w:r>
      <w:r w:rsidR="00CF0D83">
        <w:rPr>
          <w:rFonts w:ascii="Arial" w:hAnsi="Arial" w:cs="Arial"/>
          <w:color w:val="auto"/>
          <w:sz w:val="20"/>
          <w:szCs w:val="20"/>
        </w:rPr>
        <w:t xml:space="preserve">number and as a </w:t>
      </w:r>
      <w:r w:rsidR="00495A75">
        <w:rPr>
          <w:rFonts w:ascii="Arial" w:hAnsi="Arial" w:cs="Arial"/>
          <w:color w:val="auto"/>
          <w:sz w:val="20"/>
          <w:szCs w:val="20"/>
        </w:rPr>
        <w:t>percentage of TB cases identified</w:t>
      </w:r>
      <w:r w:rsidR="00C51839">
        <w:rPr>
          <w:rFonts w:ascii="Arial" w:hAnsi="Arial" w:cs="Arial"/>
          <w:color w:val="auto"/>
          <w:sz w:val="20"/>
          <w:szCs w:val="20"/>
        </w:rPr>
        <w:t xml:space="preserve"> among the</w:t>
      </w:r>
      <w:r w:rsidR="00556627">
        <w:rPr>
          <w:rFonts w:ascii="Arial" w:hAnsi="Arial" w:cs="Arial"/>
          <w:color w:val="auto"/>
          <w:sz w:val="20"/>
          <w:szCs w:val="20"/>
        </w:rPr>
        <w:t xml:space="preserve"> 100,</w:t>
      </w:r>
      <w:r w:rsidR="006C14EA">
        <w:rPr>
          <w:rFonts w:ascii="Arial" w:hAnsi="Arial" w:cs="Arial"/>
          <w:color w:val="auto"/>
          <w:sz w:val="20"/>
          <w:szCs w:val="20"/>
        </w:rPr>
        <w:t xml:space="preserve">000 presumptive </w:t>
      </w:r>
      <w:r w:rsidR="00832476">
        <w:rPr>
          <w:rFonts w:ascii="Arial" w:hAnsi="Arial" w:cs="Arial"/>
          <w:color w:val="auto"/>
          <w:sz w:val="20"/>
          <w:szCs w:val="20"/>
        </w:rPr>
        <w:t xml:space="preserve">TB </w:t>
      </w:r>
      <w:r w:rsidR="006C14EA">
        <w:rPr>
          <w:rFonts w:ascii="Arial" w:hAnsi="Arial" w:cs="Arial"/>
          <w:color w:val="auto"/>
          <w:sz w:val="20"/>
          <w:szCs w:val="20"/>
        </w:rPr>
        <w:t>cases</w:t>
      </w:r>
      <w:r w:rsidR="00C51839">
        <w:rPr>
          <w:rFonts w:ascii="Arial" w:hAnsi="Arial" w:cs="Arial"/>
          <w:color w:val="auto"/>
          <w:sz w:val="20"/>
          <w:szCs w:val="20"/>
        </w:rPr>
        <w:t xml:space="preserve"> evaluated</w:t>
      </w:r>
      <w:r w:rsidR="006C14EA">
        <w:rPr>
          <w:rFonts w:ascii="Arial" w:hAnsi="Arial" w:cs="Arial"/>
          <w:color w:val="auto"/>
          <w:sz w:val="20"/>
          <w:szCs w:val="20"/>
        </w:rPr>
        <w:t>.</w:t>
      </w:r>
      <w:r w:rsidR="004A52C9">
        <w:rPr>
          <w:rFonts w:ascii="Arial" w:hAnsi="Arial" w:cs="Arial"/>
          <w:color w:val="auto"/>
          <w:sz w:val="20"/>
          <w:szCs w:val="20"/>
        </w:rPr>
        <w:t xml:space="preserve"> </w:t>
      </w:r>
    </w:p>
    <w:p w14:paraId="2AFCA913" w14:textId="77777777" w:rsidR="00556627" w:rsidRDefault="00556627" w:rsidP="00AF3715">
      <w:pPr>
        <w:pStyle w:val="Default"/>
        <w:spacing w:line="360" w:lineRule="auto"/>
        <w:jc w:val="both"/>
        <w:rPr>
          <w:rFonts w:ascii="Arial" w:hAnsi="Arial" w:cs="Arial"/>
          <w:color w:val="auto"/>
          <w:sz w:val="20"/>
          <w:szCs w:val="20"/>
        </w:rPr>
      </w:pPr>
    </w:p>
    <w:p w14:paraId="39EF175E" w14:textId="77777777" w:rsidR="004262D7" w:rsidRDefault="00534A0C" w:rsidP="004262D7">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The overall </w:t>
      </w:r>
      <w:r w:rsidR="00875EA5">
        <w:rPr>
          <w:rFonts w:ascii="Arial" w:hAnsi="Arial" w:cs="Arial"/>
          <w:color w:val="auto"/>
          <w:sz w:val="20"/>
          <w:szCs w:val="20"/>
        </w:rPr>
        <w:t xml:space="preserve">laboratory </w:t>
      </w:r>
      <w:r>
        <w:rPr>
          <w:rFonts w:ascii="Arial" w:hAnsi="Arial" w:cs="Arial"/>
          <w:color w:val="auto"/>
          <w:sz w:val="20"/>
          <w:szCs w:val="20"/>
        </w:rPr>
        <w:t>TB diagnostic cost</w:t>
      </w:r>
      <w:r w:rsidR="004262D7">
        <w:rPr>
          <w:rFonts w:ascii="Arial" w:hAnsi="Arial" w:cs="Arial"/>
          <w:color w:val="auto"/>
          <w:sz w:val="20"/>
          <w:szCs w:val="20"/>
        </w:rPr>
        <w:t>s per algorithm</w:t>
      </w:r>
      <w:r>
        <w:rPr>
          <w:rFonts w:ascii="Arial" w:hAnsi="Arial" w:cs="Arial"/>
          <w:color w:val="auto"/>
          <w:sz w:val="20"/>
          <w:szCs w:val="20"/>
        </w:rPr>
        <w:t xml:space="preserve"> were calculated </w:t>
      </w:r>
      <w:r w:rsidR="004262D7">
        <w:rPr>
          <w:rFonts w:ascii="Arial" w:hAnsi="Arial" w:cs="Arial"/>
          <w:color w:val="auto"/>
          <w:sz w:val="20"/>
          <w:szCs w:val="20"/>
        </w:rPr>
        <w:t xml:space="preserve">using </w:t>
      </w:r>
      <w:r w:rsidR="00CF0D83">
        <w:rPr>
          <w:rFonts w:ascii="Arial" w:hAnsi="Arial" w:cs="Arial"/>
          <w:color w:val="auto"/>
          <w:sz w:val="20"/>
          <w:szCs w:val="20"/>
        </w:rPr>
        <w:t xml:space="preserve">model </w:t>
      </w:r>
      <w:r w:rsidR="004262D7">
        <w:rPr>
          <w:rFonts w:ascii="Arial" w:hAnsi="Arial" w:cs="Arial"/>
          <w:color w:val="auto"/>
          <w:sz w:val="20"/>
          <w:szCs w:val="20"/>
        </w:rPr>
        <w:t xml:space="preserve">outputs on </w:t>
      </w:r>
      <w:r w:rsidR="00AF3715" w:rsidRPr="00AF3715">
        <w:rPr>
          <w:rFonts w:ascii="Arial" w:hAnsi="Arial" w:cs="Arial"/>
          <w:color w:val="auto"/>
          <w:sz w:val="20"/>
          <w:szCs w:val="20"/>
        </w:rPr>
        <w:t xml:space="preserve">the number of tests </w:t>
      </w:r>
      <w:r w:rsidR="004262D7">
        <w:rPr>
          <w:rFonts w:ascii="Arial" w:hAnsi="Arial" w:cs="Arial"/>
          <w:color w:val="auto"/>
          <w:sz w:val="20"/>
          <w:szCs w:val="20"/>
        </w:rPr>
        <w:t>undertaken and cost per test from the costing study (Table 1).</w:t>
      </w:r>
      <w:r w:rsidR="009562F0">
        <w:rPr>
          <w:rFonts w:ascii="Arial" w:hAnsi="Arial" w:cs="Arial"/>
          <w:color w:val="auto"/>
          <w:sz w:val="20"/>
          <w:szCs w:val="20"/>
        </w:rPr>
        <w:fldChar w:fldCharType="begin" w:fldLock="1"/>
      </w:r>
      <w:r w:rsidR="006A5DC1">
        <w:rPr>
          <w:rFonts w:ascii="Arial" w:hAnsi="Arial" w:cs="Arial"/>
          <w:color w:val="auto"/>
          <w:sz w:val="20"/>
          <w:szCs w:val="20"/>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smear/culture and Xpert\u00ae MTB/RIF-based tuberculosis diagnostic algorithms", "type" : "article-journal", "volume" : "20" }, "uris" : [ "http://www.mendeley.com/documents/?uuid=5d15e329-b449-3eb5-a5c2-d8dfeae8435f" ] } ], "mendeley" : { "formattedCitation" : "&lt;sup&gt;7&lt;/sup&gt;", "plainTextFormattedCitation" : "7", "previouslyFormattedCitation" : "&lt;sup&gt;7&lt;/sup&gt;" }, "properties" : { "noteIndex" : 0 }, "schema" : "https://github.com/citation-style-language/schema/raw/master/csl-citation.json" }</w:instrText>
      </w:r>
      <w:r w:rsidR="009562F0">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7</w:t>
      </w:r>
      <w:r w:rsidR="009562F0">
        <w:rPr>
          <w:rFonts w:ascii="Arial" w:hAnsi="Arial" w:cs="Arial"/>
          <w:color w:val="auto"/>
          <w:sz w:val="20"/>
          <w:szCs w:val="20"/>
        </w:rPr>
        <w:fldChar w:fldCharType="end"/>
      </w:r>
      <w:r w:rsidR="004262D7">
        <w:rPr>
          <w:rFonts w:ascii="Arial" w:hAnsi="Arial" w:cs="Arial"/>
          <w:color w:val="auto"/>
          <w:sz w:val="20"/>
          <w:szCs w:val="20"/>
        </w:rPr>
        <w:t xml:space="preserve">  We calculated the cost per </w:t>
      </w:r>
      <w:r w:rsidR="00DD3EA5">
        <w:rPr>
          <w:rFonts w:ascii="Arial" w:hAnsi="Arial" w:cs="Arial"/>
          <w:color w:val="auto"/>
          <w:sz w:val="20"/>
          <w:szCs w:val="20"/>
        </w:rPr>
        <w:t xml:space="preserve">RMP-R </w:t>
      </w:r>
      <w:r w:rsidR="004262D7">
        <w:rPr>
          <w:rFonts w:ascii="Arial" w:hAnsi="Arial" w:cs="Arial"/>
          <w:color w:val="auto"/>
          <w:sz w:val="20"/>
          <w:szCs w:val="20"/>
        </w:rPr>
        <w:t xml:space="preserve">TB case identified in both algorithms by dividing the total TB diagnostic costs by the number of </w:t>
      </w:r>
      <w:r w:rsidR="00DD3EA5">
        <w:rPr>
          <w:rFonts w:ascii="Arial" w:hAnsi="Arial" w:cs="Arial"/>
          <w:color w:val="auto"/>
          <w:sz w:val="20"/>
          <w:szCs w:val="20"/>
        </w:rPr>
        <w:t xml:space="preserve">RMP-R </w:t>
      </w:r>
      <w:r w:rsidR="004262D7">
        <w:rPr>
          <w:rFonts w:ascii="Arial" w:hAnsi="Arial" w:cs="Arial"/>
          <w:color w:val="auto"/>
          <w:sz w:val="20"/>
          <w:szCs w:val="20"/>
        </w:rPr>
        <w:t xml:space="preserve">TB cases identified.  We calculated the cost per additional </w:t>
      </w:r>
      <w:r w:rsidR="004A2CD4" w:rsidRPr="004A2CD4">
        <w:rPr>
          <w:rFonts w:ascii="Arial" w:hAnsi="Arial" w:cs="Arial"/>
          <w:color w:val="auto"/>
          <w:sz w:val="20"/>
          <w:szCs w:val="20"/>
        </w:rPr>
        <w:t xml:space="preserve">RMP-R </w:t>
      </w:r>
      <w:r w:rsidR="004262D7">
        <w:rPr>
          <w:rFonts w:ascii="Arial" w:hAnsi="Arial" w:cs="Arial"/>
          <w:color w:val="auto"/>
          <w:sz w:val="20"/>
          <w:szCs w:val="20"/>
        </w:rPr>
        <w:t>TB case identified in the Xpert-based algorithm</w:t>
      </w:r>
      <w:r w:rsidR="000D526B">
        <w:rPr>
          <w:rFonts w:ascii="Arial" w:hAnsi="Arial" w:cs="Arial"/>
          <w:color w:val="auto"/>
          <w:sz w:val="20"/>
          <w:szCs w:val="20"/>
        </w:rPr>
        <w:t xml:space="preserve"> by dividing the difference in total diagnostic costs by the difference in the number of </w:t>
      </w:r>
      <w:r w:rsidR="00133A74">
        <w:rPr>
          <w:rFonts w:ascii="Arial" w:hAnsi="Arial" w:cs="Arial"/>
          <w:color w:val="auto"/>
          <w:sz w:val="20"/>
          <w:szCs w:val="20"/>
        </w:rPr>
        <w:t xml:space="preserve">RMP-R </w:t>
      </w:r>
      <w:r w:rsidR="000D526B">
        <w:rPr>
          <w:rFonts w:ascii="Arial" w:hAnsi="Arial" w:cs="Arial"/>
          <w:color w:val="auto"/>
          <w:sz w:val="20"/>
          <w:szCs w:val="20"/>
        </w:rPr>
        <w:t>TB cases identified</w:t>
      </w:r>
      <w:r w:rsidR="00CF0D83" w:rsidRPr="00CF0D83">
        <w:rPr>
          <w:rFonts w:ascii="Arial" w:hAnsi="Arial" w:cs="Arial"/>
          <w:color w:val="auto"/>
          <w:sz w:val="20"/>
          <w:szCs w:val="20"/>
        </w:rPr>
        <w:t xml:space="preserve"> </w:t>
      </w:r>
      <w:r w:rsidR="00CF0D83">
        <w:rPr>
          <w:rFonts w:ascii="Arial" w:hAnsi="Arial" w:cs="Arial"/>
          <w:color w:val="auto"/>
          <w:sz w:val="20"/>
          <w:szCs w:val="20"/>
        </w:rPr>
        <w:t>between the algorithms</w:t>
      </w:r>
      <w:r w:rsidR="004262D7">
        <w:rPr>
          <w:rFonts w:ascii="Arial" w:hAnsi="Arial" w:cs="Arial"/>
          <w:color w:val="auto"/>
          <w:sz w:val="20"/>
          <w:szCs w:val="20"/>
        </w:rPr>
        <w:t>.</w:t>
      </w:r>
    </w:p>
    <w:p w14:paraId="24604658" w14:textId="77777777" w:rsidR="00556627" w:rsidRDefault="004262D7" w:rsidP="00AF3715">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 </w:t>
      </w:r>
    </w:p>
    <w:p w14:paraId="1C77659A" w14:textId="77777777" w:rsidR="00AF3715" w:rsidRPr="00AF3715" w:rsidRDefault="00CE3EDB" w:rsidP="00AF3715">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In order to evaluate the effect of </w:t>
      </w:r>
      <w:r w:rsidR="005A4ED8">
        <w:rPr>
          <w:rFonts w:ascii="Arial" w:hAnsi="Arial" w:cs="Arial"/>
          <w:color w:val="auto"/>
          <w:sz w:val="20"/>
          <w:szCs w:val="20"/>
        </w:rPr>
        <w:t>varying</w:t>
      </w:r>
      <w:r>
        <w:rPr>
          <w:rFonts w:ascii="Arial" w:hAnsi="Arial" w:cs="Arial"/>
          <w:color w:val="auto"/>
          <w:sz w:val="20"/>
          <w:szCs w:val="20"/>
        </w:rPr>
        <w:t xml:space="preserve"> adherence</w:t>
      </w:r>
      <w:r w:rsidR="005A4ED8">
        <w:rPr>
          <w:rFonts w:ascii="Arial" w:hAnsi="Arial" w:cs="Arial"/>
          <w:color w:val="auto"/>
          <w:sz w:val="20"/>
          <w:szCs w:val="20"/>
        </w:rPr>
        <w:t xml:space="preserve"> levels</w:t>
      </w:r>
      <w:r>
        <w:rPr>
          <w:rFonts w:ascii="Arial" w:hAnsi="Arial" w:cs="Arial"/>
          <w:color w:val="auto"/>
          <w:sz w:val="20"/>
          <w:szCs w:val="20"/>
        </w:rPr>
        <w:t xml:space="preserve"> </w:t>
      </w:r>
      <w:r w:rsidR="00CF0D83">
        <w:rPr>
          <w:rFonts w:ascii="Arial" w:hAnsi="Arial" w:cs="Arial"/>
          <w:color w:val="auto"/>
          <w:sz w:val="20"/>
          <w:szCs w:val="20"/>
        </w:rPr>
        <w:t xml:space="preserve">to the </w:t>
      </w:r>
      <w:r w:rsidR="00133A74">
        <w:rPr>
          <w:rFonts w:ascii="Arial" w:hAnsi="Arial" w:cs="Arial"/>
          <w:color w:val="auto"/>
          <w:sz w:val="20"/>
          <w:szCs w:val="20"/>
        </w:rPr>
        <w:t xml:space="preserve">Xpert-based </w:t>
      </w:r>
      <w:r w:rsidR="00CF0D83">
        <w:rPr>
          <w:rFonts w:ascii="Arial" w:hAnsi="Arial" w:cs="Arial"/>
          <w:color w:val="auto"/>
          <w:sz w:val="20"/>
          <w:szCs w:val="20"/>
        </w:rPr>
        <w:t xml:space="preserve">algorithm </w:t>
      </w:r>
      <w:r w:rsidR="00F350CF">
        <w:rPr>
          <w:rFonts w:ascii="Arial" w:hAnsi="Arial" w:cs="Arial"/>
          <w:color w:val="auto"/>
          <w:sz w:val="20"/>
          <w:szCs w:val="20"/>
        </w:rPr>
        <w:t xml:space="preserve">and </w:t>
      </w:r>
      <w:r w:rsidR="005A4ED8">
        <w:rPr>
          <w:rFonts w:ascii="Arial" w:hAnsi="Arial" w:cs="Arial"/>
          <w:color w:val="auto"/>
          <w:sz w:val="20"/>
          <w:szCs w:val="20"/>
        </w:rPr>
        <w:t>varying proportion of</w:t>
      </w:r>
      <w:r>
        <w:rPr>
          <w:rFonts w:ascii="Arial" w:hAnsi="Arial" w:cs="Arial"/>
          <w:color w:val="auto"/>
          <w:sz w:val="20"/>
          <w:szCs w:val="20"/>
        </w:rPr>
        <w:t xml:space="preserve"> HIV testing in the Xpert-based algorithm we compared the </w:t>
      </w:r>
      <w:r w:rsidR="000D526B">
        <w:rPr>
          <w:rFonts w:ascii="Arial" w:hAnsi="Arial" w:cs="Arial"/>
          <w:color w:val="auto"/>
          <w:sz w:val="20"/>
          <w:szCs w:val="20"/>
        </w:rPr>
        <w:t xml:space="preserve">number and </w:t>
      </w:r>
      <w:r w:rsidR="00234144">
        <w:rPr>
          <w:rFonts w:ascii="Arial" w:hAnsi="Arial" w:cs="Arial"/>
          <w:color w:val="auto"/>
          <w:sz w:val="20"/>
          <w:szCs w:val="20"/>
        </w:rPr>
        <w:t>proportion of</w:t>
      </w:r>
      <w:r>
        <w:rPr>
          <w:rFonts w:ascii="Arial" w:hAnsi="Arial" w:cs="Arial"/>
          <w:color w:val="auto"/>
          <w:sz w:val="20"/>
          <w:szCs w:val="20"/>
        </w:rPr>
        <w:t xml:space="preserve"> </w:t>
      </w:r>
      <w:r w:rsidR="00234144">
        <w:rPr>
          <w:rFonts w:ascii="Arial" w:hAnsi="Arial" w:cs="Arial"/>
          <w:color w:val="auto"/>
          <w:sz w:val="20"/>
          <w:szCs w:val="20"/>
        </w:rPr>
        <w:t>RMP-R T</w:t>
      </w:r>
      <w:r>
        <w:rPr>
          <w:rFonts w:ascii="Arial" w:hAnsi="Arial" w:cs="Arial"/>
          <w:color w:val="auto"/>
          <w:sz w:val="20"/>
          <w:szCs w:val="20"/>
        </w:rPr>
        <w:t>B</w:t>
      </w:r>
      <w:r w:rsidR="002B1028">
        <w:rPr>
          <w:rFonts w:ascii="Arial" w:hAnsi="Arial" w:cs="Arial"/>
          <w:color w:val="auto"/>
          <w:sz w:val="20"/>
          <w:szCs w:val="20"/>
        </w:rPr>
        <w:t xml:space="preserve"> </w:t>
      </w:r>
      <w:r>
        <w:rPr>
          <w:rFonts w:ascii="Arial" w:hAnsi="Arial" w:cs="Arial"/>
          <w:color w:val="auto"/>
          <w:sz w:val="20"/>
          <w:szCs w:val="20"/>
        </w:rPr>
        <w:t xml:space="preserve">cases </w:t>
      </w:r>
      <w:r w:rsidR="000D526B">
        <w:rPr>
          <w:rFonts w:ascii="Arial" w:hAnsi="Arial" w:cs="Arial"/>
          <w:color w:val="auto"/>
          <w:sz w:val="20"/>
          <w:szCs w:val="20"/>
        </w:rPr>
        <w:t>identified and</w:t>
      </w:r>
      <w:r w:rsidR="007C5836">
        <w:rPr>
          <w:rFonts w:ascii="Arial" w:hAnsi="Arial" w:cs="Arial"/>
          <w:color w:val="auto"/>
          <w:sz w:val="20"/>
          <w:szCs w:val="20"/>
        </w:rPr>
        <w:t xml:space="preserve"> missed</w:t>
      </w:r>
      <w:r w:rsidR="000D526B">
        <w:rPr>
          <w:rFonts w:ascii="Arial" w:hAnsi="Arial" w:cs="Arial"/>
          <w:color w:val="auto"/>
          <w:sz w:val="20"/>
          <w:szCs w:val="20"/>
        </w:rPr>
        <w:t xml:space="preserve"> in each scenario</w:t>
      </w:r>
      <w:r>
        <w:rPr>
          <w:rFonts w:ascii="Arial" w:hAnsi="Arial" w:cs="Arial"/>
          <w:color w:val="auto"/>
          <w:sz w:val="20"/>
          <w:szCs w:val="20"/>
        </w:rPr>
        <w:t>.</w:t>
      </w:r>
    </w:p>
    <w:p w14:paraId="2B81914C" w14:textId="77777777" w:rsidR="00AF3715" w:rsidRDefault="00AF3715" w:rsidP="00BD7070">
      <w:pPr>
        <w:pStyle w:val="Default"/>
        <w:spacing w:line="360" w:lineRule="auto"/>
        <w:jc w:val="both"/>
        <w:rPr>
          <w:rFonts w:ascii="Arial" w:hAnsi="Arial" w:cs="Arial"/>
          <w:b/>
          <w:color w:val="auto"/>
          <w:sz w:val="20"/>
          <w:szCs w:val="20"/>
        </w:rPr>
      </w:pPr>
    </w:p>
    <w:p w14:paraId="24AFEDF9" w14:textId="77777777" w:rsidR="00BD7070" w:rsidRPr="00BD7070" w:rsidRDefault="00BD7070" w:rsidP="00BD7070">
      <w:pPr>
        <w:pStyle w:val="Default"/>
        <w:spacing w:line="360" w:lineRule="auto"/>
        <w:jc w:val="both"/>
        <w:rPr>
          <w:rFonts w:ascii="Arial" w:hAnsi="Arial" w:cs="Arial"/>
          <w:b/>
          <w:color w:val="auto"/>
          <w:sz w:val="20"/>
          <w:szCs w:val="20"/>
        </w:rPr>
      </w:pPr>
      <w:r w:rsidRPr="00BD7070">
        <w:rPr>
          <w:rFonts w:ascii="Arial" w:hAnsi="Arial" w:cs="Arial"/>
          <w:b/>
          <w:color w:val="auto"/>
          <w:sz w:val="20"/>
          <w:szCs w:val="20"/>
        </w:rPr>
        <w:t>Ethics statement</w:t>
      </w:r>
    </w:p>
    <w:p w14:paraId="0C492960" w14:textId="77777777" w:rsidR="00BD7070" w:rsidRDefault="00BD7070" w:rsidP="00BD7070">
      <w:pPr>
        <w:pStyle w:val="Default"/>
        <w:spacing w:line="360" w:lineRule="auto"/>
        <w:jc w:val="both"/>
        <w:rPr>
          <w:rFonts w:ascii="Arial" w:hAnsi="Arial" w:cs="Arial"/>
          <w:color w:val="auto"/>
          <w:sz w:val="20"/>
          <w:szCs w:val="20"/>
        </w:rPr>
      </w:pPr>
      <w:r w:rsidRPr="00BD7070">
        <w:rPr>
          <w:rFonts w:ascii="Arial" w:hAnsi="Arial" w:cs="Arial"/>
          <w:color w:val="auto"/>
          <w:sz w:val="20"/>
          <w:szCs w:val="20"/>
        </w:rPr>
        <w:t>The Health Research Ethics Committee at Stellenbosch University (IRB0005239) (N10/09/308) and Ethics Advisory Group at The International Union Against Tuberculosis and Lung Disease (59/10) approved the study. The City of Cape Town Health Directorate, Western Cape Health Department and National Health Laboratory Service granted permission to use routine health data.</w:t>
      </w:r>
    </w:p>
    <w:p w14:paraId="6DC4F907" w14:textId="77777777" w:rsidR="002908AC" w:rsidRDefault="002908AC" w:rsidP="00BD7070">
      <w:pPr>
        <w:pStyle w:val="Default"/>
        <w:spacing w:line="360" w:lineRule="auto"/>
        <w:jc w:val="both"/>
        <w:rPr>
          <w:rFonts w:ascii="Arial" w:hAnsi="Arial" w:cs="Arial"/>
          <w:color w:val="auto"/>
          <w:sz w:val="20"/>
          <w:szCs w:val="20"/>
        </w:rPr>
      </w:pPr>
    </w:p>
    <w:p w14:paraId="38926161" w14:textId="77777777" w:rsidR="002908AC" w:rsidRDefault="002908AC" w:rsidP="00BD7070">
      <w:pPr>
        <w:pStyle w:val="Default"/>
        <w:spacing w:line="360" w:lineRule="auto"/>
        <w:jc w:val="both"/>
        <w:rPr>
          <w:rFonts w:ascii="Arial" w:hAnsi="Arial" w:cs="Arial"/>
          <w:b/>
          <w:color w:val="auto"/>
          <w:sz w:val="20"/>
          <w:szCs w:val="20"/>
        </w:rPr>
      </w:pPr>
      <w:r w:rsidRPr="002908AC">
        <w:rPr>
          <w:rFonts w:ascii="Arial" w:hAnsi="Arial" w:cs="Arial"/>
          <w:b/>
          <w:color w:val="auto"/>
          <w:sz w:val="20"/>
          <w:szCs w:val="20"/>
        </w:rPr>
        <w:t>Results</w:t>
      </w:r>
    </w:p>
    <w:p w14:paraId="62AE8600" w14:textId="77777777" w:rsidR="00675CB4" w:rsidRDefault="00675CB4" w:rsidP="00BD7070">
      <w:pPr>
        <w:pStyle w:val="Default"/>
        <w:spacing w:line="360" w:lineRule="auto"/>
        <w:jc w:val="both"/>
        <w:rPr>
          <w:rFonts w:ascii="Arial" w:hAnsi="Arial" w:cs="Arial"/>
          <w:b/>
          <w:color w:val="auto"/>
          <w:sz w:val="20"/>
          <w:szCs w:val="20"/>
        </w:rPr>
      </w:pPr>
    </w:p>
    <w:p w14:paraId="5C579DF1" w14:textId="77777777" w:rsidR="008114CB" w:rsidRDefault="008114CB" w:rsidP="00BD7070">
      <w:pPr>
        <w:pStyle w:val="Default"/>
        <w:spacing w:line="360" w:lineRule="auto"/>
        <w:jc w:val="both"/>
        <w:rPr>
          <w:rFonts w:ascii="Arial" w:hAnsi="Arial" w:cs="Arial"/>
          <w:color w:val="auto"/>
          <w:sz w:val="20"/>
          <w:szCs w:val="20"/>
        </w:rPr>
      </w:pPr>
      <w:r>
        <w:rPr>
          <w:rFonts w:ascii="Arial" w:hAnsi="Arial" w:cs="Arial"/>
          <w:b/>
          <w:i/>
          <w:color w:val="auto"/>
          <w:sz w:val="20"/>
          <w:szCs w:val="20"/>
        </w:rPr>
        <w:t xml:space="preserve">Model outputs for </w:t>
      </w:r>
      <w:r w:rsidR="009F06EA">
        <w:rPr>
          <w:rFonts w:ascii="Arial" w:hAnsi="Arial" w:cs="Arial"/>
          <w:b/>
          <w:i/>
          <w:color w:val="auto"/>
          <w:sz w:val="20"/>
          <w:szCs w:val="20"/>
        </w:rPr>
        <w:t xml:space="preserve">the </w:t>
      </w:r>
      <w:r>
        <w:rPr>
          <w:rFonts w:ascii="Arial" w:hAnsi="Arial" w:cs="Arial"/>
          <w:b/>
          <w:i/>
          <w:color w:val="auto"/>
          <w:sz w:val="20"/>
          <w:szCs w:val="20"/>
        </w:rPr>
        <w:t>smear/c</w:t>
      </w:r>
      <w:r w:rsidRPr="004C3A68">
        <w:rPr>
          <w:rFonts w:ascii="Arial" w:hAnsi="Arial" w:cs="Arial"/>
          <w:b/>
          <w:i/>
          <w:color w:val="auto"/>
          <w:sz w:val="20"/>
          <w:szCs w:val="20"/>
        </w:rPr>
        <w:t xml:space="preserve">ulture </w:t>
      </w:r>
      <w:r>
        <w:rPr>
          <w:rFonts w:ascii="Arial" w:hAnsi="Arial" w:cs="Arial"/>
          <w:b/>
          <w:i/>
          <w:color w:val="auto"/>
          <w:sz w:val="20"/>
          <w:szCs w:val="20"/>
        </w:rPr>
        <w:t xml:space="preserve">and </w:t>
      </w:r>
      <w:r w:rsidRPr="004C3A68">
        <w:rPr>
          <w:rFonts w:ascii="Arial" w:hAnsi="Arial" w:cs="Arial"/>
          <w:b/>
          <w:i/>
          <w:color w:val="auto"/>
          <w:sz w:val="20"/>
          <w:szCs w:val="20"/>
        </w:rPr>
        <w:t>Xpert-based algorithm</w:t>
      </w:r>
      <w:r>
        <w:rPr>
          <w:rFonts w:ascii="Arial" w:hAnsi="Arial" w:cs="Arial"/>
          <w:b/>
          <w:i/>
          <w:color w:val="auto"/>
          <w:sz w:val="20"/>
          <w:szCs w:val="20"/>
        </w:rPr>
        <w:t>s</w:t>
      </w:r>
      <w:r w:rsidR="00DA5F03">
        <w:rPr>
          <w:rFonts w:ascii="Arial" w:hAnsi="Arial" w:cs="Arial"/>
          <w:b/>
          <w:i/>
          <w:color w:val="auto"/>
          <w:sz w:val="20"/>
          <w:szCs w:val="20"/>
        </w:rPr>
        <w:t xml:space="preserve"> </w:t>
      </w:r>
      <w:r w:rsidR="00CF0D83">
        <w:rPr>
          <w:rFonts w:ascii="Arial" w:hAnsi="Arial" w:cs="Arial"/>
          <w:b/>
          <w:i/>
          <w:color w:val="auto"/>
          <w:sz w:val="20"/>
          <w:szCs w:val="20"/>
        </w:rPr>
        <w:t xml:space="preserve">at </w:t>
      </w:r>
      <w:r w:rsidR="00DA5F03">
        <w:rPr>
          <w:rFonts w:ascii="Arial" w:hAnsi="Arial" w:cs="Arial"/>
          <w:b/>
          <w:i/>
          <w:color w:val="auto"/>
          <w:sz w:val="20"/>
          <w:szCs w:val="20"/>
        </w:rPr>
        <w:t>100% adherence to algorithm</w:t>
      </w:r>
      <w:r w:rsidR="00CB1E03">
        <w:rPr>
          <w:rFonts w:ascii="Arial" w:hAnsi="Arial" w:cs="Arial"/>
          <w:b/>
          <w:i/>
          <w:color w:val="auto"/>
          <w:sz w:val="20"/>
          <w:szCs w:val="20"/>
        </w:rPr>
        <w:t>s</w:t>
      </w:r>
    </w:p>
    <w:p w14:paraId="28530EA1" w14:textId="77777777" w:rsidR="00B7206A" w:rsidRDefault="00B7206A" w:rsidP="008114CB">
      <w:pPr>
        <w:pStyle w:val="Default"/>
        <w:spacing w:line="360" w:lineRule="auto"/>
        <w:jc w:val="both"/>
        <w:rPr>
          <w:rFonts w:ascii="Arial" w:hAnsi="Arial" w:cs="Arial"/>
          <w:b/>
          <w:i/>
          <w:color w:val="auto"/>
          <w:sz w:val="20"/>
          <w:szCs w:val="20"/>
        </w:rPr>
      </w:pPr>
    </w:p>
    <w:p w14:paraId="1564F56E" w14:textId="77777777" w:rsidR="004C3A68" w:rsidRPr="009F06EA" w:rsidRDefault="004645EA" w:rsidP="008114CB">
      <w:pPr>
        <w:pStyle w:val="Default"/>
        <w:spacing w:line="360" w:lineRule="auto"/>
        <w:jc w:val="both"/>
        <w:rPr>
          <w:rFonts w:ascii="Arial" w:hAnsi="Arial" w:cs="Arial"/>
          <w:i/>
          <w:color w:val="auto"/>
          <w:sz w:val="20"/>
          <w:szCs w:val="20"/>
        </w:rPr>
      </w:pPr>
      <w:r w:rsidRPr="004645EA">
        <w:rPr>
          <w:rFonts w:ascii="Arial" w:hAnsi="Arial" w:cs="Arial"/>
          <w:i/>
          <w:color w:val="auto"/>
          <w:sz w:val="20"/>
          <w:szCs w:val="20"/>
        </w:rPr>
        <w:t xml:space="preserve">RMP-R </w:t>
      </w:r>
      <w:r w:rsidR="00246380" w:rsidRPr="009F06EA">
        <w:rPr>
          <w:rFonts w:ascii="Arial" w:hAnsi="Arial" w:cs="Arial"/>
          <w:i/>
          <w:color w:val="auto"/>
          <w:sz w:val="20"/>
          <w:szCs w:val="20"/>
        </w:rPr>
        <w:t xml:space="preserve">TB </w:t>
      </w:r>
      <w:r w:rsidR="00832476" w:rsidRPr="009F06EA">
        <w:rPr>
          <w:rFonts w:ascii="Arial" w:hAnsi="Arial" w:cs="Arial"/>
          <w:i/>
          <w:color w:val="auto"/>
          <w:sz w:val="20"/>
          <w:szCs w:val="20"/>
        </w:rPr>
        <w:t>cases identified</w:t>
      </w:r>
      <w:r w:rsidR="0055750E" w:rsidRPr="009F06EA">
        <w:rPr>
          <w:rFonts w:ascii="Arial" w:hAnsi="Arial" w:cs="Arial"/>
          <w:i/>
          <w:color w:val="auto"/>
          <w:sz w:val="20"/>
          <w:szCs w:val="20"/>
        </w:rPr>
        <w:t xml:space="preserve"> </w:t>
      </w:r>
    </w:p>
    <w:p w14:paraId="5D28469D" w14:textId="77777777" w:rsidR="00CF781F" w:rsidRDefault="00FA35BC" w:rsidP="00444EB2">
      <w:pPr>
        <w:pStyle w:val="CommentText"/>
        <w:spacing w:line="360" w:lineRule="auto"/>
        <w:jc w:val="both"/>
        <w:rPr>
          <w:rFonts w:cs="Arial"/>
        </w:rPr>
      </w:pPr>
      <w:r>
        <w:rPr>
          <w:rFonts w:cs="Arial"/>
        </w:rPr>
        <w:t xml:space="preserve">The model </w:t>
      </w:r>
      <w:r w:rsidR="00E27FB1">
        <w:rPr>
          <w:rFonts w:cs="Arial"/>
        </w:rPr>
        <w:t xml:space="preserve">indicated </w:t>
      </w:r>
      <w:r>
        <w:rPr>
          <w:rFonts w:cs="Arial"/>
        </w:rPr>
        <w:t xml:space="preserve">that </w:t>
      </w:r>
      <w:r w:rsidR="00571222">
        <w:rPr>
          <w:rFonts w:cs="Arial"/>
        </w:rPr>
        <w:t>if</w:t>
      </w:r>
      <w:r>
        <w:rPr>
          <w:rFonts w:cs="Arial"/>
        </w:rPr>
        <w:t xml:space="preserve"> 60% of presumptive cases knew their HIV status</w:t>
      </w:r>
      <w:r w:rsidR="00571222">
        <w:rPr>
          <w:rFonts w:cs="Arial"/>
        </w:rPr>
        <w:t>,</w:t>
      </w:r>
      <w:r w:rsidR="00BE692E">
        <w:rPr>
          <w:rFonts w:cs="Arial"/>
        </w:rPr>
        <w:t xml:space="preserve"> </w:t>
      </w:r>
      <w:r w:rsidR="00BE692E">
        <w:rPr>
          <w:rFonts w:eastAsia="Calibri" w:cs="Arial"/>
          <w:lang w:val="en-GB" w:eastAsia="en-GB"/>
        </w:rPr>
        <w:t xml:space="preserve">603 </w:t>
      </w:r>
      <w:r w:rsidR="004645EA">
        <w:rPr>
          <w:rFonts w:cs="Arial"/>
        </w:rPr>
        <w:t>RMP-R</w:t>
      </w:r>
      <w:r w:rsidR="004645EA">
        <w:rPr>
          <w:rFonts w:eastAsia="Calibri" w:cs="Arial"/>
          <w:lang w:val="en-GB" w:eastAsia="en-GB"/>
        </w:rPr>
        <w:t xml:space="preserve"> </w:t>
      </w:r>
      <w:r w:rsidR="00BE692E">
        <w:rPr>
          <w:rFonts w:eastAsia="Calibri" w:cs="Arial"/>
          <w:lang w:val="en-GB" w:eastAsia="en-GB"/>
        </w:rPr>
        <w:t xml:space="preserve">cases </w:t>
      </w:r>
      <w:r w:rsidR="009F06EA">
        <w:rPr>
          <w:rFonts w:eastAsia="Calibri" w:cs="Arial"/>
          <w:lang w:val="en-GB" w:eastAsia="en-GB"/>
        </w:rPr>
        <w:t>(</w:t>
      </w:r>
      <w:r w:rsidR="009F06EA" w:rsidRPr="001030EC">
        <w:rPr>
          <w:rFonts w:eastAsia="Calibri" w:cs="Arial"/>
          <w:lang w:val="en-GB" w:eastAsia="en-GB"/>
        </w:rPr>
        <w:t>3</w:t>
      </w:r>
      <w:r w:rsidR="00417C98" w:rsidRPr="001030EC">
        <w:rPr>
          <w:rFonts w:eastAsia="Calibri" w:cs="Arial"/>
          <w:lang w:val="en-GB" w:eastAsia="en-GB"/>
        </w:rPr>
        <w:t>.9</w:t>
      </w:r>
      <w:r w:rsidR="009F06EA" w:rsidRPr="001030EC">
        <w:rPr>
          <w:rFonts w:eastAsia="Calibri" w:cs="Arial"/>
          <w:lang w:val="en-GB" w:eastAsia="en-GB"/>
        </w:rPr>
        <w:t xml:space="preserve">% of </w:t>
      </w:r>
      <w:r w:rsidR="009F06EA">
        <w:rPr>
          <w:rFonts w:cs="Arial"/>
        </w:rPr>
        <w:t xml:space="preserve">15,475 TB cases) </w:t>
      </w:r>
      <w:r w:rsidR="00E27FB1">
        <w:rPr>
          <w:rFonts w:eastAsia="Calibri" w:cs="Arial"/>
          <w:lang w:val="en-GB" w:eastAsia="en-GB"/>
        </w:rPr>
        <w:t xml:space="preserve">were </w:t>
      </w:r>
      <w:r w:rsidR="001D5894">
        <w:rPr>
          <w:rFonts w:eastAsia="Calibri" w:cs="Arial"/>
          <w:lang w:val="en-GB" w:eastAsia="en-GB"/>
        </w:rPr>
        <w:t>identified</w:t>
      </w:r>
      <w:r w:rsidR="00E27FB1">
        <w:rPr>
          <w:rFonts w:eastAsia="Calibri" w:cs="Arial"/>
          <w:lang w:val="en-GB" w:eastAsia="en-GB"/>
        </w:rPr>
        <w:t xml:space="preserve"> </w:t>
      </w:r>
      <w:r w:rsidR="00BE692E">
        <w:rPr>
          <w:rFonts w:eastAsia="Calibri" w:cs="Arial"/>
          <w:lang w:val="en-GB" w:eastAsia="en-GB"/>
        </w:rPr>
        <w:t xml:space="preserve">in the smear/culture </w:t>
      </w:r>
      <w:r w:rsidR="009D121E">
        <w:rPr>
          <w:rFonts w:eastAsia="Calibri" w:cs="Arial"/>
          <w:lang w:val="en-GB" w:eastAsia="en-GB"/>
        </w:rPr>
        <w:t>compared to</w:t>
      </w:r>
      <w:r w:rsidR="00411C6B">
        <w:rPr>
          <w:rFonts w:eastAsia="Calibri" w:cs="Arial"/>
          <w:lang w:val="en-GB" w:eastAsia="en-GB"/>
        </w:rPr>
        <w:t xml:space="preserve"> </w:t>
      </w:r>
      <w:r w:rsidR="00BE692E">
        <w:rPr>
          <w:rFonts w:cs="Arial"/>
        </w:rPr>
        <w:t xml:space="preserve">1,178 </w:t>
      </w:r>
      <w:r w:rsidR="005769C4">
        <w:rPr>
          <w:rFonts w:cs="Arial"/>
        </w:rPr>
        <w:t>RMP-R</w:t>
      </w:r>
      <w:r w:rsidR="005769C4">
        <w:rPr>
          <w:rFonts w:eastAsia="Calibri" w:cs="Arial"/>
          <w:lang w:val="en-GB" w:eastAsia="en-GB"/>
        </w:rPr>
        <w:t xml:space="preserve"> </w:t>
      </w:r>
      <w:r w:rsidR="009F06EA">
        <w:rPr>
          <w:rFonts w:eastAsia="Calibri" w:cs="Arial"/>
          <w:lang w:val="en-GB" w:eastAsia="en-GB"/>
        </w:rPr>
        <w:t xml:space="preserve">cases </w:t>
      </w:r>
      <w:r w:rsidR="00417C98">
        <w:rPr>
          <w:rFonts w:cs="Arial"/>
        </w:rPr>
        <w:t>(7.2</w:t>
      </w:r>
      <w:r w:rsidR="00BE692E">
        <w:rPr>
          <w:rFonts w:cs="Arial"/>
        </w:rPr>
        <w:t>%</w:t>
      </w:r>
      <w:r w:rsidR="009F06EA">
        <w:rPr>
          <w:rFonts w:cs="Arial"/>
        </w:rPr>
        <w:t xml:space="preserve"> of </w:t>
      </w:r>
      <w:r w:rsidR="004321C9">
        <w:rPr>
          <w:rFonts w:eastAsia="Calibri" w:cs="Arial"/>
          <w:lang w:val="en-GB" w:eastAsia="en-GB"/>
        </w:rPr>
        <w:t>16,332</w:t>
      </w:r>
      <w:r w:rsidR="009F06EA">
        <w:rPr>
          <w:rFonts w:eastAsia="Calibri" w:cs="Arial"/>
          <w:lang w:val="en-GB" w:eastAsia="en-GB"/>
        </w:rPr>
        <w:t xml:space="preserve"> TB cases</w:t>
      </w:r>
      <w:r w:rsidR="00CF781F">
        <w:rPr>
          <w:rFonts w:eastAsia="Calibri" w:cs="Arial"/>
          <w:lang w:val="en-GB" w:eastAsia="en-GB"/>
        </w:rPr>
        <w:t xml:space="preserve">) </w:t>
      </w:r>
      <w:r w:rsidR="001D5894">
        <w:rPr>
          <w:rFonts w:eastAsia="Calibri" w:cs="Arial"/>
          <w:lang w:val="en-GB" w:eastAsia="en-GB"/>
        </w:rPr>
        <w:t>identified</w:t>
      </w:r>
      <w:r w:rsidR="00D51815">
        <w:rPr>
          <w:rFonts w:eastAsia="Calibri" w:cs="Arial"/>
          <w:lang w:val="en-GB" w:eastAsia="en-GB"/>
        </w:rPr>
        <w:t xml:space="preserve"> </w:t>
      </w:r>
      <w:r w:rsidR="00BE692E">
        <w:rPr>
          <w:rFonts w:cs="Arial"/>
        </w:rPr>
        <w:t>in the Xpert</w:t>
      </w:r>
      <w:r w:rsidR="00411C6B">
        <w:rPr>
          <w:rFonts w:cs="Arial"/>
        </w:rPr>
        <w:t>-based</w:t>
      </w:r>
      <w:r w:rsidR="00BE692E">
        <w:rPr>
          <w:rFonts w:cs="Arial"/>
        </w:rPr>
        <w:t xml:space="preserve"> algorithm.</w:t>
      </w:r>
      <w:r w:rsidR="00D14E01">
        <w:rPr>
          <w:rFonts w:cs="Arial"/>
        </w:rPr>
        <w:t xml:space="preserve"> </w:t>
      </w:r>
    </w:p>
    <w:p w14:paraId="6D29E414" w14:textId="7241DDFD" w:rsidR="00FA35BC" w:rsidRDefault="00BE692E" w:rsidP="00444EB2">
      <w:pPr>
        <w:pStyle w:val="CommentText"/>
        <w:spacing w:line="360" w:lineRule="auto"/>
        <w:jc w:val="both"/>
        <w:rPr>
          <w:rFonts w:cs="Arial"/>
        </w:rPr>
      </w:pPr>
      <w:r>
        <w:rPr>
          <w:rFonts w:cs="Arial"/>
        </w:rPr>
        <w:t>When 100% of presumptive cases knew their HIV status</w:t>
      </w:r>
      <w:r w:rsidR="000C130F">
        <w:rPr>
          <w:rFonts w:cs="Arial"/>
        </w:rPr>
        <w:t>,</w:t>
      </w:r>
      <w:r w:rsidR="00D14E01">
        <w:rPr>
          <w:rFonts w:cs="Arial"/>
        </w:rPr>
        <w:t xml:space="preserve"> </w:t>
      </w:r>
      <w:r>
        <w:rPr>
          <w:rFonts w:eastAsia="Calibri" w:cs="Arial"/>
          <w:lang w:val="en-GB" w:eastAsia="en-GB"/>
        </w:rPr>
        <w:t xml:space="preserve">608 </w:t>
      </w:r>
      <w:r w:rsidR="005769C4">
        <w:rPr>
          <w:rFonts w:cs="Arial"/>
        </w:rPr>
        <w:t>RMP-R</w:t>
      </w:r>
      <w:r w:rsidR="005769C4">
        <w:rPr>
          <w:rFonts w:eastAsia="Calibri" w:cs="Arial"/>
          <w:lang w:val="en-GB" w:eastAsia="en-GB"/>
        </w:rPr>
        <w:t xml:space="preserve"> </w:t>
      </w:r>
      <w:r w:rsidR="00E27FB1">
        <w:rPr>
          <w:rFonts w:eastAsia="Calibri" w:cs="Arial"/>
          <w:lang w:val="en-GB" w:eastAsia="en-GB"/>
        </w:rPr>
        <w:t xml:space="preserve">cases </w:t>
      </w:r>
      <w:r w:rsidR="00DB5F66">
        <w:rPr>
          <w:rFonts w:eastAsia="Calibri" w:cs="Arial"/>
          <w:lang w:val="en-GB" w:eastAsia="en-GB"/>
        </w:rPr>
        <w:t>(3.8</w:t>
      </w:r>
      <w:r>
        <w:rPr>
          <w:rFonts w:eastAsia="Calibri" w:cs="Arial"/>
          <w:lang w:val="en-GB" w:eastAsia="en-GB"/>
        </w:rPr>
        <w:t>%</w:t>
      </w:r>
      <w:r w:rsidR="00CF0D83">
        <w:rPr>
          <w:rFonts w:eastAsia="Calibri" w:cs="Arial"/>
          <w:lang w:val="en-GB" w:eastAsia="en-GB"/>
        </w:rPr>
        <w:t xml:space="preserve"> </w:t>
      </w:r>
      <w:r w:rsidR="009F06EA">
        <w:rPr>
          <w:rFonts w:eastAsia="Calibri" w:cs="Arial"/>
          <w:lang w:val="en-GB" w:eastAsia="en-GB"/>
        </w:rPr>
        <w:t xml:space="preserve">of </w:t>
      </w:r>
      <w:r w:rsidR="00CF0D83">
        <w:rPr>
          <w:rFonts w:eastAsia="Calibri" w:cs="Arial"/>
          <w:lang w:val="en-GB" w:eastAsia="en-GB"/>
        </w:rPr>
        <w:t>16,144</w:t>
      </w:r>
      <w:r w:rsidR="00E27FB1">
        <w:rPr>
          <w:rFonts w:eastAsia="Calibri" w:cs="Arial"/>
          <w:lang w:val="en-GB" w:eastAsia="en-GB"/>
        </w:rPr>
        <w:t xml:space="preserve"> TB cases</w:t>
      </w:r>
      <w:r>
        <w:rPr>
          <w:rFonts w:eastAsia="Calibri" w:cs="Arial"/>
          <w:lang w:val="en-GB" w:eastAsia="en-GB"/>
        </w:rPr>
        <w:t xml:space="preserve">) </w:t>
      </w:r>
      <w:r w:rsidR="00B8296C">
        <w:rPr>
          <w:rFonts w:eastAsia="Calibri" w:cs="Arial"/>
          <w:lang w:val="en-GB" w:eastAsia="en-GB"/>
        </w:rPr>
        <w:t xml:space="preserve">were </w:t>
      </w:r>
      <w:r w:rsidR="001D5894">
        <w:rPr>
          <w:rFonts w:eastAsia="Calibri" w:cs="Arial"/>
          <w:lang w:val="en-GB" w:eastAsia="en-GB"/>
        </w:rPr>
        <w:t>identified</w:t>
      </w:r>
      <w:r w:rsidR="00B8296C">
        <w:rPr>
          <w:rFonts w:eastAsia="Calibri" w:cs="Arial"/>
          <w:lang w:val="en-GB" w:eastAsia="en-GB"/>
        </w:rPr>
        <w:t xml:space="preserve"> </w:t>
      </w:r>
      <w:r>
        <w:rPr>
          <w:rFonts w:eastAsia="Calibri" w:cs="Arial"/>
          <w:lang w:val="en-GB" w:eastAsia="en-GB"/>
        </w:rPr>
        <w:t xml:space="preserve">in the smear/culture </w:t>
      </w:r>
      <w:r w:rsidR="00E27FB1">
        <w:rPr>
          <w:rFonts w:eastAsia="Calibri" w:cs="Arial"/>
          <w:lang w:val="en-GB" w:eastAsia="en-GB"/>
        </w:rPr>
        <w:t xml:space="preserve">compared to </w:t>
      </w:r>
      <w:r w:rsidR="008F0430">
        <w:rPr>
          <w:rFonts w:cs="Arial"/>
        </w:rPr>
        <w:t xml:space="preserve">1,232 </w:t>
      </w:r>
      <w:r w:rsidR="005769C4">
        <w:rPr>
          <w:rFonts w:cs="Arial"/>
        </w:rPr>
        <w:t>RMP-R</w:t>
      </w:r>
      <w:r w:rsidR="005769C4">
        <w:rPr>
          <w:rFonts w:eastAsia="Calibri" w:cs="Arial"/>
          <w:lang w:val="en-GB" w:eastAsia="en-GB"/>
        </w:rPr>
        <w:t xml:space="preserve"> </w:t>
      </w:r>
      <w:r w:rsidR="00E27FB1">
        <w:rPr>
          <w:rFonts w:eastAsia="Calibri" w:cs="Arial"/>
          <w:lang w:val="en-GB" w:eastAsia="en-GB"/>
        </w:rPr>
        <w:t>cases (</w:t>
      </w:r>
      <w:r w:rsidR="00DB5F66">
        <w:rPr>
          <w:rFonts w:cs="Arial"/>
        </w:rPr>
        <w:t>7.3</w:t>
      </w:r>
      <w:r w:rsidR="008F0430">
        <w:rPr>
          <w:rFonts w:cs="Arial"/>
        </w:rPr>
        <w:t>%</w:t>
      </w:r>
      <w:r w:rsidR="00CF0D83">
        <w:rPr>
          <w:rFonts w:cs="Arial"/>
        </w:rPr>
        <w:t xml:space="preserve"> </w:t>
      </w:r>
      <w:r w:rsidR="00E27FB1">
        <w:rPr>
          <w:rFonts w:cs="Arial"/>
        </w:rPr>
        <w:t xml:space="preserve">of </w:t>
      </w:r>
      <w:r w:rsidR="00CF0D83">
        <w:rPr>
          <w:rFonts w:cs="Arial"/>
        </w:rPr>
        <w:t>16,968</w:t>
      </w:r>
      <w:r w:rsidR="00E27FB1">
        <w:rPr>
          <w:rFonts w:cs="Arial"/>
        </w:rPr>
        <w:t xml:space="preserve"> TB cases</w:t>
      </w:r>
      <w:r>
        <w:rPr>
          <w:rFonts w:cs="Arial"/>
        </w:rPr>
        <w:t>)</w:t>
      </w:r>
      <w:r w:rsidR="00E73835">
        <w:rPr>
          <w:rFonts w:cs="Arial"/>
        </w:rPr>
        <w:t xml:space="preserve"> </w:t>
      </w:r>
      <w:r>
        <w:rPr>
          <w:rFonts w:cs="Arial"/>
        </w:rPr>
        <w:t>in the Xpert</w:t>
      </w:r>
      <w:r w:rsidR="00A420B1">
        <w:rPr>
          <w:rFonts w:cs="Arial"/>
        </w:rPr>
        <w:t>-based</w:t>
      </w:r>
      <w:r>
        <w:rPr>
          <w:rFonts w:cs="Arial"/>
        </w:rPr>
        <w:t xml:space="preserve"> algorithm</w:t>
      </w:r>
      <w:r w:rsidR="00F31E66">
        <w:rPr>
          <w:rFonts w:cs="Arial"/>
        </w:rPr>
        <w:t xml:space="preserve"> </w:t>
      </w:r>
      <w:r w:rsidR="00F31E66" w:rsidRPr="00FB524F">
        <w:rPr>
          <w:rFonts w:cs="Arial"/>
        </w:rPr>
        <w:t>(Table 3)</w:t>
      </w:r>
      <w:r>
        <w:rPr>
          <w:rFonts w:cs="Arial"/>
        </w:rPr>
        <w:t>.</w:t>
      </w:r>
    </w:p>
    <w:p w14:paraId="7B1FB472" w14:textId="77777777" w:rsidR="00A0644B" w:rsidRDefault="00A0644B" w:rsidP="00C1253D">
      <w:pPr>
        <w:pStyle w:val="Default"/>
        <w:tabs>
          <w:tab w:val="left" w:pos="5438"/>
        </w:tabs>
        <w:spacing w:line="360" w:lineRule="auto"/>
        <w:jc w:val="both"/>
        <w:rPr>
          <w:rFonts w:ascii="Arial" w:hAnsi="Arial" w:cs="Arial"/>
          <w:color w:val="auto"/>
          <w:sz w:val="20"/>
          <w:szCs w:val="20"/>
        </w:rPr>
      </w:pPr>
    </w:p>
    <w:p w14:paraId="0A5A69E3" w14:textId="77777777" w:rsidR="004F6198" w:rsidRPr="00153097" w:rsidRDefault="005769C4" w:rsidP="00C1253D">
      <w:pPr>
        <w:pStyle w:val="Default"/>
        <w:tabs>
          <w:tab w:val="left" w:pos="5438"/>
        </w:tabs>
        <w:spacing w:line="360" w:lineRule="auto"/>
        <w:jc w:val="both"/>
        <w:rPr>
          <w:rFonts w:ascii="Arial" w:hAnsi="Arial" w:cs="Arial"/>
          <w:i/>
          <w:color w:val="auto"/>
          <w:sz w:val="20"/>
          <w:szCs w:val="20"/>
        </w:rPr>
      </w:pPr>
      <w:r w:rsidRPr="005769C4">
        <w:rPr>
          <w:rFonts w:ascii="Arial" w:hAnsi="Arial" w:cs="Arial"/>
          <w:i/>
          <w:color w:val="auto"/>
          <w:sz w:val="20"/>
          <w:szCs w:val="20"/>
        </w:rPr>
        <w:t xml:space="preserve">RMP-R </w:t>
      </w:r>
      <w:r w:rsidR="00C25367" w:rsidRPr="00153097">
        <w:rPr>
          <w:rFonts w:ascii="Arial" w:hAnsi="Arial" w:cs="Arial"/>
          <w:i/>
          <w:color w:val="auto"/>
          <w:sz w:val="20"/>
          <w:szCs w:val="20"/>
        </w:rPr>
        <w:t xml:space="preserve">TB </w:t>
      </w:r>
      <w:r w:rsidR="004F6198" w:rsidRPr="00153097">
        <w:rPr>
          <w:rFonts w:ascii="Arial" w:hAnsi="Arial" w:cs="Arial"/>
          <w:i/>
          <w:color w:val="auto"/>
          <w:sz w:val="20"/>
          <w:szCs w:val="20"/>
        </w:rPr>
        <w:t xml:space="preserve">cases </w:t>
      </w:r>
      <w:r w:rsidR="008912ED">
        <w:rPr>
          <w:rFonts w:ascii="Arial" w:hAnsi="Arial" w:cs="Arial"/>
          <w:i/>
          <w:color w:val="auto"/>
          <w:sz w:val="20"/>
          <w:szCs w:val="20"/>
        </w:rPr>
        <w:t>missed</w:t>
      </w:r>
    </w:p>
    <w:p w14:paraId="664F6171" w14:textId="6ECEDC7A" w:rsidR="003B577D" w:rsidRPr="00996D0F" w:rsidRDefault="003B577D" w:rsidP="003B577D">
      <w:pPr>
        <w:pStyle w:val="Default"/>
        <w:tabs>
          <w:tab w:val="left" w:pos="5438"/>
        </w:tabs>
        <w:spacing w:line="360" w:lineRule="auto"/>
        <w:jc w:val="both"/>
        <w:rPr>
          <w:rFonts w:ascii="Arial" w:hAnsi="Arial" w:cs="Arial"/>
          <w:color w:val="FF0000"/>
          <w:sz w:val="20"/>
          <w:szCs w:val="20"/>
        </w:rPr>
      </w:pPr>
      <w:r w:rsidRPr="00996D0F">
        <w:rPr>
          <w:rFonts w:ascii="Arial" w:hAnsi="Arial" w:cs="Arial"/>
          <w:color w:val="FF0000"/>
          <w:sz w:val="20"/>
          <w:szCs w:val="20"/>
        </w:rPr>
        <w:t xml:space="preserve">In the scenario </w:t>
      </w:r>
      <w:r w:rsidR="00996D0F" w:rsidRPr="00996D0F">
        <w:rPr>
          <w:rFonts w:ascii="Arial" w:hAnsi="Arial" w:cs="Arial"/>
          <w:color w:val="FF0000"/>
          <w:sz w:val="20"/>
          <w:szCs w:val="20"/>
        </w:rPr>
        <w:t>where 6</w:t>
      </w:r>
      <w:r w:rsidRPr="00996D0F">
        <w:rPr>
          <w:rFonts w:ascii="Arial" w:hAnsi="Arial" w:cs="Arial"/>
          <w:color w:val="FF0000"/>
          <w:sz w:val="20"/>
          <w:szCs w:val="20"/>
        </w:rPr>
        <w:t xml:space="preserve">0% of presumptive cases knew </w:t>
      </w:r>
      <w:r w:rsidR="00996D0F">
        <w:rPr>
          <w:rFonts w:ascii="Arial" w:hAnsi="Arial" w:cs="Arial"/>
          <w:color w:val="FF0000"/>
          <w:sz w:val="20"/>
          <w:szCs w:val="20"/>
        </w:rPr>
        <w:t>their HIV status, a total of 795 (56.9</w:t>
      </w:r>
      <w:r w:rsidRPr="00996D0F">
        <w:rPr>
          <w:rFonts w:ascii="Arial" w:hAnsi="Arial" w:cs="Arial"/>
          <w:color w:val="FF0000"/>
          <w:sz w:val="20"/>
          <w:szCs w:val="20"/>
        </w:rPr>
        <w:t>%) RMP-R cases were missed in the smear/culture-based algorithm:</w:t>
      </w:r>
      <w:r w:rsidR="00996D0F">
        <w:rPr>
          <w:rFonts w:ascii="Arial" w:hAnsi="Arial" w:cs="Arial"/>
          <w:color w:val="FF0000"/>
          <w:sz w:val="20"/>
          <w:szCs w:val="20"/>
        </w:rPr>
        <w:t xml:space="preserve"> 231 (16.5</w:t>
      </w:r>
      <w:r w:rsidRPr="00996D0F">
        <w:rPr>
          <w:rFonts w:ascii="Arial" w:hAnsi="Arial" w:cs="Arial"/>
          <w:color w:val="FF0000"/>
          <w:sz w:val="20"/>
          <w:szCs w:val="20"/>
        </w:rPr>
        <w:t xml:space="preserve">%) had a false negative TB test, 13 </w:t>
      </w:r>
      <w:r w:rsidRPr="00996D0F">
        <w:rPr>
          <w:rFonts w:ascii="Arial" w:hAnsi="Arial" w:cs="Arial"/>
          <w:color w:val="FF0000"/>
          <w:sz w:val="20"/>
          <w:szCs w:val="20"/>
        </w:rPr>
        <w:lastRenderedPageBreak/>
        <w:t xml:space="preserve">(0.9%) had a false negative RMP-R result and 551 (39.4%) had no DST done pre-treatment. In the Xpert-based algorithm a total of </w:t>
      </w:r>
      <w:r w:rsidR="00710023">
        <w:rPr>
          <w:rFonts w:ascii="Arial" w:hAnsi="Arial" w:cs="Arial"/>
          <w:color w:val="FF0000"/>
          <w:sz w:val="20"/>
          <w:szCs w:val="20"/>
        </w:rPr>
        <w:t>220 (15.7</w:t>
      </w:r>
      <w:r w:rsidRPr="00996D0F">
        <w:rPr>
          <w:rFonts w:ascii="Arial" w:hAnsi="Arial" w:cs="Arial"/>
          <w:color w:val="FF0000"/>
          <w:sz w:val="20"/>
          <w:szCs w:val="20"/>
        </w:rPr>
        <w:t>%) RMP-R cases were missed:</w:t>
      </w:r>
      <w:r w:rsidR="00710023">
        <w:rPr>
          <w:rFonts w:ascii="Arial" w:hAnsi="Arial" w:cs="Arial"/>
          <w:color w:val="FF0000"/>
          <w:sz w:val="20"/>
          <w:szCs w:val="20"/>
        </w:rPr>
        <w:t xml:space="preserve"> 144 (10.3</w:t>
      </w:r>
      <w:r w:rsidRPr="00996D0F">
        <w:rPr>
          <w:rFonts w:ascii="Arial" w:hAnsi="Arial" w:cs="Arial"/>
          <w:color w:val="FF0000"/>
          <w:sz w:val="20"/>
          <w:szCs w:val="20"/>
        </w:rPr>
        <w:t xml:space="preserve">%) had a false negative TB test, </w:t>
      </w:r>
      <w:r w:rsidR="00710023">
        <w:rPr>
          <w:rFonts w:ascii="Arial" w:hAnsi="Arial" w:cs="Arial"/>
          <w:color w:val="FF0000"/>
          <w:sz w:val="20"/>
          <w:szCs w:val="20"/>
        </w:rPr>
        <w:t>76 (5.4</w:t>
      </w:r>
      <w:r w:rsidRPr="00996D0F">
        <w:rPr>
          <w:rFonts w:ascii="Arial" w:hAnsi="Arial" w:cs="Arial"/>
          <w:color w:val="FF0000"/>
          <w:sz w:val="20"/>
          <w:szCs w:val="20"/>
        </w:rPr>
        <w:t>%) had a false negative RMP-R result and all presumptive cases were screened for RMP resistance pre-treatment (Table 3).</w:t>
      </w:r>
    </w:p>
    <w:p w14:paraId="4FA3BEE7" w14:textId="77777777" w:rsidR="003B577D" w:rsidRDefault="003B577D" w:rsidP="00935EBC">
      <w:pPr>
        <w:pStyle w:val="Default"/>
        <w:tabs>
          <w:tab w:val="left" w:pos="5438"/>
        </w:tabs>
        <w:spacing w:line="360" w:lineRule="auto"/>
        <w:jc w:val="both"/>
        <w:rPr>
          <w:rFonts w:ascii="Arial" w:hAnsi="Arial" w:cs="Arial"/>
          <w:color w:val="auto"/>
          <w:sz w:val="20"/>
          <w:szCs w:val="20"/>
        </w:rPr>
      </w:pPr>
    </w:p>
    <w:p w14:paraId="499CCF4E" w14:textId="32FDDA12" w:rsidR="00C657EE" w:rsidRDefault="003B577D" w:rsidP="00935EBC">
      <w:pPr>
        <w:pStyle w:val="Default"/>
        <w:tabs>
          <w:tab w:val="left" w:pos="5438"/>
        </w:tabs>
        <w:spacing w:line="360" w:lineRule="auto"/>
        <w:jc w:val="both"/>
        <w:rPr>
          <w:rFonts w:ascii="Arial" w:hAnsi="Arial" w:cs="Arial"/>
          <w:color w:val="auto"/>
          <w:sz w:val="20"/>
          <w:szCs w:val="20"/>
        </w:rPr>
      </w:pPr>
      <w:r>
        <w:rPr>
          <w:rFonts w:ascii="Arial" w:hAnsi="Arial" w:cs="Arial"/>
          <w:color w:val="auto"/>
          <w:sz w:val="20"/>
          <w:szCs w:val="20"/>
        </w:rPr>
        <w:t>When</w:t>
      </w:r>
      <w:r w:rsidR="00A934D2">
        <w:rPr>
          <w:rFonts w:ascii="Arial" w:hAnsi="Arial" w:cs="Arial"/>
          <w:color w:val="auto"/>
          <w:sz w:val="20"/>
          <w:szCs w:val="20"/>
        </w:rPr>
        <w:t xml:space="preserve"> 100% of presumptive</w:t>
      </w:r>
      <w:r w:rsidR="000315B2">
        <w:rPr>
          <w:rFonts w:ascii="Arial" w:hAnsi="Arial" w:cs="Arial"/>
          <w:color w:val="auto"/>
          <w:sz w:val="20"/>
          <w:szCs w:val="20"/>
        </w:rPr>
        <w:t xml:space="preserve"> cases knew their HIV status, a total of 790</w:t>
      </w:r>
      <w:r w:rsidR="004A052F">
        <w:rPr>
          <w:rFonts w:ascii="Arial" w:hAnsi="Arial" w:cs="Arial"/>
          <w:color w:val="auto"/>
          <w:sz w:val="20"/>
          <w:szCs w:val="20"/>
        </w:rPr>
        <w:t xml:space="preserve"> (56.5%)</w:t>
      </w:r>
      <w:r w:rsidR="000315B2">
        <w:rPr>
          <w:rFonts w:ascii="Arial" w:hAnsi="Arial" w:cs="Arial"/>
          <w:color w:val="auto"/>
          <w:sz w:val="20"/>
          <w:szCs w:val="20"/>
        </w:rPr>
        <w:t xml:space="preserve"> </w:t>
      </w:r>
      <w:r w:rsidR="004A758E">
        <w:rPr>
          <w:rFonts w:ascii="Arial" w:hAnsi="Arial" w:cs="Arial"/>
          <w:color w:val="auto"/>
          <w:sz w:val="20"/>
          <w:szCs w:val="20"/>
        </w:rPr>
        <w:t xml:space="preserve">RMP-R </w:t>
      </w:r>
      <w:r w:rsidR="002D6626">
        <w:rPr>
          <w:rFonts w:ascii="Arial" w:hAnsi="Arial" w:cs="Arial"/>
          <w:color w:val="auto"/>
          <w:sz w:val="20"/>
          <w:szCs w:val="20"/>
        </w:rPr>
        <w:t xml:space="preserve">cases </w:t>
      </w:r>
      <w:r w:rsidR="000315B2">
        <w:rPr>
          <w:rFonts w:ascii="Arial" w:hAnsi="Arial" w:cs="Arial"/>
          <w:color w:val="auto"/>
          <w:sz w:val="20"/>
          <w:szCs w:val="20"/>
        </w:rPr>
        <w:t xml:space="preserve">were missed in </w:t>
      </w:r>
      <w:r w:rsidR="007D0ACA">
        <w:rPr>
          <w:rFonts w:ascii="Arial" w:hAnsi="Arial" w:cs="Arial"/>
          <w:color w:val="auto"/>
          <w:sz w:val="20"/>
          <w:szCs w:val="20"/>
        </w:rPr>
        <w:t>the smear/culture-based algorithm</w:t>
      </w:r>
      <w:r w:rsidR="000315B2">
        <w:rPr>
          <w:rFonts w:ascii="Arial" w:hAnsi="Arial" w:cs="Arial"/>
          <w:color w:val="auto"/>
          <w:sz w:val="20"/>
          <w:szCs w:val="20"/>
        </w:rPr>
        <w:t>:</w:t>
      </w:r>
      <w:r w:rsidR="007D0ACA">
        <w:rPr>
          <w:rFonts w:ascii="Arial" w:hAnsi="Arial" w:cs="Arial"/>
          <w:color w:val="auto"/>
          <w:sz w:val="20"/>
          <w:szCs w:val="20"/>
        </w:rPr>
        <w:t xml:space="preserve"> 226 (16.2%) had a false negative TB test, 13 (0.9</w:t>
      </w:r>
      <w:r w:rsidR="002D6626">
        <w:rPr>
          <w:rFonts w:ascii="Arial" w:hAnsi="Arial" w:cs="Arial"/>
          <w:color w:val="auto"/>
          <w:sz w:val="20"/>
          <w:szCs w:val="20"/>
        </w:rPr>
        <w:t>%</w:t>
      </w:r>
      <w:r w:rsidR="007D0ACA">
        <w:rPr>
          <w:rFonts w:ascii="Arial" w:hAnsi="Arial" w:cs="Arial"/>
          <w:color w:val="auto"/>
          <w:sz w:val="20"/>
          <w:szCs w:val="20"/>
        </w:rPr>
        <w:t xml:space="preserve">) had a false </w:t>
      </w:r>
      <w:r w:rsidR="00F64C82">
        <w:rPr>
          <w:rFonts w:ascii="Arial" w:hAnsi="Arial" w:cs="Arial"/>
          <w:color w:val="auto"/>
          <w:sz w:val="20"/>
          <w:szCs w:val="20"/>
        </w:rPr>
        <w:t xml:space="preserve">negative </w:t>
      </w:r>
      <w:r w:rsidR="00DB476C">
        <w:rPr>
          <w:rFonts w:ascii="Arial" w:hAnsi="Arial" w:cs="Arial"/>
          <w:color w:val="auto"/>
          <w:sz w:val="20"/>
          <w:szCs w:val="20"/>
        </w:rPr>
        <w:t>RMP</w:t>
      </w:r>
      <w:r w:rsidR="00C51839">
        <w:rPr>
          <w:rFonts w:ascii="Arial" w:hAnsi="Arial" w:cs="Arial"/>
          <w:color w:val="auto"/>
          <w:sz w:val="20"/>
          <w:szCs w:val="20"/>
        </w:rPr>
        <w:t>-</w:t>
      </w:r>
      <w:r w:rsidR="00F64C82">
        <w:rPr>
          <w:rFonts w:ascii="Arial" w:hAnsi="Arial" w:cs="Arial"/>
          <w:color w:val="auto"/>
          <w:sz w:val="20"/>
          <w:szCs w:val="20"/>
        </w:rPr>
        <w:t>R</w:t>
      </w:r>
      <w:r w:rsidR="004A758E">
        <w:rPr>
          <w:rFonts w:ascii="Arial" w:hAnsi="Arial" w:cs="Arial"/>
          <w:color w:val="auto"/>
          <w:sz w:val="20"/>
          <w:szCs w:val="20"/>
        </w:rPr>
        <w:t xml:space="preserve"> result</w:t>
      </w:r>
      <w:r w:rsidR="007D0ACA">
        <w:rPr>
          <w:rFonts w:ascii="Arial" w:hAnsi="Arial" w:cs="Arial"/>
          <w:color w:val="auto"/>
          <w:sz w:val="20"/>
          <w:szCs w:val="20"/>
        </w:rPr>
        <w:t xml:space="preserve"> and 551 (39.4%) had no DST done pre-treatment.</w:t>
      </w:r>
      <w:r w:rsidR="0092356A">
        <w:rPr>
          <w:rFonts w:ascii="Arial" w:hAnsi="Arial" w:cs="Arial"/>
          <w:color w:val="auto"/>
          <w:sz w:val="20"/>
          <w:szCs w:val="20"/>
        </w:rPr>
        <w:t xml:space="preserve"> </w:t>
      </w:r>
      <w:r w:rsidR="00153097">
        <w:rPr>
          <w:rFonts w:ascii="Arial" w:hAnsi="Arial" w:cs="Arial"/>
          <w:color w:val="auto"/>
          <w:sz w:val="20"/>
          <w:szCs w:val="20"/>
        </w:rPr>
        <w:t xml:space="preserve">In </w:t>
      </w:r>
      <w:r w:rsidR="0031170B">
        <w:rPr>
          <w:rFonts w:ascii="Arial" w:hAnsi="Arial" w:cs="Arial"/>
          <w:color w:val="auto"/>
          <w:sz w:val="20"/>
          <w:szCs w:val="20"/>
        </w:rPr>
        <w:t xml:space="preserve">the Xpert-based algorithm </w:t>
      </w:r>
      <w:r w:rsidR="002D6626">
        <w:rPr>
          <w:rFonts w:ascii="Arial" w:hAnsi="Arial" w:cs="Arial"/>
          <w:color w:val="auto"/>
          <w:sz w:val="20"/>
          <w:szCs w:val="20"/>
        </w:rPr>
        <w:t>a</w:t>
      </w:r>
      <w:r w:rsidR="00AC128C">
        <w:rPr>
          <w:rFonts w:ascii="Arial" w:hAnsi="Arial" w:cs="Arial"/>
          <w:color w:val="auto"/>
          <w:sz w:val="20"/>
          <w:szCs w:val="20"/>
        </w:rPr>
        <w:t xml:space="preserve"> </w:t>
      </w:r>
      <w:r w:rsidR="0092356A">
        <w:rPr>
          <w:rFonts w:ascii="Arial" w:hAnsi="Arial" w:cs="Arial"/>
          <w:color w:val="auto"/>
          <w:sz w:val="20"/>
          <w:szCs w:val="20"/>
        </w:rPr>
        <w:t xml:space="preserve">total of </w:t>
      </w:r>
      <w:r w:rsidR="002D6626">
        <w:rPr>
          <w:rFonts w:ascii="Arial" w:hAnsi="Arial" w:cs="Arial"/>
          <w:color w:val="auto"/>
          <w:sz w:val="20"/>
          <w:szCs w:val="20"/>
        </w:rPr>
        <w:t>166</w:t>
      </w:r>
      <w:r w:rsidR="00F22323">
        <w:rPr>
          <w:rFonts w:ascii="Arial" w:hAnsi="Arial" w:cs="Arial"/>
          <w:color w:val="auto"/>
          <w:sz w:val="20"/>
          <w:szCs w:val="20"/>
        </w:rPr>
        <w:t xml:space="preserve"> (11.9%) </w:t>
      </w:r>
      <w:r w:rsidR="004A758E">
        <w:rPr>
          <w:rFonts w:ascii="Arial" w:hAnsi="Arial" w:cs="Arial"/>
          <w:color w:val="auto"/>
          <w:sz w:val="20"/>
          <w:szCs w:val="20"/>
        </w:rPr>
        <w:t xml:space="preserve">RMP-R </w:t>
      </w:r>
      <w:r w:rsidR="00F22323">
        <w:rPr>
          <w:rFonts w:ascii="Arial" w:hAnsi="Arial" w:cs="Arial"/>
          <w:color w:val="auto"/>
          <w:sz w:val="20"/>
          <w:szCs w:val="20"/>
        </w:rPr>
        <w:t xml:space="preserve">cases </w:t>
      </w:r>
      <w:r w:rsidR="002D6626">
        <w:rPr>
          <w:rFonts w:ascii="Arial" w:hAnsi="Arial" w:cs="Arial"/>
          <w:color w:val="auto"/>
          <w:sz w:val="20"/>
          <w:szCs w:val="20"/>
        </w:rPr>
        <w:t>were missed</w:t>
      </w:r>
      <w:r w:rsidR="0092356A">
        <w:rPr>
          <w:rFonts w:ascii="Arial" w:hAnsi="Arial" w:cs="Arial"/>
          <w:color w:val="auto"/>
          <w:sz w:val="20"/>
          <w:szCs w:val="20"/>
        </w:rPr>
        <w:t>:</w:t>
      </w:r>
      <w:r w:rsidR="0031170B">
        <w:rPr>
          <w:rFonts w:ascii="Arial" w:hAnsi="Arial" w:cs="Arial"/>
          <w:color w:val="auto"/>
          <w:sz w:val="20"/>
          <w:szCs w:val="20"/>
        </w:rPr>
        <w:t xml:space="preserve"> 88 (6.3%) </w:t>
      </w:r>
      <w:r w:rsidR="0092356A">
        <w:rPr>
          <w:rFonts w:ascii="Arial" w:hAnsi="Arial" w:cs="Arial"/>
          <w:color w:val="auto"/>
          <w:sz w:val="20"/>
          <w:szCs w:val="20"/>
        </w:rPr>
        <w:t xml:space="preserve">had a false negative TB test, </w:t>
      </w:r>
      <w:r w:rsidR="0031170B">
        <w:rPr>
          <w:rFonts w:ascii="Arial" w:hAnsi="Arial" w:cs="Arial"/>
          <w:color w:val="auto"/>
          <w:sz w:val="20"/>
          <w:szCs w:val="20"/>
        </w:rPr>
        <w:t>78 (5.6</w:t>
      </w:r>
      <w:r w:rsidR="00AC128C">
        <w:rPr>
          <w:rFonts w:ascii="Arial" w:hAnsi="Arial" w:cs="Arial"/>
          <w:color w:val="auto"/>
          <w:sz w:val="20"/>
          <w:szCs w:val="20"/>
        </w:rPr>
        <w:t>%</w:t>
      </w:r>
      <w:r w:rsidR="0031170B">
        <w:rPr>
          <w:rFonts w:ascii="Arial" w:hAnsi="Arial" w:cs="Arial"/>
          <w:color w:val="auto"/>
          <w:sz w:val="20"/>
          <w:szCs w:val="20"/>
        </w:rPr>
        <w:t xml:space="preserve">) </w:t>
      </w:r>
      <w:r w:rsidR="00AC128C">
        <w:rPr>
          <w:rFonts w:ascii="Arial" w:hAnsi="Arial" w:cs="Arial"/>
          <w:color w:val="auto"/>
          <w:sz w:val="20"/>
          <w:szCs w:val="20"/>
        </w:rPr>
        <w:t>had a false</w:t>
      </w:r>
      <w:r w:rsidR="00F64C82">
        <w:rPr>
          <w:rFonts w:ascii="Arial" w:hAnsi="Arial" w:cs="Arial"/>
          <w:color w:val="auto"/>
          <w:sz w:val="20"/>
          <w:szCs w:val="20"/>
        </w:rPr>
        <w:t xml:space="preserve"> negative</w:t>
      </w:r>
      <w:r w:rsidR="00AC128C">
        <w:rPr>
          <w:rFonts w:ascii="Arial" w:hAnsi="Arial" w:cs="Arial"/>
          <w:color w:val="auto"/>
          <w:sz w:val="20"/>
          <w:szCs w:val="20"/>
        </w:rPr>
        <w:t xml:space="preserve"> </w:t>
      </w:r>
      <w:r w:rsidR="00DB476C">
        <w:rPr>
          <w:rFonts w:ascii="Arial" w:hAnsi="Arial" w:cs="Arial"/>
          <w:color w:val="auto"/>
          <w:sz w:val="20"/>
          <w:szCs w:val="20"/>
        </w:rPr>
        <w:t>RMP</w:t>
      </w:r>
      <w:r w:rsidR="00F64C82">
        <w:rPr>
          <w:rFonts w:ascii="Arial" w:hAnsi="Arial" w:cs="Arial"/>
          <w:color w:val="auto"/>
          <w:sz w:val="20"/>
          <w:szCs w:val="20"/>
        </w:rPr>
        <w:t>-R</w:t>
      </w:r>
      <w:r w:rsidR="002D6626">
        <w:rPr>
          <w:rFonts w:ascii="Arial" w:hAnsi="Arial" w:cs="Arial"/>
          <w:color w:val="auto"/>
          <w:sz w:val="20"/>
          <w:szCs w:val="20"/>
        </w:rPr>
        <w:t xml:space="preserve"> </w:t>
      </w:r>
      <w:r w:rsidR="00A57AB0">
        <w:rPr>
          <w:rFonts w:ascii="Arial" w:hAnsi="Arial" w:cs="Arial"/>
          <w:color w:val="auto"/>
          <w:sz w:val="20"/>
          <w:szCs w:val="20"/>
        </w:rPr>
        <w:t xml:space="preserve">result </w:t>
      </w:r>
      <w:r w:rsidR="007A1D6D">
        <w:rPr>
          <w:rFonts w:ascii="Arial" w:hAnsi="Arial" w:cs="Arial"/>
          <w:color w:val="auto"/>
          <w:sz w:val="20"/>
          <w:szCs w:val="20"/>
        </w:rPr>
        <w:t xml:space="preserve">and </w:t>
      </w:r>
      <w:r w:rsidR="00E121E0">
        <w:rPr>
          <w:rFonts w:ascii="Arial" w:hAnsi="Arial" w:cs="Arial"/>
          <w:color w:val="auto"/>
          <w:sz w:val="20"/>
          <w:szCs w:val="20"/>
        </w:rPr>
        <w:t xml:space="preserve">all </w:t>
      </w:r>
      <w:r w:rsidR="007A1D6D">
        <w:rPr>
          <w:rFonts w:ascii="Arial" w:hAnsi="Arial" w:cs="Arial"/>
          <w:color w:val="auto"/>
          <w:sz w:val="20"/>
          <w:szCs w:val="20"/>
        </w:rPr>
        <w:t xml:space="preserve">presumptive </w:t>
      </w:r>
      <w:r w:rsidR="00E121E0">
        <w:rPr>
          <w:rFonts w:ascii="Arial" w:hAnsi="Arial" w:cs="Arial"/>
          <w:color w:val="auto"/>
          <w:sz w:val="20"/>
          <w:szCs w:val="20"/>
        </w:rPr>
        <w:t xml:space="preserve">cases were screened for </w:t>
      </w:r>
      <w:r w:rsidR="00973602">
        <w:rPr>
          <w:rFonts w:ascii="Arial" w:hAnsi="Arial" w:cs="Arial"/>
          <w:color w:val="auto"/>
          <w:sz w:val="20"/>
          <w:szCs w:val="20"/>
        </w:rPr>
        <w:t>R</w:t>
      </w:r>
      <w:r w:rsidR="00F60B0E">
        <w:rPr>
          <w:rFonts w:ascii="Arial" w:hAnsi="Arial" w:cs="Arial"/>
          <w:color w:val="auto"/>
          <w:sz w:val="20"/>
          <w:szCs w:val="20"/>
        </w:rPr>
        <w:t xml:space="preserve">MP resistance </w:t>
      </w:r>
      <w:r w:rsidR="00561362">
        <w:rPr>
          <w:rFonts w:ascii="Arial" w:hAnsi="Arial" w:cs="Arial"/>
          <w:color w:val="auto"/>
          <w:sz w:val="20"/>
          <w:szCs w:val="20"/>
        </w:rPr>
        <w:t>pre-treatment</w:t>
      </w:r>
      <w:r w:rsidR="00935EBC">
        <w:rPr>
          <w:rFonts w:ascii="Arial" w:hAnsi="Arial" w:cs="Arial"/>
          <w:color w:val="auto"/>
          <w:sz w:val="20"/>
          <w:szCs w:val="20"/>
        </w:rPr>
        <w:t xml:space="preserve"> (Table 3). </w:t>
      </w:r>
    </w:p>
    <w:p w14:paraId="1FC9B2C3" w14:textId="77777777" w:rsidR="00C56CCA" w:rsidRDefault="00C56CCA" w:rsidP="00C1253D">
      <w:pPr>
        <w:pStyle w:val="Default"/>
        <w:tabs>
          <w:tab w:val="left" w:pos="5438"/>
        </w:tabs>
        <w:spacing w:line="360" w:lineRule="auto"/>
        <w:jc w:val="both"/>
        <w:rPr>
          <w:rFonts w:ascii="Arial" w:hAnsi="Arial" w:cs="Arial"/>
          <w:color w:val="auto"/>
          <w:sz w:val="20"/>
          <w:szCs w:val="20"/>
        </w:rPr>
      </w:pPr>
    </w:p>
    <w:p w14:paraId="17DBAB00" w14:textId="77777777" w:rsidR="0055750E" w:rsidRPr="009827BA" w:rsidRDefault="00736DE5" w:rsidP="0055750E">
      <w:pPr>
        <w:pStyle w:val="Default"/>
        <w:tabs>
          <w:tab w:val="left" w:pos="5438"/>
        </w:tabs>
        <w:spacing w:line="360" w:lineRule="auto"/>
        <w:jc w:val="both"/>
        <w:rPr>
          <w:rFonts w:ascii="Arial" w:hAnsi="Arial" w:cs="Arial"/>
          <w:i/>
          <w:color w:val="auto"/>
          <w:sz w:val="20"/>
          <w:szCs w:val="20"/>
        </w:rPr>
      </w:pPr>
      <w:r w:rsidRPr="009827BA">
        <w:rPr>
          <w:rFonts w:ascii="Arial" w:hAnsi="Arial" w:cs="Arial"/>
          <w:i/>
          <w:color w:val="auto"/>
          <w:sz w:val="20"/>
          <w:szCs w:val="20"/>
        </w:rPr>
        <w:t xml:space="preserve">Laboratory costs </w:t>
      </w:r>
    </w:p>
    <w:p w14:paraId="613BCF67" w14:textId="676BB505" w:rsidR="00462CE6" w:rsidRDefault="003F12FA" w:rsidP="00462CE6">
      <w:pPr>
        <w:pStyle w:val="Default"/>
        <w:tabs>
          <w:tab w:val="left" w:pos="5438"/>
        </w:tabs>
        <w:spacing w:line="360" w:lineRule="auto"/>
        <w:jc w:val="both"/>
        <w:rPr>
          <w:rFonts w:ascii="Arial" w:hAnsi="Arial" w:cs="Arial"/>
          <w:color w:val="auto"/>
          <w:sz w:val="20"/>
          <w:szCs w:val="20"/>
        </w:rPr>
      </w:pPr>
      <w:r>
        <w:rPr>
          <w:rFonts w:ascii="Arial" w:hAnsi="Arial" w:cs="Arial"/>
          <w:color w:val="auto"/>
          <w:sz w:val="20"/>
          <w:szCs w:val="20"/>
        </w:rPr>
        <w:t xml:space="preserve">In </w:t>
      </w:r>
      <w:r w:rsidR="00C51839">
        <w:rPr>
          <w:rFonts w:ascii="Arial" w:hAnsi="Arial" w:cs="Arial"/>
          <w:color w:val="auto"/>
          <w:sz w:val="20"/>
          <w:szCs w:val="20"/>
        </w:rPr>
        <w:t xml:space="preserve">the </w:t>
      </w:r>
      <w:r>
        <w:rPr>
          <w:rFonts w:ascii="Arial" w:hAnsi="Arial" w:cs="Arial"/>
          <w:color w:val="auto"/>
          <w:sz w:val="20"/>
          <w:szCs w:val="20"/>
        </w:rPr>
        <w:t xml:space="preserve">scenario </w:t>
      </w:r>
      <w:r w:rsidR="000708CE">
        <w:rPr>
          <w:rFonts w:ascii="Arial" w:hAnsi="Arial" w:cs="Arial"/>
          <w:color w:val="auto"/>
          <w:sz w:val="20"/>
          <w:szCs w:val="20"/>
        </w:rPr>
        <w:t>where</w:t>
      </w:r>
      <w:r>
        <w:rPr>
          <w:rFonts w:ascii="Arial" w:hAnsi="Arial" w:cs="Arial"/>
          <w:color w:val="auto"/>
          <w:sz w:val="20"/>
          <w:szCs w:val="20"/>
        </w:rPr>
        <w:t xml:space="preserve"> </w:t>
      </w:r>
      <w:r w:rsidR="000D6931">
        <w:rPr>
          <w:rFonts w:ascii="Arial" w:hAnsi="Arial" w:cs="Arial"/>
          <w:color w:val="auto"/>
          <w:sz w:val="20"/>
          <w:szCs w:val="20"/>
        </w:rPr>
        <w:t>60%</w:t>
      </w:r>
      <w:r>
        <w:rPr>
          <w:rFonts w:ascii="Arial" w:hAnsi="Arial" w:cs="Arial"/>
          <w:color w:val="auto"/>
          <w:sz w:val="20"/>
          <w:szCs w:val="20"/>
        </w:rPr>
        <w:t xml:space="preserve"> </w:t>
      </w:r>
      <w:r w:rsidR="008912ED">
        <w:rPr>
          <w:rFonts w:ascii="Arial" w:hAnsi="Arial" w:cs="Arial"/>
          <w:color w:val="auto"/>
          <w:sz w:val="20"/>
          <w:szCs w:val="20"/>
        </w:rPr>
        <w:t xml:space="preserve">of presumptive TB cases </w:t>
      </w:r>
      <w:r>
        <w:rPr>
          <w:rFonts w:ascii="Arial" w:hAnsi="Arial" w:cs="Arial"/>
          <w:color w:val="auto"/>
          <w:sz w:val="20"/>
          <w:szCs w:val="20"/>
        </w:rPr>
        <w:t>knew their HIV status the overall laboratory TB diagnostic cost</w:t>
      </w:r>
      <w:r w:rsidR="00B91685">
        <w:rPr>
          <w:rFonts w:ascii="Arial" w:hAnsi="Arial" w:cs="Arial"/>
          <w:color w:val="auto"/>
          <w:sz w:val="20"/>
          <w:szCs w:val="20"/>
        </w:rPr>
        <w:t xml:space="preserve"> </w:t>
      </w:r>
      <w:r w:rsidR="00561362">
        <w:rPr>
          <w:rFonts w:ascii="Arial" w:hAnsi="Arial" w:cs="Arial"/>
          <w:color w:val="auto"/>
          <w:sz w:val="20"/>
          <w:szCs w:val="20"/>
        </w:rPr>
        <w:t>was</w:t>
      </w:r>
      <w:r>
        <w:rPr>
          <w:rFonts w:ascii="Arial" w:hAnsi="Arial" w:cs="Arial"/>
          <w:color w:val="auto"/>
          <w:sz w:val="20"/>
          <w:szCs w:val="20"/>
        </w:rPr>
        <w:t xml:space="preserve"> U</w:t>
      </w:r>
      <w:r w:rsidRPr="00571222">
        <w:rPr>
          <w:rFonts w:ascii="Arial" w:hAnsi="Arial" w:cs="Arial"/>
          <w:color w:val="auto"/>
          <w:sz w:val="20"/>
          <w:szCs w:val="20"/>
        </w:rPr>
        <w:t>$</w:t>
      </w:r>
      <w:r w:rsidR="00571222" w:rsidRPr="00571222">
        <w:rPr>
          <w:rFonts w:ascii="Arial" w:hAnsi="Arial" w:cs="Arial"/>
          <w:color w:val="auto"/>
          <w:sz w:val="20"/>
          <w:szCs w:val="20"/>
        </w:rPr>
        <w:t xml:space="preserve">1,073,858 </w:t>
      </w:r>
      <w:r w:rsidRPr="00571222">
        <w:rPr>
          <w:rFonts w:ascii="Arial" w:hAnsi="Arial" w:cs="Arial"/>
          <w:color w:val="auto"/>
          <w:sz w:val="20"/>
          <w:szCs w:val="20"/>
        </w:rPr>
        <w:t>in the smear/culture and U$</w:t>
      </w:r>
      <w:r w:rsidR="00571222" w:rsidRPr="00571222">
        <w:rPr>
          <w:rFonts w:ascii="Arial" w:hAnsi="Arial" w:cs="Arial"/>
          <w:color w:val="auto"/>
          <w:sz w:val="20"/>
          <w:szCs w:val="20"/>
        </w:rPr>
        <w:t xml:space="preserve">2,430,050 </w:t>
      </w:r>
      <w:r>
        <w:rPr>
          <w:rFonts w:ascii="Arial" w:hAnsi="Arial" w:cs="Arial"/>
          <w:color w:val="auto"/>
          <w:sz w:val="20"/>
          <w:szCs w:val="20"/>
        </w:rPr>
        <w:t>in the Xpert-based algorithm</w:t>
      </w:r>
      <w:r w:rsidR="000708CE">
        <w:rPr>
          <w:rFonts w:ascii="Arial" w:hAnsi="Arial" w:cs="Arial"/>
          <w:color w:val="auto"/>
          <w:sz w:val="20"/>
          <w:szCs w:val="20"/>
        </w:rPr>
        <w:t xml:space="preserve">. </w:t>
      </w:r>
      <w:r w:rsidR="000C43D9">
        <w:rPr>
          <w:rFonts w:ascii="Arial" w:hAnsi="Arial" w:cs="Arial"/>
          <w:color w:val="auto"/>
          <w:sz w:val="20"/>
          <w:szCs w:val="20"/>
        </w:rPr>
        <w:t>T</w:t>
      </w:r>
      <w:r w:rsidR="008A37C0">
        <w:rPr>
          <w:rFonts w:ascii="Arial" w:hAnsi="Arial" w:cs="Arial"/>
          <w:color w:val="auto"/>
          <w:sz w:val="20"/>
          <w:szCs w:val="20"/>
        </w:rPr>
        <w:t xml:space="preserve">he cost per </w:t>
      </w:r>
      <w:r w:rsidR="0055425B">
        <w:rPr>
          <w:rFonts w:ascii="Arial" w:hAnsi="Arial" w:cs="Arial"/>
          <w:color w:val="auto"/>
          <w:sz w:val="20"/>
          <w:szCs w:val="20"/>
        </w:rPr>
        <w:t xml:space="preserve">RMP-R </w:t>
      </w:r>
      <w:r w:rsidR="008A37C0">
        <w:rPr>
          <w:rFonts w:ascii="Arial" w:hAnsi="Arial" w:cs="Arial"/>
          <w:color w:val="auto"/>
          <w:sz w:val="20"/>
          <w:szCs w:val="20"/>
        </w:rPr>
        <w:t xml:space="preserve">TB case </w:t>
      </w:r>
      <w:r w:rsidR="0076795F">
        <w:rPr>
          <w:rFonts w:ascii="Arial" w:hAnsi="Arial" w:cs="Arial"/>
          <w:color w:val="auto"/>
          <w:sz w:val="20"/>
          <w:szCs w:val="20"/>
        </w:rPr>
        <w:t xml:space="preserve">identified </w:t>
      </w:r>
      <w:r w:rsidR="008912ED">
        <w:rPr>
          <w:rFonts w:ascii="Arial" w:hAnsi="Arial" w:cs="Arial"/>
          <w:color w:val="auto"/>
          <w:sz w:val="20"/>
          <w:szCs w:val="20"/>
        </w:rPr>
        <w:t>was</w:t>
      </w:r>
      <w:r w:rsidR="008A37C0">
        <w:rPr>
          <w:rFonts w:ascii="Arial" w:hAnsi="Arial" w:cs="Arial"/>
          <w:color w:val="auto"/>
          <w:sz w:val="20"/>
          <w:szCs w:val="20"/>
        </w:rPr>
        <w:t xml:space="preserve"> </w:t>
      </w:r>
      <w:r w:rsidR="008A37C0" w:rsidRPr="00462CE6">
        <w:rPr>
          <w:rFonts w:ascii="Arial" w:hAnsi="Arial" w:cs="Arial"/>
          <w:color w:val="auto"/>
          <w:sz w:val="20"/>
          <w:szCs w:val="20"/>
        </w:rPr>
        <w:t>U$</w:t>
      </w:r>
      <w:r w:rsidR="00571222" w:rsidRPr="00462CE6">
        <w:rPr>
          <w:rFonts w:ascii="Arial" w:hAnsi="Arial" w:cs="Arial"/>
          <w:color w:val="auto"/>
          <w:sz w:val="20"/>
          <w:szCs w:val="20"/>
        </w:rPr>
        <w:t>1,781</w:t>
      </w:r>
      <w:r w:rsidR="00540B95">
        <w:rPr>
          <w:rFonts w:ascii="Arial" w:hAnsi="Arial" w:cs="Arial"/>
          <w:color w:val="auto"/>
          <w:sz w:val="20"/>
          <w:szCs w:val="20"/>
        </w:rPr>
        <w:t xml:space="preserve"> </w:t>
      </w:r>
      <w:r w:rsidR="008A37C0">
        <w:rPr>
          <w:rFonts w:ascii="Arial" w:hAnsi="Arial" w:cs="Arial"/>
          <w:color w:val="auto"/>
          <w:sz w:val="20"/>
          <w:szCs w:val="20"/>
        </w:rPr>
        <w:t xml:space="preserve">in the smear/culture </w:t>
      </w:r>
      <w:r w:rsidR="009827BA">
        <w:rPr>
          <w:rFonts w:ascii="Arial" w:hAnsi="Arial" w:cs="Arial"/>
          <w:color w:val="auto"/>
          <w:sz w:val="20"/>
          <w:szCs w:val="20"/>
        </w:rPr>
        <w:t>compared to</w:t>
      </w:r>
      <w:r w:rsidR="008912ED">
        <w:rPr>
          <w:rFonts w:ascii="Arial" w:hAnsi="Arial" w:cs="Arial"/>
          <w:color w:val="auto"/>
          <w:sz w:val="20"/>
          <w:szCs w:val="20"/>
        </w:rPr>
        <w:t xml:space="preserve"> </w:t>
      </w:r>
      <w:r w:rsidR="008A37C0">
        <w:rPr>
          <w:rFonts w:ascii="Arial" w:hAnsi="Arial" w:cs="Arial"/>
          <w:color w:val="auto"/>
          <w:sz w:val="20"/>
          <w:szCs w:val="20"/>
        </w:rPr>
        <w:t>U</w:t>
      </w:r>
      <w:r w:rsidR="008A37C0" w:rsidRPr="00462CE6">
        <w:rPr>
          <w:rFonts w:ascii="Arial" w:hAnsi="Arial" w:cs="Arial"/>
          <w:color w:val="auto"/>
          <w:sz w:val="20"/>
          <w:szCs w:val="20"/>
        </w:rPr>
        <w:t>$</w:t>
      </w:r>
      <w:r w:rsidR="00571222" w:rsidRPr="00462CE6">
        <w:rPr>
          <w:rFonts w:ascii="Arial" w:hAnsi="Arial" w:cs="Arial"/>
          <w:color w:val="auto"/>
          <w:sz w:val="20"/>
          <w:szCs w:val="20"/>
        </w:rPr>
        <w:t xml:space="preserve">2,063 </w:t>
      </w:r>
      <w:r w:rsidR="008A37C0">
        <w:rPr>
          <w:rFonts w:ascii="Arial" w:hAnsi="Arial" w:cs="Arial"/>
          <w:color w:val="auto"/>
          <w:sz w:val="20"/>
          <w:szCs w:val="20"/>
        </w:rPr>
        <w:t xml:space="preserve">in the Xpert-based algorithm. </w:t>
      </w:r>
      <w:r w:rsidR="00462CE6">
        <w:rPr>
          <w:rFonts w:ascii="Arial" w:hAnsi="Arial" w:cs="Arial"/>
          <w:color w:val="auto"/>
          <w:sz w:val="20"/>
          <w:szCs w:val="20"/>
        </w:rPr>
        <w:t>If 100% of presumptive TB cases knew their HIV status the overall laboratory TB diagnostic costs were U</w:t>
      </w:r>
      <w:r w:rsidR="00462CE6" w:rsidRPr="00571222">
        <w:rPr>
          <w:rFonts w:ascii="Arial" w:hAnsi="Arial" w:cs="Arial"/>
          <w:color w:val="auto"/>
          <w:sz w:val="20"/>
          <w:szCs w:val="20"/>
        </w:rPr>
        <w:t>$</w:t>
      </w:r>
      <w:r w:rsidR="00462CE6" w:rsidRPr="00462CE6">
        <w:rPr>
          <w:rFonts w:ascii="Arial" w:hAnsi="Arial" w:cs="Arial"/>
          <w:color w:val="auto"/>
          <w:sz w:val="20"/>
          <w:szCs w:val="20"/>
        </w:rPr>
        <w:t xml:space="preserve">1,240,777 </w:t>
      </w:r>
      <w:r w:rsidR="00462CE6" w:rsidRPr="00571222">
        <w:rPr>
          <w:rFonts w:ascii="Arial" w:hAnsi="Arial" w:cs="Arial"/>
          <w:color w:val="auto"/>
          <w:sz w:val="20"/>
          <w:szCs w:val="20"/>
        </w:rPr>
        <w:t>and U$</w:t>
      </w:r>
      <w:r w:rsidR="00462CE6" w:rsidRPr="00462CE6">
        <w:rPr>
          <w:rFonts w:ascii="Arial" w:hAnsi="Arial" w:cs="Arial"/>
          <w:color w:val="auto"/>
          <w:sz w:val="20"/>
          <w:szCs w:val="20"/>
        </w:rPr>
        <w:t xml:space="preserve">2,700,384 respectively and the </w:t>
      </w:r>
      <w:r w:rsidR="00462CE6">
        <w:rPr>
          <w:rFonts w:ascii="Arial" w:hAnsi="Arial" w:cs="Arial"/>
          <w:color w:val="auto"/>
          <w:sz w:val="20"/>
          <w:szCs w:val="20"/>
        </w:rPr>
        <w:t xml:space="preserve">costs per RMP-R TB case identified were </w:t>
      </w:r>
      <w:r w:rsidR="00462CE6" w:rsidRPr="00462CE6">
        <w:rPr>
          <w:rFonts w:ascii="Arial" w:hAnsi="Arial" w:cs="Arial"/>
          <w:color w:val="auto"/>
          <w:sz w:val="20"/>
          <w:szCs w:val="20"/>
        </w:rPr>
        <w:t>U$2,041</w:t>
      </w:r>
      <w:r w:rsidR="00462CE6">
        <w:rPr>
          <w:rFonts w:ascii="Arial" w:hAnsi="Arial" w:cs="Arial"/>
          <w:color w:val="auto"/>
          <w:sz w:val="20"/>
          <w:szCs w:val="20"/>
        </w:rPr>
        <w:t xml:space="preserve"> and U</w:t>
      </w:r>
      <w:r w:rsidR="00462CE6" w:rsidRPr="00462CE6">
        <w:rPr>
          <w:rFonts w:ascii="Arial" w:hAnsi="Arial" w:cs="Arial"/>
          <w:color w:val="auto"/>
          <w:sz w:val="20"/>
          <w:szCs w:val="20"/>
        </w:rPr>
        <w:t xml:space="preserve">$2,192 </w:t>
      </w:r>
      <w:r w:rsidR="00462CE6">
        <w:rPr>
          <w:rFonts w:ascii="Arial" w:hAnsi="Arial" w:cs="Arial"/>
          <w:color w:val="auto"/>
          <w:sz w:val="20"/>
          <w:szCs w:val="20"/>
        </w:rPr>
        <w:t xml:space="preserve">respectively. </w:t>
      </w:r>
    </w:p>
    <w:p w14:paraId="4E90894B" w14:textId="77777777" w:rsidR="00462CE6" w:rsidRDefault="00462CE6" w:rsidP="008A37C0">
      <w:pPr>
        <w:pStyle w:val="Default"/>
        <w:tabs>
          <w:tab w:val="left" w:pos="5438"/>
        </w:tabs>
        <w:spacing w:line="360" w:lineRule="auto"/>
        <w:jc w:val="both"/>
        <w:rPr>
          <w:rFonts w:ascii="Arial" w:hAnsi="Arial" w:cs="Arial"/>
          <w:color w:val="auto"/>
          <w:sz w:val="20"/>
          <w:szCs w:val="20"/>
        </w:rPr>
      </w:pPr>
    </w:p>
    <w:p w14:paraId="241CCFAC" w14:textId="77777777" w:rsidR="004C3A68" w:rsidRDefault="00E670B4" w:rsidP="008A37C0">
      <w:pPr>
        <w:pStyle w:val="Default"/>
        <w:tabs>
          <w:tab w:val="left" w:pos="5438"/>
        </w:tabs>
        <w:spacing w:line="360" w:lineRule="auto"/>
        <w:jc w:val="both"/>
        <w:rPr>
          <w:rFonts w:ascii="Arial" w:hAnsi="Arial" w:cs="Arial"/>
          <w:color w:val="auto"/>
          <w:sz w:val="20"/>
          <w:szCs w:val="20"/>
        </w:rPr>
      </w:pPr>
      <w:r>
        <w:rPr>
          <w:rFonts w:ascii="Arial" w:hAnsi="Arial" w:cs="Arial"/>
          <w:color w:val="auto"/>
          <w:sz w:val="20"/>
          <w:szCs w:val="20"/>
        </w:rPr>
        <w:t xml:space="preserve">The cost per additional </w:t>
      </w:r>
      <w:r w:rsidR="00D0140D">
        <w:rPr>
          <w:rFonts w:ascii="Arial" w:hAnsi="Arial" w:cs="Arial"/>
          <w:color w:val="auto"/>
          <w:sz w:val="20"/>
          <w:szCs w:val="20"/>
        </w:rPr>
        <w:t xml:space="preserve">RMP-R </w:t>
      </w:r>
      <w:r>
        <w:rPr>
          <w:rFonts w:ascii="Arial" w:hAnsi="Arial" w:cs="Arial"/>
          <w:color w:val="auto"/>
          <w:sz w:val="20"/>
          <w:szCs w:val="20"/>
        </w:rPr>
        <w:t xml:space="preserve">TB cases </w:t>
      </w:r>
      <w:r w:rsidR="001D5894">
        <w:rPr>
          <w:rFonts w:ascii="Arial" w:hAnsi="Arial" w:cs="Arial"/>
          <w:color w:val="auto"/>
          <w:sz w:val="20"/>
          <w:szCs w:val="20"/>
        </w:rPr>
        <w:t>identified</w:t>
      </w:r>
      <w:r>
        <w:rPr>
          <w:rFonts w:ascii="Arial" w:hAnsi="Arial" w:cs="Arial"/>
          <w:color w:val="auto"/>
          <w:sz w:val="20"/>
          <w:szCs w:val="20"/>
        </w:rPr>
        <w:t xml:space="preserve"> in the Xpert compared to smear/culture-based algorithm </w:t>
      </w:r>
      <w:r w:rsidR="00E74268">
        <w:rPr>
          <w:rFonts w:ascii="Arial" w:hAnsi="Arial" w:cs="Arial"/>
          <w:color w:val="auto"/>
          <w:sz w:val="20"/>
          <w:szCs w:val="20"/>
        </w:rPr>
        <w:t xml:space="preserve">was </w:t>
      </w:r>
      <w:r w:rsidR="003E3902">
        <w:rPr>
          <w:rFonts w:ascii="Arial" w:hAnsi="Arial" w:cs="Arial"/>
          <w:color w:val="auto"/>
          <w:sz w:val="20"/>
          <w:szCs w:val="20"/>
        </w:rPr>
        <w:t>US$</w:t>
      </w:r>
      <w:r w:rsidR="00FE02D8">
        <w:rPr>
          <w:rFonts w:ascii="Arial" w:hAnsi="Arial" w:cs="Arial"/>
          <w:color w:val="auto"/>
          <w:sz w:val="20"/>
          <w:szCs w:val="20"/>
        </w:rPr>
        <w:t>2</w:t>
      </w:r>
      <w:r w:rsidR="00027FBA">
        <w:rPr>
          <w:rFonts w:ascii="Arial" w:hAnsi="Arial" w:cs="Arial"/>
          <w:color w:val="auto"/>
          <w:sz w:val="20"/>
          <w:szCs w:val="20"/>
        </w:rPr>
        <w:t>,359</w:t>
      </w:r>
      <w:r w:rsidR="00462CE6">
        <w:rPr>
          <w:rFonts w:ascii="Arial" w:hAnsi="Arial" w:cs="Arial"/>
          <w:color w:val="auto"/>
          <w:sz w:val="20"/>
          <w:szCs w:val="20"/>
        </w:rPr>
        <w:t xml:space="preserve"> </w:t>
      </w:r>
      <w:r w:rsidR="00E74268">
        <w:rPr>
          <w:rFonts w:ascii="Arial" w:hAnsi="Arial" w:cs="Arial"/>
          <w:color w:val="auto"/>
          <w:sz w:val="20"/>
          <w:szCs w:val="20"/>
        </w:rPr>
        <w:t xml:space="preserve">and </w:t>
      </w:r>
      <w:r w:rsidR="003E3902">
        <w:rPr>
          <w:rFonts w:ascii="Arial" w:hAnsi="Arial" w:cs="Arial"/>
          <w:color w:val="auto"/>
          <w:sz w:val="20"/>
          <w:szCs w:val="20"/>
        </w:rPr>
        <w:t>US$</w:t>
      </w:r>
      <w:r w:rsidR="00FE02D8">
        <w:rPr>
          <w:rFonts w:ascii="Arial" w:hAnsi="Arial" w:cs="Arial"/>
          <w:color w:val="auto"/>
          <w:sz w:val="20"/>
          <w:szCs w:val="20"/>
        </w:rPr>
        <w:t>2</w:t>
      </w:r>
      <w:r w:rsidR="00027FBA">
        <w:rPr>
          <w:rFonts w:ascii="Arial" w:hAnsi="Arial" w:cs="Arial"/>
          <w:color w:val="auto"/>
          <w:sz w:val="20"/>
          <w:szCs w:val="20"/>
        </w:rPr>
        <w:t>,</w:t>
      </w:r>
      <w:r w:rsidR="00E74268">
        <w:rPr>
          <w:rFonts w:ascii="Arial" w:hAnsi="Arial" w:cs="Arial"/>
          <w:color w:val="auto"/>
          <w:sz w:val="20"/>
          <w:szCs w:val="20"/>
        </w:rPr>
        <w:t>339</w:t>
      </w:r>
      <w:r w:rsidR="008C314E">
        <w:rPr>
          <w:rFonts w:ascii="Arial" w:hAnsi="Arial" w:cs="Arial"/>
          <w:color w:val="auto"/>
          <w:sz w:val="20"/>
          <w:szCs w:val="20"/>
        </w:rPr>
        <w:t xml:space="preserve"> </w:t>
      </w:r>
      <w:r w:rsidR="009827BA">
        <w:rPr>
          <w:rFonts w:ascii="Arial" w:hAnsi="Arial" w:cs="Arial"/>
          <w:color w:val="auto"/>
          <w:sz w:val="20"/>
          <w:szCs w:val="20"/>
        </w:rPr>
        <w:t xml:space="preserve">in scenarios </w:t>
      </w:r>
      <w:r w:rsidR="008912ED">
        <w:rPr>
          <w:rFonts w:ascii="Arial" w:hAnsi="Arial" w:cs="Arial"/>
          <w:color w:val="auto"/>
          <w:sz w:val="20"/>
          <w:szCs w:val="20"/>
        </w:rPr>
        <w:t xml:space="preserve">when </w:t>
      </w:r>
      <w:r w:rsidR="008C314E">
        <w:rPr>
          <w:rFonts w:ascii="Arial" w:hAnsi="Arial" w:cs="Arial"/>
          <w:color w:val="auto"/>
          <w:sz w:val="20"/>
          <w:szCs w:val="20"/>
        </w:rPr>
        <w:t xml:space="preserve">60% and 100% </w:t>
      </w:r>
      <w:r w:rsidR="00561362">
        <w:rPr>
          <w:rFonts w:ascii="Arial" w:hAnsi="Arial" w:cs="Arial"/>
          <w:color w:val="auto"/>
          <w:sz w:val="20"/>
          <w:szCs w:val="20"/>
        </w:rPr>
        <w:t xml:space="preserve">respectively </w:t>
      </w:r>
      <w:r w:rsidR="008C314E">
        <w:rPr>
          <w:rFonts w:ascii="Arial" w:hAnsi="Arial" w:cs="Arial"/>
          <w:color w:val="auto"/>
          <w:sz w:val="20"/>
          <w:szCs w:val="20"/>
        </w:rPr>
        <w:t xml:space="preserve">knew their </w:t>
      </w:r>
      <w:r w:rsidR="00FE02D8">
        <w:rPr>
          <w:rFonts w:ascii="Arial" w:hAnsi="Arial" w:cs="Arial"/>
          <w:color w:val="auto"/>
          <w:sz w:val="20"/>
          <w:szCs w:val="20"/>
        </w:rPr>
        <w:t>HIV status</w:t>
      </w:r>
      <w:r w:rsidR="00AA398A">
        <w:rPr>
          <w:rFonts w:ascii="Arial" w:hAnsi="Arial" w:cs="Arial"/>
          <w:color w:val="auto"/>
          <w:sz w:val="20"/>
          <w:szCs w:val="20"/>
        </w:rPr>
        <w:t xml:space="preserve"> (Table 3)</w:t>
      </w:r>
      <w:r w:rsidR="008C314E">
        <w:rPr>
          <w:rFonts w:ascii="Arial" w:hAnsi="Arial" w:cs="Arial"/>
          <w:color w:val="auto"/>
          <w:sz w:val="20"/>
          <w:szCs w:val="20"/>
        </w:rPr>
        <w:t>.</w:t>
      </w:r>
      <w:r>
        <w:rPr>
          <w:rFonts w:ascii="Arial" w:hAnsi="Arial" w:cs="Arial"/>
          <w:color w:val="auto"/>
          <w:sz w:val="20"/>
          <w:szCs w:val="20"/>
        </w:rPr>
        <w:t xml:space="preserve"> </w:t>
      </w:r>
    </w:p>
    <w:p w14:paraId="0057BC2D" w14:textId="77777777" w:rsidR="001E2466" w:rsidRDefault="001E2466" w:rsidP="00C1253D">
      <w:pPr>
        <w:pStyle w:val="Default"/>
        <w:tabs>
          <w:tab w:val="left" w:pos="5438"/>
        </w:tabs>
        <w:spacing w:line="360" w:lineRule="auto"/>
        <w:jc w:val="both"/>
        <w:rPr>
          <w:rFonts w:ascii="Arial" w:hAnsi="Arial" w:cs="Arial"/>
          <w:color w:val="auto"/>
          <w:sz w:val="20"/>
          <w:szCs w:val="20"/>
        </w:rPr>
      </w:pPr>
    </w:p>
    <w:p w14:paraId="40DAB0C9" w14:textId="5DBB895C" w:rsidR="00BC6723" w:rsidRPr="00AE581E" w:rsidRDefault="00BC6723" w:rsidP="00AE581E">
      <w:pPr>
        <w:pStyle w:val="Default"/>
        <w:spacing w:line="360" w:lineRule="auto"/>
        <w:jc w:val="both"/>
        <w:rPr>
          <w:rFonts w:ascii="Arial" w:hAnsi="Arial" w:cs="Arial"/>
          <w:color w:val="auto"/>
          <w:sz w:val="20"/>
          <w:szCs w:val="20"/>
        </w:rPr>
      </w:pPr>
      <w:r>
        <w:rPr>
          <w:rFonts w:ascii="Arial" w:hAnsi="Arial" w:cs="Arial"/>
          <w:b/>
          <w:i/>
          <w:color w:val="auto"/>
          <w:sz w:val="20"/>
          <w:szCs w:val="20"/>
        </w:rPr>
        <w:t xml:space="preserve">Model outputs for </w:t>
      </w:r>
      <w:r w:rsidR="00482FB9">
        <w:rPr>
          <w:rFonts w:ascii="Arial" w:hAnsi="Arial" w:cs="Arial"/>
          <w:b/>
          <w:i/>
          <w:color w:val="auto"/>
          <w:sz w:val="20"/>
          <w:szCs w:val="20"/>
        </w:rPr>
        <w:t xml:space="preserve">an </w:t>
      </w:r>
      <w:r w:rsidRPr="004C3A68">
        <w:rPr>
          <w:rFonts w:ascii="Arial" w:hAnsi="Arial" w:cs="Arial"/>
          <w:b/>
          <w:i/>
          <w:color w:val="auto"/>
          <w:sz w:val="20"/>
          <w:szCs w:val="20"/>
        </w:rPr>
        <w:t>Xpert-based algorithm</w:t>
      </w:r>
      <w:r w:rsidR="00F23B95">
        <w:rPr>
          <w:rFonts w:ascii="Arial" w:hAnsi="Arial" w:cs="Arial"/>
          <w:b/>
          <w:i/>
          <w:color w:val="auto"/>
          <w:sz w:val="20"/>
          <w:szCs w:val="20"/>
        </w:rPr>
        <w:t xml:space="preserve"> with</w:t>
      </w:r>
      <w:r w:rsidR="00F23B95" w:rsidRPr="004C3A68">
        <w:rPr>
          <w:rFonts w:ascii="Arial" w:hAnsi="Arial" w:cs="Arial"/>
          <w:b/>
          <w:i/>
          <w:color w:val="auto"/>
          <w:sz w:val="20"/>
          <w:szCs w:val="20"/>
        </w:rPr>
        <w:t xml:space="preserve"> </w:t>
      </w:r>
      <w:r w:rsidR="008912ED">
        <w:rPr>
          <w:rFonts w:ascii="Arial" w:hAnsi="Arial" w:cs="Arial"/>
          <w:b/>
          <w:i/>
          <w:color w:val="auto"/>
          <w:sz w:val="20"/>
          <w:szCs w:val="20"/>
        </w:rPr>
        <w:t>varying</w:t>
      </w:r>
      <w:r w:rsidR="008912ED" w:rsidRPr="004C3A68">
        <w:rPr>
          <w:rFonts w:ascii="Arial" w:hAnsi="Arial" w:cs="Arial"/>
          <w:b/>
          <w:i/>
          <w:color w:val="auto"/>
          <w:sz w:val="20"/>
          <w:szCs w:val="20"/>
        </w:rPr>
        <w:t xml:space="preserve"> </w:t>
      </w:r>
      <w:r w:rsidR="00F23B95" w:rsidRPr="004C3A68">
        <w:rPr>
          <w:rFonts w:ascii="Arial" w:hAnsi="Arial" w:cs="Arial"/>
          <w:b/>
          <w:i/>
          <w:color w:val="auto"/>
          <w:sz w:val="20"/>
          <w:szCs w:val="20"/>
        </w:rPr>
        <w:t xml:space="preserve">adherence </w:t>
      </w:r>
      <w:r w:rsidR="008912ED">
        <w:rPr>
          <w:rFonts w:ascii="Arial" w:hAnsi="Arial" w:cs="Arial"/>
          <w:b/>
          <w:i/>
          <w:color w:val="auto"/>
          <w:sz w:val="20"/>
          <w:szCs w:val="20"/>
        </w:rPr>
        <w:t xml:space="preserve">to the algorithm </w:t>
      </w:r>
    </w:p>
    <w:p w14:paraId="20BCEFD5" w14:textId="77777777" w:rsidR="00206C64" w:rsidRDefault="00206C64" w:rsidP="00C1253D">
      <w:pPr>
        <w:pStyle w:val="Default"/>
        <w:tabs>
          <w:tab w:val="left" w:pos="5438"/>
        </w:tabs>
        <w:spacing w:line="360" w:lineRule="auto"/>
        <w:jc w:val="both"/>
        <w:rPr>
          <w:rFonts w:ascii="Arial" w:hAnsi="Arial" w:cs="Arial"/>
          <w:b/>
          <w:i/>
          <w:color w:val="auto"/>
          <w:sz w:val="20"/>
          <w:szCs w:val="20"/>
        </w:rPr>
      </w:pPr>
    </w:p>
    <w:p w14:paraId="0B4973F5" w14:textId="77777777" w:rsidR="002D6DCE" w:rsidRDefault="00D0140D" w:rsidP="00CC2CDD">
      <w:pPr>
        <w:pStyle w:val="Default"/>
        <w:tabs>
          <w:tab w:val="left" w:pos="5438"/>
        </w:tabs>
        <w:spacing w:line="360" w:lineRule="auto"/>
        <w:jc w:val="both"/>
        <w:rPr>
          <w:rFonts w:ascii="Arial" w:hAnsi="Arial" w:cs="Arial"/>
          <w:i/>
          <w:color w:val="auto"/>
          <w:sz w:val="20"/>
          <w:szCs w:val="20"/>
        </w:rPr>
      </w:pPr>
      <w:r w:rsidRPr="00D0140D">
        <w:rPr>
          <w:rFonts w:ascii="Arial" w:hAnsi="Arial" w:cs="Arial"/>
          <w:i/>
          <w:sz w:val="20"/>
          <w:szCs w:val="20"/>
        </w:rPr>
        <w:t xml:space="preserve">RMP-R </w:t>
      </w:r>
      <w:r w:rsidR="0041395F" w:rsidRPr="002D6DCE">
        <w:rPr>
          <w:rFonts w:ascii="Arial" w:hAnsi="Arial" w:cs="Arial"/>
          <w:i/>
          <w:sz w:val="20"/>
          <w:szCs w:val="20"/>
        </w:rPr>
        <w:t xml:space="preserve">TB </w:t>
      </w:r>
      <w:r w:rsidR="008912ED" w:rsidRPr="00505067">
        <w:rPr>
          <w:rFonts w:ascii="Arial" w:hAnsi="Arial" w:cs="Arial"/>
          <w:i/>
          <w:color w:val="auto"/>
          <w:sz w:val="20"/>
          <w:szCs w:val="20"/>
        </w:rPr>
        <w:t xml:space="preserve">cases identified </w:t>
      </w:r>
    </w:p>
    <w:p w14:paraId="1BF22C9D" w14:textId="77777777" w:rsidR="005D10E3" w:rsidRPr="002D6DCE" w:rsidRDefault="009827BA" w:rsidP="002D6DCE">
      <w:pPr>
        <w:pStyle w:val="Default"/>
        <w:tabs>
          <w:tab w:val="left" w:pos="5438"/>
        </w:tabs>
        <w:spacing w:after="120" w:line="360" w:lineRule="auto"/>
        <w:jc w:val="both"/>
        <w:rPr>
          <w:rFonts w:ascii="Arial" w:eastAsiaTheme="minorHAnsi" w:hAnsi="Arial" w:cs="Arial"/>
          <w:color w:val="auto"/>
          <w:sz w:val="20"/>
          <w:szCs w:val="20"/>
          <w:lang w:val="en-ZA" w:eastAsia="en-US"/>
        </w:rPr>
      </w:pPr>
      <w:r w:rsidRPr="002D6DCE">
        <w:rPr>
          <w:rFonts w:ascii="Arial" w:eastAsiaTheme="minorHAnsi" w:hAnsi="Arial" w:cs="Arial"/>
          <w:color w:val="auto"/>
          <w:sz w:val="20"/>
          <w:szCs w:val="20"/>
          <w:lang w:val="en-ZA" w:eastAsia="en-US"/>
        </w:rPr>
        <w:t>In scenarios where</w:t>
      </w:r>
      <w:r w:rsidR="00A57AB0" w:rsidRPr="002D6DCE">
        <w:rPr>
          <w:rFonts w:ascii="Arial" w:eastAsiaTheme="minorHAnsi" w:hAnsi="Arial" w:cs="Arial"/>
          <w:color w:val="auto"/>
          <w:sz w:val="20"/>
          <w:szCs w:val="20"/>
          <w:lang w:val="en-ZA" w:eastAsia="en-US"/>
        </w:rPr>
        <w:t xml:space="preserve"> 60% of presumptive cases knew their HIV status</w:t>
      </w:r>
      <w:r w:rsidR="00F85B5C" w:rsidRPr="002D6DCE">
        <w:rPr>
          <w:rFonts w:ascii="Arial" w:eastAsiaTheme="minorHAnsi" w:hAnsi="Arial" w:cs="Arial"/>
          <w:color w:val="auto"/>
          <w:sz w:val="20"/>
          <w:szCs w:val="20"/>
          <w:lang w:val="en-ZA" w:eastAsia="en-US"/>
        </w:rPr>
        <w:t xml:space="preserve"> and with 50% adherence to the algorithm, </w:t>
      </w:r>
      <w:r w:rsidR="00AD2F5D" w:rsidRPr="002D6DCE">
        <w:rPr>
          <w:rFonts w:ascii="Arial" w:eastAsiaTheme="minorHAnsi" w:hAnsi="Arial" w:cs="Arial"/>
          <w:color w:val="auto"/>
          <w:sz w:val="20"/>
          <w:szCs w:val="20"/>
          <w:lang w:val="en-ZA" w:eastAsia="en-US"/>
        </w:rPr>
        <w:t xml:space="preserve">721 </w:t>
      </w:r>
      <w:r w:rsidR="00D0140D">
        <w:rPr>
          <w:rFonts w:ascii="Arial" w:hAnsi="Arial" w:cs="Arial"/>
          <w:color w:val="auto"/>
          <w:sz w:val="20"/>
          <w:szCs w:val="20"/>
        </w:rPr>
        <w:t>RMP-R</w:t>
      </w:r>
      <w:r w:rsidR="00D0140D" w:rsidRPr="002D6DCE">
        <w:rPr>
          <w:rFonts w:ascii="Arial" w:eastAsiaTheme="minorHAnsi" w:hAnsi="Arial" w:cs="Arial"/>
          <w:color w:val="auto"/>
          <w:sz w:val="20"/>
          <w:szCs w:val="20"/>
          <w:lang w:val="en-ZA" w:eastAsia="en-US"/>
        </w:rPr>
        <w:t xml:space="preserve"> </w:t>
      </w:r>
      <w:r w:rsidR="00AD2F5D" w:rsidRPr="002D6DCE">
        <w:rPr>
          <w:rFonts w:ascii="Arial" w:eastAsiaTheme="minorHAnsi" w:hAnsi="Arial" w:cs="Arial"/>
          <w:color w:val="auto"/>
          <w:sz w:val="20"/>
          <w:szCs w:val="20"/>
          <w:lang w:val="en-ZA" w:eastAsia="en-US"/>
        </w:rPr>
        <w:t xml:space="preserve">cases </w:t>
      </w:r>
      <w:r w:rsidR="003A17F0">
        <w:rPr>
          <w:rFonts w:ascii="Arial" w:eastAsiaTheme="minorHAnsi" w:hAnsi="Arial" w:cs="Arial"/>
          <w:color w:val="auto"/>
          <w:sz w:val="20"/>
          <w:szCs w:val="20"/>
          <w:lang w:val="en-ZA" w:eastAsia="en-US"/>
        </w:rPr>
        <w:t>(4.7</w:t>
      </w:r>
      <w:r w:rsidR="00F85B5C" w:rsidRPr="002D6DCE">
        <w:rPr>
          <w:rFonts w:ascii="Arial" w:eastAsiaTheme="minorHAnsi" w:hAnsi="Arial" w:cs="Arial"/>
          <w:color w:val="auto"/>
          <w:sz w:val="20"/>
          <w:szCs w:val="20"/>
          <w:lang w:val="en-ZA" w:eastAsia="en-US"/>
        </w:rPr>
        <w:t xml:space="preserve">% of 15,398 TB cases) were </w:t>
      </w:r>
      <w:r w:rsidR="0076795F">
        <w:rPr>
          <w:rFonts w:ascii="Arial" w:eastAsiaTheme="minorHAnsi" w:hAnsi="Arial" w:cs="Arial"/>
          <w:color w:val="auto"/>
          <w:sz w:val="20"/>
          <w:szCs w:val="20"/>
          <w:lang w:val="en-ZA" w:eastAsia="en-US"/>
        </w:rPr>
        <w:t>identified</w:t>
      </w:r>
      <w:r w:rsidR="002D6DCE" w:rsidRPr="002D6DCE">
        <w:rPr>
          <w:rFonts w:ascii="Arial" w:eastAsiaTheme="minorHAnsi" w:hAnsi="Arial" w:cs="Arial"/>
          <w:color w:val="auto"/>
          <w:sz w:val="20"/>
          <w:szCs w:val="20"/>
          <w:lang w:val="en-ZA" w:eastAsia="en-US"/>
        </w:rPr>
        <w:t>,</w:t>
      </w:r>
      <w:r w:rsidR="00F85B5C" w:rsidRPr="002D6DCE">
        <w:rPr>
          <w:rFonts w:ascii="Arial" w:eastAsiaTheme="minorHAnsi" w:hAnsi="Arial" w:cs="Arial"/>
          <w:color w:val="auto"/>
          <w:sz w:val="20"/>
          <w:szCs w:val="20"/>
          <w:lang w:val="en-ZA" w:eastAsia="en-US"/>
        </w:rPr>
        <w:t xml:space="preserve"> increasing to </w:t>
      </w:r>
      <w:r w:rsidR="000713F0" w:rsidRPr="002D6DCE">
        <w:rPr>
          <w:rFonts w:ascii="Arial" w:eastAsiaTheme="minorHAnsi" w:hAnsi="Arial" w:cs="Arial"/>
          <w:color w:val="auto"/>
          <w:sz w:val="20"/>
          <w:szCs w:val="20"/>
          <w:lang w:val="en-ZA" w:eastAsia="en-US"/>
        </w:rPr>
        <w:t>1,178</w:t>
      </w:r>
      <w:r w:rsidR="00FD404E" w:rsidRPr="002D6DCE">
        <w:rPr>
          <w:rFonts w:ascii="Arial" w:eastAsiaTheme="minorHAnsi" w:hAnsi="Arial" w:cs="Arial"/>
          <w:color w:val="auto"/>
          <w:sz w:val="20"/>
          <w:szCs w:val="20"/>
          <w:lang w:val="en-ZA" w:eastAsia="en-US"/>
        </w:rPr>
        <w:t xml:space="preserve"> </w:t>
      </w:r>
      <w:r w:rsidR="00F85B5C" w:rsidRPr="002D6DCE">
        <w:rPr>
          <w:rFonts w:ascii="Arial" w:eastAsiaTheme="minorHAnsi" w:hAnsi="Arial" w:cs="Arial"/>
          <w:color w:val="auto"/>
          <w:sz w:val="20"/>
          <w:szCs w:val="20"/>
          <w:lang w:val="en-ZA" w:eastAsia="en-US"/>
        </w:rPr>
        <w:t>(</w:t>
      </w:r>
      <w:r w:rsidR="003A17F0">
        <w:rPr>
          <w:rFonts w:ascii="Arial" w:eastAsiaTheme="minorHAnsi" w:hAnsi="Arial" w:cs="Arial"/>
          <w:color w:val="auto"/>
          <w:sz w:val="20"/>
          <w:szCs w:val="20"/>
          <w:lang w:val="en-ZA" w:eastAsia="en-US"/>
        </w:rPr>
        <w:t>7.2</w:t>
      </w:r>
      <w:r w:rsidR="00FD404E" w:rsidRPr="002D6DCE">
        <w:rPr>
          <w:rFonts w:ascii="Arial" w:eastAsiaTheme="minorHAnsi" w:hAnsi="Arial" w:cs="Arial"/>
          <w:color w:val="auto"/>
          <w:sz w:val="20"/>
          <w:szCs w:val="20"/>
          <w:lang w:val="en-ZA" w:eastAsia="en-US"/>
        </w:rPr>
        <w:t>%</w:t>
      </w:r>
      <w:r w:rsidR="00F85B5C" w:rsidRPr="002D6DCE">
        <w:rPr>
          <w:rFonts w:ascii="Arial" w:eastAsiaTheme="minorHAnsi" w:hAnsi="Arial" w:cs="Arial"/>
          <w:color w:val="auto"/>
          <w:sz w:val="20"/>
          <w:szCs w:val="20"/>
          <w:lang w:val="en-ZA" w:eastAsia="en-US"/>
        </w:rPr>
        <w:t xml:space="preserve"> of </w:t>
      </w:r>
      <w:r w:rsidR="005D10E3" w:rsidRPr="002D6DCE">
        <w:rPr>
          <w:rFonts w:ascii="Arial" w:eastAsiaTheme="minorHAnsi" w:hAnsi="Arial" w:cs="Arial"/>
          <w:color w:val="auto"/>
          <w:sz w:val="20"/>
          <w:szCs w:val="20"/>
          <w:lang w:val="en-ZA" w:eastAsia="en-US"/>
        </w:rPr>
        <w:t>16,332</w:t>
      </w:r>
      <w:r w:rsidR="00F85B5C" w:rsidRPr="002D6DCE">
        <w:rPr>
          <w:rFonts w:ascii="Arial" w:eastAsiaTheme="minorHAnsi" w:hAnsi="Arial" w:cs="Arial"/>
          <w:color w:val="auto"/>
          <w:sz w:val="20"/>
          <w:szCs w:val="20"/>
          <w:lang w:val="en-ZA" w:eastAsia="en-US"/>
        </w:rPr>
        <w:t xml:space="preserve"> TB cases</w:t>
      </w:r>
      <w:r w:rsidR="00FD404E" w:rsidRPr="002D6DCE">
        <w:rPr>
          <w:rFonts w:ascii="Arial" w:eastAsiaTheme="minorHAnsi" w:hAnsi="Arial" w:cs="Arial"/>
          <w:color w:val="auto"/>
          <w:sz w:val="20"/>
          <w:szCs w:val="20"/>
          <w:lang w:val="en-ZA" w:eastAsia="en-US"/>
        </w:rPr>
        <w:t>)</w:t>
      </w:r>
      <w:r w:rsidR="00F85B5C" w:rsidRPr="002D6DCE">
        <w:rPr>
          <w:rFonts w:ascii="Arial" w:eastAsiaTheme="minorHAnsi" w:hAnsi="Arial" w:cs="Arial"/>
          <w:color w:val="auto"/>
          <w:sz w:val="20"/>
          <w:szCs w:val="20"/>
          <w:lang w:val="en-ZA" w:eastAsia="en-US"/>
        </w:rPr>
        <w:t xml:space="preserve"> </w:t>
      </w:r>
      <w:r w:rsidR="00D0140D">
        <w:rPr>
          <w:rFonts w:ascii="Arial" w:hAnsi="Arial" w:cs="Arial"/>
          <w:color w:val="auto"/>
          <w:sz w:val="20"/>
          <w:szCs w:val="20"/>
        </w:rPr>
        <w:t>RMP-R</w:t>
      </w:r>
      <w:r w:rsidR="00D0140D" w:rsidRPr="002D6DCE">
        <w:rPr>
          <w:rFonts w:ascii="Arial" w:eastAsiaTheme="minorHAnsi" w:hAnsi="Arial" w:cs="Arial"/>
          <w:color w:val="auto"/>
          <w:sz w:val="20"/>
          <w:szCs w:val="20"/>
          <w:lang w:val="en-ZA" w:eastAsia="en-US"/>
        </w:rPr>
        <w:t xml:space="preserve"> </w:t>
      </w:r>
      <w:r w:rsidR="00F85B5C" w:rsidRPr="002D6DCE">
        <w:rPr>
          <w:rFonts w:ascii="Arial" w:eastAsiaTheme="minorHAnsi" w:hAnsi="Arial" w:cs="Arial"/>
          <w:color w:val="auto"/>
          <w:sz w:val="20"/>
          <w:szCs w:val="20"/>
          <w:lang w:val="en-ZA" w:eastAsia="en-US"/>
        </w:rPr>
        <w:t xml:space="preserve">cases </w:t>
      </w:r>
      <w:r w:rsidR="00462CE6">
        <w:rPr>
          <w:rFonts w:ascii="Arial" w:eastAsiaTheme="minorHAnsi" w:hAnsi="Arial" w:cs="Arial"/>
          <w:color w:val="auto"/>
          <w:sz w:val="20"/>
          <w:szCs w:val="20"/>
          <w:lang w:val="en-ZA" w:eastAsia="en-US"/>
        </w:rPr>
        <w:t xml:space="preserve">identified </w:t>
      </w:r>
      <w:r w:rsidR="00F85B5C" w:rsidRPr="002D6DCE">
        <w:rPr>
          <w:rFonts w:ascii="Arial" w:eastAsiaTheme="minorHAnsi" w:hAnsi="Arial" w:cs="Arial"/>
          <w:color w:val="auto"/>
          <w:sz w:val="20"/>
          <w:szCs w:val="20"/>
          <w:lang w:val="en-ZA" w:eastAsia="en-US"/>
        </w:rPr>
        <w:t>with 100% adherence</w:t>
      </w:r>
      <w:r w:rsidR="00D53F15">
        <w:rPr>
          <w:rFonts w:ascii="Arial" w:eastAsiaTheme="minorHAnsi" w:hAnsi="Arial" w:cs="Arial"/>
          <w:color w:val="auto"/>
          <w:sz w:val="20"/>
          <w:szCs w:val="20"/>
          <w:lang w:val="en-ZA" w:eastAsia="en-US"/>
        </w:rPr>
        <w:t xml:space="preserve"> to the algorithm</w:t>
      </w:r>
      <w:r w:rsidR="00A60109" w:rsidRPr="002D6DCE">
        <w:rPr>
          <w:rFonts w:ascii="Arial" w:eastAsiaTheme="minorHAnsi" w:hAnsi="Arial" w:cs="Arial"/>
          <w:color w:val="auto"/>
          <w:sz w:val="20"/>
          <w:szCs w:val="20"/>
          <w:lang w:val="en-ZA" w:eastAsia="en-US"/>
        </w:rPr>
        <w:t>.</w:t>
      </w:r>
      <w:r w:rsidR="00AA6366" w:rsidRPr="002D6DCE">
        <w:rPr>
          <w:rFonts w:ascii="Arial" w:eastAsiaTheme="minorHAnsi" w:hAnsi="Arial" w:cs="Arial"/>
          <w:color w:val="auto"/>
          <w:sz w:val="20"/>
          <w:szCs w:val="20"/>
          <w:lang w:val="en-ZA" w:eastAsia="en-US"/>
        </w:rPr>
        <w:t xml:space="preserve"> </w:t>
      </w:r>
    </w:p>
    <w:p w14:paraId="34A635C3" w14:textId="77777777" w:rsidR="002D6DCE" w:rsidRPr="006C4C89" w:rsidRDefault="00F85B5C" w:rsidP="006C4C89">
      <w:pPr>
        <w:pStyle w:val="Default"/>
        <w:tabs>
          <w:tab w:val="left" w:pos="5438"/>
        </w:tabs>
        <w:spacing w:after="120" w:line="360" w:lineRule="auto"/>
        <w:jc w:val="both"/>
        <w:rPr>
          <w:rFonts w:ascii="Arial" w:eastAsiaTheme="minorHAnsi" w:hAnsi="Arial" w:cs="Arial"/>
          <w:color w:val="auto"/>
          <w:sz w:val="20"/>
          <w:szCs w:val="20"/>
          <w:lang w:val="en-ZA" w:eastAsia="en-US"/>
        </w:rPr>
      </w:pPr>
      <w:r w:rsidRPr="002D6DCE">
        <w:rPr>
          <w:rFonts w:ascii="Arial" w:eastAsiaTheme="minorHAnsi" w:hAnsi="Arial" w:cs="Arial"/>
          <w:color w:val="auto"/>
          <w:sz w:val="20"/>
          <w:szCs w:val="20"/>
          <w:lang w:val="en-ZA" w:eastAsia="en-US"/>
        </w:rPr>
        <w:t xml:space="preserve">In scenarios where 100% of presumptive cases knew their HIV status and with 50% adherence to the algorithm, 742 </w:t>
      </w:r>
      <w:r w:rsidR="00380AEE">
        <w:rPr>
          <w:rFonts w:ascii="Arial" w:hAnsi="Arial" w:cs="Arial"/>
          <w:color w:val="auto"/>
          <w:sz w:val="20"/>
          <w:szCs w:val="20"/>
        </w:rPr>
        <w:t>RMP-R</w:t>
      </w:r>
      <w:r w:rsidR="00380AEE">
        <w:rPr>
          <w:rFonts w:ascii="Arial" w:eastAsiaTheme="minorHAnsi" w:hAnsi="Arial" w:cs="Arial"/>
          <w:color w:val="auto"/>
          <w:sz w:val="20"/>
          <w:szCs w:val="20"/>
          <w:lang w:val="en-ZA" w:eastAsia="en-US"/>
        </w:rPr>
        <w:t xml:space="preserve"> </w:t>
      </w:r>
      <w:r w:rsidR="003A17F0">
        <w:rPr>
          <w:rFonts w:ascii="Arial" w:eastAsiaTheme="minorHAnsi" w:hAnsi="Arial" w:cs="Arial"/>
          <w:color w:val="auto"/>
          <w:sz w:val="20"/>
          <w:szCs w:val="20"/>
          <w:lang w:val="en-ZA" w:eastAsia="en-US"/>
        </w:rPr>
        <w:t>cases (4.7</w:t>
      </w:r>
      <w:r w:rsidRPr="002D6DCE">
        <w:rPr>
          <w:rFonts w:ascii="Arial" w:eastAsiaTheme="minorHAnsi" w:hAnsi="Arial" w:cs="Arial"/>
          <w:color w:val="auto"/>
          <w:sz w:val="20"/>
          <w:szCs w:val="20"/>
          <w:lang w:val="en-ZA" w:eastAsia="en-US"/>
        </w:rPr>
        <w:t xml:space="preserve">% of 15,892 TB cases) were </w:t>
      </w:r>
      <w:r w:rsidR="0076795F">
        <w:rPr>
          <w:rFonts w:ascii="Arial" w:eastAsiaTheme="minorHAnsi" w:hAnsi="Arial" w:cs="Arial"/>
          <w:color w:val="auto"/>
          <w:sz w:val="20"/>
          <w:szCs w:val="20"/>
          <w:lang w:val="en-ZA" w:eastAsia="en-US"/>
        </w:rPr>
        <w:t>identified</w:t>
      </w:r>
      <w:r w:rsidR="002D6DCE" w:rsidRPr="002D6DCE">
        <w:rPr>
          <w:rFonts w:ascii="Arial" w:eastAsiaTheme="minorHAnsi" w:hAnsi="Arial" w:cs="Arial"/>
          <w:color w:val="auto"/>
          <w:sz w:val="20"/>
          <w:szCs w:val="20"/>
          <w:lang w:val="en-ZA" w:eastAsia="en-US"/>
        </w:rPr>
        <w:t>,</w:t>
      </w:r>
      <w:r w:rsidR="00D9217D">
        <w:rPr>
          <w:rFonts w:ascii="Arial" w:eastAsiaTheme="minorHAnsi" w:hAnsi="Arial" w:cs="Arial"/>
          <w:color w:val="auto"/>
          <w:sz w:val="20"/>
          <w:szCs w:val="20"/>
          <w:lang w:val="en-ZA" w:eastAsia="en-US"/>
        </w:rPr>
        <w:t xml:space="preserve"> increasing to 1,232 (7.3</w:t>
      </w:r>
      <w:r w:rsidRPr="002D6DCE">
        <w:rPr>
          <w:rFonts w:ascii="Arial" w:eastAsiaTheme="minorHAnsi" w:hAnsi="Arial" w:cs="Arial"/>
          <w:color w:val="auto"/>
          <w:sz w:val="20"/>
          <w:szCs w:val="20"/>
          <w:lang w:val="en-ZA" w:eastAsia="en-US"/>
        </w:rPr>
        <w:t xml:space="preserve">% of 16,968 TB cases) </w:t>
      </w:r>
      <w:r w:rsidR="00380AEE">
        <w:rPr>
          <w:rFonts w:ascii="Arial" w:hAnsi="Arial" w:cs="Arial"/>
          <w:color w:val="auto"/>
          <w:sz w:val="20"/>
          <w:szCs w:val="20"/>
        </w:rPr>
        <w:t>RMP-R</w:t>
      </w:r>
      <w:r w:rsidR="00380AEE" w:rsidRPr="002D6DCE">
        <w:rPr>
          <w:rFonts w:ascii="Arial" w:eastAsiaTheme="minorHAnsi" w:hAnsi="Arial" w:cs="Arial"/>
          <w:color w:val="auto"/>
          <w:sz w:val="20"/>
          <w:szCs w:val="20"/>
          <w:lang w:val="en-ZA" w:eastAsia="en-US"/>
        </w:rPr>
        <w:t xml:space="preserve"> </w:t>
      </w:r>
      <w:r w:rsidRPr="002D6DCE">
        <w:rPr>
          <w:rFonts w:ascii="Arial" w:eastAsiaTheme="minorHAnsi" w:hAnsi="Arial" w:cs="Arial"/>
          <w:color w:val="auto"/>
          <w:sz w:val="20"/>
          <w:szCs w:val="20"/>
          <w:lang w:val="en-ZA" w:eastAsia="en-US"/>
        </w:rPr>
        <w:t>cases with 100% adherence</w:t>
      </w:r>
      <w:r w:rsidR="00D53F15">
        <w:rPr>
          <w:rFonts w:ascii="Arial" w:eastAsiaTheme="minorHAnsi" w:hAnsi="Arial" w:cs="Arial"/>
          <w:color w:val="auto"/>
          <w:sz w:val="20"/>
          <w:szCs w:val="20"/>
          <w:lang w:val="en-ZA" w:eastAsia="en-US"/>
        </w:rPr>
        <w:t xml:space="preserve"> to the algorithm</w:t>
      </w:r>
      <w:r w:rsidRPr="002D6DCE">
        <w:rPr>
          <w:rFonts w:ascii="Arial" w:eastAsiaTheme="minorHAnsi" w:hAnsi="Arial" w:cs="Arial"/>
          <w:color w:val="auto"/>
          <w:sz w:val="20"/>
          <w:szCs w:val="20"/>
          <w:lang w:val="en-ZA" w:eastAsia="en-US"/>
        </w:rPr>
        <w:t xml:space="preserve"> </w:t>
      </w:r>
      <w:r w:rsidR="001A6D85" w:rsidRPr="002D6DCE">
        <w:rPr>
          <w:rFonts w:ascii="Arial" w:eastAsiaTheme="minorHAnsi" w:hAnsi="Arial" w:cs="Arial"/>
          <w:color w:val="auto"/>
          <w:sz w:val="20"/>
          <w:szCs w:val="20"/>
          <w:lang w:val="en-ZA" w:eastAsia="en-US"/>
        </w:rPr>
        <w:t>(Table 4, Figure 2 and 3)</w:t>
      </w:r>
      <w:r w:rsidR="001A6B20" w:rsidRPr="002D6DCE">
        <w:rPr>
          <w:rFonts w:ascii="Arial" w:eastAsiaTheme="minorHAnsi" w:hAnsi="Arial" w:cs="Arial"/>
          <w:color w:val="auto"/>
          <w:sz w:val="20"/>
          <w:szCs w:val="20"/>
          <w:lang w:val="en-ZA" w:eastAsia="en-US"/>
        </w:rPr>
        <w:t>.</w:t>
      </w:r>
    </w:p>
    <w:p w14:paraId="6769528E" w14:textId="77777777" w:rsidR="00B66C81" w:rsidRDefault="00B66C81" w:rsidP="008912ED">
      <w:pPr>
        <w:pStyle w:val="Default"/>
        <w:tabs>
          <w:tab w:val="left" w:pos="5438"/>
        </w:tabs>
        <w:spacing w:line="360" w:lineRule="auto"/>
        <w:jc w:val="both"/>
        <w:rPr>
          <w:rFonts w:ascii="Arial" w:hAnsi="Arial" w:cs="Arial"/>
          <w:i/>
          <w:color w:val="auto"/>
          <w:sz w:val="20"/>
          <w:szCs w:val="20"/>
        </w:rPr>
      </w:pPr>
    </w:p>
    <w:p w14:paraId="4E90EDD2" w14:textId="77777777" w:rsidR="008912ED" w:rsidRPr="00505067" w:rsidRDefault="00380AEE" w:rsidP="008912ED">
      <w:pPr>
        <w:pStyle w:val="Default"/>
        <w:tabs>
          <w:tab w:val="left" w:pos="5438"/>
        </w:tabs>
        <w:spacing w:line="360" w:lineRule="auto"/>
        <w:jc w:val="both"/>
        <w:rPr>
          <w:rFonts w:ascii="Arial" w:hAnsi="Arial" w:cs="Arial"/>
          <w:i/>
          <w:color w:val="auto"/>
          <w:sz w:val="20"/>
          <w:szCs w:val="20"/>
        </w:rPr>
      </w:pPr>
      <w:r w:rsidRPr="00B66C81">
        <w:rPr>
          <w:rFonts w:ascii="Arial" w:hAnsi="Arial" w:cs="Arial"/>
          <w:i/>
          <w:color w:val="auto"/>
          <w:sz w:val="20"/>
          <w:szCs w:val="20"/>
        </w:rPr>
        <w:t>RMP-R</w:t>
      </w:r>
      <w:r w:rsidRPr="00505067">
        <w:rPr>
          <w:rFonts w:ascii="Arial" w:hAnsi="Arial" w:cs="Arial"/>
          <w:i/>
          <w:color w:val="auto"/>
          <w:sz w:val="20"/>
          <w:szCs w:val="20"/>
        </w:rPr>
        <w:t xml:space="preserve"> </w:t>
      </w:r>
      <w:r w:rsidR="008912ED" w:rsidRPr="00505067">
        <w:rPr>
          <w:rFonts w:ascii="Arial" w:hAnsi="Arial" w:cs="Arial"/>
          <w:i/>
          <w:color w:val="auto"/>
          <w:sz w:val="20"/>
          <w:szCs w:val="20"/>
        </w:rPr>
        <w:t xml:space="preserve">TB cases </w:t>
      </w:r>
      <w:r w:rsidR="008912ED">
        <w:rPr>
          <w:rFonts w:ascii="Arial" w:hAnsi="Arial" w:cs="Arial"/>
          <w:i/>
          <w:color w:val="auto"/>
          <w:sz w:val="20"/>
          <w:szCs w:val="20"/>
        </w:rPr>
        <w:t>missed</w:t>
      </w:r>
      <w:r w:rsidR="008912ED" w:rsidRPr="008912ED">
        <w:rPr>
          <w:rFonts w:ascii="Arial" w:hAnsi="Arial" w:cs="Arial"/>
          <w:color w:val="auto"/>
          <w:sz w:val="20"/>
          <w:szCs w:val="20"/>
        </w:rPr>
        <w:tab/>
      </w:r>
    </w:p>
    <w:p w14:paraId="29008222" w14:textId="77777777" w:rsidR="008912ED" w:rsidRDefault="00F64C82" w:rsidP="008912ED">
      <w:pPr>
        <w:pStyle w:val="Default"/>
        <w:spacing w:line="360" w:lineRule="auto"/>
        <w:rPr>
          <w:rFonts w:ascii="Arial" w:hAnsi="Arial" w:cs="Arial"/>
          <w:color w:val="auto"/>
          <w:sz w:val="20"/>
          <w:szCs w:val="20"/>
        </w:rPr>
      </w:pPr>
      <w:r>
        <w:rPr>
          <w:rFonts w:ascii="Arial" w:hAnsi="Arial" w:cs="Arial"/>
          <w:color w:val="auto"/>
          <w:sz w:val="20"/>
          <w:szCs w:val="20"/>
        </w:rPr>
        <w:t>I</w:t>
      </w:r>
      <w:r w:rsidR="005D10E3">
        <w:rPr>
          <w:rFonts w:ascii="Arial" w:hAnsi="Arial" w:cs="Arial"/>
          <w:color w:val="auto"/>
          <w:sz w:val="20"/>
          <w:szCs w:val="20"/>
        </w:rPr>
        <w:t>n</w:t>
      </w:r>
      <w:r w:rsidR="008912ED">
        <w:rPr>
          <w:rFonts w:ascii="Arial" w:hAnsi="Arial" w:cs="Arial"/>
          <w:color w:val="auto"/>
          <w:sz w:val="20"/>
          <w:szCs w:val="20"/>
        </w:rPr>
        <w:t xml:space="preserve"> a scenario </w:t>
      </w:r>
      <w:r w:rsidR="00D53F15">
        <w:rPr>
          <w:rFonts w:ascii="Arial" w:hAnsi="Arial" w:cs="Arial"/>
          <w:color w:val="auto"/>
          <w:sz w:val="20"/>
          <w:szCs w:val="20"/>
        </w:rPr>
        <w:t xml:space="preserve">when 60% of presumptive cases knew their HIV status and </w:t>
      </w:r>
      <w:r w:rsidR="008912ED">
        <w:rPr>
          <w:rFonts w:ascii="Arial" w:hAnsi="Arial" w:cs="Arial"/>
          <w:color w:val="auto"/>
          <w:sz w:val="20"/>
          <w:szCs w:val="20"/>
        </w:rPr>
        <w:t xml:space="preserve">with 50% adherence in the Xpert-based algorithm, 677 (48.4%) </w:t>
      </w:r>
      <w:r w:rsidR="00380AEE">
        <w:rPr>
          <w:rFonts w:ascii="Arial" w:hAnsi="Arial" w:cs="Arial"/>
          <w:color w:val="auto"/>
          <w:sz w:val="20"/>
          <w:szCs w:val="20"/>
        </w:rPr>
        <w:t xml:space="preserve">RMP-R </w:t>
      </w:r>
      <w:r w:rsidR="008912ED">
        <w:rPr>
          <w:rFonts w:ascii="Arial" w:hAnsi="Arial" w:cs="Arial"/>
          <w:color w:val="auto"/>
          <w:sz w:val="20"/>
          <w:szCs w:val="20"/>
        </w:rPr>
        <w:t>cases were missed: 240 (17.2%) had a false</w:t>
      </w:r>
      <w:r>
        <w:rPr>
          <w:rFonts w:ascii="Arial" w:hAnsi="Arial" w:cs="Arial"/>
          <w:color w:val="auto"/>
          <w:sz w:val="20"/>
          <w:szCs w:val="20"/>
        </w:rPr>
        <w:t xml:space="preserve"> </w:t>
      </w:r>
      <w:r w:rsidR="008912ED">
        <w:rPr>
          <w:rFonts w:ascii="Arial" w:hAnsi="Arial" w:cs="Arial"/>
          <w:color w:val="auto"/>
          <w:sz w:val="20"/>
          <w:szCs w:val="20"/>
        </w:rPr>
        <w:t xml:space="preserve">negative TB test, 40 (2.9%) </w:t>
      </w:r>
      <w:r w:rsidR="009D3EAB">
        <w:rPr>
          <w:rFonts w:ascii="Arial" w:hAnsi="Arial" w:cs="Arial"/>
          <w:color w:val="auto"/>
          <w:sz w:val="20"/>
          <w:szCs w:val="20"/>
        </w:rPr>
        <w:t xml:space="preserve">had </w:t>
      </w:r>
      <w:r w:rsidR="00D53F15">
        <w:rPr>
          <w:rFonts w:ascii="Arial" w:hAnsi="Arial" w:cs="Arial"/>
          <w:color w:val="auto"/>
          <w:sz w:val="20"/>
          <w:szCs w:val="20"/>
        </w:rPr>
        <w:t xml:space="preserve">a </w:t>
      </w:r>
      <w:r w:rsidR="008912ED">
        <w:rPr>
          <w:rFonts w:ascii="Arial" w:hAnsi="Arial" w:cs="Arial"/>
          <w:color w:val="auto"/>
          <w:sz w:val="20"/>
          <w:szCs w:val="20"/>
        </w:rPr>
        <w:t>false</w:t>
      </w:r>
      <w:r>
        <w:rPr>
          <w:rFonts w:ascii="Arial" w:hAnsi="Arial" w:cs="Arial"/>
          <w:color w:val="auto"/>
          <w:sz w:val="20"/>
          <w:szCs w:val="20"/>
        </w:rPr>
        <w:t xml:space="preserve"> negative</w:t>
      </w:r>
      <w:r w:rsidR="008912ED">
        <w:rPr>
          <w:rFonts w:ascii="Arial" w:hAnsi="Arial" w:cs="Arial"/>
          <w:color w:val="auto"/>
          <w:sz w:val="20"/>
          <w:szCs w:val="20"/>
        </w:rPr>
        <w:t xml:space="preserve"> </w:t>
      </w:r>
      <w:r w:rsidR="00380AEE">
        <w:rPr>
          <w:rFonts w:ascii="Arial" w:hAnsi="Arial" w:cs="Arial"/>
          <w:color w:val="auto"/>
          <w:sz w:val="20"/>
          <w:szCs w:val="20"/>
        </w:rPr>
        <w:t>RMP</w:t>
      </w:r>
      <w:r>
        <w:rPr>
          <w:rFonts w:ascii="Arial" w:hAnsi="Arial" w:cs="Arial"/>
          <w:color w:val="auto"/>
          <w:sz w:val="20"/>
          <w:szCs w:val="20"/>
        </w:rPr>
        <w:t xml:space="preserve">-R </w:t>
      </w:r>
      <w:r w:rsidR="0072740C">
        <w:rPr>
          <w:rFonts w:ascii="Arial" w:hAnsi="Arial" w:cs="Arial"/>
          <w:color w:val="auto"/>
          <w:sz w:val="20"/>
          <w:szCs w:val="20"/>
        </w:rPr>
        <w:t>result</w:t>
      </w:r>
      <w:r w:rsidR="00D53F15">
        <w:rPr>
          <w:rFonts w:ascii="Arial" w:hAnsi="Arial" w:cs="Arial"/>
          <w:color w:val="auto"/>
          <w:sz w:val="20"/>
          <w:szCs w:val="20"/>
        </w:rPr>
        <w:t xml:space="preserve"> and </w:t>
      </w:r>
      <w:r w:rsidR="008912ED">
        <w:rPr>
          <w:rFonts w:ascii="Arial" w:hAnsi="Arial" w:cs="Arial"/>
          <w:color w:val="auto"/>
          <w:sz w:val="20"/>
          <w:szCs w:val="20"/>
        </w:rPr>
        <w:t xml:space="preserve">397 (28.4%) had no DST done pre-treatment. </w:t>
      </w:r>
      <w:r w:rsidR="00D53F15">
        <w:rPr>
          <w:rFonts w:ascii="Arial" w:hAnsi="Arial" w:cs="Arial"/>
          <w:color w:val="auto"/>
          <w:sz w:val="20"/>
          <w:szCs w:val="20"/>
        </w:rPr>
        <w:t>When adherence increased to 100%,</w:t>
      </w:r>
      <w:r w:rsidR="008912ED">
        <w:rPr>
          <w:rFonts w:ascii="Arial" w:hAnsi="Arial" w:cs="Arial"/>
          <w:color w:val="auto"/>
          <w:sz w:val="20"/>
          <w:szCs w:val="20"/>
        </w:rPr>
        <w:t xml:space="preserve"> 220 (15.7%) </w:t>
      </w:r>
      <w:r w:rsidR="00380AEE">
        <w:rPr>
          <w:rFonts w:ascii="Arial" w:hAnsi="Arial" w:cs="Arial"/>
          <w:color w:val="auto"/>
          <w:sz w:val="20"/>
          <w:szCs w:val="20"/>
        </w:rPr>
        <w:t xml:space="preserve">RMP-R </w:t>
      </w:r>
      <w:r w:rsidR="008912ED">
        <w:rPr>
          <w:rFonts w:ascii="Arial" w:hAnsi="Arial" w:cs="Arial"/>
          <w:color w:val="auto"/>
          <w:sz w:val="20"/>
          <w:szCs w:val="20"/>
        </w:rPr>
        <w:t xml:space="preserve">cases were missed: 144 (10.3%) had a </w:t>
      </w:r>
      <w:r w:rsidR="008912ED">
        <w:rPr>
          <w:rFonts w:ascii="Arial" w:hAnsi="Arial" w:cs="Arial"/>
          <w:color w:val="auto"/>
          <w:sz w:val="20"/>
          <w:szCs w:val="20"/>
        </w:rPr>
        <w:lastRenderedPageBreak/>
        <w:t xml:space="preserve">false negative TB test, 76 (5.4%) had </w:t>
      </w:r>
      <w:r w:rsidR="00D6623B">
        <w:rPr>
          <w:rFonts w:ascii="Arial" w:hAnsi="Arial" w:cs="Arial"/>
          <w:color w:val="auto"/>
          <w:sz w:val="20"/>
          <w:szCs w:val="20"/>
        </w:rPr>
        <w:t xml:space="preserve">a </w:t>
      </w:r>
      <w:r w:rsidR="008912ED">
        <w:rPr>
          <w:rFonts w:ascii="Arial" w:hAnsi="Arial" w:cs="Arial"/>
          <w:color w:val="auto"/>
          <w:sz w:val="20"/>
          <w:szCs w:val="20"/>
        </w:rPr>
        <w:t xml:space="preserve">false </w:t>
      </w:r>
      <w:r>
        <w:rPr>
          <w:rFonts w:ascii="Arial" w:hAnsi="Arial" w:cs="Arial"/>
          <w:color w:val="auto"/>
          <w:sz w:val="20"/>
          <w:szCs w:val="20"/>
        </w:rPr>
        <w:t xml:space="preserve">negative </w:t>
      </w:r>
      <w:r w:rsidR="00380AEE">
        <w:rPr>
          <w:rFonts w:ascii="Arial" w:hAnsi="Arial" w:cs="Arial"/>
          <w:color w:val="auto"/>
          <w:sz w:val="20"/>
          <w:szCs w:val="20"/>
        </w:rPr>
        <w:t>RMP</w:t>
      </w:r>
      <w:r>
        <w:rPr>
          <w:rFonts w:ascii="Arial" w:hAnsi="Arial" w:cs="Arial"/>
          <w:color w:val="auto"/>
          <w:sz w:val="20"/>
          <w:szCs w:val="20"/>
        </w:rPr>
        <w:t>-R</w:t>
      </w:r>
      <w:r w:rsidR="00380AEE">
        <w:rPr>
          <w:rFonts w:ascii="Arial" w:hAnsi="Arial" w:cs="Arial"/>
          <w:color w:val="auto"/>
          <w:sz w:val="20"/>
          <w:szCs w:val="20"/>
        </w:rPr>
        <w:t xml:space="preserve"> </w:t>
      </w:r>
      <w:r w:rsidR="00D53F15">
        <w:rPr>
          <w:rFonts w:ascii="Arial" w:hAnsi="Arial" w:cs="Arial"/>
          <w:color w:val="auto"/>
          <w:sz w:val="20"/>
          <w:szCs w:val="20"/>
        </w:rPr>
        <w:t>result</w:t>
      </w:r>
      <w:r w:rsidR="008912ED">
        <w:rPr>
          <w:rFonts w:ascii="Arial" w:hAnsi="Arial" w:cs="Arial"/>
          <w:color w:val="auto"/>
          <w:sz w:val="20"/>
          <w:szCs w:val="20"/>
        </w:rPr>
        <w:t xml:space="preserve"> and all cases had a DST done pre-treatment (Table 4, Figures 3).</w:t>
      </w:r>
    </w:p>
    <w:p w14:paraId="138D1AF6" w14:textId="77777777" w:rsidR="003F7809" w:rsidRDefault="003F7809" w:rsidP="00CC2CDD">
      <w:pPr>
        <w:pStyle w:val="Default"/>
        <w:tabs>
          <w:tab w:val="left" w:pos="5438"/>
        </w:tabs>
        <w:spacing w:line="360" w:lineRule="auto"/>
        <w:jc w:val="both"/>
        <w:rPr>
          <w:rFonts w:ascii="Arial" w:hAnsi="Arial" w:cs="Arial"/>
          <w:color w:val="auto"/>
          <w:sz w:val="20"/>
          <w:szCs w:val="20"/>
        </w:rPr>
      </w:pPr>
    </w:p>
    <w:p w14:paraId="27500338" w14:textId="6924B2C1" w:rsidR="008912ED" w:rsidRPr="00AE581E" w:rsidRDefault="008912ED" w:rsidP="008912ED">
      <w:pPr>
        <w:pStyle w:val="Default"/>
        <w:spacing w:line="360" w:lineRule="auto"/>
        <w:jc w:val="both"/>
        <w:rPr>
          <w:rFonts w:ascii="Arial" w:hAnsi="Arial" w:cs="Arial"/>
          <w:color w:val="auto"/>
          <w:sz w:val="20"/>
          <w:szCs w:val="20"/>
        </w:rPr>
      </w:pPr>
      <w:r>
        <w:rPr>
          <w:rFonts w:ascii="Arial" w:hAnsi="Arial" w:cs="Arial"/>
          <w:b/>
          <w:i/>
          <w:color w:val="auto"/>
          <w:sz w:val="20"/>
          <w:szCs w:val="20"/>
        </w:rPr>
        <w:t>Model outputs for</w:t>
      </w:r>
      <w:r w:rsidR="00C9589B">
        <w:rPr>
          <w:rFonts w:ascii="Arial" w:hAnsi="Arial" w:cs="Arial"/>
          <w:b/>
          <w:i/>
          <w:color w:val="auto"/>
          <w:sz w:val="20"/>
          <w:szCs w:val="20"/>
        </w:rPr>
        <w:t xml:space="preserve"> an</w:t>
      </w:r>
      <w:r>
        <w:rPr>
          <w:rFonts w:ascii="Arial" w:hAnsi="Arial" w:cs="Arial"/>
          <w:b/>
          <w:i/>
          <w:color w:val="auto"/>
          <w:sz w:val="20"/>
          <w:szCs w:val="20"/>
        </w:rPr>
        <w:t xml:space="preserve"> </w:t>
      </w:r>
      <w:r w:rsidRPr="004C3A68">
        <w:rPr>
          <w:rFonts w:ascii="Arial" w:hAnsi="Arial" w:cs="Arial"/>
          <w:b/>
          <w:i/>
          <w:color w:val="auto"/>
          <w:sz w:val="20"/>
          <w:szCs w:val="20"/>
        </w:rPr>
        <w:t>Xpert-based algorithm</w:t>
      </w:r>
      <w:r>
        <w:rPr>
          <w:rFonts w:ascii="Arial" w:hAnsi="Arial" w:cs="Arial"/>
          <w:b/>
          <w:i/>
          <w:color w:val="auto"/>
          <w:sz w:val="20"/>
          <w:szCs w:val="20"/>
        </w:rPr>
        <w:t xml:space="preserve"> with</w:t>
      </w:r>
      <w:r w:rsidRPr="004C3A68">
        <w:rPr>
          <w:rFonts w:ascii="Arial" w:hAnsi="Arial" w:cs="Arial"/>
          <w:b/>
          <w:i/>
          <w:color w:val="auto"/>
          <w:sz w:val="20"/>
          <w:szCs w:val="20"/>
        </w:rPr>
        <w:t xml:space="preserve"> </w:t>
      </w:r>
      <w:r>
        <w:rPr>
          <w:rFonts w:ascii="Arial" w:hAnsi="Arial" w:cs="Arial"/>
          <w:b/>
          <w:i/>
          <w:color w:val="auto"/>
          <w:sz w:val="20"/>
          <w:szCs w:val="20"/>
        </w:rPr>
        <w:t>varying</w:t>
      </w:r>
      <w:r w:rsidRPr="004C3A68">
        <w:rPr>
          <w:rFonts w:ascii="Arial" w:hAnsi="Arial" w:cs="Arial"/>
          <w:b/>
          <w:i/>
          <w:color w:val="auto"/>
          <w:sz w:val="20"/>
          <w:szCs w:val="20"/>
        </w:rPr>
        <w:t xml:space="preserve"> </w:t>
      </w:r>
      <w:r w:rsidR="001500E1">
        <w:rPr>
          <w:rFonts w:ascii="Arial" w:hAnsi="Arial" w:cs="Arial"/>
          <w:b/>
          <w:i/>
          <w:color w:val="auto"/>
          <w:sz w:val="20"/>
          <w:szCs w:val="20"/>
        </w:rPr>
        <w:t>proportion</w:t>
      </w:r>
      <w:r>
        <w:rPr>
          <w:rFonts w:ascii="Arial" w:hAnsi="Arial" w:cs="Arial"/>
          <w:b/>
          <w:i/>
          <w:color w:val="auto"/>
          <w:sz w:val="20"/>
          <w:szCs w:val="20"/>
        </w:rPr>
        <w:t xml:space="preserve"> of presumptive cases that kn</w:t>
      </w:r>
      <w:r w:rsidR="0088366F">
        <w:rPr>
          <w:rFonts w:ascii="Arial" w:hAnsi="Arial" w:cs="Arial"/>
          <w:b/>
          <w:i/>
          <w:color w:val="auto"/>
          <w:sz w:val="20"/>
          <w:szCs w:val="20"/>
        </w:rPr>
        <w:t>e</w:t>
      </w:r>
      <w:r>
        <w:rPr>
          <w:rFonts w:ascii="Arial" w:hAnsi="Arial" w:cs="Arial"/>
          <w:b/>
          <w:i/>
          <w:color w:val="auto"/>
          <w:sz w:val="20"/>
          <w:szCs w:val="20"/>
        </w:rPr>
        <w:t>w their</w:t>
      </w:r>
      <w:r w:rsidRPr="004C3A68">
        <w:rPr>
          <w:rFonts w:ascii="Arial" w:hAnsi="Arial" w:cs="Arial"/>
          <w:b/>
          <w:i/>
          <w:color w:val="auto"/>
          <w:sz w:val="20"/>
          <w:szCs w:val="20"/>
        </w:rPr>
        <w:t xml:space="preserve"> HIV status</w:t>
      </w:r>
    </w:p>
    <w:p w14:paraId="4398497E" w14:textId="77777777" w:rsidR="0088366F" w:rsidRDefault="0088366F" w:rsidP="004E2B71">
      <w:pPr>
        <w:pStyle w:val="Default"/>
        <w:tabs>
          <w:tab w:val="left" w:pos="5438"/>
        </w:tabs>
        <w:spacing w:line="360" w:lineRule="auto"/>
        <w:jc w:val="both"/>
        <w:rPr>
          <w:rFonts w:ascii="Arial" w:hAnsi="Arial" w:cs="Arial"/>
          <w:i/>
          <w:color w:val="auto"/>
          <w:sz w:val="20"/>
          <w:szCs w:val="20"/>
        </w:rPr>
      </w:pPr>
    </w:p>
    <w:p w14:paraId="444851EC" w14:textId="77777777" w:rsidR="008765DD" w:rsidRDefault="001500E1" w:rsidP="004E2B71">
      <w:pPr>
        <w:pStyle w:val="Default"/>
        <w:tabs>
          <w:tab w:val="left" w:pos="5438"/>
        </w:tabs>
        <w:spacing w:line="360" w:lineRule="auto"/>
        <w:jc w:val="both"/>
        <w:rPr>
          <w:rFonts w:ascii="Arial" w:hAnsi="Arial" w:cs="Arial"/>
          <w:color w:val="auto"/>
          <w:sz w:val="20"/>
          <w:szCs w:val="20"/>
        </w:rPr>
      </w:pPr>
      <w:r w:rsidRPr="001500E1">
        <w:rPr>
          <w:rFonts w:ascii="Arial" w:hAnsi="Arial" w:cs="Arial"/>
          <w:i/>
          <w:color w:val="auto"/>
          <w:sz w:val="20"/>
          <w:szCs w:val="20"/>
        </w:rPr>
        <w:t xml:space="preserve">RMP-R </w:t>
      </w:r>
      <w:r w:rsidR="008765DD" w:rsidRPr="00505067">
        <w:rPr>
          <w:rFonts w:ascii="Arial" w:hAnsi="Arial" w:cs="Arial"/>
          <w:i/>
          <w:color w:val="auto"/>
          <w:sz w:val="20"/>
          <w:szCs w:val="20"/>
        </w:rPr>
        <w:t>TB cases identified</w:t>
      </w:r>
      <w:r w:rsidR="008765DD">
        <w:rPr>
          <w:rFonts w:ascii="Arial" w:hAnsi="Arial" w:cs="Arial"/>
          <w:color w:val="auto"/>
          <w:sz w:val="20"/>
          <w:szCs w:val="20"/>
        </w:rPr>
        <w:t xml:space="preserve"> </w:t>
      </w:r>
    </w:p>
    <w:p w14:paraId="257B9AD6" w14:textId="77777777" w:rsidR="00E242D8" w:rsidRPr="00293E18" w:rsidRDefault="00D32E84" w:rsidP="00293E18">
      <w:pPr>
        <w:pStyle w:val="Default"/>
        <w:tabs>
          <w:tab w:val="left" w:pos="5438"/>
        </w:tabs>
        <w:spacing w:after="120" w:line="360" w:lineRule="auto"/>
        <w:jc w:val="both"/>
        <w:rPr>
          <w:rFonts w:ascii="Arial" w:eastAsiaTheme="minorHAnsi" w:hAnsi="Arial" w:cs="Arial"/>
          <w:color w:val="auto"/>
          <w:sz w:val="20"/>
          <w:szCs w:val="20"/>
          <w:lang w:val="en-ZA" w:eastAsia="en-US"/>
        </w:rPr>
      </w:pPr>
      <w:r>
        <w:rPr>
          <w:rFonts w:ascii="Arial" w:hAnsi="Arial" w:cs="Arial"/>
          <w:color w:val="auto"/>
          <w:sz w:val="20"/>
          <w:szCs w:val="20"/>
        </w:rPr>
        <w:t>In scenario</w:t>
      </w:r>
      <w:r w:rsidR="00CA244B">
        <w:rPr>
          <w:rFonts w:ascii="Arial" w:hAnsi="Arial" w:cs="Arial"/>
          <w:color w:val="auto"/>
          <w:sz w:val="20"/>
          <w:szCs w:val="20"/>
        </w:rPr>
        <w:t>s</w:t>
      </w:r>
      <w:r>
        <w:rPr>
          <w:rFonts w:ascii="Arial" w:hAnsi="Arial" w:cs="Arial"/>
          <w:color w:val="auto"/>
          <w:sz w:val="20"/>
          <w:szCs w:val="20"/>
        </w:rPr>
        <w:t xml:space="preserve"> where we </w:t>
      </w:r>
      <w:r w:rsidR="00E809D2">
        <w:rPr>
          <w:rFonts w:ascii="Arial" w:hAnsi="Arial" w:cs="Arial"/>
          <w:color w:val="auto"/>
          <w:sz w:val="20"/>
          <w:szCs w:val="20"/>
        </w:rPr>
        <w:t xml:space="preserve">set </w:t>
      </w:r>
      <w:r w:rsidR="00285E57">
        <w:rPr>
          <w:rFonts w:ascii="Arial" w:hAnsi="Arial" w:cs="Arial"/>
          <w:color w:val="auto"/>
          <w:sz w:val="20"/>
          <w:szCs w:val="20"/>
        </w:rPr>
        <w:t>adherence</w:t>
      </w:r>
      <w:r w:rsidR="00CA244B">
        <w:rPr>
          <w:rFonts w:ascii="Arial" w:hAnsi="Arial" w:cs="Arial"/>
          <w:color w:val="auto"/>
          <w:sz w:val="20"/>
          <w:szCs w:val="20"/>
        </w:rPr>
        <w:t xml:space="preserve"> to the algorithm</w:t>
      </w:r>
      <w:r w:rsidR="00285E57">
        <w:rPr>
          <w:rFonts w:ascii="Arial" w:hAnsi="Arial" w:cs="Arial"/>
          <w:color w:val="auto"/>
          <w:sz w:val="20"/>
          <w:szCs w:val="20"/>
        </w:rPr>
        <w:t xml:space="preserve"> at 50% and </w:t>
      </w:r>
      <w:r w:rsidR="00E809D2">
        <w:rPr>
          <w:rFonts w:ascii="Arial" w:hAnsi="Arial" w:cs="Arial"/>
          <w:color w:val="auto"/>
          <w:sz w:val="20"/>
          <w:szCs w:val="20"/>
        </w:rPr>
        <w:t xml:space="preserve">varied </w:t>
      </w:r>
      <w:r>
        <w:rPr>
          <w:rFonts w:ascii="Arial" w:hAnsi="Arial" w:cs="Arial"/>
          <w:color w:val="auto"/>
          <w:sz w:val="20"/>
          <w:szCs w:val="20"/>
        </w:rPr>
        <w:t xml:space="preserve">the proportion </w:t>
      </w:r>
      <w:r w:rsidR="00285E57">
        <w:rPr>
          <w:rFonts w:ascii="Arial" w:hAnsi="Arial" w:cs="Arial"/>
          <w:color w:val="auto"/>
          <w:sz w:val="20"/>
          <w:szCs w:val="20"/>
        </w:rPr>
        <w:t xml:space="preserve">of presumptive cases </w:t>
      </w:r>
      <w:r>
        <w:rPr>
          <w:rFonts w:ascii="Arial" w:hAnsi="Arial" w:cs="Arial"/>
          <w:color w:val="auto"/>
          <w:sz w:val="20"/>
          <w:szCs w:val="20"/>
        </w:rPr>
        <w:t xml:space="preserve">who </w:t>
      </w:r>
      <w:r w:rsidR="002B2871">
        <w:rPr>
          <w:rFonts w:ascii="Arial" w:hAnsi="Arial" w:cs="Arial"/>
          <w:color w:val="auto"/>
          <w:sz w:val="20"/>
          <w:szCs w:val="20"/>
        </w:rPr>
        <w:t>kne</w:t>
      </w:r>
      <w:r w:rsidR="00E809D2">
        <w:rPr>
          <w:rFonts w:ascii="Arial" w:hAnsi="Arial" w:cs="Arial"/>
          <w:color w:val="auto"/>
          <w:sz w:val="20"/>
          <w:szCs w:val="20"/>
        </w:rPr>
        <w:t xml:space="preserve">w </w:t>
      </w:r>
      <w:r>
        <w:rPr>
          <w:rFonts w:ascii="Arial" w:hAnsi="Arial" w:cs="Arial"/>
          <w:color w:val="auto"/>
          <w:sz w:val="20"/>
          <w:szCs w:val="20"/>
        </w:rPr>
        <w:t>their HIV status</w:t>
      </w:r>
      <w:r w:rsidR="00833541">
        <w:rPr>
          <w:rFonts w:ascii="Arial" w:hAnsi="Arial" w:cs="Arial"/>
          <w:color w:val="auto"/>
          <w:sz w:val="20"/>
          <w:szCs w:val="20"/>
        </w:rPr>
        <w:t xml:space="preserve">, </w:t>
      </w:r>
      <w:r w:rsidR="00E809D2">
        <w:rPr>
          <w:rFonts w:ascii="Arial" w:hAnsi="Arial" w:cs="Arial"/>
          <w:color w:val="auto"/>
          <w:sz w:val="20"/>
          <w:szCs w:val="20"/>
        </w:rPr>
        <w:t xml:space="preserve">721 </w:t>
      </w:r>
      <w:r w:rsidR="001500E1">
        <w:rPr>
          <w:rFonts w:ascii="Arial" w:hAnsi="Arial" w:cs="Arial"/>
          <w:color w:val="auto"/>
          <w:sz w:val="20"/>
          <w:szCs w:val="20"/>
        </w:rPr>
        <w:t xml:space="preserve">RMP-R </w:t>
      </w:r>
      <w:r w:rsidR="00E809D2">
        <w:rPr>
          <w:rFonts w:ascii="Arial" w:hAnsi="Arial" w:cs="Arial"/>
          <w:color w:val="auto"/>
          <w:sz w:val="20"/>
          <w:szCs w:val="20"/>
        </w:rPr>
        <w:t xml:space="preserve">cases </w:t>
      </w:r>
      <w:r w:rsidR="002B2871">
        <w:rPr>
          <w:rFonts w:ascii="Arial" w:hAnsi="Arial" w:cs="Arial"/>
          <w:color w:val="auto"/>
          <w:sz w:val="20"/>
          <w:szCs w:val="20"/>
        </w:rPr>
        <w:t>(4.7</w:t>
      </w:r>
      <w:r w:rsidR="00E809D2">
        <w:rPr>
          <w:rFonts w:ascii="Arial" w:hAnsi="Arial" w:cs="Arial"/>
          <w:color w:val="auto"/>
          <w:sz w:val="20"/>
          <w:szCs w:val="20"/>
        </w:rPr>
        <w:t xml:space="preserve">% of 15,398 TB cases) were </w:t>
      </w:r>
      <w:r w:rsidR="0076795F">
        <w:rPr>
          <w:rFonts w:ascii="Arial" w:hAnsi="Arial" w:cs="Arial"/>
          <w:color w:val="auto"/>
          <w:sz w:val="20"/>
          <w:szCs w:val="20"/>
        </w:rPr>
        <w:t xml:space="preserve">identified </w:t>
      </w:r>
      <w:r w:rsidR="00E809D2">
        <w:rPr>
          <w:rFonts w:ascii="Arial" w:hAnsi="Arial" w:cs="Arial"/>
          <w:color w:val="auto"/>
          <w:sz w:val="20"/>
          <w:szCs w:val="20"/>
        </w:rPr>
        <w:t>when</w:t>
      </w:r>
      <w:r w:rsidR="002B2871">
        <w:rPr>
          <w:rFonts w:ascii="Arial" w:hAnsi="Arial" w:cs="Arial"/>
          <w:color w:val="auto"/>
          <w:sz w:val="20"/>
          <w:szCs w:val="20"/>
        </w:rPr>
        <w:t xml:space="preserve"> 60% of presumptive TB cases kne</w:t>
      </w:r>
      <w:r w:rsidR="00E809D2">
        <w:rPr>
          <w:rFonts w:ascii="Arial" w:hAnsi="Arial" w:cs="Arial"/>
          <w:color w:val="auto"/>
          <w:sz w:val="20"/>
          <w:szCs w:val="20"/>
        </w:rPr>
        <w:t xml:space="preserve">w their HIV-status increasing to 742 </w:t>
      </w:r>
      <w:r w:rsidR="001500E1">
        <w:rPr>
          <w:rFonts w:ascii="Arial" w:hAnsi="Arial" w:cs="Arial"/>
          <w:color w:val="auto"/>
          <w:sz w:val="20"/>
          <w:szCs w:val="20"/>
        </w:rPr>
        <w:t xml:space="preserve">RMP-R </w:t>
      </w:r>
      <w:r w:rsidR="00E809D2">
        <w:rPr>
          <w:rFonts w:ascii="Arial" w:hAnsi="Arial" w:cs="Arial"/>
          <w:color w:val="auto"/>
          <w:sz w:val="20"/>
          <w:szCs w:val="20"/>
        </w:rPr>
        <w:t xml:space="preserve">cases </w:t>
      </w:r>
      <w:r w:rsidR="002B2871" w:rsidRPr="00293E18">
        <w:rPr>
          <w:rFonts w:ascii="Arial" w:eastAsiaTheme="minorHAnsi" w:hAnsi="Arial" w:cs="Arial"/>
          <w:color w:val="auto"/>
          <w:sz w:val="20"/>
          <w:szCs w:val="20"/>
          <w:lang w:val="en-ZA" w:eastAsia="en-US"/>
        </w:rPr>
        <w:t>(4.7</w:t>
      </w:r>
      <w:r w:rsidR="00E809D2" w:rsidRPr="00293E18">
        <w:rPr>
          <w:rFonts w:ascii="Arial" w:eastAsiaTheme="minorHAnsi" w:hAnsi="Arial" w:cs="Arial"/>
          <w:color w:val="auto"/>
          <w:sz w:val="20"/>
          <w:szCs w:val="20"/>
          <w:lang w:val="en-ZA" w:eastAsia="en-US"/>
        </w:rPr>
        <w:t xml:space="preserve">% of 15,892 TB cases) when </w:t>
      </w:r>
      <w:r w:rsidR="00833541" w:rsidRPr="00293E18">
        <w:rPr>
          <w:rFonts w:ascii="Arial" w:eastAsiaTheme="minorHAnsi" w:hAnsi="Arial" w:cs="Arial"/>
          <w:color w:val="auto"/>
          <w:sz w:val="20"/>
          <w:szCs w:val="20"/>
          <w:lang w:val="en-ZA" w:eastAsia="en-US"/>
        </w:rPr>
        <w:t>100% knew their HIV status</w:t>
      </w:r>
      <w:r w:rsidR="00E242D8" w:rsidRPr="00293E18">
        <w:rPr>
          <w:rFonts w:ascii="Arial" w:eastAsiaTheme="minorHAnsi" w:hAnsi="Arial" w:cs="Arial"/>
          <w:color w:val="auto"/>
          <w:sz w:val="20"/>
          <w:szCs w:val="20"/>
          <w:lang w:val="en-ZA" w:eastAsia="en-US"/>
        </w:rPr>
        <w:t>.</w:t>
      </w:r>
      <w:r w:rsidR="00833541" w:rsidRPr="00293E18">
        <w:rPr>
          <w:rFonts w:ascii="Arial" w:eastAsiaTheme="minorHAnsi" w:hAnsi="Arial" w:cs="Arial"/>
          <w:color w:val="auto"/>
          <w:sz w:val="20"/>
          <w:szCs w:val="20"/>
          <w:lang w:val="en-ZA" w:eastAsia="en-US"/>
        </w:rPr>
        <w:t xml:space="preserve"> </w:t>
      </w:r>
    </w:p>
    <w:p w14:paraId="11EFBDE4" w14:textId="77777777" w:rsidR="002F3E9D" w:rsidRDefault="004130B7" w:rsidP="00293E18">
      <w:pPr>
        <w:pStyle w:val="Default"/>
        <w:tabs>
          <w:tab w:val="left" w:pos="5438"/>
        </w:tabs>
        <w:spacing w:after="120" w:line="360" w:lineRule="auto"/>
        <w:jc w:val="both"/>
        <w:rPr>
          <w:rFonts w:ascii="Arial" w:hAnsi="Arial" w:cs="Arial"/>
          <w:color w:val="auto"/>
          <w:sz w:val="20"/>
          <w:szCs w:val="20"/>
        </w:rPr>
      </w:pPr>
      <w:r>
        <w:rPr>
          <w:rFonts w:ascii="Arial" w:eastAsiaTheme="minorHAnsi" w:hAnsi="Arial" w:cs="Arial"/>
          <w:color w:val="auto"/>
          <w:sz w:val="20"/>
          <w:szCs w:val="20"/>
          <w:lang w:val="en-ZA" w:eastAsia="en-US"/>
        </w:rPr>
        <w:t>When</w:t>
      </w:r>
      <w:r w:rsidR="002F3E9D">
        <w:rPr>
          <w:rFonts w:ascii="Arial" w:hAnsi="Arial" w:cs="Arial"/>
          <w:color w:val="auto"/>
          <w:sz w:val="20"/>
          <w:szCs w:val="20"/>
        </w:rPr>
        <w:t xml:space="preserve"> we </w:t>
      </w:r>
      <w:r w:rsidR="00E242D8">
        <w:rPr>
          <w:rFonts w:ascii="Arial" w:hAnsi="Arial" w:cs="Arial"/>
          <w:color w:val="auto"/>
          <w:sz w:val="20"/>
          <w:szCs w:val="20"/>
        </w:rPr>
        <w:t xml:space="preserve">set </w:t>
      </w:r>
      <w:r w:rsidR="00285E57">
        <w:rPr>
          <w:rFonts w:ascii="Arial" w:hAnsi="Arial" w:cs="Arial"/>
          <w:color w:val="auto"/>
          <w:sz w:val="20"/>
          <w:szCs w:val="20"/>
        </w:rPr>
        <w:t xml:space="preserve">adherence at 100% </w:t>
      </w:r>
      <w:r w:rsidR="00BF046C">
        <w:rPr>
          <w:rFonts w:ascii="Arial" w:hAnsi="Arial" w:cs="Arial"/>
          <w:color w:val="auto"/>
          <w:sz w:val="20"/>
          <w:szCs w:val="20"/>
        </w:rPr>
        <w:t xml:space="preserve">1,178 </w:t>
      </w:r>
      <w:r w:rsidR="001500E1" w:rsidRPr="001500E1">
        <w:rPr>
          <w:rFonts w:ascii="Arial" w:hAnsi="Arial" w:cs="Arial"/>
          <w:color w:val="auto"/>
          <w:sz w:val="20"/>
          <w:szCs w:val="20"/>
        </w:rPr>
        <w:t xml:space="preserve">RMP-R </w:t>
      </w:r>
      <w:r w:rsidR="00BF046C">
        <w:rPr>
          <w:rFonts w:ascii="Arial" w:hAnsi="Arial" w:cs="Arial"/>
          <w:color w:val="auto"/>
          <w:sz w:val="20"/>
          <w:szCs w:val="20"/>
        </w:rPr>
        <w:t>cases</w:t>
      </w:r>
      <w:r w:rsidR="00753884">
        <w:rPr>
          <w:rFonts w:ascii="Arial" w:hAnsi="Arial" w:cs="Arial"/>
          <w:color w:val="auto"/>
          <w:sz w:val="20"/>
          <w:szCs w:val="20"/>
        </w:rPr>
        <w:t xml:space="preserve"> </w:t>
      </w:r>
      <w:r w:rsidR="00323683">
        <w:rPr>
          <w:rFonts w:ascii="Arial" w:hAnsi="Arial" w:cs="Arial"/>
          <w:color w:val="auto"/>
          <w:sz w:val="20"/>
          <w:szCs w:val="20"/>
        </w:rPr>
        <w:t>(7.2</w:t>
      </w:r>
      <w:r w:rsidR="00E242D8">
        <w:rPr>
          <w:rFonts w:ascii="Arial" w:hAnsi="Arial" w:cs="Arial"/>
          <w:color w:val="auto"/>
          <w:sz w:val="20"/>
          <w:szCs w:val="20"/>
        </w:rPr>
        <w:t xml:space="preserve">% of 16,332 TB cases) </w:t>
      </w:r>
      <w:r w:rsidR="0076795F">
        <w:rPr>
          <w:rFonts w:ascii="Arial" w:hAnsi="Arial" w:cs="Arial"/>
          <w:color w:val="auto"/>
          <w:sz w:val="20"/>
          <w:szCs w:val="20"/>
        </w:rPr>
        <w:t xml:space="preserve">were identified </w:t>
      </w:r>
      <w:r w:rsidR="00DF78B5">
        <w:rPr>
          <w:rFonts w:ascii="Arial" w:hAnsi="Arial" w:cs="Arial"/>
          <w:color w:val="auto"/>
          <w:sz w:val="20"/>
          <w:szCs w:val="20"/>
        </w:rPr>
        <w:t>when</w:t>
      </w:r>
      <w:r w:rsidR="00753884">
        <w:rPr>
          <w:rFonts w:ascii="Arial" w:hAnsi="Arial" w:cs="Arial"/>
          <w:color w:val="auto"/>
          <w:sz w:val="20"/>
          <w:szCs w:val="20"/>
        </w:rPr>
        <w:t xml:space="preserve"> 60% knew their HIV status </w:t>
      </w:r>
      <w:r w:rsidR="00E242D8">
        <w:rPr>
          <w:rFonts w:ascii="Arial" w:hAnsi="Arial" w:cs="Arial"/>
          <w:color w:val="auto"/>
          <w:sz w:val="20"/>
          <w:szCs w:val="20"/>
        </w:rPr>
        <w:t>increasing to</w:t>
      </w:r>
      <w:r w:rsidR="00753884">
        <w:rPr>
          <w:rFonts w:ascii="Arial" w:hAnsi="Arial" w:cs="Arial"/>
          <w:color w:val="auto"/>
          <w:sz w:val="20"/>
          <w:szCs w:val="20"/>
        </w:rPr>
        <w:t xml:space="preserve"> 1,232 </w:t>
      </w:r>
      <w:r w:rsidR="001500E1" w:rsidRPr="001500E1">
        <w:rPr>
          <w:rFonts w:ascii="Arial" w:hAnsi="Arial" w:cs="Arial"/>
          <w:color w:val="auto"/>
          <w:sz w:val="20"/>
          <w:szCs w:val="20"/>
        </w:rPr>
        <w:t>RMP-R</w:t>
      </w:r>
      <w:r w:rsidR="001500E1">
        <w:rPr>
          <w:rFonts w:ascii="Arial" w:hAnsi="Arial" w:cs="Arial"/>
          <w:color w:val="auto"/>
          <w:sz w:val="20"/>
          <w:szCs w:val="20"/>
        </w:rPr>
        <w:t xml:space="preserve"> </w:t>
      </w:r>
      <w:r w:rsidR="00FA6436">
        <w:rPr>
          <w:rFonts w:ascii="Arial" w:hAnsi="Arial" w:cs="Arial"/>
          <w:color w:val="auto"/>
          <w:sz w:val="20"/>
          <w:szCs w:val="20"/>
        </w:rPr>
        <w:t xml:space="preserve">cases </w:t>
      </w:r>
      <w:r w:rsidR="00323683">
        <w:rPr>
          <w:rFonts w:ascii="Arial" w:hAnsi="Arial" w:cs="Arial"/>
          <w:color w:val="auto"/>
          <w:sz w:val="20"/>
          <w:szCs w:val="20"/>
        </w:rPr>
        <w:t>(7.3</w:t>
      </w:r>
      <w:r w:rsidR="0076795F">
        <w:rPr>
          <w:rFonts w:ascii="Arial" w:hAnsi="Arial" w:cs="Arial"/>
          <w:color w:val="auto"/>
          <w:sz w:val="20"/>
          <w:szCs w:val="20"/>
        </w:rPr>
        <w:t xml:space="preserve">% of 16,968 TB cases) </w:t>
      </w:r>
      <w:r w:rsidR="00323683">
        <w:rPr>
          <w:rFonts w:ascii="Arial" w:hAnsi="Arial" w:cs="Arial"/>
          <w:color w:val="auto"/>
          <w:sz w:val="20"/>
          <w:szCs w:val="20"/>
        </w:rPr>
        <w:t>when 100% kne</w:t>
      </w:r>
      <w:r w:rsidR="0076795F">
        <w:rPr>
          <w:rFonts w:ascii="Arial" w:hAnsi="Arial" w:cs="Arial"/>
          <w:color w:val="auto"/>
          <w:sz w:val="20"/>
          <w:szCs w:val="20"/>
        </w:rPr>
        <w:t xml:space="preserve">w their HIV status </w:t>
      </w:r>
      <w:r w:rsidR="001A6D85">
        <w:rPr>
          <w:rFonts w:ascii="Arial" w:hAnsi="Arial" w:cs="Arial"/>
          <w:color w:val="auto"/>
          <w:sz w:val="20"/>
          <w:szCs w:val="20"/>
        </w:rPr>
        <w:t>(Table 4, Figures 2 and 3)</w:t>
      </w:r>
      <w:r w:rsidR="00FA6436">
        <w:rPr>
          <w:rFonts w:ascii="Arial" w:hAnsi="Arial" w:cs="Arial"/>
          <w:color w:val="auto"/>
          <w:sz w:val="20"/>
          <w:szCs w:val="20"/>
        </w:rPr>
        <w:t>.</w:t>
      </w:r>
    </w:p>
    <w:p w14:paraId="35548582" w14:textId="77777777" w:rsidR="00091E84" w:rsidRPr="002F3E9D" w:rsidRDefault="00091E84" w:rsidP="004E2B71">
      <w:pPr>
        <w:pStyle w:val="Default"/>
        <w:tabs>
          <w:tab w:val="left" w:pos="5438"/>
        </w:tabs>
        <w:spacing w:line="360" w:lineRule="auto"/>
        <w:jc w:val="both"/>
        <w:rPr>
          <w:rFonts w:ascii="Arial" w:hAnsi="Arial" w:cs="Arial"/>
          <w:color w:val="auto"/>
          <w:sz w:val="20"/>
          <w:szCs w:val="20"/>
        </w:rPr>
      </w:pPr>
    </w:p>
    <w:p w14:paraId="0692901E" w14:textId="77777777" w:rsidR="003D532B" w:rsidRPr="00E40E16" w:rsidRDefault="001500E1" w:rsidP="00D4350B">
      <w:pPr>
        <w:pStyle w:val="Default"/>
        <w:tabs>
          <w:tab w:val="left" w:pos="5438"/>
        </w:tabs>
        <w:spacing w:line="360" w:lineRule="auto"/>
        <w:jc w:val="both"/>
        <w:rPr>
          <w:rFonts w:ascii="Arial" w:hAnsi="Arial" w:cs="Arial"/>
          <w:i/>
          <w:color w:val="auto"/>
          <w:sz w:val="20"/>
          <w:szCs w:val="20"/>
        </w:rPr>
      </w:pPr>
      <w:r w:rsidRPr="001500E1">
        <w:rPr>
          <w:rFonts w:ascii="Arial" w:hAnsi="Arial" w:cs="Arial"/>
          <w:i/>
          <w:color w:val="auto"/>
          <w:sz w:val="20"/>
          <w:szCs w:val="20"/>
        </w:rPr>
        <w:t xml:space="preserve">RMP-R </w:t>
      </w:r>
      <w:r w:rsidR="004E2B71" w:rsidRPr="00E40E16">
        <w:rPr>
          <w:rFonts w:ascii="Arial" w:hAnsi="Arial" w:cs="Arial"/>
          <w:i/>
          <w:color w:val="auto"/>
          <w:sz w:val="20"/>
          <w:szCs w:val="20"/>
        </w:rPr>
        <w:t xml:space="preserve">TB cases </w:t>
      </w:r>
      <w:r w:rsidR="008912ED">
        <w:rPr>
          <w:rFonts w:ascii="Arial" w:hAnsi="Arial" w:cs="Arial"/>
          <w:i/>
          <w:color w:val="auto"/>
          <w:sz w:val="20"/>
          <w:szCs w:val="20"/>
        </w:rPr>
        <w:t>missed</w:t>
      </w:r>
      <w:r w:rsidR="00D4350B" w:rsidRPr="008912ED">
        <w:rPr>
          <w:rFonts w:ascii="Arial" w:hAnsi="Arial" w:cs="Arial"/>
          <w:color w:val="auto"/>
          <w:sz w:val="20"/>
          <w:szCs w:val="20"/>
        </w:rPr>
        <w:tab/>
      </w:r>
    </w:p>
    <w:p w14:paraId="3FAF71BE" w14:textId="219255CF" w:rsidR="0015766F" w:rsidRDefault="004130B7" w:rsidP="00CB19F5">
      <w:pPr>
        <w:pStyle w:val="Default"/>
        <w:spacing w:line="360" w:lineRule="auto"/>
        <w:rPr>
          <w:rFonts w:ascii="Arial" w:hAnsi="Arial" w:cs="Arial"/>
          <w:color w:val="auto"/>
          <w:sz w:val="20"/>
          <w:szCs w:val="20"/>
        </w:rPr>
      </w:pPr>
      <w:r>
        <w:rPr>
          <w:rFonts w:ascii="Arial" w:hAnsi="Arial" w:cs="Arial"/>
          <w:color w:val="auto"/>
          <w:sz w:val="20"/>
          <w:szCs w:val="20"/>
        </w:rPr>
        <w:t>I</w:t>
      </w:r>
      <w:r w:rsidR="000F350F">
        <w:rPr>
          <w:rFonts w:ascii="Arial" w:hAnsi="Arial" w:cs="Arial"/>
          <w:color w:val="auto"/>
          <w:sz w:val="20"/>
          <w:szCs w:val="20"/>
        </w:rPr>
        <w:t xml:space="preserve">n </w:t>
      </w:r>
      <w:r w:rsidR="00C41056">
        <w:rPr>
          <w:rFonts w:ascii="Arial" w:hAnsi="Arial" w:cs="Arial"/>
          <w:color w:val="auto"/>
          <w:sz w:val="20"/>
          <w:szCs w:val="20"/>
        </w:rPr>
        <w:t xml:space="preserve">a scenario </w:t>
      </w:r>
      <w:r w:rsidR="000F350F">
        <w:rPr>
          <w:rFonts w:ascii="Arial" w:hAnsi="Arial" w:cs="Arial"/>
          <w:color w:val="auto"/>
          <w:sz w:val="20"/>
          <w:szCs w:val="20"/>
        </w:rPr>
        <w:t xml:space="preserve">when 60% of presumptive cases knew their HIV status and </w:t>
      </w:r>
      <w:r w:rsidR="00C41056">
        <w:rPr>
          <w:rFonts w:ascii="Arial" w:hAnsi="Arial" w:cs="Arial"/>
          <w:color w:val="auto"/>
          <w:sz w:val="20"/>
          <w:szCs w:val="20"/>
        </w:rPr>
        <w:t xml:space="preserve">with 50% </w:t>
      </w:r>
      <w:r w:rsidR="00475ACD">
        <w:rPr>
          <w:rFonts w:ascii="Arial" w:hAnsi="Arial" w:cs="Arial"/>
          <w:color w:val="auto"/>
          <w:sz w:val="20"/>
          <w:szCs w:val="20"/>
        </w:rPr>
        <w:t>adherenc</w:t>
      </w:r>
      <w:r w:rsidR="00C028CC">
        <w:rPr>
          <w:rFonts w:ascii="Arial" w:hAnsi="Arial" w:cs="Arial"/>
          <w:color w:val="auto"/>
          <w:sz w:val="20"/>
          <w:szCs w:val="20"/>
        </w:rPr>
        <w:t>e in the Xpert-based algorithm,</w:t>
      </w:r>
      <w:r w:rsidR="00475ACD">
        <w:rPr>
          <w:rFonts w:ascii="Arial" w:hAnsi="Arial" w:cs="Arial"/>
          <w:color w:val="auto"/>
          <w:sz w:val="20"/>
          <w:szCs w:val="20"/>
        </w:rPr>
        <w:t xml:space="preserve"> </w:t>
      </w:r>
      <w:r w:rsidR="001048BC">
        <w:rPr>
          <w:rFonts w:ascii="Arial" w:hAnsi="Arial" w:cs="Arial"/>
          <w:color w:val="auto"/>
          <w:sz w:val="20"/>
          <w:szCs w:val="20"/>
        </w:rPr>
        <w:t>677</w:t>
      </w:r>
      <w:r w:rsidR="00D22C06">
        <w:rPr>
          <w:rFonts w:ascii="Arial" w:hAnsi="Arial" w:cs="Arial"/>
          <w:color w:val="auto"/>
          <w:sz w:val="20"/>
          <w:szCs w:val="20"/>
        </w:rPr>
        <w:t xml:space="preserve"> (48.4</w:t>
      </w:r>
      <w:r w:rsidR="00ED7711">
        <w:rPr>
          <w:rFonts w:ascii="Arial" w:hAnsi="Arial" w:cs="Arial"/>
          <w:color w:val="auto"/>
          <w:sz w:val="20"/>
          <w:szCs w:val="20"/>
        </w:rPr>
        <w:t>%)</w:t>
      </w:r>
      <w:r w:rsidR="0015766F">
        <w:rPr>
          <w:rFonts w:ascii="Arial" w:hAnsi="Arial" w:cs="Arial"/>
          <w:color w:val="auto"/>
          <w:sz w:val="20"/>
          <w:szCs w:val="20"/>
        </w:rPr>
        <w:t xml:space="preserve"> </w:t>
      </w:r>
      <w:r w:rsidR="0021167A" w:rsidRPr="001500E1">
        <w:rPr>
          <w:rFonts w:ascii="Arial" w:hAnsi="Arial" w:cs="Arial"/>
          <w:color w:val="auto"/>
          <w:sz w:val="20"/>
          <w:szCs w:val="20"/>
        </w:rPr>
        <w:t>RMP-R</w:t>
      </w:r>
      <w:r w:rsidR="0021167A">
        <w:rPr>
          <w:rFonts w:ascii="Arial" w:hAnsi="Arial" w:cs="Arial"/>
          <w:color w:val="auto"/>
          <w:sz w:val="20"/>
          <w:szCs w:val="20"/>
        </w:rPr>
        <w:t xml:space="preserve"> </w:t>
      </w:r>
      <w:r w:rsidR="0015766F">
        <w:rPr>
          <w:rFonts w:ascii="Arial" w:hAnsi="Arial" w:cs="Arial"/>
          <w:color w:val="auto"/>
          <w:sz w:val="20"/>
          <w:szCs w:val="20"/>
        </w:rPr>
        <w:t>cases were missed</w:t>
      </w:r>
      <w:r w:rsidR="00ED7711">
        <w:rPr>
          <w:rFonts w:ascii="Arial" w:hAnsi="Arial" w:cs="Arial"/>
          <w:color w:val="auto"/>
          <w:sz w:val="20"/>
          <w:szCs w:val="20"/>
        </w:rPr>
        <w:t xml:space="preserve">: </w:t>
      </w:r>
      <w:r w:rsidR="0015766F">
        <w:rPr>
          <w:rFonts w:ascii="Arial" w:hAnsi="Arial" w:cs="Arial"/>
          <w:color w:val="auto"/>
          <w:sz w:val="20"/>
          <w:szCs w:val="20"/>
        </w:rPr>
        <w:t>240</w:t>
      </w:r>
      <w:r w:rsidR="00ED7711">
        <w:rPr>
          <w:rFonts w:ascii="Arial" w:hAnsi="Arial" w:cs="Arial"/>
          <w:color w:val="auto"/>
          <w:sz w:val="20"/>
          <w:szCs w:val="20"/>
        </w:rPr>
        <w:t xml:space="preserve"> (17.2%)</w:t>
      </w:r>
      <w:r w:rsidR="0015766F">
        <w:rPr>
          <w:rFonts w:ascii="Arial" w:hAnsi="Arial" w:cs="Arial"/>
          <w:color w:val="auto"/>
          <w:sz w:val="20"/>
          <w:szCs w:val="20"/>
        </w:rPr>
        <w:t xml:space="preserve"> had a false negative TB test, 40</w:t>
      </w:r>
      <w:r w:rsidR="00ED7711">
        <w:rPr>
          <w:rFonts w:ascii="Arial" w:hAnsi="Arial" w:cs="Arial"/>
          <w:color w:val="auto"/>
          <w:sz w:val="20"/>
          <w:szCs w:val="20"/>
        </w:rPr>
        <w:t xml:space="preserve"> (2.9%) </w:t>
      </w:r>
      <w:r w:rsidR="000F350F">
        <w:rPr>
          <w:rFonts w:ascii="Arial" w:hAnsi="Arial" w:cs="Arial"/>
          <w:color w:val="auto"/>
          <w:sz w:val="20"/>
          <w:szCs w:val="20"/>
        </w:rPr>
        <w:t xml:space="preserve">a </w:t>
      </w:r>
      <w:r w:rsidR="0015766F">
        <w:rPr>
          <w:rFonts w:ascii="Arial" w:hAnsi="Arial" w:cs="Arial"/>
          <w:color w:val="auto"/>
          <w:sz w:val="20"/>
          <w:szCs w:val="20"/>
        </w:rPr>
        <w:t xml:space="preserve">false </w:t>
      </w:r>
      <w:r>
        <w:rPr>
          <w:rFonts w:ascii="Arial" w:hAnsi="Arial" w:cs="Arial"/>
          <w:color w:val="auto"/>
          <w:sz w:val="20"/>
          <w:szCs w:val="20"/>
        </w:rPr>
        <w:t xml:space="preserve">negative </w:t>
      </w:r>
      <w:r w:rsidR="0021167A">
        <w:rPr>
          <w:rFonts w:ascii="Arial" w:hAnsi="Arial" w:cs="Arial"/>
          <w:color w:val="auto"/>
          <w:sz w:val="20"/>
          <w:szCs w:val="20"/>
        </w:rPr>
        <w:t>RMP</w:t>
      </w:r>
      <w:r>
        <w:rPr>
          <w:rFonts w:ascii="Arial" w:hAnsi="Arial" w:cs="Arial"/>
          <w:color w:val="auto"/>
          <w:sz w:val="20"/>
          <w:szCs w:val="20"/>
        </w:rPr>
        <w:t>-R</w:t>
      </w:r>
      <w:r w:rsidR="0015766F">
        <w:rPr>
          <w:rFonts w:ascii="Arial" w:hAnsi="Arial" w:cs="Arial"/>
          <w:color w:val="auto"/>
          <w:sz w:val="20"/>
          <w:szCs w:val="20"/>
        </w:rPr>
        <w:t xml:space="preserve"> </w:t>
      </w:r>
      <w:r w:rsidR="000F350F">
        <w:rPr>
          <w:rFonts w:ascii="Arial" w:hAnsi="Arial" w:cs="Arial"/>
          <w:color w:val="auto"/>
          <w:sz w:val="20"/>
          <w:szCs w:val="20"/>
        </w:rPr>
        <w:t>result and</w:t>
      </w:r>
      <w:r w:rsidR="00ED7711">
        <w:rPr>
          <w:rFonts w:ascii="Arial" w:hAnsi="Arial" w:cs="Arial"/>
          <w:color w:val="auto"/>
          <w:sz w:val="20"/>
          <w:szCs w:val="20"/>
        </w:rPr>
        <w:t xml:space="preserve"> </w:t>
      </w:r>
      <w:r w:rsidR="0015766F">
        <w:rPr>
          <w:rFonts w:ascii="Arial" w:hAnsi="Arial" w:cs="Arial"/>
          <w:color w:val="auto"/>
          <w:sz w:val="20"/>
          <w:szCs w:val="20"/>
        </w:rPr>
        <w:t>397</w:t>
      </w:r>
      <w:r w:rsidR="00ED7711">
        <w:rPr>
          <w:rFonts w:ascii="Arial" w:hAnsi="Arial" w:cs="Arial"/>
          <w:color w:val="auto"/>
          <w:sz w:val="20"/>
          <w:szCs w:val="20"/>
        </w:rPr>
        <w:t xml:space="preserve"> (28.4%)</w:t>
      </w:r>
      <w:r w:rsidR="0015766F">
        <w:rPr>
          <w:rFonts w:ascii="Arial" w:hAnsi="Arial" w:cs="Arial"/>
          <w:color w:val="auto"/>
          <w:sz w:val="20"/>
          <w:szCs w:val="20"/>
        </w:rPr>
        <w:t xml:space="preserve"> had no DST done pre-treatment</w:t>
      </w:r>
      <w:r w:rsidR="00ED7711">
        <w:rPr>
          <w:rFonts w:ascii="Arial" w:hAnsi="Arial" w:cs="Arial"/>
          <w:color w:val="auto"/>
          <w:sz w:val="20"/>
          <w:szCs w:val="20"/>
        </w:rPr>
        <w:t xml:space="preserve">. </w:t>
      </w:r>
      <w:r w:rsidR="00026F4A" w:rsidRPr="00026F4A">
        <w:rPr>
          <w:rFonts w:ascii="Arial" w:hAnsi="Arial" w:cs="Arial"/>
          <w:color w:val="FF0000"/>
          <w:sz w:val="20"/>
          <w:szCs w:val="20"/>
        </w:rPr>
        <w:t>When 100% knew their HIV status 656 (46.9%) RMP-R cases were missed: 217 (15.5%) had a false negative TB test, 42 (3.0%) had a false negative RMP-R result and 397 (28.4%) were not screened for RMP-R pre-treatment (Table 4, Figures 3).</w:t>
      </w:r>
    </w:p>
    <w:p w14:paraId="48AB4B42" w14:textId="77777777" w:rsidR="00813B20" w:rsidRDefault="00813B20" w:rsidP="00CB19F5">
      <w:pPr>
        <w:pStyle w:val="Default"/>
        <w:spacing w:line="360" w:lineRule="auto"/>
        <w:rPr>
          <w:rFonts w:ascii="Arial" w:hAnsi="Arial" w:cs="Arial"/>
          <w:color w:val="auto"/>
          <w:sz w:val="20"/>
          <w:szCs w:val="20"/>
        </w:rPr>
      </w:pPr>
    </w:p>
    <w:p w14:paraId="6E72F685" w14:textId="77777777" w:rsidR="002908AC" w:rsidRPr="002908AC" w:rsidRDefault="002908AC" w:rsidP="00BD7070">
      <w:pPr>
        <w:pStyle w:val="Default"/>
        <w:spacing w:line="360" w:lineRule="auto"/>
        <w:jc w:val="both"/>
        <w:rPr>
          <w:rFonts w:ascii="Arial" w:hAnsi="Arial" w:cs="Arial"/>
          <w:b/>
          <w:color w:val="auto"/>
          <w:sz w:val="20"/>
          <w:szCs w:val="20"/>
        </w:rPr>
      </w:pPr>
      <w:r w:rsidRPr="002908AC">
        <w:rPr>
          <w:rFonts w:ascii="Arial" w:hAnsi="Arial" w:cs="Arial"/>
          <w:b/>
          <w:color w:val="auto"/>
          <w:sz w:val="20"/>
          <w:szCs w:val="20"/>
        </w:rPr>
        <w:t>Discussion</w:t>
      </w:r>
    </w:p>
    <w:p w14:paraId="4B683A76" w14:textId="6E15D861" w:rsidR="00E6220F" w:rsidRDefault="003C1716" w:rsidP="00FC1AAF">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In many countries, including South Africa, DST </w:t>
      </w:r>
      <w:r w:rsidR="006E655B">
        <w:rPr>
          <w:rFonts w:ascii="Arial" w:hAnsi="Arial" w:cs="Arial"/>
          <w:color w:val="auto"/>
          <w:sz w:val="20"/>
          <w:szCs w:val="20"/>
        </w:rPr>
        <w:t xml:space="preserve">was historically </w:t>
      </w:r>
      <w:r>
        <w:rPr>
          <w:rFonts w:ascii="Arial" w:hAnsi="Arial" w:cs="Arial"/>
          <w:color w:val="auto"/>
          <w:sz w:val="20"/>
          <w:szCs w:val="20"/>
        </w:rPr>
        <w:t>limited to presumptive TB cases with a history of previous TB treatment</w:t>
      </w:r>
      <w:r w:rsidR="007931C1">
        <w:rPr>
          <w:rFonts w:ascii="Arial" w:hAnsi="Arial" w:cs="Arial"/>
          <w:color w:val="auto"/>
          <w:sz w:val="20"/>
          <w:szCs w:val="20"/>
        </w:rPr>
        <w:t xml:space="preserve"> as these cases have</w:t>
      </w:r>
      <w:r>
        <w:rPr>
          <w:rFonts w:ascii="Arial" w:hAnsi="Arial" w:cs="Arial"/>
          <w:color w:val="auto"/>
          <w:sz w:val="20"/>
          <w:szCs w:val="20"/>
        </w:rPr>
        <w:t xml:space="preserve"> a higher risk than new cases of developing MDR-TB.</w:t>
      </w:r>
      <w:r w:rsidR="00293963">
        <w:rPr>
          <w:rFonts w:ascii="Arial" w:hAnsi="Arial" w:cs="Arial"/>
          <w:color w:val="auto"/>
          <w:sz w:val="20"/>
          <w:szCs w:val="20"/>
        </w:rPr>
        <w:fldChar w:fldCharType="begin" w:fldLock="1"/>
      </w:r>
      <w:r w:rsidR="003147E8">
        <w:rPr>
          <w:rFonts w:ascii="Arial" w:hAnsi="Arial" w:cs="Arial"/>
          <w:color w:val="auto"/>
          <w:sz w:val="20"/>
          <w:szCs w:val="20"/>
        </w:rPr>
        <w:instrText>ADDIN CSL_CITATION { "citationItems" : [ { "id" : "ITEM-1", "itemData" : { "abstract" : "Although the multidrug-resistant tuberculosis (MDR-TB) epidemic is a very recent problem, many studies have attempted to understand it. We now have good es-timates of the current burden (approximately 500 000 MDR-TB cases worldwide), and following the introduc-tion of potential MDR-TB control strategies projections of these fi gures are being estimated. The projected trends in tuberculosis (TB) and MDR-TB incidence vary. Risk factors for resistance can be divided into two categories: 1) those facilitating the selection of resistance in the community and 2) the specifi c conditions that appear to increase some patients' vulnerability to resistance. The epidemiological situation varies greatly across countries, principally due to poor treatment practices and poor implementation of control programmes in the past\u2014and even today, to a lesser degree\u2014and recent data have sug-gested that national TB programmes that use existing drugs effi ciently can postpone and even reverse the MDR-TB epidemic. Other factors that have also con-tributed to this epidemic situation are analysed in this article. The recognition of factors leading to the epi-demic in some regions and the identifi cation of popula-tions at risk will assist in focusing case-fi nding efforts. From an individual perspective, treatment failures with fi rst-line rifampicin-containing regimens and contacts of MDR-TB cases have the highest rates of resistance. Pa-tients previously treated for TB and the other risk fac-tors analysed in this article should be prioritised in case fi nding.", "author" : [ { "dropping-particle" : "", "family" : "Caminero", "given" : "J A", "non-dropping-particle" : "", "parse-names" : false, "suffix" : "" } ], "container-title" : "INT J TUBERC LUNG DIS", "id" : "ITEM-1", "issue" : "4", "issued" : { "date-parts" : [ [ "0" ] ] }, "page" : "382-390", "title" : "Multidrug-resistant tuberculosis: epidemiology, risk factors and case finding.", "type" : "article-journal", "volume" : "14" }, "uris" : [ "http://www.mendeley.com/documents/?uuid=bcf452c0-8892-3d88-b36a-bc84f0a84b5d" ] }, { "id" : "ITEM-2", "itemData" : { "DOI" : "10.1136/thx.2005.045963", "ISSN" : "0040-6376", "PMID" : "16254056", "abstract" : "BACKGROUND The resurgence of tuberculosis (TB) in western countries has been attributed to the HIV epidemic, immigration, and drug resistance. Multidrug resistant tuberculosis (MDR-TB) is caused by the transmission of multidrug resistant Mycobacterium tuberculosis strains in new cases, or by the selection of single drug resistant strains induced by previous treatment. The aim of this report is to determine risk factors for MDR-TB in Europe. METHODS A systematic review was conducted of published reports of risk factors associated with MDR-TB in Europe. Meta-analysis, meta-regression, and sub-grouping were used to pool risk estimates of MDR-TB and to analyse associations with age, sex, immigrant status, HIV status, occurrence year, study design, and area of Europe. RESULTS Twenty nine papers were eligible for the review from 123 identified in the search. The pooled risk of MDR-TB was 10.23 times higher in previously treated than in never treated cases, with wide heterogeneity between studies. Study design and geographical area were associated with MDR-TB risk estimates in previously treated patients; the risk estimates were higher in cohort studies carried out in western Europe (RR 12.63; 95% CI 8.20 to 19.45) than in eastern Europe (RR 8.53; 95% CI 6.57 to 11.06). National estimates were possible for six countries. MDR-TB cases were more likely to be foreign born (odds ratio (OR) 2.46; 95% CI 1.86 to 3.24), younger than 65 years (OR 2.53; 95% CI 1.74 to 4.83), male (OR 1.38; 95% CI 1.16 to 1.65), and HIV positive (OR 3.52; 95% CI 2.48 to 5.01). CONCLUSIONS Previous treatment was the strongest determinant of MDR-TB in Europe. Detailed study of the reasons for inadequate treatment could improve control strategies. The risk of MDR-TB in foreign born people needs to be re-evaluated, taking into account any previous treatment.", "author" : [ { "dropping-particle" : "", "family" : "Faustini", "given" : "A", "non-dropping-particle" : "", "parse-names" : false, "suffix" : "" }, { "dropping-particle" : "", "family" : "Hall", "given" : "A J", "non-dropping-particle" : "", "parse-names" : false, "suffix" : "" }, { "dropping-particle" : "", "family" : "Perucci", "given" : "C A", "non-dropping-particle" : "", "parse-names" : false, "suffix" : "" } ], "container-title" : "Thorax", "id" : "ITEM-2", "issue" : "2", "issued" : { "date-parts" : [ [ "2006", "2" ] ] }, "page" : "158-63", "publisher" : "BMJ Publishing Group", "title" : "Risk factors for multidrug resistant tuberculosis in Europe: a systematic review.", "type" : "article-journal", "volume" : "61" }, "uris" : [ "http://www.mendeley.com/documents/?uuid=cc99a62d-6c86-3fd2-a38b-3b2f62c0cf4b" ] }, { "id" : "ITEM-3", "itemData" : { "DOI" : "10.1371/journal.pone.0105214", "ISSN" : "1932-6203", "PMID" : "25136966", "abstract" : "OBJECTIVE To determine the risk factors for developing multidrug resistant tuberculosis in Bangladesh. METHODS This case-control study was set in central, district and sub-district level hospitals of rural and urban Bangladesh. Included were 250 multidrug resistant1. Rifat M, Milton AH, Hall J, Oldmeadow C, Islam MA, Husain A, et al. Development of multidrug resistant tuberculosis in Bangladesh: a case-control study on risk factors. PLoS One. 2014;9(8):e105214. tuberculosis (MDR-TB) patients as cases and 750 drug susceptible tuberculosis patients as controls. We recruited cases from all three government hospitals treating MDR-TB in Bangladesh during the study period. Controls were selected randomly from those local treatment units that had referred the cases. Information was collected through face-to-face interviews and record reviews. Unadjusted and multivariable logistic regression were used to analyse the data. RESULTS Previous treatment history was shown to be the major contributing factor to MDR-TB in univariate analysis. After adjusting for other factors in multivariable analysis, age group \"18-25\" (OR 1.77, CI 1.07-2.93) and \"26-45\" (OR 1.72, CI 1.12-2.66), some level of education (OR 1.94, CI 1.32-2.85), service and business as occupation (OR 2.88, CI 1.29-6.44; OR 3.71, CI 1.59-8.66, respectively), smoking history (OR 1.58, CI 0.99-2.5), and type 2 diabetes (OR 2.56 CI 1.51-4.34) were associated with MDR-TB. Previous treatment was not included in the multivariable analysis as it was correlated with multiple predictors. CONCLUSION Previous tuberculosis treatment was found to be the major risk factor for MDR-TB. This study also identified age 18 to 45 years, some education up to secondary level, service and business as occupation, past smoking status, and type 2 diabetes as comorbid illness as risk factors. National Tuberculosis programme should address these risk factors in MDR-TB control strategy. The integration of MDR-TB control activities with diabetes and tobacco control programmes is needed in Bangladesh.", "author" : [ { "dropping-particle" : "", "family" : "Rifat", "given" : "Mahfuza", "non-dropping-particle" : "", "parse-names" : false, "suffix" : "" }, { "dropping-particle" : "", "family" : "Milton", "given" : "Abul Hasnat", "non-dropping-particle" : "", "parse-names" : false, "suffix" : "" }, { "dropping-particle" : "", "family" : "Hall", "given" : "John", "non-dropping-particle" : "", "parse-names" : false, "suffix" : "" }, { "dropping-particle" : "", "family" : "Oldmeadow", "given" : "Christopher", "non-dropping-particle" : "", "parse-names" : false, "suffix" : "" }, { "dropping-particle" : "", "family" : "Islam", "given" : "Md Akramul", "non-dropping-particle" : "", "parse-names" : false, "suffix" : "" }, { "dropping-particle" : "", "family" : "Husain", "given" : "Ashaque", "non-dropping-particle" : "", "parse-names" : false, "suffix" : "" }, { "dropping-particle" : "", "family" : "Akhanda", "given" : "Md Wahiduzzaman", "non-dropping-particle" : "", "parse-names" : false, "suffix" : "" }, { "dropping-particle" : "", "family" : "Siddiquea", "given" : "Bodrun Naher", "non-dropping-particle" : "", "parse-names" : false, "suffix" : "" } ], "container-title" : "PloS one", "id" : "ITEM-3", "issue" : "8", "issued" : { "date-parts" : [ [ "2014" ] ] }, "page" : "e105214", "publisher" : "Public Library of Science", "title" : "Development of multidrug resistant tuberculosis in Bangladesh: a case-control study on risk factors.", "type" : "article-journal", "volume" : "9" }, "uris" : [ "http://www.mendeley.com/documents/?uuid=3262b3f1-b798-309c-b3eb-471a466a59f1" ] } ], "mendeley" : { "formattedCitation" : "&lt;sup&gt;12\u201314&lt;/sup&gt;", "plainTextFormattedCitation" : "12\u201314", "previouslyFormattedCitation" : "&lt;sup&gt;12\u201314&lt;/sup&gt;" }, "properties" : { "noteIndex" : 0 }, "schema" : "https://github.com/citation-style-language/schema/raw/master/csl-citation.json" }</w:instrText>
      </w:r>
      <w:r w:rsidR="00293963">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12–14</w:t>
      </w:r>
      <w:r w:rsidR="00293963">
        <w:rPr>
          <w:rFonts w:ascii="Arial" w:hAnsi="Arial" w:cs="Arial"/>
          <w:color w:val="auto"/>
          <w:sz w:val="20"/>
          <w:szCs w:val="20"/>
        </w:rPr>
        <w:fldChar w:fldCharType="end"/>
      </w:r>
      <w:r w:rsidR="00293963">
        <w:rPr>
          <w:rFonts w:ascii="Arial" w:hAnsi="Arial" w:cs="Arial"/>
          <w:color w:val="auto"/>
          <w:sz w:val="20"/>
          <w:szCs w:val="20"/>
        </w:rPr>
        <w:t xml:space="preserve"> </w:t>
      </w:r>
      <w:r w:rsidR="00E23A76">
        <w:rPr>
          <w:rFonts w:ascii="Arial" w:hAnsi="Arial" w:cs="Arial"/>
          <w:color w:val="auto"/>
          <w:sz w:val="20"/>
          <w:szCs w:val="20"/>
        </w:rPr>
        <w:t xml:space="preserve">Therefore, </w:t>
      </w:r>
      <w:r w:rsidR="007931C1">
        <w:rPr>
          <w:rFonts w:ascii="Arial" w:hAnsi="Arial" w:cs="Arial"/>
          <w:color w:val="auto"/>
          <w:sz w:val="20"/>
          <w:szCs w:val="20"/>
        </w:rPr>
        <w:t>in</w:t>
      </w:r>
      <w:r w:rsidR="007931C1" w:rsidRPr="007931C1">
        <w:rPr>
          <w:rFonts w:ascii="Arial" w:hAnsi="Arial" w:cs="Arial"/>
          <w:color w:val="auto"/>
          <w:sz w:val="20"/>
          <w:szCs w:val="20"/>
        </w:rPr>
        <w:t xml:space="preserve"> </w:t>
      </w:r>
      <w:r w:rsidR="007931C1">
        <w:rPr>
          <w:rFonts w:ascii="Arial" w:hAnsi="Arial" w:cs="Arial"/>
          <w:color w:val="auto"/>
          <w:sz w:val="20"/>
          <w:szCs w:val="20"/>
        </w:rPr>
        <w:t xml:space="preserve">the smear/culture-based algorithm </w:t>
      </w:r>
      <w:r w:rsidR="006E655B">
        <w:rPr>
          <w:rFonts w:ascii="Arial" w:hAnsi="Arial" w:cs="Arial"/>
          <w:color w:val="auto"/>
          <w:sz w:val="20"/>
          <w:szCs w:val="20"/>
        </w:rPr>
        <w:t xml:space="preserve">DST </w:t>
      </w:r>
      <w:r w:rsidR="007931C1">
        <w:rPr>
          <w:rFonts w:ascii="Arial" w:hAnsi="Arial" w:cs="Arial"/>
          <w:color w:val="auto"/>
          <w:sz w:val="20"/>
          <w:szCs w:val="20"/>
        </w:rPr>
        <w:t xml:space="preserve">was limited to </w:t>
      </w:r>
      <w:r w:rsidR="00E23A76">
        <w:rPr>
          <w:rFonts w:ascii="Arial" w:hAnsi="Arial" w:cs="Arial"/>
          <w:color w:val="auto"/>
          <w:sz w:val="20"/>
          <w:szCs w:val="20"/>
        </w:rPr>
        <w:t>those with a history of previous TB treat</w:t>
      </w:r>
      <w:r w:rsidR="007931C1">
        <w:rPr>
          <w:rFonts w:ascii="Arial" w:hAnsi="Arial" w:cs="Arial"/>
          <w:color w:val="auto"/>
          <w:sz w:val="20"/>
          <w:szCs w:val="20"/>
        </w:rPr>
        <w:t>ment</w:t>
      </w:r>
      <w:r w:rsidR="00E23A76">
        <w:rPr>
          <w:rFonts w:ascii="Arial" w:hAnsi="Arial" w:cs="Arial"/>
          <w:color w:val="auto"/>
          <w:sz w:val="20"/>
          <w:szCs w:val="20"/>
        </w:rPr>
        <w:t xml:space="preserve">, MDR-TB contacts or those in congregate settings. </w:t>
      </w:r>
      <w:r w:rsidR="00F14A5E">
        <w:rPr>
          <w:rFonts w:ascii="Arial" w:hAnsi="Arial" w:cs="Arial"/>
          <w:color w:val="auto"/>
          <w:sz w:val="20"/>
          <w:szCs w:val="20"/>
        </w:rPr>
        <w:t>It was assumed that the small number of new TB case with MDR-TB missed pre-treatment would start 1</w:t>
      </w:r>
      <w:r w:rsidR="00F14A5E" w:rsidRPr="00F14A5E">
        <w:rPr>
          <w:rFonts w:ascii="Arial" w:hAnsi="Arial" w:cs="Arial"/>
          <w:color w:val="auto"/>
          <w:sz w:val="20"/>
          <w:szCs w:val="20"/>
          <w:vertAlign w:val="superscript"/>
        </w:rPr>
        <w:t>st</w:t>
      </w:r>
      <w:r w:rsidR="00F14A5E">
        <w:rPr>
          <w:rFonts w:ascii="Arial" w:hAnsi="Arial" w:cs="Arial"/>
          <w:color w:val="auto"/>
          <w:sz w:val="20"/>
          <w:szCs w:val="20"/>
        </w:rPr>
        <w:t xml:space="preserve">-line TB treatment and </w:t>
      </w:r>
      <w:r w:rsidR="00CB1596">
        <w:rPr>
          <w:rFonts w:ascii="Arial" w:hAnsi="Arial" w:cs="Arial"/>
          <w:color w:val="auto"/>
          <w:sz w:val="20"/>
          <w:szCs w:val="20"/>
        </w:rPr>
        <w:t xml:space="preserve">would </w:t>
      </w:r>
      <w:r w:rsidR="00F14A5E">
        <w:rPr>
          <w:rFonts w:ascii="Arial" w:hAnsi="Arial" w:cs="Arial"/>
          <w:color w:val="auto"/>
          <w:sz w:val="20"/>
          <w:szCs w:val="20"/>
        </w:rPr>
        <w:t>eventually</w:t>
      </w:r>
      <w:r w:rsidR="00CB1596">
        <w:rPr>
          <w:rFonts w:ascii="Arial" w:hAnsi="Arial" w:cs="Arial"/>
          <w:color w:val="auto"/>
          <w:sz w:val="20"/>
          <w:szCs w:val="20"/>
        </w:rPr>
        <w:t xml:space="preserve"> be</w:t>
      </w:r>
      <w:r w:rsidR="00F14A5E">
        <w:rPr>
          <w:rFonts w:ascii="Arial" w:hAnsi="Arial" w:cs="Arial"/>
          <w:color w:val="auto"/>
          <w:sz w:val="20"/>
          <w:szCs w:val="20"/>
        </w:rPr>
        <w:t xml:space="preserve"> diagnosed with MDR-TB </w:t>
      </w:r>
      <w:r w:rsidR="006E655B">
        <w:rPr>
          <w:rFonts w:ascii="Arial" w:hAnsi="Arial" w:cs="Arial"/>
          <w:color w:val="auto"/>
          <w:sz w:val="20"/>
          <w:szCs w:val="20"/>
        </w:rPr>
        <w:t xml:space="preserve">when </w:t>
      </w:r>
      <w:r w:rsidR="00F14A5E">
        <w:rPr>
          <w:rFonts w:ascii="Arial" w:hAnsi="Arial" w:cs="Arial"/>
          <w:color w:val="auto"/>
          <w:sz w:val="20"/>
          <w:szCs w:val="20"/>
        </w:rPr>
        <w:t>1</w:t>
      </w:r>
      <w:r w:rsidR="00F14A5E" w:rsidRPr="00F14A5E">
        <w:rPr>
          <w:rFonts w:ascii="Arial" w:hAnsi="Arial" w:cs="Arial"/>
          <w:color w:val="auto"/>
          <w:sz w:val="20"/>
          <w:szCs w:val="20"/>
          <w:vertAlign w:val="superscript"/>
        </w:rPr>
        <w:t>st</w:t>
      </w:r>
      <w:r w:rsidR="00F14A5E">
        <w:rPr>
          <w:rFonts w:ascii="Arial" w:hAnsi="Arial" w:cs="Arial"/>
          <w:color w:val="auto"/>
          <w:sz w:val="20"/>
          <w:szCs w:val="20"/>
        </w:rPr>
        <w:t>-line treatment</w:t>
      </w:r>
      <w:r w:rsidR="006E655B">
        <w:rPr>
          <w:rFonts w:ascii="Arial" w:hAnsi="Arial" w:cs="Arial"/>
          <w:color w:val="auto"/>
          <w:sz w:val="20"/>
          <w:szCs w:val="20"/>
        </w:rPr>
        <w:t xml:space="preserve"> failed</w:t>
      </w:r>
      <w:r w:rsidR="00F14A5E">
        <w:rPr>
          <w:rFonts w:ascii="Arial" w:hAnsi="Arial" w:cs="Arial"/>
          <w:color w:val="auto"/>
          <w:sz w:val="20"/>
          <w:szCs w:val="20"/>
        </w:rPr>
        <w:t xml:space="preserve">. </w:t>
      </w:r>
      <w:r w:rsidR="00C0604D">
        <w:rPr>
          <w:rFonts w:ascii="Arial" w:hAnsi="Arial" w:cs="Arial"/>
          <w:color w:val="auto"/>
          <w:sz w:val="20"/>
          <w:szCs w:val="20"/>
        </w:rPr>
        <w:t xml:space="preserve">In </w:t>
      </w:r>
      <w:r w:rsidR="00696549">
        <w:rPr>
          <w:rFonts w:ascii="Arial" w:hAnsi="Arial" w:cs="Arial"/>
          <w:color w:val="auto"/>
          <w:sz w:val="20"/>
          <w:szCs w:val="20"/>
        </w:rPr>
        <w:t>contrast,</w:t>
      </w:r>
      <w:r w:rsidR="00C0604D">
        <w:rPr>
          <w:rFonts w:ascii="Arial" w:hAnsi="Arial" w:cs="Arial"/>
          <w:color w:val="auto"/>
          <w:sz w:val="20"/>
          <w:szCs w:val="20"/>
        </w:rPr>
        <w:t xml:space="preserve"> </w:t>
      </w:r>
      <w:r w:rsidR="00E6220F">
        <w:rPr>
          <w:rFonts w:ascii="Arial" w:hAnsi="Arial" w:cs="Arial"/>
          <w:color w:val="auto"/>
          <w:sz w:val="20"/>
          <w:szCs w:val="20"/>
        </w:rPr>
        <w:t xml:space="preserve">with </w:t>
      </w:r>
      <w:r w:rsidR="00C0604D">
        <w:rPr>
          <w:rFonts w:ascii="Arial" w:hAnsi="Arial" w:cs="Arial"/>
          <w:color w:val="auto"/>
          <w:sz w:val="20"/>
          <w:szCs w:val="20"/>
        </w:rPr>
        <w:t xml:space="preserve">the Xpert-based algorithm all presumptive </w:t>
      </w:r>
      <w:r w:rsidR="000713B3">
        <w:rPr>
          <w:rFonts w:ascii="Arial" w:hAnsi="Arial" w:cs="Arial"/>
          <w:color w:val="auto"/>
          <w:sz w:val="20"/>
          <w:szCs w:val="20"/>
        </w:rPr>
        <w:t xml:space="preserve">TB </w:t>
      </w:r>
      <w:r w:rsidR="00C0604D">
        <w:rPr>
          <w:rFonts w:ascii="Arial" w:hAnsi="Arial" w:cs="Arial"/>
          <w:color w:val="auto"/>
          <w:sz w:val="20"/>
          <w:szCs w:val="20"/>
        </w:rPr>
        <w:t>cases</w:t>
      </w:r>
      <w:r w:rsidR="000713B3">
        <w:rPr>
          <w:rFonts w:ascii="Arial" w:hAnsi="Arial" w:cs="Arial"/>
          <w:color w:val="auto"/>
          <w:sz w:val="20"/>
          <w:szCs w:val="20"/>
        </w:rPr>
        <w:t xml:space="preserve"> receive an Xpert test and are simultaneously screened for </w:t>
      </w:r>
      <w:r w:rsidR="000B683A" w:rsidRPr="001500E1">
        <w:rPr>
          <w:rFonts w:ascii="Arial" w:hAnsi="Arial" w:cs="Arial"/>
          <w:color w:val="auto"/>
          <w:sz w:val="20"/>
          <w:szCs w:val="20"/>
        </w:rPr>
        <w:t>RMP-R</w:t>
      </w:r>
      <w:r w:rsidR="00C0604D">
        <w:rPr>
          <w:rFonts w:ascii="Arial" w:hAnsi="Arial" w:cs="Arial"/>
          <w:color w:val="auto"/>
          <w:sz w:val="20"/>
          <w:szCs w:val="20"/>
        </w:rPr>
        <w:t xml:space="preserve">. </w:t>
      </w:r>
    </w:p>
    <w:p w14:paraId="78979B4D" w14:textId="77777777" w:rsidR="00E6220F" w:rsidRDefault="00E6220F" w:rsidP="00FC1AAF">
      <w:pPr>
        <w:pStyle w:val="Default"/>
        <w:spacing w:line="360" w:lineRule="auto"/>
        <w:jc w:val="both"/>
        <w:rPr>
          <w:rFonts w:ascii="Arial" w:hAnsi="Arial" w:cs="Arial"/>
          <w:color w:val="auto"/>
          <w:sz w:val="20"/>
          <w:szCs w:val="20"/>
        </w:rPr>
      </w:pPr>
    </w:p>
    <w:p w14:paraId="6B2DE264" w14:textId="2E0598D5" w:rsidR="00307BC0" w:rsidRDefault="0019745D" w:rsidP="00BD7070">
      <w:pPr>
        <w:pStyle w:val="Default"/>
        <w:spacing w:line="360" w:lineRule="auto"/>
        <w:jc w:val="both"/>
        <w:rPr>
          <w:rFonts w:ascii="Arial" w:hAnsi="Arial" w:cs="Arial"/>
          <w:color w:val="auto"/>
          <w:sz w:val="20"/>
          <w:szCs w:val="20"/>
        </w:rPr>
      </w:pPr>
      <w:r>
        <w:rPr>
          <w:rFonts w:ascii="Arial" w:hAnsi="Arial" w:cs="Arial"/>
          <w:color w:val="auto"/>
          <w:sz w:val="20"/>
          <w:szCs w:val="20"/>
        </w:rPr>
        <w:t>T</w:t>
      </w:r>
      <w:r w:rsidR="00932AEB">
        <w:rPr>
          <w:rFonts w:ascii="Arial" w:hAnsi="Arial" w:cs="Arial"/>
          <w:color w:val="auto"/>
          <w:sz w:val="20"/>
          <w:szCs w:val="20"/>
        </w:rPr>
        <w:t xml:space="preserve">he </w:t>
      </w:r>
      <w:r w:rsidR="00932AEB" w:rsidRPr="00CF0341">
        <w:rPr>
          <w:rFonts w:ascii="Arial" w:hAnsi="Arial" w:cs="Arial"/>
          <w:color w:val="auto"/>
          <w:sz w:val="20"/>
          <w:szCs w:val="20"/>
        </w:rPr>
        <w:t>PROVE IT</w:t>
      </w:r>
      <w:r w:rsidR="00932AEB">
        <w:rPr>
          <w:rFonts w:ascii="Arial" w:hAnsi="Arial" w:cs="Arial"/>
          <w:color w:val="auto"/>
          <w:sz w:val="20"/>
          <w:szCs w:val="20"/>
        </w:rPr>
        <w:t xml:space="preserve"> </w:t>
      </w:r>
      <w:r w:rsidR="00932AEB" w:rsidRPr="00CF0341">
        <w:rPr>
          <w:rFonts w:ascii="Arial" w:hAnsi="Arial" w:cs="Arial"/>
          <w:color w:val="auto"/>
          <w:sz w:val="20"/>
          <w:szCs w:val="20"/>
        </w:rPr>
        <w:t>Study</w:t>
      </w:r>
      <w:r w:rsidR="00517A6D">
        <w:rPr>
          <w:rFonts w:ascii="Arial" w:hAnsi="Arial" w:cs="Arial"/>
          <w:color w:val="auto"/>
          <w:sz w:val="20"/>
          <w:szCs w:val="20"/>
        </w:rPr>
        <w:t xml:space="preserve"> which </w:t>
      </w:r>
      <w:r w:rsidR="00421AC0">
        <w:rPr>
          <w:rFonts w:ascii="Arial" w:hAnsi="Arial" w:cs="Arial"/>
          <w:color w:val="auto"/>
          <w:sz w:val="20"/>
          <w:szCs w:val="20"/>
        </w:rPr>
        <w:t xml:space="preserve">used </w:t>
      </w:r>
      <w:r w:rsidR="00421AC0" w:rsidRPr="00421AC0">
        <w:rPr>
          <w:rFonts w:ascii="Arial" w:hAnsi="Arial" w:cs="Arial"/>
          <w:color w:val="auto"/>
          <w:sz w:val="20"/>
          <w:szCs w:val="20"/>
        </w:rPr>
        <w:t xml:space="preserve">a non-randomised stepped-wedge design </w:t>
      </w:r>
      <w:r w:rsidR="00B11C1D">
        <w:rPr>
          <w:rFonts w:ascii="Arial" w:hAnsi="Arial" w:cs="Arial"/>
          <w:color w:val="auto"/>
          <w:sz w:val="20"/>
          <w:szCs w:val="20"/>
        </w:rPr>
        <w:t xml:space="preserve">to </w:t>
      </w:r>
      <w:r w:rsidR="00702AC4">
        <w:rPr>
          <w:rFonts w:ascii="Arial" w:hAnsi="Arial" w:cs="Arial"/>
          <w:color w:val="auto"/>
          <w:sz w:val="20"/>
          <w:szCs w:val="20"/>
        </w:rPr>
        <w:t>compare</w:t>
      </w:r>
      <w:r w:rsidR="00932AEB">
        <w:rPr>
          <w:rFonts w:ascii="Arial" w:hAnsi="Arial" w:cs="Arial"/>
          <w:color w:val="auto"/>
          <w:sz w:val="20"/>
          <w:szCs w:val="20"/>
        </w:rPr>
        <w:t xml:space="preserve"> TB yield between the smear/culture and Xpert-based algorithms </w:t>
      </w:r>
      <w:r>
        <w:rPr>
          <w:rFonts w:ascii="Arial" w:hAnsi="Arial" w:cs="Arial"/>
          <w:color w:val="auto"/>
          <w:sz w:val="20"/>
          <w:szCs w:val="20"/>
        </w:rPr>
        <w:t xml:space="preserve">found </w:t>
      </w:r>
      <w:r w:rsidR="00A33A92">
        <w:rPr>
          <w:rFonts w:ascii="Arial" w:hAnsi="Arial" w:cs="Arial"/>
          <w:color w:val="auto"/>
          <w:sz w:val="20"/>
          <w:szCs w:val="20"/>
        </w:rPr>
        <w:t>no difference in TB yield between algorithms</w:t>
      </w:r>
      <w:r w:rsidR="00BB1748">
        <w:rPr>
          <w:rFonts w:ascii="Arial" w:hAnsi="Arial" w:cs="Arial"/>
          <w:color w:val="auto"/>
          <w:sz w:val="20"/>
          <w:szCs w:val="20"/>
        </w:rPr>
        <w:fldChar w:fldCharType="begin" w:fldLock="1"/>
      </w:r>
      <w:r w:rsidR="003147E8">
        <w:rPr>
          <w:rFonts w:ascii="Arial" w:hAnsi="Arial" w:cs="Arial"/>
          <w:color w:val="auto"/>
          <w:sz w:val="20"/>
          <w:szCs w:val="20"/>
        </w:rPr>
        <w:instrText>ADDIN CSL_CITATION { "citationItems" : [ { "id" : "ITEM-1",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"ITEM-1",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"&lt;sup&gt;11&lt;/sup&gt;", "plainTextFormattedCitation" : "11", "previouslyFormattedCitation" : "&lt;sup&gt;11&lt;/sup&gt;" }, "properties" : { "noteIndex" : 0 }, "schema" : "https://github.com/citation-style-language/schema/raw/master/csl-citation.json" }</w:instrText>
      </w:r>
      <w:r w:rsidR="00BB1748">
        <w:rPr>
          <w:rFonts w:ascii="Arial" w:hAnsi="Arial" w:cs="Arial"/>
          <w:color w:val="auto"/>
          <w:sz w:val="20"/>
          <w:szCs w:val="20"/>
        </w:rPr>
        <w:fldChar w:fldCharType="separate"/>
      </w:r>
      <w:r w:rsidR="0050723B" w:rsidRPr="0050723B">
        <w:rPr>
          <w:rFonts w:ascii="Arial" w:hAnsi="Arial" w:cs="Arial"/>
          <w:noProof/>
          <w:color w:val="auto"/>
          <w:sz w:val="20"/>
          <w:szCs w:val="20"/>
          <w:vertAlign w:val="superscript"/>
        </w:rPr>
        <w:t>11</w:t>
      </w:r>
      <w:r w:rsidR="00BB1748">
        <w:rPr>
          <w:rFonts w:ascii="Arial" w:hAnsi="Arial" w:cs="Arial"/>
          <w:color w:val="auto"/>
          <w:sz w:val="20"/>
          <w:szCs w:val="20"/>
        </w:rPr>
        <w:fldChar w:fldCharType="end"/>
      </w:r>
      <w:r w:rsidR="00BB1748">
        <w:rPr>
          <w:rFonts w:ascii="Arial" w:hAnsi="Arial" w:cs="Arial"/>
          <w:color w:val="auto"/>
          <w:sz w:val="20"/>
          <w:szCs w:val="20"/>
        </w:rPr>
        <w:t>.</w:t>
      </w:r>
      <w:r w:rsidR="00A33A92">
        <w:rPr>
          <w:rFonts w:ascii="Arial" w:hAnsi="Arial" w:cs="Arial"/>
          <w:color w:val="auto"/>
          <w:sz w:val="20"/>
          <w:szCs w:val="20"/>
        </w:rPr>
        <w:t xml:space="preserve"> </w:t>
      </w:r>
      <w:r>
        <w:rPr>
          <w:rFonts w:ascii="Arial" w:hAnsi="Arial" w:cs="Arial"/>
          <w:color w:val="auto"/>
          <w:sz w:val="20"/>
          <w:szCs w:val="20"/>
        </w:rPr>
        <w:t xml:space="preserve">Possible factors </w:t>
      </w:r>
      <w:r w:rsidR="00383C13">
        <w:rPr>
          <w:rFonts w:ascii="Arial" w:hAnsi="Arial" w:cs="Arial"/>
          <w:color w:val="auto"/>
          <w:sz w:val="20"/>
          <w:szCs w:val="20"/>
        </w:rPr>
        <w:t xml:space="preserve">contributing to </w:t>
      </w:r>
      <w:r w:rsidR="00BB1748">
        <w:rPr>
          <w:rFonts w:ascii="Arial" w:hAnsi="Arial" w:cs="Arial"/>
          <w:color w:val="auto"/>
          <w:sz w:val="20"/>
          <w:szCs w:val="20"/>
        </w:rPr>
        <w:t xml:space="preserve">this </w:t>
      </w:r>
      <w:r w:rsidR="00383C13">
        <w:rPr>
          <w:rFonts w:ascii="Arial" w:hAnsi="Arial" w:cs="Arial"/>
          <w:color w:val="auto"/>
          <w:sz w:val="20"/>
          <w:szCs w:val="20"/>
        </w:rPr>
        <w:t xml:space="preserve">finding </w:t>
      </w:r>
      <w:r>
        <w:rPr>
          <w:rFonts w:ascii="Arial" w:hAnsi="Arial" w:cs="Arial"/>
          <w:color w:val="auto"/>
          <w:sz w:val="20"/>
          <w:szCs w:val="20"/>
        </w:rPr>
        <w:t>include</w:t>
      </w:r>
      <w:r w:rsidR="00B11C1D">
        <w:rPr>
          <w:rFonts w:ascii="Arial" w:hAnsi="Arial" w:cs="Arial"/>
          <w:color w:val="auto"/>
          <w:sz w:val="20"/>
          <w:szCs w:val="20"/>
        </w:rPr>
        <w:t>d</w:t>
      </w:r>
      <w:r w:rsidR="00383C13">
        <w:rPr>
          <w:rFonts w:ascii="Arial" w:hAnsi="Arial" w:cs="Arial"/>
          <w:color w:val="auto"/>
          <w:sz w:val="20"/>
          <w:szCs w:val="20"/>
        </w:rPr>
        <w:t xml:space="preserve"> the following</w:t>
      </w:r>
      <w:r w:rsidR="00932AEB">
        <w:rPr>
          <w:rFonts w:ascii="Arial" w:hAnsi="Arial" w:cs="Arial"/>
          <w:color w:val="auto"/>
          <w:sz w:val="20"/>
          <w:szCs w:val="20"/>
        </w:rPr>
        <w:t xml:space="preserve">: (1) a decline in TB prevalence </w:t>
      </w:r>
      <w:r>
        <w:rPr>
          <w:rFonts w:ascii="Arial" w:hAnsi="Arial" w:cs="Arial"/>
          <w:color w:val="auto"/>
          <w:sz w:val="20"/>
          <w:szCs w:val="20"/>
        </w:rPr>
        <w:t>over time</w:t>
      </w:r>
      <w:r w:rsidR="00932AEB">
        <w:rPr>
          <w:rFonts w:ascii="Arial" w:hAnsi="Arial" w:cs="Arial"/>
          <w:color w:val="auto"/>
          <w:sz w:val="20"/>
          <w:szCs w:val="20"/>
        </w:rPr>
        <w:t xml:space="preserve">; (2) </w:t>
      </w:r>
      <w:r>
        <w:rPr>
          <w:rFonts w:ascii="Arial" w:hAnsi="Arial" w:cs="Arial"/>
          <w:color w:val="auto"/>
          <w:sz w:val="20"/>
          <w:szCs w:val="20"/>
        </w:rPr>
        <w:t xml:space="preserve">higher than expected </w:t>
      </w:r>
      <w:r w:rsidR="00932AEB">
        <w:rPr>
          <w:rFonts w:ascii="Arial" w:hAnsi="Arial" w:cs="Arial"/>
          <w:color w:val="auto"/>
          <w:sz w:val="20"/>
          <w:szCs w:val="20"/>
        </w:rPr>
        <w:t xml:space="preserve">use of culture in the smear/culture-based algorithm; (3) limited use of culture for </w:t>
      </w:r>
      <w:r w:rsidR="00383C13">
        <w:rPr>
          <w:rFonts w:ascii="Arial" w:hAnsi="Arial" w:cs="Arial"/>
          <w:color w:val="auto"/>
          <w:sz w:val="20"/>
          <w:szCs w:val="20"/>
        </w:rPr>
        <w:t xml:space="preserve">HIV-infected </w:t>
      </w:r>
      <w:r w:rsidR="00932AEB">
        <w:rPr>
          <w:rFonts w:ascii="Arial" w:hAnsi="Arial" w:cs="Arial"/>
          <w:color w:val="auto"/>
          <w:sz w:val="20"/>
          <w:szCs w:val="20"/>
        </w:rPr>
        <w:t>Xpert-negative cases;</w:t>
      </w:r>
      <w:r w:rsidR="00B11C1D">
        <w:rPr>
          <w:rFonts w:ascii="Arial" w:hAnsi="Arial" w:cs="Arial"/>
          <w:color w:val="auto"/>
          <w:sz w:val="20"/>
          <w:szCs w:val="20"/>
        </w:rPr>
        <w:t xml:space="preserve"> </w:t>
      </w:r>
      <w:r w:rsidR="00932AEB">
        <w:rPr>
          <w:rFonts w:ascii="Arial" w:hAnsi="Arial" w:cs="Arial"/>
          <w:color w:val="auto"/>
          <w:sz w:val="20"/>
          <w:szCs w:val="20"/>
        </w:rPr>
        <w:t>(4)</w:t>
      </w:r>
      <w:r>
        <w:rPr>
          <w:rFonts w:ascii="Arial" w:hAnsi="Arial" w:cs="Arial"/>
          <w:color w:val="auto"/>
          <w:sz w:val="20"/>
          <w:szCs w:val="20"/>
        </w:rPr>
        <w:t xml:space="preserve"> </w:t>
      </w:r>
      <w:r w:rsidR="00B11C1D">
        <w:rPr>
          <w:rFonts w:ascii="Arial" w:hAnsi="Arial" w:cs="Arial"/>
          <w:color w:val="auto"/>
          <w:sz w:val="20"/>
          <w:szCs w:val="20"/>
        </w:rPr>
        <w:t xml:space="preserve">and </w:t>
      </w:r>
      <w:r>
        <w:rPr>
          <w:rFonts w:ascii="Arial" w:hAnsi="Arial" w:cs="Arial"/>
          <w:color w:val="auto"/>
          <w:sz w:val="20"/>
          <w:szCs w:val="20"/>
        </w:rPr>
        <w:t>poor adherence to the Xpert-based algorithm</w:t>
      </w:r>
      <w:r w:rsidR="007B3A62">
        <w:rPr>
          <w:rFonts w:ascii="Arial" w:hAnsi="Arial" w:cs="Arial"/>
          <w:color w:val="auto"/>
          <w:sz w:val="20"/>
          <w:szCs w:val="20"/>
        </w:rPr>
        <w:t xml:space="preserve">. </w:t>
      </w:r>
      <w:r w:rsidR="00BB1748">
        <w:rPr>
          <w:rFonts w:ascii="Arial" w:hAnsi="Arial" w:cs="Arial"/>
          <w:color w:val="auto"/>
          <w:sz w:val="20"/>
          <w:szCs w:val="20"/>
        </w:rPr>
        <w:t xml:space="preserve">Despite this, the PROVE IT study found </w:t>
      </w:r>
      <w:r w:rsidR="00BB1748" w:rsidRPr="00BB1748">
        <w:rPr>
          <w:rFonts w:ascii="Arial" w:hAnsi="Arial" w:cs="Arial"/>
          <w:color w:val="auto"/>
          <w:sz w:val="20"/>
          <w:szCs w:val="20"/>
        </w:rPr>
        <w:t>a 54% increase in the number of RMP-R TB cases diagnosed pre-treatment (from 269 to 415)</w:t>
      </w:r>
      <w:r w:rsidR="00BB1748" w:rsidRPr="00BB1748">
        <w:rPr>
          <w:rFonts w:ascii="Arial" w:hAnsi="Arial" w:cs="Arial"/>
          <w:color w:val="auto"/>
          <w:sz w:val="20"/>
          <w:szCs w:val="20"/>
        </w:rPr>
        <w:fldChar w:fldCharType="begin" w:fldLock="1"/>
      </w:r>
      <w:r w:rsidR="003147E8">
        <w:rPr>
          <w:rFonts w:ascii="Arial" w:hAnsi="Arial" w:cs="Arial"/>
          <w:color w:val="auto"/>
          <w:sz w:val="20"/>
          <w:szCs w:val="20"/>
        </w:rPr>
        <w:instrText>ADDIN CSL_CITATION { "citationItems" : [ { "id" : "ITEM-1", "itemData" : { "DOI" : "10.1371/journal.pone.0172143", "ISSN" : "1932-6203", "author" : [ { "dropping-particle" : "", "family" : "Naidoo", "given" : "Pren", "non-dropping-particle" : "", "parse-names" : false, "suffix" : "" }, { "dropping-particle" : "", "family" : "Dunbar", "given" : "Rory", "non-dropping-particle" : "", "parse-names" : false, "suffix" : "" }, { "dropping-particle" : "", "family" : "Caldwell", "given" : "Judy", "non-dropping-particle" : "", "parse-names" : false, "suffix" : "" }, { "dropping-particle" : "", "family" : "Lombard", "given" : "Carl", "non-dropping-particle" : "", "parse-names" : false, "suffix" : "" }, { "dropping-particle" : "", "family" : "Beyers", "given" : "Nulda", "non-dropping-particle" : "", "parse-names" : false, "suffix" : "" } ], "container-title" : "PLOS ONE", "editor" : [ { "dropping-particle" : "", "family" : "Pai", "given" : "Madhukar", "non-dropping-particle" : "", "parse-names" : false, "suffix" : "" } ], "id" : "ITEM-1", "issue" : "2", "issued" : { "date-parts" : [ [ "2017", "2", "15" ] ] }, "page" : "e0172143", "publisher" : "Public Library of Science", "title" : "Has universal screening with Xpert\u00ae MTB/RIF increased the proportion of multidrug-resistant tuberculosis cases diagnosed in a routine operational setting?", "type" : "article-journal", "volume" : "12" }, "uris" : [ "http://www.mendeley.com/documents/?uuid=ec19f3b9-b35a-3fa9-bb81-f957bbf073fc" ] } ], "mendeley" : { "formattedCitation" : "&lt;sup&gt;6&lt;/sup&gt;", "plainTextFormattedCitation" : "6", "previouslyFormattedCitation" : "&lt;sup&gt;6&lt;/sup&gt;" }, "properties" : { "noteIndex" : 0 }, "schema" : "https://github.com/citation-style-language/schema/raw/master/csl-citation.json" }</w:instrText>
      </w:r>
      <w:r w:rsidR="00BB1748" w:rsidRPr="00BB1748">
        <w:rPr>
          <w:rFonts w:ascii="Arial" w:hAnsi="Arial" w:cs="Arial"/>
          <w:color w:val="auto"/>
          <w:sz w:val="20"/>
          <w:szCs w:val="20"/>
        </w:rPr>
        <w:fldChar w:fldCharType="separate"/>
      </w:r>
      <w:r w:rsidR="0050723B" w:rsidRPr="0050723B">
        <w:rPr>
          <w:rFonts w:ascii="Arial" w:hAnsi="Arial" w:cs="Arial"/>
          <w:noProof/>
          <w:sz w:val="20"/>
          <w:szCs w:val="20"/>
          <w:vertAlign w:val="superscript"/>
        </w:rPr>
        <w:t>6</w:t>
      </w:r>
      <w:r w:rsidR="00BB1748" w:rsidRPr="00BB1748">
        <w:rPr>
          <w:rFonts w:ascii="Arial" w:hAnsi="Arial" w:cs="Arial"/>
          <w:color w:val="auto"/>
          <w:sz w:val="20"/>
          <w:szCs w:val="20"/>
        </w:rPr>
        <w:fldChar w:fldCharType="end"/>
      </w:r>
      <w:r w:rsidR="002A1855">
        <w:rPr>
          <w:rFonts w:ascii="Arial" w:hAnsi="Arial" w:cs="Arial"/>
          <w:color w:val="auto"/>
          <w:sz w:val="20"/>
          <w:szCs w:val="20"/>
        </w:rPr>
        <w:t xml:space="preserve">, which </w:t>
      </w:r>
      <w:r w:rsidR="00BB1748">
        <w:rPr>
          <w:rFonts w:ascii="Arial" w:hAnsi="Arial" w:cs="Arial"/>
          <w:color w:val="auto"/>
          <w:sz w:val="20"/>
          <w:szCs w:val="20"/>
        </w:rPr>
        <w:t xml:space="preserve">may be an underestimate of the </w:t>
      </w:r>
      <w:r w:rsidR="002A1855">
        <w:rPr>
          <w:rFonts w:ascii="Arial" w:hAnsi="Arial" w:cs="Arial"/>
          <w:color w:val="auto"/>
          <w:sz w:val="20"/>
          <w:szCs w:val="20"/>
        </w:rPr>
        <w:t>benefit</w:t>
      </w:r>
      <w:r w:rsidR="00BB1748">
        <w:rPr>
          <w:rFonts w:ascii="Arial" w:hAnsi="Arial" w:cs="Arial"/>
          <w:color w:val="auto"/>
          <w:sz w:val="20"/>
          <w:szCs w:val="20"/>
        </w:rPr>
        <w:t xml:space="preserve"> of the Xpert-</w:t>
      </w:r>
      <w:r w:rsidR="00BB1748">
        <w:rPr>
          <w:rFonts w:ascii="Arial" w:hAnsi="Arial" w:cs="Arial"/>
          <w:color w:val="auto"/>
          <w:sz w:val="20"/>
          <w:szCs w:val="20"/>
        </w:rPr>
        <w:lastRenderedPageBreak/>
        <w:t xml:space="preserve">based algorithm on RMP-R TB diagnosis. </w:t>
      </w:r>
      <w:r>
        <w:rPr>
          <w:rFonts w:ascii="Arial" w:hAnsi="Arial" w:cs="Arial"/>
          <w:color w:val="auto"/>
          <w:sz w:val="20"/>
          <w:szCs w:val="20"/>
        </w:rPr>
        <w:t>The model allowed us to address these issues and enable</w:t>
      </w:r>
      <w:r w:rsidR="00A33A92">
        <w:rPr>
          <w:rFonts w:ascii="Arial" w:hAnsi="Arial" w:cs="Arial"/>
          <w:color w:val="auto"/>
          <w:sz w:val="20"/>
          <w:szCs w:val="20"/>
        </w:rPr>
        <w:t>d</w:t>
      </w:r>
      <w:r>
        <w:rPr>
          <w:rFonts w:ascii="Arial" w:hAnsi="Arial" w:cs="Arial"/>
          <w:color w:val="auto"/>
          <w:sz w:val="20"/>
          <w:szCs w:val="20"/>
        </w:rPr>
        <w:t xml:space="preserve"> comparison of</w:t>
      </w:r>
      <w:r w:rsidR="008F02B3">
        <w:rPr>
          <w:rFonts w:ascii="Arial" w:hAnsi="Arial" w:cs="Arial"/>
          <w:color w:val="auto"/>
          <w:sz w:val="20"/>
          <w:szCs w:val="20"/>
        </w:rPr>
        <w:t xml:space="preserve"> the two algorithm</w:t>
      </w:r>
      <w:r>
        <w:rPr>
          <w:rFonts w:ascii="Arial" w:hAnsi="Arial" w:cs="Arial"/>
          <w:color w:val="auto"/>
          <w:sz w:val="20"/>
          <w:szCs w:val="20"/>
        </w:rPr>
        <w:t>s</w:t>
      </w:r>
      <w:r w:rsidR="008F02B3">
        <w:rPr>
          <w:rFonts w:ascii="Arial" w:hAnsi="Arial" w:cs="Arial"/>
          <w:color w:val="auto"/>
          <w:sz w:val="20"/>
          <w:szCs w:val="20"/>
        </w:rPr>
        <w:t xml:space="preserve"> with </w:t>
      </w:r>
      <w:r>
        <w:rPr>
          <w:rFonts w:ascii="Arial" w:hAnsi="Arial" w:cs="Arial"/>
          <w:color w:val="auto"/>
          <w:sz w:val="20"/>
          <w:szCs w:val="20"/>
        </w:rPr>
        <w:t>similar</w:t>
      </w:r>
      <w:r w:rsidR="008F02B3">
        <w:rPr>
          <w:rFonts w:ascii="Arial" w:hAnsi="Arial" w:cs="Arial"/>
          <w:color w:val="auto"/>
          <w:sz w:val="20"/>
          <w:szCs w:val="20"/>
        </w:rPr>
        <w:t xml:space="preserve"> adherence </w:t>
      </w:r>
      <w:r w:rsidR="005C6BF4">
        <w:rPr>
          <w:rFonts w:ascii="Arial" w:hAnsi="Arial" w:cs="Arial"/>
          <w:color w:val="auto"/>
          <w:sz w:val="20"/>
          <w:szCs w:val="20"/>
        </w:rPr>
        <w:t xml:space="preserve">and identical population characteristics. </w:t>
      </w:r>
    </w:p>
    <w:p w14:paraId="5A52F543" w14:textId="77777777" w:rsidR="00307BC0" w:rsidRDefault="00307BC0" w:rsidP="00BD7070">
      <w:pPr>
        <w:pStyle w:val="Default"/>
        <w:spacing w:line="360" w:lineRule="auto"/>
        <w:jc w:val="both"/>
        <w:rPr>
          <w:rFonts w:ascii="Arial" w:hAnsi="Arial" w:cs="Arial"/>
          <w:color w:val="auto"/>
          <w:sz w:val="20"/>
          <w:szCs w:val="20"/>
        </w:rPr>
      </w:pPr>
    </w:p>
    <w:p w14:paraId="3B97EA93" w14:textId="2D830823" w:rsidR="004518A3" w:rsidRDefault="00A33A92" w:rsidP="00E43ECC">
      <w:pPr>
        <w:pStyle w:val="Default"/>
        <w:spacing w:line="360" w:lineRule="auto"/>
        <w:jc w:val="both"/>
        <w:rPr>
          <w:rFonts w:ascii="Arial" w:hAnsi="Arial" w:cs="Arial"/>
          <w:color w:val="auto"/>
          <w:sz w:val="20"/>
          <w:szCs w:val="20"/>
        </w:rPr>
      </w:pPr>
      <w:r w:rsidRPr="00F53EA7">
        <w:rPr>
          <w:rFonts w:ascii="Arial" w:hAnsi="Arial" w:cs="Arial"/>
          <w:color w:val="auto"/>
          <w:sz w:val="20"/>
          <w:szCs w:val="20"/>
        </w:rPr>
        <w:t xml:space="preserve">The model </w:t>
      </w:r>
      <w:r w:rsidR="00F53EA7">
        <w:rPr>
          <w:rFonts w:ascii="Arial" w:hAnsi="Arial" w:cs="Arial"/>
          <w:color w:val="auto"/>
          <w:sz w:val="20"/>
          <w:szCs w:val="20"/>
        </w:rPr>
        <w:t>showed</w:t>
      </w:r>
      <w:r w:rsidR="00F53EA7" w:rsidRPr="00F53EA7">
        <w:rPr>
          <w:rFonts w:ascii="Arial" w:hAnsi="Arial" w:cs="Arial"/>
          <w:color w:val="auto"/>
          <w:sz w:val="20"/>
          <w:szCs w:val="20"/>
        </w:rPr>
        <w:t xml:space="preserve"> </w:t>
      </w:r>
      <w:r w:rsidRPr="00F53EA7">
        <w:rPr>
          <w:rFonts w:ascii="Arial" w:hAnsi="Arial" w:cs="Arial"/>
          <w:color w:val="auto"/>
          <w:sz w:val="20"/>
          <w:szCs w:val="20"/>
        </w:rPr>
        <w:t xml:space="preserve">small differences in the number of TB cases </w:t>
      </w:r>
      <w:r w:rsidR="001D5894">
        <w:rPr>
          <w:rFonts w:ascii="Arial" w:hAnsi="Arial" w:cs="Arial"/>
          <w:color w:val="auto"/>
          <w:sz w:val="20"/>
          <w:szCs w:val="20"/>
        </w:rPr>
        <w:t>identified</w:t>
      </w:r>
      <w:r w:rsidRPr="00F53EA7">
        <w:rPr>
          <w:rFonts w:ascii="Arial" w:hAnsi="Arial" w:cs="Arial"/>
          <w:color w:val="auto"/>
          <w:sz w:val="20"/>
          <w:szCs w:val="20"/>
        </w:rPr>
        <w:t xml:space="preserve"> </w:t>
      </w:r>
      <w:r w:rsidR="004206C3" w:rsidRPr="004206C3">
        <w:rPr>
          <w:rFonts w:ascii="Arial" w:hAnsi="Arial" w:cs="Arial"/>
          <w:color w:val="FF0000"/>
          <w:sz w:val="20"/>
          <w:szCs w:val="20"/>
        </w:rPr>
        <w:t xml:space="preserve">(Table 3) </w:t>
      </w:r>
      <w:r w:rsidRPr="00F53EA7">
        <w:rPr>
          <w:rFonts w:ascii="Arial" w:hAnsi="Arial" w:cs="Arial"/>
          <w:color w:val="auto"/>
          <w:sz w:val="20"/>
          <w:szCs w:val="20"/>
        </w:rPr>
        <w:t>betw</w:t>
      </w:r>
      <w:r w:rsidR="00FC7E69" w:rsidRPr="00F53EA7">
        <w:rPr>
          <w:rFonts w:ascii="Arial" w:hAnsi="Arial" w:cs="Arial"/>
          <w:color w:val="auto"/>
          <w:sz w:val="20"/>
          <w:szCs w:val="20"/>
        </w:rPr>
        <w:t xml:space="preserve">een the smear/culture and </w:t>
      </w:r>
      <w:r w:rsidR="00FC7E69">
        <w:rPr>
          <w:rFonts w:ascii="Arial" w:hAnsi="Arial" w:cs="Arial"/>
          <w:color w:val="auto"/>
          <w:sz w:val="20"/>
          <w:szCs w:val="20"/>
        </w:rPr>
        <w:t>Xpert-</w:t>
      </w:r>
      <w:r w:rsidRPr="00A33A92">
        <w:rPr>
          <w:rFonts w:ascii="Arial" w:hAnsi="Arial" w:cs="Arial"/>
          <w:color w:val="auto"/>
          <w:sz w:val="20"/>
          <w:szCs w:val="20"/>
        </w:rPr>
        <w:t>based algorithm</w:t>
      </w:r>
      <w:r>
        <w:rPr>
          <w:rFonts w:ascii="Arial" w:hAnsi="Arial" w:cs="Arial"/>
          <w:color w:val="auto"/>
          <w:sz w:val="20"/>
          <w:szCs w:val="20"/>
        </w:rPr>
        <w:t>s (</w:t>
      </w:r>
      <w:r w:rsidR="00581E68">
        <w:rPr>
          <w:rFonts w:ascii="Arial" w:hAnsi="Arial" w:cs="Arial"/>
          <w:color w:val="auto"/>
          <w:sz w:val="20"/>
          <w:szCs w:val="20"/>
        </w:rPr>
        <w:t xml:space="preserve">a 5.5% and 5.1% increase in TB yield </w:t>
      </w:r>
      <w:r>
        <w:rPr>
          <w:rFonts w:ascii="Arial" w:hAnsi="Arial" w:cs="Arial"/>
          <w:color w:val="auto"/>
          <w:sz w:val="20"/>
          <w:szCs w:val="20"/>
        </w:rPr>
        <w:t xml:space="preserve">when </w:t>
      </w:r>
      <w:r w:rsidR="00581E68">
        <w:rPr>
          <w:rFonts w:ascii="Arial" w:hAnsi="Arial" w:cs="Arial"/>
          <w:color w:val="auto"/>
          <w:sz w:val="20"/>
          <w:szCs w:val="20"/>
        </w:rPr>
        <w:t xml:space="preserve">60% and 100% of presumptive cases </w:t>
      </w:r>
      <w:r w:rsidR="00FC7E69">
        <w:rPr>
          <w:rFonts w:ascii="Arial" w:hAnsi="Arial" w:cs="Arial"/>
          <w:color w:val="auto"/>
          <w:sz w:val="20"/>
          <w:szCs w:val="20"/>
        </w:rPr>
        <w:t>respectively kne</w:t>
      </w:r>
      <w:r>
        <w:rPr>
          <w:rFonts w:ascii="Arial" w:hAnsi="Arial" w:cs="Arial"/>
          <w:color w:val="auto"/>
          <w:sz w:val="20"/>
          <w:szCs w:val="20"/>
        </w:rPr>
        <w:t xml:space="preserve">w </w:t>
      </w:r>
      <w:r w:rsidR="00581E68">
        <w:rPr>
          <w:rFonts w:ascii="Arial" w:hAnsi="Arial" w:cs="Arial"/>
          <w:color w:val="auto"/>
          <w:sz w:val="20"/>
          <w:szCs w:val="20"/>
        </w:rPr>
        <w:t>their HIV status</w:t>
      </w:r>
      <w:r>
        <w:rPr>
          <w:rFonts w:ascii="Arial" w:hAnsi="Arial" w:cs="Arial"/>
          <w:color w:val="auto"/>
          <w:sz w:val="20"/>
          <w:szCs w:val="20"/>
        </w:rPr>
        <w:t>)</w:t>
      </w:r>
      <w:r w:rsidR="00581E68">
        <w:rPr>
          <w:rFonts w:ascii="Arial" w:hAnsi="Arial" w:cs="Arial"/>
          <w:color w:val="auto"/>
          <w:sz w:val="20"/>
          <w:szCs w:val="20"/>
        </w:rPr>
        <w:t xml:space="preserve">. The real benefit of the Xpert-based algorithm </w:t>
      </w:r>
      <w:r w:rsidR="00F53EA7">
        <w:rPr>
          <w:rFonts w:ascii="Arial" w:hAnsi="Arial" w:cs="Arial"/>
          <w:color w:val="auto"/>
          <w:sz w:val="20"/>
          <w:szCs w:val="20"/>
        </w:rPr>
        <w:t>was</w:t>
      </w:r>
      <w:r w:rsidR="00581E68">
        <w:rPr>
          <w:rFonts w:ascii="Arial" w:hAnsi="Arial" w:cs="Arial"/>
          <w:color w:val="auto"/>
          <w:sz w:val="20"/>
          <w:szCs w:val="20"/>
        </w:rPr>
        <w:t xml:space="preserve"> the </w:t>
      </w:r>
      <w:r w:rsidR="00F53EA7">
        <w:rPr>
          <w:rFonts w:ascii="Arial" w:hAnsi="Arial" w:cs="Arial"/>
          <w:color w:val="auto"/>
          <w:sz w:val="20"/>
          <w:szCs w:val="20"/>
        </w:rPr>
        <w:t xml:space="preserve">95.4% and 102.6% </w:t>
      </w:r>
      <w:r w:rsidR="00581E68">
        <w:rPr>
          <w:rFonts w:ascii="Arial" w:hAnsi="Arial" w:cs="Arial"/>
          <w:color w:val="auto"/>
          <w:sz w:val="20"/>
          <w:szCs w:val="20"/>
        </w:rPr>
        <w:t xml:space="preserve">increase </w:t>
      </w:r>
      <w:r w:rsidR="00FC7E69">
        <w:rPr>
          <w:rFonts w:ascii="Arial" w:hAnsi="Arial" w:cs="Arial"/>
          <w:color w:val="auto"/>
          <w:sz w:val="20"/>
          <w:szCs w:val="20"/>
        </w:rPr>
        <w:t xml:space="preserve">in </w:t>
      </w:r>
      <w:r w:rsidR="00F53EA7">
        <w:rPr>
          <w:rFonts w:ascii="Arial" w:hAnsi="Arial" w:cs="Arial"/>
          <w:color w:val="auto"/>
          <w:sz w:val="20"/>
          <w:szCs w:val="20"/>
        </w:rPr>
        <w:t xml:space="preserve">the number of </w:t>
      </w:r>
      <w:r w:rsidR="00A80F95" w:rsidRPr="001500E1">
        <w:rPr>
          <w:rFonts w:ascii="Arial" w:hAnsi="Arial" w:cs="Arial"/>
          <w:color w:val="auto"/>
          <w:sz w:val="20"/>
          <w:szCs w:val="20"/>
        </w:rPr>
        <w:t>RMP-R</w:t>
      </w:r>
      <w:r w:rsidR="00A80F95">
        <w:rPr>
          <w:rFonts w:ascii="Arial" w:hAnsi="Arial" w:cs="Arial"/>
          <w:color w:val="auto"/>
          <w:sz w:val="20"/>
          <w:szCs w:val="20"/>
        </w:rPr>
        <w:t xml:space="preserve"> </w:t>
      </w:r>
      <w:r w:rsidR="00581E68">
        <w:rPr>
          <w:rFonts w:ascii="Arial" w:hAnsi="Arial" w:cs="Arial"/>
          <w:color w:val="auto"/>
          <w:sz w:val="20"/>
          <w:szCs w:val="20"/>
        </w:rPr>
        <w:t xml:space="preserve">TB cases </w:t>
      </w:r>
      <w:r w:rsidR="00FC7E69">
        <w:rPr>
          <w:rFonts w:ascii="Arial" w:hAnsi="Arial" w:cs="Arial"/>
          <w:color w:val="auto"/>
          <w:sz w:val="20"/>
          <w:szCs w:val="20"/>
        </w:rPr>
        <w:t>identified</w:t>
      </w:r>
      <w:r w:rsidR="00581E68">
        <w:rPr>
          <w:rFonts w:ascii="Arial" w:hAnsi="Arial" w:cs="Arial"/>
          <w:color w:val="auto"/>
          <w:sz w:val="20"/>
          <w:szCs w:val="20"/>
        </w:rPr>
        <w:t xml:space="preserve"> </w:t>
      </w:r>
      <w:r>
        <w:rPr>
          <w:rFonts w:ascii="Arial" w:hAnsi="Arial" w:cs="Arial"/>
          <w:color w:val="auto"/>
          <w:sz w:val="20"/>
          <w:szCs w:val="20"/>
        </w:rPr>
        <w:t>when</w:t>
      </w:r>
      <w:r w:rsidR="00581E68">
        <w:rPr>
          <w:rFonts w:ascii="Arial" w:hAnsi="Arial" w:cs="Arial"/>
          <w:color w:val="auto"/>
          <w:sz w:val="20"/>
          <w:szCs w:val="20"/>
        </w:rPr>
        <w:t xml:space="preserve"> 60% and 100% of presumptive cases </w:t>
      </w:r>
      <w:r>
        <w:rPr>
          <w:rFonts w:ascii="Arial" w:hAnsi="Arial" w:cs="Arial"/>
          <w:color w:val="auto"/>
          <w:sz w:val="20"/>
          <w:szCs w:val="20"/>
        </w:rPr>
        <w:t xml:space="preserve">respectively </w:t>
      </w:r>
      <w:r w:rsidR="00581E68">
        <w:rPr>
          <w:rFonts w:ascii="Arial" w:hAnsi="Arial" w:cs="Arial"/>
          <w:color w:val="auto"/>
          <w:sz w:val="20"/>
          <w:szCs w:val="20"/>
        </w:rPr>
        <w:t>kn</w:t>
      </w:r>
      <w:r w:rsidR="00FC7E69">
        <w:rPr>
          <w:rFonts w:ascii="Arial" w:hAnsi="Arial" w:cs="Arial"/>
          <w:color w:val="auto"/>
          <w:sz w:val="20"/>
          <w:szCs w:val="20"/>
        </w:rPr>
        <w:t>e</w:t>
      </w:r>
      <w:r w:rsidR="00581E68">
        <w:rPr>
          <w:rFonts w:ascii="Arial" w:hAnsi="Arial" w:cs="Arial"/>
          <w:color w:val="auto"/>
          <w:sz w:val="20"/>
          <w:szCs w:val="20"/>
        </w:rPr>
        <w:t xml:space="preserve">w their HIV status. </w:t>
      </w:r>
      <w:r w:rsidR="00E204CF" w:rsidRPr="002A1855">
        <w:rPr>
          <w:rFonts w:ascii="Arial" w:hAnsi="Arial" w:cs="Arial"/>
          <w:color w:val="auto"/>
          <w:sz w:val="20"/>
          <w:szCs w:val="20"/>
        </w:rPr>
        <w:t>The overall laboratory cost</w:t>
      </w:r>
      <w:r w:rsidR="008B690A" w:rsidRPr="002A1855">
        <w:rPr>
          <w:rFonts w:ascii="Arial" w:hAnsi="Arial" w:cs="Arial"/>
          <w:color w:val="auto"/>
          <w:sz w:val="20"/>
          <w:szCs w:val="20"/>
        </w:rPr>
        <w:t>s between algorithms</w:t>
      </w:r>
      <w:r w:rsidR="00E204CF" w:rsidRPr="002A1855">
        <w:rPr>
          <w:rFonts w:ascii="Arial" w:hAnsi="Arial" w:cs="Arial"/>
          <w:color w:val="auto"/>
          <w:sz w:val="20"/>
          <w:szCs w:val="20"/>
        </w:rPr>
        <w:t xml:space="preserve"> increased </w:t>
      </w:r>
      <w:r w:rsidR="008B690A" w:rsidRPr="002A1855">
        <w:rPr>
          <w:rFonts w:ascii="Arial" w:hAnsi="Arial" w:cs="Arial"/>
          <w:color w:val="auto"/>
          <w:sz w:val="20"/>
          <w:szCs w:val="20"/>
        </w:rPr>
        <w:t xml:space="preserve">by </w:t>
      </w:r>
      <w:r w:rsidR="00E204CF" w:rsidRPr="002A1855">
        <w:rPr>
          <w:rFonts w:ascii="Arial" w:hAnsi="Arial" w:cs="Arial"/>
          <w:color w:val="auto"/>
          <w:sz w:val="20"/>
          <w:szCs w:val="20"/>
        </w:rPr>
        <w:t xml:space="preserve">126.3% and 117.6% </w:t>
      </w:r>
      <w:r w:rsidR="008B690A" w:rsidRPr="002A1855">
        <w:rPr>
          <w:rFonts w:ascii="Arial" w:hAnsi="Arial" w:cs="Arial"/>
          <w:color w:val="auto"/>
          <w:sz w:val="20"/>
          <w:szCs w:val="20"/>
        </w:rPr>
        <w:t xml:space="preserve">when </w:t>
      </w:r>
      <w:r w:rsidR="00E204CF" w:rsidRPr="002A1855">
        <w:rPr>
          <w:rFonts w:ascii="Arial" w:hAnsi="Arial" w:cs="Arial"/>
          <w:color w:val="auto"/>
          <w:sz w:val="20"/>
          <w:szCs w:val="20"/>
        </w:rPr>
        <w:t>60% and 100% of presumptive cases respectively knew their HIV status</w:t>
      </w:r>
      <w:r w:rsidR="008B690A" w:rsidRPr="002A1855">
        <w:rPr>
          <w:rFonts w:ascii="Arial" w:hAnsi="Arial" w:cs="Arial"/>
          <w:color w:val="auto"/>
          <w:sz w:val="20"/>
          <w:szCs w:val="20"/>
        </w:rPr>
        <w:t xml:space="preserve">. </w:t>
      </w:r>
      <w:r w:rsidR="0066710F">
        <w:rPr>
          <w:rFonts w:ascii="Arial" w:hAnsi="Arial" w:cs="Arial"/>
          <w:color w:val="auto"/>
          <w:sz w:val="20"/>
          <w:szCs w:val="20"/>
        </w:rPr>
        <w:t>These costs were off-set by the</w:t>
      </w:r>
      <w:r w:rsidR="005D6621" w:rsidRPr="002A1855">
        <w:rPr>
          <w:rFonts w:ascii="Arial" w:hAnsi="Arial" w:cs="Arial"/>
          <w:color w:val="auto"/>
          <w:sz w:val="20"/>
          <w:szCs w:val="20"/>
        </w:rPr>
        <w:t xml:space="preserve"> increase </w:t>
      </w:r>
      <w:r w:rsidR="008B690A" w:rsidRPr="002A1855">
        <w:rPr>
          <w:rFonts w:ascii="Arial" w:hAnsi="Arial" w:cs="Arial"/>
          <w:color w:val="auto"/>
          <w:sz w:val="20"/>
          <w:szCs w:val="20"/>
        </w:rPr>
        <w:t>in</w:t>
      </w:r>
      <w:r w:rsidR="00E204CF" w:rsidRPr="002A1855">
        <w:rPr>
          <w:rFonts w:ascii="Arial" w:hAnsi="Arial" w:cs="Arial"/>
          <w:color w:val="auto"/>
          <w:sz w:val="20"/>
          <w:szCs w:val="20"/>
        </w:rPr>
        <w:t xml:space="preserve"> the number of RMP-R TB cases identified</w:t>
      </w:r>
      <w:r w:rsidR="008B690A" w:rsidRPr="002A1855">
        <w:rPr>
          <w:rFonts w:ascii="Arial" w:hAnsi="Arial" w:cs="Arial"/>
          <w:color w:val="auto"/>
          <w:sz w:val="20"/>
          <w:szCs w:val="20"/>
        </w:rPr>
        <w:t xml:space="preserve">, resulting </w:t>
      </w:r>
      <w:r w:rsidR="002A1855">
        <w:rPr>
          <w:rFonts w:ascii="Arial" w:hAnsi="Arial" w:cs="Arial"/>
          <w:color w:val="auto"/>
          <w:sz w:val="20"/>
          <w:szCs w:val="20"/>
        </w:rPr>
        <w:t xml:space="preserve">only </w:t>
      </w:r>
      <w:r w:rsidR="008B690A" w:rsidRPr="002A1855">
        <w:rPr>
          <w:rFonts w:ascii="Arial" w:hAnsi="Arial" w:cs="Arial"/>
          <w:color w:val="auto"/>
          <w:sz w:val="20"/>
          <w:szCs w:val="20"/>
        </w:rPr>
        <w:t xml:space="preserve">in a </w:t>
      </w:r>
      <w:r w:rsidR="005D6621" w:rsidRPr="002A1855">
        <w:rPr>
          <w:rFonts w:ascii="Arial" w:hAnsi="Arial" w:cs="Arial"/>
          <w:color w:val="auto"/>
          <w:sz w:val="20"/>
          <w:szCs w:val="20"/>
        </w:rPr>
        <w:t>15.8%</w:t>
      </w:r>
      <w:r w:rsidR="00550B3B">
        <w:rPr>
          <w:rFonts w:ascii="Arial" w:hAnsi="Arial" w:cs="Arial"/>
          <w:color w:val="auto"/>
          <w:sz w:val="20"/>
          <w:szCs w:val="20"/>
        </w:rPr>
        <w:t xml:space="preserve"> and 7.4%</w:t>
      </w:r>
      <w:r w:rsidR="005D6621" w:rsidRPr="002A1855">
        <w:rPr>
          <w:rFonts w:ascii="Arial" w:hAnsi="Arial" w:cs="Arial"/>
          <w:color w:val="auto"/>
          <w:sz w:val="20"/>
          <w:szCs w:val="20"/>
        </w:rPr>
        <w:t xml:space="preserve"> </w:t>
      </w:r>
      <w:r w:rsidR="008B690A" w:rsidRPr="002A1855">
        <w:rPr>
          <w:rFonts w:ascii="Arial" w:hAnsi="Arial" w:cs="Arial"/>
          <w:color w:val="auto"/>
          <w:sz w:val="20"/>
          <w:szCs w:val="20"/>
        </w:rPr>
        <w:t xml:space="preserve">increase respectively </w:t>
      </w:r>
      <w:r w:rsidR="005D6621" w:rsidRPr="002A1855">
        <w:rPr>
          <w:rFonts w:ascii="Arial" w:hAnsi="Arial" w:cs="Arial"/>
          <w:color w:val="auto"/>
          <w:sz w:val="20"/>
          <w:szCs w:val="20"/>
        </w:rPr>
        <w:t xml:space="preserve">in </w:t>
      </w:r>
      <w:r w:rsidR="00B70A0E" w:rsidRPr="002A1855">
        <w:rPr>
          <w:rFonts w:ascii="Arial" w:hAnsi="Arial" w:cs="Arial"/>
          <w:color w:val="auto"/>
          <w:sz w:val="20"/>
          <w:szCs w:val="20"/>
        </w:rPr>
        <w:t>the cost per RMP-R TB case identified</w:t>
      </w:r>
      <w:r w:rsidR="008B690A" w:rsidRPr="002A1855">
        <w:rPr>
          <w:rFonts w:ascii="Arial" w:hAnsi="Arial" w:cs="Arial"/>
          <w:color w:val="auto"/>
          <w:sz w:val="20"/>
          <w:szCs w:val="20"/>
        </w:rPr>
        <w:t xml:space="preserve"> in the Xpert-based algorithm</w:t>
      </w:r>
      <w:r w:rsidR="00B70A0E" w:rsidRPr="002A1855">
        <w:rPr>
          <w:rFonts w:ascii="Arial" w:hAnsi="Arial" w:cs="Arial"/>
          <w:color w:val="auto"/>
          <w:sz w:val="20"/>
          <w:szCs w:val="20"/>
        </w:rPr>
        <w:t>.</w:t>
      </w:r>
      <w:r w:rsidR="005D6621">
        <w:rPr>
          <w:rFonts w:ascii="Arial" w:hAnsi="Arial" w:cs="Arial"/>
          <w:color w:val="auto"/>
          <w:sz w:val="20"/>
          <w:szCs w:val="20"/>
        </w:rPr>
        <w:t xml:space="preserve"> </w:t>
      </w:r>
    </w:p>
    <w:p w14:paraId="4E0EDE12" w14:textId="77777777" w:rsidR="00E43ECC" w:rsidRDefault="00E43ECC" w:rsidP="00BD7070">
      <w:pPr>
        <w:pStyle w:val="Default"/>
        <w:spacing w:line="360" w:lineRule="auto"/>
        <w:jc w:val="both"/>
        <w:rPr>
          <w:rFonts w:ascii="Arial" w:hAnsi="Arial" w:cs="Arial"/>
          <w:color w:val="auto"/>
          <w:sz w:val="20"/>
          <w:szCs w:val="20"/>
        </w:rPr>
      </w:pPr>
    </w:p>
    <w:p w14:paraId="2B6A3C1F" w14:textId="4D1093BA" w:rsidR="006C2024" w:rsidRDefault="003E741D" w:rsidP="00BA5F29">
      <w:pPr>
        <w:pStyle w:val="Default"/>
        <w:spacing w:line="360" w:lineRule="auto"/>
        <w:jc w:val="both"/>
        <w:rPr>
          <w:rFonts w:ascii="Arial" w:hAnsi="Arial" w:cs="Arial"/>
          <w:color w:val="auto"/>
          <w:sz w:val="20"/>
          <w:szCs w:val="20"/>
        </w:rPr>
      </w:pPr>
      <w:r>
        <w:rPr>
          <w:rFonts w:ascii="Arial" w:hAnsi="Arial" w:cs="Arial"/>
          <w:color w:val="auto"/>
          <w:sz w:val="20"/>
          <w:szCs w:val="20"/>
        </w:rPr>
        <w:t>In</w:t>
      </w:r>
      <w:r w:rsidR="006C2024">
        <w:rPr>
          <w:rFonts w:ascii="Arial" w:hAnsi="Arial" w:cs="Arial"/>
          <w:color w:val="auto"/>
          <w:sz w:val="20"/>
          <w:szCs w:val="20"/>
        </w:rPr>
        <w:t xml:space="preserve"> the Xpert-based algorithm, cases not tested by Xpert </w:t>
      </w:r>
      <w:r w:rsidR="0063433E">
        <w:rPr>
          <w:rFonts w:ascii="Arial" w:hAnsi="Arial" w:cs="Arial"/>
          <w:color w:val="auto"/>
          <w:sz w:val="20"/>
          <w:szCs w:val="20"/>
        </w:rPr>
        <w:t>we</w:t>
      </w:r>
      <w:r w:rsidR="006C2024">
        <w:rPr>
          <w:rFonts w:ascii="Arial" w:hAnsi="Arial" w:cs="Arial"/>
          <w:color w:val="auto"/>
          <w:sz w:val="20"/>
          <w:szCs w:val="20"/>
        </w:rPr>
        <w:t xml:space="preserve">re tested by </w:t>
      </w:r>
      <w:r w:rsidR="0063433E">
        <w:rPr>
          <w:rFonts w:ascii="Arial" w:hAnsi="Arial" w:cs="Arial"/>
          <w:color w:val="auto"/>
          <w:sz w:val="20"/>
          <w:szCs w:val="20"/>
        </w:rPr>
        <w:t xml:space="preserve">the previous </w:t>
      </w:r>
      <w:r w:rsidR="006C2024">
        <w:rPr>
          <w:rFonts w:ascii="Arial" w:hAnsi="Arial" w:cs="Arial"/>
          <w:color w:val="auto"/>
          <w:sz w:val="20"/>
          <w:szCs w:val="20"/>
        </w:rPr>
        <w:t>smear/culture</w:t>
      </w:r>
      <w:r w:rsidR="0063433E">
        <w:rPr>
          <w:rFonts w:ascii="Arial" w:hAnsi="Arial" w:cs="Arial"/>
          <w:color w:val="auto"/>
          <w:sz w:val="20"/>
          <w:szCs w:val="20"/>
        </w:rPr>
        <w:t>-based algorithm</w:t>
      </w:r>
      <w:r w:rsidR="006C2024">
        <w:rPr>
          <w:rFonts w:ascii="Arial" w:hAnsi="Arial" w:cs="Arial"/>
          <w:color w:val="auto"/>
          <w:sz w:val="20"/>
          <w:szCs w:val="20"/>
        </w:rPr>
        <w:t>.</w:t>
      </w:r>
      <w:r>
        <w:rPr>
          <w:rFonts w:ascii="Arial" w:hAnsi="Arial" w:cs="Arial"/>
          <w:color w:val="auto"/>
          <w:sz w:val="20"/>
          <w:szCs w:val="20"/>
        </w:rPr>
        <w:t xml:space="preserve"> </w:t>
      </w:r>
      <w:r w:rsidR="006C2024">
        <w:rPr>
          <w:rFonts w:ascii="Arial" w:hAnsi="Arial" w:cs="Arial"/>
          <w:color w:val="auto"/>
          <w:sz w:val="20"/>
          <w:szCs w:val="20"/>
        </w:rPr>
        <w:t xml:space="preserve">When </w:t>
      </w:r>
      <w:r w:rsidR="00773425">
        <w:rPr>
          <w:rFonts w:ascii="Arial" w:hAnsi="Arial" w:cs="Arial"/>
          <w:color w:val="auto"/>
          <w:sz w:val="20"/>
          <w:szCs w:val="20"/>
        </w:rPr>
        <w:t>adherence to the Xpert-</w:t>
      </w:r>
      <w:r w:rsidR="002A1855">
        <w:rPr>
          <w:rFonts w:ascii="Arial" w:hAnsi="Arial" w:cs="Arial"/>
          <w:color w:val="auto"/>
          <w:sz w:val="20"/>
          <w:szCs w:val="20"/>
        </w:rPr>
        <w:t xml:space="preserve">based algorithm </w:t>
      </w:r>
      <w:r w:rsidR="0063433E">
        <w:rPr>
          <w:rFonts w:ascii="Arial" w:hAnsi="Arial" w:cs="Arial"/>
          <w:color w:val="auto"/>
          <w:sz w:val="20"/>
          <w:szCs w:val="20"/>
        </w:rPr>
        <w:t xml:space="preserve">was </w:t>
      </w:r>
      <w:r w:rsidR="002A1855">
        <w:rPr>
          <w:rFonts w:ascii="Arial" w:hAnsi="Arial" w:cs="Arial"/>
          <w:color w:val="auto"/>
          <w:sz w:val="20"/>
          <w:szCs w:val="20"/>
        </w:rPr>
        <w:t xml:space="preserve">increased from 50% to </w:t>
      </w:r>
      <w:r w:rsidR="006C2024">
        <w:rPr>
          <w:rFonts w:ascii="Arial" w:hAnsi="Arial" w:cs="Arial"/>
          <w:color w:val="auto"/>
          <w:sz w:val="20"/>
          <w:szCs w:val="20"/>
        </w:rPr>
        <w:t xml:space="preserve">100%, </w:t>
      </w:r>
      <w:r w:rsidR="002A1855">
        <w:rPr>
          <w:rFonts w:ascii="Arial" w:hAnsi="Arial" w:cs="Arial"/>
          <w:color w:val="auto"/>
          <w:sz w:val="20"/>
          <w:szCs w:val="20"/>
        </w:rPr>
        <w:t xml:space="preserve">the number of RMP-R TB cases </w:t>
      </w:r>
      <w:r w:rsidR="001D5894">
        <w:rPr>
          <w:rFonts w:ascii="Arial" w:hAnsi="Arial" w:cs="Arial"/>
          <w:color w:val="auto"/>
          <w:sz w:val="20"/>
          <w:szCs w:val="20"/>
        </w:rPr>
        <w:t>identified</w:t>
      </w:r>
      <w:r w:rsidR="002A1855">
        <w:rPr>
          <w:rFonts w:ascii="Arial" w:hAnsi="Arial" w:cs="Arial"/>
          <w:color w:val="auto"/>
          <w:sz w:val="20"/>
          <w:szCs w:val="20"/>
        </w:rPr>
        <w:t xml:space="preserve"> increased </w:t>
      </w:r>
      <w:r w:rsidR="002A1855" w:rsidRPr="00D5626D">
        <w:rPr>
          <w:rFonts w:ascii="Arial" w:hAnsi="Arial" w:cs="Arial"/>
          <w:color w:val="auto"/>
          <w:sz w:val="20"/>
          <w:szCs w:val="20"/>
        </w:rPr>
        <w:t>by 63</w:t>
      </w:r>
      <w:r w:rsidR="00AB3E68" w:rsidRPr="00D5626D">
        <w:rPr>
          <w:rFonts w:ascii="Arial" w:hAnsi="Arial" w:cs="Arial"/>
          <w:color w:val="auto"/>
          <w:sz w:val="20"/>
          <w:szCs w:val="20"/>
        </w:rPr>
        <w:t xml:space="preserve">.4% </w:t>
      </w:r>
      <w:r w:rsidR="0063433E" w:rsidRPr="00D5626D">
        <w:rPr>
          <w:rFonts w:ascii="Arial" w:hAnsi="Arial" w:cs="Arial"/>
          <w:color w:val="auto"/>
          <w:sz w:val="20"/>
          <w:szCs w:val="20"/>
        </w:rPr>
        <w:t>if</w:t>
      </w:r>
      <w:r w:rsidR="002A1855" w:rsidRPr="00D5626D">
        <w:rPr>
          <w:rFonts w:ascii="Arial" w:hAnsi="Arial" w:cs="Arial"/>
          <w:color w:val="auto"/>
          <w:sz w:val="20"/>
          <w:szCs w:val="20"/>
        </w:rPr>
        <w:t xml:space="preserve"> 60% of presumptive TB cases </w:t>
      </w:r>
      <w:r w:rsidRPr="00D5626D">
        <w:rPr>
          <w:rFonts w:ascii="Arial" w:hAnsi="Arial" w:cs="Arial"/>
          <w:color w:val="auto"/>
          <w:sz w:val="20"/>
          <w:szCs w:val="20"/>
        </w:rPr>
        <w:t>knew their HIV-status</w:t>
      </w:r>
      <w:r w:rsidR="004206C3">
        <w:rPr>
          <w:rFonts w:ascii="Arial" w:hAnsi="Arial" w:cs="Arial"/>
          <w:color w:val="auto"/>
          <w:sz w:val="20"/>
          <w:szCs w:val="20"/>
        </w:rPr>
        <w:t xml:space="preserve"> </w:t>
      </w:r>
      <w:r w:rsidR="004206C3" w:rsidRPr="004206C3">
        <w:rPr>
          <w:rFonts w:ascii="Arial" w:hAnsi="Arial" w:cs="Arial"/>
          <w:color w:val="FF0000"/>
          <w:sz w:val="20"/>
          <w:szCs w:val="20"/>
        </w:rPr>
        <w:t>(Table 4)</w:t>
      </w:r>
      <w:r w:rsidR="002A1855" w:rsidRPr="004206C3">
        <w:rPr>
          <w:rFonts w:ascii="Arial" w:hAnsi="Arial" w:cs="Arial"/>
          <w:color w:val="FF0000"/>
          <w:sz w:val="20"/>
          <w:szCs w:val="20"/>
        </w:rPr>
        <w:t xml:space="preserve">. </w:t>
      </w:r>
      <w:r w:rsidR="002A1855">
        <w:rPr>
          <w:rFonts w:ascii="Arial" w:hAnsi="Arial" w:cs="Arial"/>
          <w:color w:val="auto"/>
          <w:sz w:val="20"/>
          <w:szCs w:val="20"/>
        </w:rPr>
        <w:t xml:space="preserve">This illustrates the importance of simultaneous screening for </w:t>
      </w:r>
      <w:r w:rsidR="0063433E">
        <w:rPr>
          <w:rFonts w:ascii="Arial" w:hAnsi="Arial" w:cs="Arial"/>
          <w:color w:val="auto"/>
          <w:sz w:val="20"/>
          <w:szCs w:val="20"/>
        </w:rPr>
        <w:t xml:space="preserve">TB and </w:t>
      </w:r>
      <w:r w:rsidR="002A1855">
        <w:rPr>
          <w:rFonts w:ascii="Arial" w:hAnsi="Arial" w:cs="Arial"/>
          <w:color w:val="auto"/>
          <w:sz w:val="20"/>
          <w:szCs w:val="20"/>
        </w:rPr>
        <w:t>RMP-R</w:t>
      </w:r>
      <w:r w:rsidR="00943EAB">
        <w:rPr>
          <w:rFonts w:ascii="Arial" w:hAnsi="Arial" w:cs="Arial"/>
          <w:color w:val="auto"/>
          <w:sz w:val="20"/>
          <w:szCs w:val="20"/>
        </w:rPr>
        <w:t>,</w:t>
      </w:r>
      <w:r w:rsidR="0063433E">
        <w:rPr>
          <w:rFonts w:ascii="Arial" w:hAnsi="Arial" w:cs="Arial"/>
          <w:color w:val="auto"/>
          <w:sz w:val="20"/>
          <w:szCs w:val="20"/>
        </w:rPr>
        <w:t xml:space="preserve"> </w:t>
      </w:r>
      <w:r w:rsidR="00943EAB">
        <w:rPr>
          <w:rFonts w:ascii="Arial" w:hAnsi="Arial" w:cs="Arial"/>
          <w:color w:val="auto"/>
          <w:sz w:val="20"/>
          <w:szCs w:val="20"/>
        </w:rPr>
        <w:t>as occurs with</w:t>
      </w:r>
      <w:r w:rsidR="0063433E">
        <w:rPr>
          <w:rFonts w:ascii="Arial" w:hAnsi="Arial" w:cs="Arial"/>
          <w:color w:val="auto"/>
          <w:sz w:val="20"/>
          <w:szCs w:val="20"/>
        </w:rPr>
        <w:t xml:space="preserve"> adherence to the </w:t>
      </w:r>
      <w:r w:rsidR="00943EAB">
        <w:rPr>
          <w:rFonts w:ascii="Arial" w:hAnsi="Arial" w:cs="Arial"/>
          <w:color w:val="auto"/>
          <w:sz w:val="20"/>
          <w:szCs w:val="20"/>
        </w:rPr>
        <w:t xml:space="preserve">Xpert-based </w:t>
      </w:r>
      <w:r w:rsidR="0063433E">
        <w:rPr>
          <w:rFonts w:ascii="Arial" w:hAnsi="Arial" w:cs="Arial"/>
          <w:color w:val="auto"/>
          <w:sz w:val="20"/>
          <w:szCs w:val="20"/>
        </w:rPr>
        <w:t>algorithm</w:t>
      </w:r>
      <w:r w:rsidR="002A1855">
        <w:rPr>
          <w:rFonts w:ascii="Arial" w:hAnsi="Arial" w:cs="Arial"/>
          <w:color w:val="auto"/>
          <w:sz w:val="20"/>
          <w:szCs w:val="20"/>
        </w:rPr>
        <w:t xml:space="preserve">. </w:t>
      </w:r>
      <w:r w:rsidR="006C2024">
        <w:rPr>
          <w:rFonts w:ascii="Arial" w:hAnsi="Arial" w:cs="Arial"/>
          <w:color w:val="auto"/>
          <w:sz w:val="20"/>
          <w:szCs w:val="20"/>
        </w:rPr>
        <w:t xml:space="preserve">    </w:t>
      </w:r>
    </w:p>
    <w:p w14:paraId="2591341A" w14:textId="77777777" w:rsidR="006C2024" w:rsidRDefault="006C2024" w:rsidP="00BA5F29">
      <w:pPr>
        <w:pStyle w:val="Default"/>
        <w:spacing w:line="360" w:lineRule="auto"/>
        <w:jc w:val="both"/>
        <w:rPr>
          <w:rFonts w:ascii="Arial" w:hAnsi="Arial" w:cs="Arial"/>
          <w:color w:val="auto"/>
          <w:sz w:val="20"/>
          <w:szCs w:val="20"/>
        </w:rPr>
      </w:pPr>
    </w:p>
    <w:p w14:paraId="4E887DD2" w14:textId="424885F1" w:rsidR="00D60F16" w:rsidRPr="00981F8A" w:rsidRDefault="00B57937" w:rsidP="00BA5F29">
      <w:pPr>
        <w:pStyle w:val="Default"/>
        <w:spacing w:line="360" w:lineRule="auto"/>
        <w:jc w:val="both"/>
        <w:rPr>
          <w:rFonts w:ascii="Arial" w:hAnsi="Arial" w:cs="Arial"/>
          <w:color w:val="auto"/>
          <w:sz w:val="20"/>
          <w:szCs w:val="20"/>
        </w:rPr>
      </w:pPr>
      <w:r w:rsidRPr="00981F8A">
        <w:rPr>
          <w:rFonts w:ascii="Arial" w:hAnsi="Arial" w:cs="Arial"/>
          <w:color w:val="auto"/>
          <w:sz w:val="20"/>
          <w:szCs w:val="20"/>
        </w:rPr>
        <w:t xml:space="preserve">Increasing the proportion of presumptive TB cases who knew their HIV status had very little effect on the number of RMP-R TB cases </w:t>
      </w:r>
      <w:r w:rsidR="001D5894" w:rsidRPr="00981F8A">
        <w:rPr>
          <w:rFonts w:ascii="Arial" w:hAnsi="Arial" w:cs="Arial"/>
          <w:color w:val="auto"/>
          <w:sz w:val="20"/>
          <w:szCs w:val="20"/>
        </w:rPr>
        <w:t>identified</w:t>
      </w:r>
      <w:r w:rsidR="00FB07FB" w:rsidRPr="00981F8A">
        <w:rPr>
          <w:rFonts w:ascii="Arial" w:hAnsi="Arial" w:cs="Arial"/>
          <w:color w:val="auto"/>
          <w:sz w:val="20"/>
          <w:szCs w:val="20"/>
        </w:rPr>
        <w:t xml:space="preserve"> in the Xpert-based algorithm. </w:t>
      </w:r>
      <w:r w:rsidRPr="00981F8A">
        <w:rPr>
          <w:rFonts w:ascii="Arial" w:hAnsi="Arial" w:cs="Arial"/>
          <w:color w:val="auto"/>
          <w:sz w:val="20"/>
          <w:szCs w:val="20"/>
        </w:rPr>
        <w:t xml:space="preserve">When the proportion was increased from 60% to 100%, the number of </w:t>
      </w:r>
      <w:r w:rsidR="009E58E8" w:rsidRPr="00981F8A">
        <w:rPr>
          <w:rFonts w:ascii="Arial" w:hAnsi="Arial" w:cs="Arial"/>
          <w:color w:val="auto"/>
          <w:sz w:val="20"/>
          <w:szCs w:val="20"/>
        </w:rPr>
        <w:t xml:space="preserve">RMP-R TB </w:t>
      </w:r>
      <w:r w:rsidRPr="00981F8A">
        <w:rPr>
          <w:rFonts w:ascii="Arial" w:hAnsi="Arial" w:cs="Arial"/>
          <w:color w:val="auto"/>
          <w:sz w:val="20"/>
          <w:szCs w:val="20"/>
        </w:rPr>
        <w:t xml:space="preserve">identified increased by </w:t>
      </w:r>
      <w:r w:rsidR="00C91C63" w:rsidRPr="00981F8A">
        <w:rPr>
          <w:rFonts w:ascii="Arial" w:hAnsi="Arial" w:cs="Arial"/>
          <w:color w:val="auto"/>
          <w:sz w:val="20"/>
          <w:szCs w:val="20"/>
        </w:rPr>
        <w:t>2.9% and 4.6%</w:t>
      </w:r>
      <w:r w:rsidR="009E58E8" w:rsidRPr="00981F8A">
        <w:rPr>
          <w:rFonts w:ascii="Arial" w:hAnsi="Arial" w:cs="Arial"/>
          <w:color w:val="auto"/>
          <w:sz w:val="20"/>
          <w:szCs w:val="20"/>
        </w:rPr>
        <w:t xml:space="preserve"> </w:t>
      </w:r>
      <w:r w:rsidR="00C91C63" w:rsidRPr="00981F8A">
        <w:rPr>
          <w:rFonts w:ascii="Arial" w:hAnsi="Arial" w:cs="Arial"/>
          <w:color w:val="auto"/>
          <w:sz w:val="20"/>
          <w:szCs w:val="20"/>
        </w:rPr>
        <w:t xml:space="preserve">at </w:t>
      </w:r>
      <w:r w:rsidR="00664F8B" w:rsidRPr="00981F8A">
        <w:rPr>
          <w:rFonts w:ascii="Arial" w:hAnsi="Arial" w:cs="Arial"/>
          <w:color w:val="auto"/>
          <w:sz w:val="20"/>
          <w:szCs w:val="20"/>
        </w:rPr>
        <w:t>50%</w:t>
      </w:r>
      <w:r w:rsidR="00C91C63" w:rsidRPr="00981F8A">
        <w:rPr>
          <w:rFonts w:ascii="Arial" w:hAnsi="Arial" w:cs="Arial"/>
          <w:color w:val="auto"/>
          <w:sz w:val="20"/>
          <w:szCs w:val="20"/>
        </w:rPr>
        <w:t xml:space="preserve"> and 100%</w:t>
      </w:r>
      <w:r w:rsidR="00664F8B" w:rsidRPr="00981F8A">
        <w:rPr>
          <w:rFonts w:ascii="Arial" w:hAnsi="Arial" w:cs="Arial"/>
          <w:color w:val="auto"/>
          <w:sz w:val="20"/>
          <w:szCs w:val="20"/>
        </w:rPr>
        <w:t xml:space="preserve"> adherence</w:t>
      </w:r>
      <w:r w:rsidR="00C91C63" w:rsidRPr="00981F8A">
        <w:rPr>
          <w:rFonts w:ascii="Arial" w:hAnsi="Arial" w:cs="Arial"/>
          <w:color w:val="auto"/>
          <w:sz w:val="20"/>
          <w:szCs w:val="20"/>
        </w:rPr>
        <w:t xml:space="preserve"> respectively. </w:t>
      </w:r>
      <w:r w:rsidRPr="00981F8A">
        <w:rPr>
          <w:rFonts w:ascii="Arial" w:hAnsi="Arial" w:cs="Arial"/>
          <w:color w:val="auto"/>
          <w:sz w:val="20"/>
          <w:szCs w:val="20"/>
        </w:rPr>
        <w:t>However, HIV-testing of presumptive TB cases</w:t>
      </w:r>
      <w:r w:rsidR="00084D40" w:rsidRPr="00981F8A">
        <w:rPr>
          <w:rFonts w:ascii="Arial" w:hAnsi="Arial" w:cs="Arial"/>
          <w:color w:val="auto"/>
          <w:sz w:val="20"/>
          <w:szCs w:val="20"/>
        </w:rPr>
        <w:t xml:space="preserve"> does have other clinical importance</w:t>
      </w:r>
      <w:r w:rsidRPr="00981F8A">
        <w:rPr>
          <w:rFonts w:ascii="Arial" w:hAnsi="Arial" w:cs="Arial"/>
          <w:color w:val="auto"/>
          <w:sz w:val="20"/>
          <w:szCs w:val="20"/>
        </w:rPr>
        <w:t>,</w:t>
      </w:r>
      <w:r w:rsidR="00084D40" w:rsidRPr="00981F8A">
        <w:rPr>
          <w:rFonts w:ascii="Arial" w:hAnsi="Arial" w:cs="Arial"/>
          <w:color w:val="auto"/>
          <w:sz w:val="20"/>
          <w:szCs w:val="20"/>
        </w:rPr>
        <w:t xml:space="preserve"> for example access to antiretroviral therapy. </w:t>
      </w:r>
    </w:p>
    <w:p w14:paraId="654FB9DA" w14:textId="77777777" w:rsidR="00D60F16" w:rsidRDefault="00D60F16" w:rsidP="00BA5F29">
      <w:pPr>
        <w:pStyle w:val="Default"/>
        <w:spacing w:line="360" w:lineRule="auto"/>
        <w:jc w:val="both"/>
        <w:rPr>
          <w:rFonts w:ascii="Arial" w:hAnsi="Arial" w:cs="Arial"/>
          <w:color w:val="auto"/>
          <w:sz w:val="20"/>
          <w:szCs w:val="20"/>
        </w:rPr>
      </w:pPr>
    </w:p>
    <w:p w14:paraId="3E99D4DC" w14:textId="77777777" w:rsidR="00D60F16" w:rsidRDefault="00945C83" w:rsidP="00BA5F29">
      <w:pPr>
        <w:pStyle w:val="Default"/>
        <w:spacing w:line="360" w:lineRule="auto"/>
        <w:jc w:val="both"/>
        <w:rPr>
          <w:rFonts w:ascii="Arial" w:hAnsi="Arial" w:cs="Arial"/>
          <w:b/>
          <w:color w:val="auto"/>
          <w:sz w:val="20"/>
          <w:szCs w:val="20"/>
        </w:rPr>
      </w:pPr>
      <w:r>
        <w:rPr>
          <w:rFonts w:ascii="Arial" w:hAnsi="Arial" w:cs="Arial"/>
          <w:b/>
          <w:color w:val="auto"/>
          <w:sz w:val="20"/>
          <w:szCs w:val="20"/>
        </w:rPr>
        <w:t>Strengths and l</w:t>
      </w:r>
      <w:r w:rsidR="00D60F16" w:rsidRPr="00D60F16">
        <w:rPr>
          <w:rFonts w:ascii="Arial" w:hAnsi="Arial" w:cs="Arial"/>
          <w:b/>
          <w:color w:val="auto"/>
          <w:sz w:val="20"/>
          <w:szCs w:val="20"/>
        </w:rPr>
        <w:t>imitation</w:t>
      </w:r>
      <w:r w:rsidR="006D379A">
        <w:rPr>
          <w:rFonts w:ascii="Arial" w:hAnsi="Arial" w:cs="Arial"/>
          <w:b/>
          <w:color w:val="auto"/>
          <w:sz w:val="20"/>
          <w:szCs w:val="20"/>
        </w:rPr>
        <w:t>s</w:t>
      </w:r>
    </w:p>
    <w:p w14:paraId="2E87CEA5" w14:textId="40994B6C" w:rsidR="009B0C52" w:rsidRDefault="009B0C52" w:rsidP="009B0C52">
      <w:pPr>
        <w:pStyle w:val="Default"/>
        <w:spacing w:line="360" w:lineRule="auto"/>
        <w:jc w:val="both"/>
        <w:rPr>
          <w:rFonts w:ascii="Arial" w:hAnsi="Arial" w:cs="Arial"/>
          <w:color w:val="auto"/>
          <w:sz w:val="20"/>
          <w:szCs w:val="20"/>
        </w:rPr>
      </w:pPr>
      <w:r w:rsidRPr="00945C83">
        <w:rPr>
          <w:rFonts w:ascii="Arial" w:hAnsi="Arial" w:cs="Arial"/>
          <w:color w:val="auto"/>
          <w:sz w:val="20"/>
          <w:szCs w:val="20"/>
        </w:rPr>
        <w:t>The strengths of the current study are that we used a</w:t>
      </w:r>
      <w:r>
        <w:rPr>
          <w:rFonts w:ascii="Arial" w:hAnsi="Arial" w:cs="Arial"/>
          <w:color w:val="auto"/>
          <w:sz w:val="20"/>
          <w:szCs w:val="20"/>
        </w:rPr>
        <w:t xml:space="preserve"> </w:t>
      </w:r>
      <w:r w:rsidRPr="00945C83">
        <w:rPr>
          <w:rFonts w:ascii="Arial" w:hAnsi="Arial" w:cs="Arial"/>
          <w:color w:val="auto"/>
          <w:sz w:val="20"/>
          <w:szCs w:val="20"/>
        </w:rPr>
        <w:t>validated model, based on real data on testing and</w:t>
      </w:r>
      <w:r>
        <w:rPr>
          <w:rFonts w:ascii="Arial" w:hAnsi="Arial" w:cs="Arial"/>
          <w:color w:val="auto"/>
          <w:sz w:val="20"/>
          <w:szCs w:val="20"/>
        </w:rPr>
        <w:t xml:space="preserve"> </w:t>
      </w:r>
      <w:r w:rsidRPr="00945C83">
        <w:rPr>
          <w:rFonts w:ascii="Arial" w:hAnsi="Arial" w:cs="Arial"/>
          <w:color w:val="auto"/>
          <w:sz w:val="20"/>
          <w:szCs w:val="20"/>
        </w:rPr>
        <w:t xml:space="preserve">diagnosis, to estimate the </w:t>
      </w:r>
      <w:r w:rsidR="00B57937">
        <w:rPr>
          <w:rFonts w:ascii="Arial" w:hAnsi="Arial" w:cs="Arial"/>
          <w:color w:val="auto"/>
          <w:sz w:val="20"/>
          <w:szCs w:val="20"/>
        </w:rPr>
        <w:t xml:space="preserve">number and </w:t>
      </w:r>
      <w:r w:rsidRPr="00945C83">
        <w:rPr>
          <w:rFonts w:ascii="Arial" w:hAnsi="Arial" w:cs="Arial"/>
          <w:color w:val="auto"/>
          <w:sz w:val="20"/>
          <w:szCs w:val="20"/>
        </w:rPr>
        <w:t xml:space="preserve">cost per </w:t>
      </w:r>
      <w:r w:rsidR="008010FB" w:rsidRPr="001500E1">
        <w:rPr>
          <w:rFonts w:ascii="Arial" w:hAnsi="Arial" w:cs="Arial"/>
          <w:color w:val="auto"/>
          <w:sz w:val="20"/>
          <w:szCs w:val="20"/>
        </w:rPr>
        <w:t>RMP-R</w:t>
      </w:r>
      <w:r w:rsidR="008010FB" w:rsidRPr="00945C83">
        <w:rPr>
          <w:rFonts w:ascii="Arial" w:hAnsi="Arial" w:cs="Arial"/>
          <w:color w:val="auto"/>
          <w:sz w:val="20"/>
          <w:szCs w:val="20"/>
        </w:rPr>
        <w:t xml:space="preserve"> </w:t>
      </w:r>
      <w:r w:rsidRPr="00945C83">
        <w:rPr>
          <w:rFonts w:ascii="Arial" w:hAnsi="Arial" w:cs="Arial"/>
          <w:color w:val="auto"/>
          <w:sz w:val="20"/>
          <w:szCs w:val="20"/>
        </w:rPr>
        <w:t xml:space="preserve">TB cases </w:t>
      </w:r>
      <w:r w:rsidR="00776023">
        <w:rPr>
          <w:rFonts w:ascii="Arial" w:hAnsi="Arial" w:cs="Arial"/>
          <w:color w:val="auto"/>
          <w:sz w:val="20"/>
          <w:szCs w:val="20"/>
        </w:rPr>
        <w:t>identified</w:t>
      </w:r>
      <w:r>
        <w:rPr>
          <w:rFonts w:ascii="Arial" w:hAnsi="Arial" w:cs="Arial"/>
          <w:color w:val="auto"/>
          <w:sz w:val="20"/>
          <w:szCs w:val="20"/>
        </w:rPr>
        <w:t xml:space="preserve"> </w:t>
      </w:r>
      <w:r w:rsidRPr="00945C83">
        <w:rPr>
          <w:rFonts w:ascii="Arial" w:hAnsi="Arial" w:cs="Arial"/>
          <w:color w:val="auto"/>
          <w:sz w:val="20"/>
          <w:szCs w:val="20"/>
        </w:rPr>
        <w:t>in the smear/culture and Xpert-based algorithms. Our</w:t>
      </w:r>
      <w:r>
        <w:rPr>
          <w:rFonts w:ascii="Arial" w:hAnsi="Arial" w:cs="Arial"/>
          <w:color w:val="auto"/>
          <w:sz w:val="20"/>
          <w:szCs w:val="20"/>
        </w:rPr>
        <w:t xml:space="preserve"> </w:t>
      </w:r>
      <w:r w:rsidRPr="00945C83">
        <w:rPr>
          <w:rFonts w:ascii="Arial" w:hAnsi="Arial" w:cs="Arial"/>
          <w:color w:val="auto"/>
          <w:sz w:val="20"/>
          <w:szCs w:val="20"/>
        </w:rPr>
        <w:t>study provides a better estimate of the</w:t>
      </w:r>
      <w:r w:rsidR="00016228">
        <w:rPr>
          <w:rFonts w:ascii="Arial" w:hAnsi="Arial" w:cs="Arial"/>
          <w:color w:val="auto"/>
          <w:sz w:val="20"/>
          <w:szCs w:val="20"/>
        </w:rPr>
        <w:t>se</w:t>
      </w:r>
      <w:r w:rsidRPr="00945C83">
        <w:rPr>
          <w:rFonts w:ascii="Arial" w:hAnsi="Arial" w:cs="Arial"/>
          <w:color w:val="auto"/>
          <w:sz w:val="20"/>
          <w:szCs w:val="20"/>
        </w:rPr>
        <w:t xml:space="preserve"> </w:t>
      </w:r>
      <w:r w:rsidR="00016228">
        <w:rPr>
          <w:rFonts w:ascii="Arial" w:hAnsi="Arial" w:cs="Arial"/>
          <w:color w:val="auto"/>
          <w:sz w:val="20"/>
          <w:szCs w:val="20"/>
        </w:rPr>
        <w:t>as</w:t>
      </w:r>
      <w:r w:rsidRPr="00945C83">
        <w:rPr>
          <w:rFonts w:ascii="Arial" w:hAnsi="Arial" w:cs="Arial"/>
          <w:color w:val="auto"/>
          <w:sz w:val="20"/>
          <w:szCs w:val="20"/>
        </w:rPr>
        <w:t xml:space="preserve"> </w:t>
      </w:r>
      <w:r w:rsidR="00016228">
        <w:rPr>
          <w:rFonts w:ascii="Arial" w:hAnsi="Arial" w:cs="Arial"/>
          <w:color w:val="auto"/>
          <w:sz w:val="20"/>
          <w:szCs w:val="20"/>
        </w:rPr>
        <w:t xml:space="preserve">the PROVE IT </w:t>
      </w:r>
      <w:r w:rsidRPr="00945C83">
        <w:rPr>
          <w:rFonts w:ascii="Arial" w:hAnsi="Arial" w:cs="Arial"/>
          <w:color w:val="auto"/>
          <w:sz w:val="20"/>
          <w:szCs w:val="20"/>
        </w:rPr>
        <w:t xml:space="preserve"> laboratory costing</w:t>
      </w:r>
      <w:r>
        <w:rPr>
          <w:rFonts w:ascii="Arial" w:hAnsi="Arial" w:cs="Arial"/>
          <w:color w:val="auto"/>
          <w:sz w:val="20"/>
          <w:szCs w:val="20"/>
        </w:rPr>
        <w:t xml:space="preserve"> </w:t>
      </w:r>
      <w:r w:rsidR="00016228">
        <w:rPr>
          <w:rFonts w:ascii="Arial" w:hAnsi="Arial" w:cs="Arial"/>
          <w:color w:val="auto"/>
          <w:sz w:val="20"/>
          <w:szCs w:val="20"/>
        </w:rPr>
        <w:t xml:space="preserve">and RMP-R TB yield studies </w:t>
      </w:r>
      <w:r w:rsidRPr="00945C83">
        <w:rPr>
          <w:rFonts w:ascii="Arial" w:hAnsi="Arial" w:cs="Arial"/>
          <w:color w:val="auto"/>
          <w:sz w:val="20"/>
          <w:szCs w:val="20"/>
        </w:rPr>
        <w:t>included false-positive</w:t>
      </w:r>
      <w:r>
        <w:rPr>
          <w:rFonts w:ascii="Arial" w:hAnsi="Arial" w:cs="Arial"/>
          <w:color w:val="auto"/>
          <w:sz w:val="20"/>
          <w:szCs w:val="20"/>
        </w:rPr>
        <w:t xml:space="preserve"> TB and </w:t>
      </w:r>
      <w:r w:rsidR="008010FB" w:rsidRPr="001500E1">
        <w:rPr>
          <w:rFonts w:ascii="Arial" w:hAnsi="Arial" w:cs="Arial"/>
          <w:color w:val="auto"/>
          <w:sz w:val="20"/>
          <w:szCs w:val="20"/>
        </w:rPr>
        <w:t>RMP-R</w:t>
      </w:r>
      <w:r w:rsidR="008010FB">
        <w:rPr>
          <w:rFonts w:ascii="Arial" w:hAnsi="Arial" w:cs="Arial"/>
          <w:color w:val="auto"/>
          <w:sz w:val="20"/>
          <w:szCs w:val="20"/>
        </w:rPr>
        <w:t xml:space="preserve"> </w:t>
      </w:r>
      <w:r>
        <w:rPr>
          <w:rFonts w:ascii="Arial" w:hAnsi="Arial" w:cs="Arial"/>
          <w:color w:val="auto"/>
          <w:sz w:val="20"/>
          <w:szCs w:val="20"/>
        </w:rPr>
        <w:t>TB</w:t>
      </w:r>
      <w:r w:rsidRPr="00945C83">
        <w:rPr>
          <w:rFonts w:ascii="Arial" w:hAnsi="Arial" w:cs="Arial"/>
          <w:color w:val="auto"/>
          <w:sz w:val="20"/>
          <w:szCs w:val="20"/>
        </w:rPr>
        <w:t xml:space="preserve"> cases </w:t>
      </w:r>
      <w:r w:rsidR="000C10C4">
        <w:rPr>
          <w:rFonts w:ascii="Arial" w:hAnsi="Arial" w:cs="Arial"/>
          <w:color w:val="auto"/>
          <w:sz w:val="20"/>
          <w:szCs w:val="20"/>
        </w:rPr>
        <w:t>and were likely to have included populations with different characteristics</w:t>
      </w:r>
      <w:r w:rsidR="00B00B55">
        <w:rPr>
          <w:rFonts w:ascii="Arial" w:hAnsi="Arial" w:cs="Arial"/>
          <w:color w:val="auto"/>
          <w:sz w:val="20"/>
          <w:szCs w:val="20"/>
        </w:rPr>
        <w:t>.</w:t>
      </w:r>
      <w:r w:rsidR="003C1EA7">
        <w:rPr>
          <w:rFonts w:ascii="Arial" w:hAnsi="Arial" w:cs="Arial"/>
          <w:color w:val="auto"/>
          <w:sz w:val="20"/>
          <w:szCs w:val="20"/>
        </w:rPr>
        <w:fldChar w:fldCharType="begin" w:fldLock="1"/>
      </w:r>
      <w:r w:rsidR="003147E8">
        <w:rPr>
          <w:rFonts w:ascii="Arial" w:hAnsi="Arial" w:cs="Arial"/>
          <w:color w:val="auto"/>
          <w:sz w:val="20"/>
          <w:szCs w:val="20"/>
        </w:rPr>
        <w:instrText>ADDIN CSL_CITATION { "citationItems" : [ { "id" : "ITEM-1", "itemData" : { "DOI" : "10.1371/journal.pone.0172143", "ISSN" : "1932-6203", "author" : [ { "dropping-particle" : "", "family" : "Naidoo", "given" : "Pren", "non-dropping-particle" : "", "parse-names" : false, "suffix" : "" }, { "dropping-particle" : "", "family" : "Dunbar", "given" : "Rory", "non-dropping-particle" : "", "parse-names" : false, "suffix" : "" }, { "dropping-particle" : "", "family" : "Caldwell", "given" : "Judy", "non-dropping-particle" : "", "parse-names" : false, "suffix" : "" }, { "dropping-particle" : "", "family" : "Lombard", "given" : "Carl", "non-dropping-particle" : "", "parse-names" : false, "suffix" : "" }, { "dropping-particle" : "", "family" : "Beyers", "given" : "Nulda", "non-dropping-particle" : "", "parse-names" : false, "suffix" : "" } ], "container-title" : "PLOS ONE", "editor" : [ { "dropping-particle" : "", "family" : "Pai", "given" : "Madhukar", "non-dropping-particle" : "", "parse-names" : false, "suffix" : "" } ], "id" : "ITEM-1", "issue" : "2", "issued" : { "date-parts" : [ [ "2017", "2", "15" ] ] }, "page" : "e0172143", "publisher" : "Public Library of Science", "title" : "Has universal screening with Xpert\u00ae MTB/RIF increased the proportion of multidrug-resistant tuberculosis cases diagnosed in a routine operational setting?", "type" : "article-journal", "volume" : "12" }, "uris" : [ "http://www.mendeley.com/documents/?uuid=ec19f3b9-b35a-3fa9-bb81-f957bbf073fc" ] }, { "id" : "ITEM-2",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"ITEM-2", "issue" : "10", "issued" : { "date-parts" : [ [ "2016" ] ] }, "page" : "1377-85", "title" : "Comparing laboratory costs of smear/culture and Xpert\u00ae MTB/RIF-based tuberculosis diagnostic algorithms", "type" : "article-journal", "volume" : "20" }, "uris" : [ "http://www.mendeley.com/documents/?uuid=5d15e329-b449-3eb5-a5c2-d8dfeae8435f" ] }, { "id" : "ITEM-3",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"ITEM-3",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"&lt;sup&gt;6,7,11&lt;/sup&gt;", "plainTextFormattedCitation" : "6,7,11", "previouslyFormattedCitation" : "&lt;sup&gt;6,7,11&lt;/sup&gt;" }, "properties" : { "noteIndex" : 0 }, "schema" : "https://github.com/citation-style-language/schema/raw/master/csl-citation.json" }</w:instrText>
      </w:r>
      <w:r w:rsidR="003C1EA7">
        <w:rPr>
          <w:rFonts w:ascii="Arial" w:hAnsi="Arial" w:cs="Arial"/>
          <w:color w:val="auto"/>
          <w:sz w:val="20"/>
          <w:szCs w:val="20"/>
        </w:rPr>
        <w:fldChar w:fldCharType="separate"/>
      </w:r>
      <w:r w:rsidR="003C1EA7" w:rsidRPr="003C1EA7">
        <w:rPr>
          <w:rFonts w:ascii="Arial" w:hAnsi="Arial" w:cs="Arial"/>
          <w:noProof/>
          <w:color w:val="auto"/>
          <w:sz w:val="20"/>
          <w:szCs w:val="20"/>
          <w:vertAlign w:val="superscript"/>
        </w:rPr>
        <w:t>6,7,11</w:t>
      </w:r>
      <w:r w:rsidR="003C1EA7">
        <w:rPr>
          <w:rFonts w:ascii="Arial" w:hAnsi="Arial" w:cs="Arial"/>
          <w:color w:val="auto"/>
          <w:sz w:val="20"/>
          <w:szCs w:val="20"/>
        </w:rPr>
        <w:fldChar w:fldCharType="end"/>
      </w:r>
      <w:r w:rsidR="000949CE">
        <w:rPr>
          <w:rFonts w:ascii="Arial" w:hAnsi="Arial" w:cs="Arial"/>
          <w:color w:val="auto"/>
          <w:sz w:val="20"/>
          <w:szCs w:val="20"/>
        </w:rPr>
        <w:t xml:space="preserve"> </w:t>
      </w:r>
    </w:p>
    <w:p w14:paraId="2B0F57CD" w14:textId="77777777" w:rsidR="008456E3" w:rsidRPr="00945C83" w:rsidRDefault="008456E3" w:rsidP="009B0C52">
      <w:pPr>
        <w:pStyle w:val="Default"/>
        <w:spacing w:line="360" w:lineRule="auto"/>
        <w:jc w:val="both"/>
        <w:rPr>
          <w:rFonts w:ascii="Arial" w:hAnsi="Arial" w:cs="Arial"/>
          <w:color w:val="auto"/>
          <w:sz w:val="20"/>
          <w:szCs w:val="20"/>
        </w:rPr>
      </w:pPr>
    </w:p>
    <w:p w14:paraId="06A80E5F" w14:textId="77777777" w:rsidR="009B0C52" w:rsidRPr="00624EED" w:rsidRDefault="009B0C52" w:rsidP="009B0C52">
      <w:pPr>
        <w:pStyle w:val="Default"/>
        <w:spacing w:line="360" w:lineRule="auto"/>
        <w:jc w:val="both"/>
        <w:rPr>
          <w:rFonts w:ascii="Arial" w:hAnsi="Arial" w:cs="Arial"/>
          <w:color w:val="auto"/>
          <w:sz w:val="20"/>
          <w:szCs w:val="20"/>
        </w:rPr>
      </w:pPr>
      <w:r w:rsidRPr="006D379A">
        <w:rPr>
          <w:rFonts w:ascii="Arial" w:hAnsi="Arial" w:cs="Arial"/>
          <w:color w:val="auto"/>
          <w:sz w:val="20"/>
          <w:szCs w:val="20"/>
        </w:rPr>
        <w:t>The model was</w:t>
      </w:r>
      <w:r>
        <w:rPr>
          <w:rFonts w:ascii="Arial" w:hAnsi="Arial" w:cs="Arial"/>
          <w:color w:val="auto"/>
          <w:sz w:val="20"/>
          <w:szCs w:val="20"/>
        </w:rPr>
        <w:t xml:space="preserve"> </w:t>
      </w:r>
      <w:r w:rsidRPr="006D379A">
        <w:rPr>
          <w:rFonts w:ascii="Arial" w:hAnsi="Arial" w:cs="Arial"/>
          <w:color w:val="auto"/>
          <w:sz w:val="20"/>
          <w:szCs w:val="20"/>
        </w:rPr>
        <w:t>validated against data from Cape Town, a well</w:t>
      </w:r>
      <w:r w:rsidR="004F213A">
        <w:rPr>
          <w:rFonts w:ascii="Arial" w:hAnsi="Arial" w:cs="Arial"/>
          <w:color w:val="auto"/>
          <w:sz w:val="20"/>
          <w:szCs w:val="20"/>
        </w:rPr>
        <w:t>-</w:t>
      </w:r>
      <w:r w:rsidRPr="006D379A">
        <w:rPr>
          <w:rFonts w:ascii="Arial" w:hAnsi="Arial" w:cs="Arial"/>
          <w:color w:val="auto"/>
          <w:sz w:val="20"/>
          <w:szCs w:val="20"/>
        </w:rPr>
        <w:t>resourced</w:t>
      </w:r>
      <w:r>
        <w:rPr>
          <w:rFonts w:ascii="Arial" w:hAnsi="Arial" w:cs="Arial"/>
          <w:color w:val="auto"/>
          <w:sz w:val="20"/>
          <w:szCs w:val="20"/>
        </w:rPr>
        <w:t xml:space="preserve"> </w:t>
      </w:r>
      <w:r w:rsidRPr="006D379A">
        <w:rPr>
          <w:rFonts w:ascii="Arial" w:hAnsi="Arial" w:cs="Arial"/>
          <w:color w:val="auto"/>
          <w:sz w:val="20"/>
          <w:szCs w:val="20"/>
        </w:rPr>
        <w:t xml:space="preserve">urban setting where there </w:t>
      </w:r>
      <w:r w:rsidR="004F213A">
        <w:rPr>
          <w:rFonts w:ascii="Arial" w:hAnsi="Arial" w:cs="Arial"/>
          <w:color w:val="auto"/>
          <w:sz w:val="20"/>
          <w:szCs w:val="20"/>
        </w:rPr>
        <w:t>wa</w:t>
      </w:r>
      <w:r w:rsidR="004F213A" w:rsidRPr="006D379A">
        <w:rPr>
          <w:rFonts w:ascii="Arial" w:hAnsi="Arial" w:cs="Arial"/>
          <w:color w:val="auto"/>
          <w:sz w:val="20"/>
          <w:szCs w:val="20"/>
        </w:rPr>
        <w:t xml:space="preserve">s </w:t>
      </w:r>
      <w:r w:rsidRPr="006D379A">
        <w:rPr>
          <w:rFonts w:ascii="Arial" w:hAnsi="Arial" w:cs="Arial"/>
          <w:color w:val="auto"/>
          <w:sz w:val="20"/>
          <w:szCs w:val="20"/>
        </w:rPr>
        <w:t>extensive use</w:t>
      </w:r>
      <w:r>
        <w:rPr>
          <w:rFonts w:ascii="Arial" w:hAnsi="Arial" w:cs="Arial"/>
          <w:color w:val="auto"/>
          <w:sz w:val="20"/>
          <w:szCs w:val="20"/>
        </w:rPr>
        <w:t xml:space="preserve"> </w:t>
      </w:r>
      <w:r w:rsidRPr="006D379A">
        <w:rPr>
          <w:rFonts w:ascii="Arial" w:hAnsi="Arial" w:cs="Arial"/>
          <w:color w:val="auto"/>
          <w:sz w:val="20"/>
          <w:szCs w:val="20"/>
        </w:rPr>
        <w:t>of culture. This may limit the</w:t>
      </w:r>
      <w:r>
        <w:rPr>
          <w:rFonts w:ascii="Arial" w:hAnsi="Arial" w:cs="Arial"/>
          <w:color w:val="auto"/>
          <w:sz w:val="20"/>
          <w:szCs w:val="20"/>
        </w:rPr>
        <w:t xml:space="preserve"> </w:t>
      </w:r>
      <w:r w:rsidRPr="006D379A">
        <w:rPr>
          <w:rFonts w:ascii="Arial" w:hAnsi="Arial" w:cs="Arial"/>
          <w:color w:val="auto"/>
          <w:sz w:val="20"/>
          <w:szCs w:val="20"/>
        </w:rPr>
        <w:t xml:space="preserve">generalisability of </w:t>
      </w:r>
      <w:r w:rsidR="004F213A">
        <w:rPr>
          <w:rFonts w:ascii="Arial" w:hAnsi="Arial" w:cs="Arial"/>
          <w:color w:val="auto"/>
          <w:sz w:val="20"/>
          <w:szCs w:val="20"/>
        </w:rPr>
        <w:t>our</w:t>
      </w:r>
      <w:r w:rsidR="004F213A" w:rsidRPr="006D379A">
        <w:rPr>
          <w:rFonts w:ascii="Arial" w:hAnsi="Arial" w:cs="Arial"/>
          <w:color w:val="auto"/>
          <w:sz w:val="20"/>
          <w:szCs w:val="20"/>
        </w:rPr>
        <w:t xml:space="preserve"> </w:t>
      </w:r>
      <w:r w:rsidRPr="006D379A">
        <w:rPr>
          <w:rFonts w:ascii="Arial" w:hAnsi="Arial" w:cs="Arial"/>
          <w:color w:val="auto"/>
          <w:sz w:val="20"/>
          <w:szCs w:val="20"/>
        </w:rPr>
        <w:t>findings to other settings.</w:t>
      </w:r>
      <w:r>
        <w:rPr>
          <w:rFonts w:ascii="Arial" w:hAnsi="Arial" w:cs="Arial"/>
          <w:color w:val="auto"/>
          <w:sz w:val="20"/>
          <w:szCs w:val="20"/>
        </w:rPr>
        <w:t xml:space="preserve"> </w:t>
      </w:r>
    </w:p>
    <w:p w14:paraId="783BFD25" w14:textId="77777777" w:rsidR="006D379A" w:rsidRPr="00624EED" w:rsidRDefault="006D379A" w:rsidP="006D379A">
      <w:pPr>
        <w:pStyle w:val="Default"/>
        <w:spacing w:line="360" w:lineRule="auto"/>
        <w:jc w:val="both"/>
        <w:rPr>
          <w:rFonts w:ascii="Arial" w:hAnsi="Arial" w:cs="Arial"/>
          <w:color w:val="auto"/>
          <w:sz w:val="20"/>
          <w:szCs w:val="20"/>
        </w:rPr>
      </w:pPr>
    </w:p>
    <w:p w14:paraId="306B5BD8" w14:textId="77777777" w:rsidR="00624EED" w:rsidRDefault="00D60F16" w:rsidP="00BA5F29">
      <w:pPr>
        <w:pStyle w:val="Default"/>
        <w:spacing w:line="360" w:lineRule="auto"/>
        <w:jc w:val="both"/>
        <w:rPr>
          <w:rFonts w:ascii="Arial" w:hAnsi="Arial" w:cs="Arial"/>
          <w:b/>
          <w:color w:val="auto"/>
          <w:sz w:val="20"/>
          <w:szCs w:val="20"/>
        </w:rPr>
      </w:pPr>
      <w:r>
        <w:rPr>
          <w:rFonts w:ascii="Arial" w:hAnsi="Arial" w:cs="Arial"/>
          <w:b/>
          <w:color w:val="auto"/>
          <w:sz w:val="20"/>
          <w:szCs w:val="20"/>
        </w:rPr>
        <w:t>Conclusion</w:t>
      </w:r>
    </w:p>
    <w:p w14:paraId="21AF3A6C" w14:textId="0B6D3A45" w:rsidR="004F213A" w:rsidRDefault="0007409E" w:rsidP="00BA5F29">
      <w:pPr>
        <w:pStyle w:val="Default"/>
        <w:spacing w:line="360" w:lineRule="auto"/>
        <w:jc w:val="both"/>
        <w:rPr>
          <w:rFonts w:ascii="Arial" w:hAnsi="Arial" w:cs="Arial"/>
          <w:sz w:val="20"/>
          <w:szCs w:val="20"/>
        </w:rPr>
      </w:pPr>
      <w:r>
        <w:rPr>
          <w:rFonts w:ascii="Arial" w:hAnsi="Arial" w:cs="Arial"/>
          <w:sz w:val="20"/>
          <w:szCs w:val="20"/>
        </w:rPr>
        <w:t xml:space="preserve">The model showed a substantial increase in the number of </w:t>
      </w:r>
      <w:r w:rsidR="00707194" w:rsidRPr="001500E1">
        <w:rPr>
          <w:rFonts w:ascii="Arial" w:hAnsi="Arial" w:cs="Arial"/>
          <w:color w:val="auto"/>
          <w:sz w:val="20"/>
          <w:szCs w:val="20"/>
        </w:rPr>
        <w:t>RMP-R</w:t>
      </w:r>
      <w:r w:rsidR="00707194">
        <w:rPr>
          <w:rFonts w:ascii="Arial" w:hAnsi="Arial" w:cs="Arial"/>
          <w:sz w:val="20"/>
          <w:szCs w:val="20"/>
        </w:rPr>
        <w:t xml:space="preserve"> </w:t>
      </w:r>
      <w:r>
        <w:rPr>
          <w:rFonts w:ascii="Arial" w:hAnsi="Arial" w:cs="Arial"/>
          <w:sz w:val="20"/>
          <w:szCs w:val="20"/>
        </w:rPr>
        <w:t>TB cases identified with a transition from a smear/</w:t>
      </w:r>
      <w:r w:rsidR="00FA11B1">
        <w:rPr>
          <w:rFonts w:ascii="Arial" w:hAnsi="Arial" w:cs="Arial"/>
          <w:sz w:val="20"/>
          <w:szCs w:val="20"/>
        </w:rPr>
        <w:t>culture to an Xpert-based algor</w:t>
      </w:r>
      <w:r>
        <w:rPr>
          <w:rFonts w:ascii="Arial" w:hAnsi="Arial" w:cs="Arial"/>
          <w:sz w:val="20"/>
          <w:szCs w:val="20"/>
        </w:rPr>
        <w:t>ithm</w:t>
      </w:r>
      <w:r w:rsidR="00FA11B1">
        <w:rPr>
          <w:rFonts w:ascii="Arial" w:hAnsi="Arial" w:cs="Arial"/>
          <w:sz w:val="20"/>
          <w:szCs w:val="20"/>
        </w:rPr>
        <w:t xml:space="preserve"> even though the increase in the number of TB cases identified was small.</w:t>
      </w:r>
      <w:r w:rsidR="00C7352D">
        <w:rPr>
          <w:rFonts w:ascii="Arial" w:hAnsi="Arial" w:cs="Arial"/>
          <w:sz w:val="20"/>
          <w:szCs w:val="20"/>
        </w:rPr>
        <w:t xml:space="preserve"> </w:t>
      </w:r>
      <w:r w:rsidR="004F213A">
        <w:rPr>
          <w:rFonts w:ascii="Arial" w:hAnsi="Arial" w:cs="Arial"/>
          <w:sz w:val="20"/>
          <w:szCs w:val="20"/>
        </w:rPr>
        <w:t>The Xpert-based algorithm was relatively efficient in diagnosing RMP-R TB cases as the overall increase in laboratory costs was offset by the increa</w:t>
      </w:r>
      <w:r w:rsidR="00D4215C">
        <w:rPr>
          <w:rFonts w:ascii="Arial" w:hAnsi="Arial" w:cs="Arial"/>
          <w:sz w:val="20"/>
          <w:szCs w:val="20"/>
        </w:rPr>
        <w:t xml:space="preserve">sed number of </w:t>
      </w:r>
      <w:r w:rsidR="00773425">
        <w:rPr>
          <w:rFonts w:ascii="Arial" w:hAnsi="Arial" w:cs="Arial"/>
          <w:sz w:val="20"/>
          <w:szCs w:val="20"/>
        </w:rPr>
        <w:t xml:space="preserve">RMP-R TB </w:t>
      </w:r>
      <w:r w:rsidR="00D4215C">
        <w:rPr>
          <w:rFonts w:ascii="Arial" w:hAnsi="Arial" w:cs="Arial"/>
          <w:sz w:val="20"/>
          <w:szCs w:val="20"/>
        </w:rPr>
        <w:t xml:space="preserve">cases </w:t>
      </w:r>
      <w:r w:rsidR="00D4215C">
        <w:rPr>
          <w:rFonts w:ascii="Arial" w:hAnsi="Arial" w:cs="Arial"/>
          <w:sz w:val="20"/>
          <w:szCs w:val="20"/>
        </w:rPr>
        <w:lastRenderedPageBreak/>
        <w:t>identified.</w:t>
      </w:r>
      <w:r w:rsidR="004F213A">
        <w:rPr>
          <w:rFonts w:ascii="Arial" w:hAnsi="Arial" w:cs="Arial"/>
          <w:sz w:val="20"/>
          <w:szCs w:val="20"/>
        </w:rPr>
        <w:t xml:space="preserve"> </w:t>
      </w:r>
      <w:r w:rsidR="00195F31">
        <w:rPr>
          <w:rFonts w:ascii="Arial" w:hAnsi="Arial" w:cs="Arial"/>
          <w:sz w:val="20"/>
          <w:szCs w:val="20"/>
        </w:rPr>
        <w:t>Our model highlight</w:t>
      </w:r>
      <w:r w:rsidR="004F213A">
        <w:rPr>
          <w:rFonts w:ascii="Arial" w:hAnsi="Arial" w:cs="Arial"/>
          <w:sz w:val="20"/>
          <w:szCs w:val="20"/>
        </w:rPr>
        <w:t>s</w:t>
      </w:r>
      <w:r w:rsidR="00195F31">
        <w:rPr>
          <w:rFonts w:ascii="Arial" w:hAnsi="Arial" w:cs="Arial"/>
          <w:sz w:val="20"/>
          <w:szCs w:val="20"/>
        </w:rPr>
        <w:t xml:space="preserve"> the importance of adherence to the Xpert-based algorithm in order to ensure that all presumptive TB cases receive an Xpert test</w:t>
      </w:r>
      <w:r w:rsidR="00707194">
        <w:rPr>
          <w:rFonts w:ascii="Arial" w:hAnsi="Arial" w:cs="Arial"/>
          <w:sz w:val="20"/>
          <w:szCs w:val="20"/>
        </w:rPr>
        <w:t xml:space="preserve"> </w:t>
      </w:r>
      <w:r w:rsidR="004F213A">
        <w:rPr>
          <w:rFonts w:ascii="Arial" w:hAnsi="Arial" w:cs="Arial"/>
          <w:sz w:val="20"/>
          <w:szCs w:val="20"/>
        </w:rPr>
        <w:t xml:space="preserve">and are </w:t>
      </w:r>
      <w:r w:rsidR="00707194">
        <w:rPr>
          <w:rFonts w:ascii="Arial" w:hAnsi="Arial" w:cs="Arial"/>
          <w:sz w:val="20"/>
          <w:szCs w:val="20"/>
        </w:rPr>
        <w:t>simultaneous</w:t>
      </w:r>
      <w:r w:rsidR="004F213A">
        <w:rPr>
          <w:rFonts w:ascii="Arial" w:hAnsi="Arial" w:cs="Arial"/>
          <w:sz w:val="20"/>
          <w:szCs w:val="20"/>
        </w:rPr>
        <w:t>ly</w:t>
      </w:r>
      <w:r w:rsidR="00707194">
        <w:rPr>
          <w:rFonts w:ascii="Arial" w:hAnsi="Arial" w:cs="Arial"/>
          <w:sz w:val="20"/>
          <w:szCs w:val="20"/>
        </w:rPr>
        <w:t xml:space="preserve"> </w:t>
      </w:r>
      <w:r w:rsidR="004F213A">
        <w:rPr>
          <w:rFonts w:ascii="Arial" w:hAnsi="Arial" w:cs="Arial"/>
          <w:sz w:val="20"/>
          <w:szCs w:val="20"/>
        </w:rPr>
        <w:t xml:space="preserve">tested for </w:t>
      </w:r>
      <w:r w:rsidR="00707194">
        <w:rPr>
          <w:rFonts w:ascii="Arial" w:hAnsi="Arial" w:cs="Arial"/>
          <w:sz w:val="20"/>
          <w:szCs w:val="20"/>
        </w:rPr>
        <w:t xml:space="preserve">TB and </w:t>
      </w:r>
      <w:r w:rsidR="00707194" w:rsidRPr="001500E1">
        <w:rPr>
          <w:rFonts w:ascii="Arial" w:hAnsi="Arial" w:cs="Arial"/>
          <w:color w:val="auto"/>
          <w:sz w:val="20"/>
          <w:szCs w:val="20"/>
        </w:rPr>
        <w:t>RMP-R</w:t>
      </w:r>
      <w:r w:rsidR="00195F31">
        <w:rPr>
          <w:rFonts w:ascii="Arial" w:hAnsi="Arial" w:cs="Arial"/>
          <w:sz w:val="20"/>
          <w:szCs w:val="20"/>
        </w:rPr>
        <w:t>.</w:t>
      </w:r>
      <w:r w:rsidR="00707194">
        <w:rPr>
          <w:rFonts w:ascii="Arial" w:hAnsi="Arial" w:cs="Arial"/>
          <w:sz w:val="20"/>
          <w:szCs w:val="20"/>
        </w:rPr>
        <w:t xml:space="preserve"> </w:t>
      </w:r>
    </w:p>
    <w:p w14:paraId="5A61099D" w14:textId="77777777" w:rsidR="004F213A" w:rsidRDefault="004F213A" w:rsidP="00BA5F29">
      <w:pPr>
        <w:pStyle w:val="Default"/>
        <w:spacing w:line="360" w:lineRule="auto"/>
        <w:jc w:val="both"/>
        <w:rPr>
          <w:rFonts w:ascii="Arial" w:hAnsi="Arial" w:cs="Arial"/>
          <w:sz w:val="20"/>
          <w:szCs w:val="20"/>
        </w:rPr>
      </w:pPr>
    </w:p>
    <w:p w14:paraId="57BAB7B5" w14:textId="77777777" w:rsidR="00251E0A" w:rsidRDefault="00F10CC8" w:rsidP="00BA5F29">
      <w:pPr>
        <w:pStyle w:val="Default"/>
        <w:spacing w:line="360" w:lineRule="auto"/>
        <w:jc w:val="both"/>
        <w:rPr>
          <w:rFonts w:ascii="Arial" w:hAnsi="Arial" w:cs="Arial"/>
          <w:sz w:val="20"/>
          <w:szCs w:val="20"/>
        </w:rPr>
      </w:pPr>
      <w:r>
        <w:rPr>
          <w:rFonts w:ascii="Arial" w:hAnsi="Arial" w:cs="Arial"/>
          <w:sz w:val="20"/>
          <w:szCs w:val="20"/>
        </w:rPr>
        <w:t xml:space="preserve">The value of </w:t>
      </w:r>
      <w:r w:rsidR="00135B00">
        <w:rPr>
          <w:rFonts w:ascii="Arial" w:hAnsi="Arial" w:cs="Arial"/>
          <w:sz w:val="20"/>
          <w:szCs w:val="20"/>
        </w:rPr>
        <w:t>th</w:t>
      </w:r>
      <w:r w:rsidR="00943EAB">
        <w:rPr>
          <w:rFonts w:ascii="Arial" w:hAnsi="Arial" w:cs="Arial"/>
          <w:sz w:val="20"/>
          <w:szCs w:val="20"/>
        </w:rPr>
        <w:t>is</w:t>
      </w:r>
      <w:r w:rsidR="00135B00">
        <w:rPr>
          <w:rFonts w:ascii="Arial" w:hAnsi="Arial" w:cs="Arial"/>
          <w:sz w:val="20"/>
          <w:szCs w:val="20"/>
        </w:rPr>
        <w:t xml:space="preserve"> </w:t>
      </w:r>
      <w:r w:rsidR="003469C1" w:rsidRPr="00135B00">
        <w:rPr>
          <w:rFonts w:ascii="Arial" w:hAnsi="Arial" w:cs="Arial"/>
          <w:sz w:val="20"/>
          <w:szCs w:val="20"/>
        </w:rPr>
        <w:t>operational model</w:t>
      </w:r>
      <w:r w:rsidRPr="00135B00">
        <w:rPr>
          <w:rFonts w:ascii="Arial" w:hAnsi="Arial" w:cs="Arial"/>
          <w:sz w:val="20"/>
          <w:szCs w:val="20"/>
        </w:rPr>
        <w:t xml:space="preserve"> </w:t>
      </w:r>
      <w:r w:rsidR="00135B00">
        <w:rPr>
          <w:rFonts w:ascii="Arial" w:hAnsi="Arial" w:cs="Arial"/>
          <w:sz w:val="20"/>
          <w:szCs w:val="20"/>
        </w:rPr>
        <w:t xml:space="preserve">is that </w:t>
      </w:r>
      <w:r>
        <w:rPr>
          <w:rFonts w:ascii="Arial" w:hAnsi="Arial" w:cs="Arial"/>
          <w:sz w:val="20"/>
          <w:szCs w:val="20"/>
        </w:rPr>
        <w:t>future new d</w:t>
      </w:r>
      <w:r w:rsidR="00BB3D90">
        <w:rPr>
          <w:rFonts w:ascii="Arial" w:hAnsi="Arial" w:cs="Arial"/>
          <w:sz w:val="20"/>
          <w:szCs w:val="20"/>
        </w:rPr>
        <w:t>i</w:t>
      </w:r>
      <w:r>
        <w:rPr>
          <w:rFonts w:ascii="Arial" w:hAnsi="Arial" w:cs="Arial"/>
          <w:sz w:val="20"/>
          <w:szCs w:val="20"/>
        </w:rPr>
        <w:t>agnostic tests</w:t>
      </w:r>
      <w:r w:rsidR="00176DD0">
        <w:rPr>
          <w:rFonts w:ascii="Arial" w:hAnsi="Arial" w:cs="Arial"/>
          <w:sz w:val="20"/>
          <w:szCs w:val="20"/>
        </w:rPr>
        <w:t xml:space="preserve"> </w:t>
      </w:r>
      <w:r w:rsidR="004D20C1">
        <w:rPr>
          <w:rFonts w:ascii="Arial" w:hAnsi="Arial" w:cs="Arial"/>
          <w:sz w:val="20"/>
          <w:szCs w:val="20"/>
        </w:rPr>
        <w:t>and</w:t>
      </w:r>
      <w:r w:rsidR="00176DD0">
        <w:rPr>
          <w:rFonts w:ascii="Arial" w:hAnsi="Arial" w:cs="Arial"/>
          <w:sz w:val="20"/>
          <w:szCs w:val="20"/>
        </w:rPr>
        <w:t xml:space="preserve"> their use </w:t>
      </w:r>
      <w:r w:rsidR="00AC3FCB">
        <w:rPr>
          <w:rFonts w:ascii="Arial" w:hAnsi="Arial" w:cs="Arial"/>
          <w:sz w:val="20"/>
          <w:szCs w:val="20"/>
        </w:rPr>
        <w:t>in a TB diagnostic algorithm</w:t>
      </w:r>
      <w:r w:rsidR="001C24DF">
        <w:rPr>
          <w:rFonts w:ascii="Arial" w:hAnsi="Arial" w:cs="Arial"/>
          <w:sz w:val="20"/>
          <w:szCs w:val="20"/>
        </w:rPr>
        <w:t>,</w:t>
      </w:r>
      <w:r w:rsidR="00176DD0">
        <w:rPr>
          <w:rFonts w:ascii="Arial" w:hAnsi="Arial" w:cs="Arial"/>
          <w:sz w:val="20"/>
          <w:szCs w:val="20"/>
        </w:rPr>
        <w:t xml:space="preserve"> within an operational setting</w:t>
      </w:r>
      <w:r w:rsidR="001C24DF">
        <w:rPr>
          <w:rFonts w:ascii="Arial" w:hAnsi="Arial" w:cs="Arial"/>
          <w:sz w:val="20"/>
          <w:szCs w:val="20"/>
        </w:rPr>
        <w:t>,</w:t>
      </w:r>
      <w:r w:rsidR="00135B00">
        <w:rPr>
          <w:rFonts w:ascii="Arial" w:hAnsi="Arial" w:cs="Arial"/>
          <w:sz w:val="20"/>
          <w:szCs w:val="20"/>
        </w:rPr>
        <w:t xml:space="preserve"> </w:t>
      </w:r>
      <w:r w:rsidR="003B6219">
        <w:rPr>
          <w:rFonts w:ascii="Arial" w:hAnsi="Arial" w:cs="Arial"/>
          <w:sz w:val="20"/>
          <w:szCs w:val="20"/>
        </w:rPr>
        <w:t>can</w:t>
      </w:r>
      <w:r w:rsidR="00135B00">
        <w:rPr>
          <w:rFonts w:ascii="Arial" w:hAnsi="Arial" w:cs="Arial"/>
          <w:sz w:val="20"/>
          <w:szCs w:val="20"/>
        </w:rPr>
        <w:t xml:space="preserve"> be evaluated</w:t>
      </w:r>
      <w:r w:rsidR="00B44003">
        <w:rPr>
          <w:rFonts w:ascii="Arial" w:hAnsi="Arial" w:cs="Arial"/>
          <w:sz w:val="20"/>
          <w:szCs w:val="20"/>
        </w:rPr>
        <w:t xml:space="preserve">. </w:t>
      </w:r>
      <w:r w:rsidR="00AC3FCB">
        <w:rPr>
          <w:rFonts w:ascii="Arial" w:hAnsi="Arial" w:cs="Arial"/>
          <w:sz w:val="20"/>
          <w:szCs w:val="20"/>
        </w:rPr>
        <w:t xml:space="preserve"> </w:t>
      </w:r>
    </w:p>
    <w:p w14:paraId="2B6D9BBA" w14:textId="77777777" w:rsidR="003316A5" w:rsidRDefault="003316A5">
      <w:pPr>
        <w:rPr>
          <w:rFonts w:cs="Arial"/>
          <w:b/>
          <w:sz w:val="20"/>
          <w:szCs w:val="20"/>
        </w:rPr>
      </w:pPr>
    </w:p>
    <w:p w14:paraId="168D1056" w14:textId="77777777" w:rsidR="0048549C" w:rsidRPr="0048549C" w:rsidRDefault="0048549C" w:rsidP="0048549C">
      <w:pPr>
        <w:pStyle w:val="Default"/>
        <w:spacing w:line="360" w:lineRule="auto"/>
        <w:jc w:val="both"/>
        <w:rPr>
          <w:rFonts w:ascii="Arial" w:hAnsi="Arial" w:cs="Arial"/>
          <w:b/>
          <w:color w:val="auto"/>
          <w:sz w:val="20"/>
          <w:szCs w:val="20"/>
        </w:rPr>
      </w:pPr>
      <w:r w:rsidRPr="0048549C">
        <w:rPr>
          <w:rFonts w:ascii="Arial" w:hAnsi="Arial" w:cs="Arial"/>
          <w:b/>
          <w:color w:val="auto"/>
          <w:sz w:val="20"/>
          <w:szCs w:val="20"/>
        </w:rPr>
        <w:t>Acknowledgements</w:t>
      </w:r>
    </w:p>
    <w:p w14:paraId="64831185" w14:textId="77777777" w:rsidR="00694718" w:rsidRDefault="0048549C" w:rsidP="0048549C">
      <w:pPr>
        <w:rPr>
          <w:rFonts w:eastAsia="Calibri" w:cs="Arial"/>
          <w:color w:val="000000"/>
          <w:sz w:val="20"/>
          <w:szCs w:val="20"/>
          <w:lang w:val="en-GB" w:eastAsia="en-GB"/>
        </w:rPr>
      </w:pPr>
      <w:r w:rsidRPr="0048549C">
        <w:rPr>
          <w:rFonts w:eastAsia="Calibri" w:cs="Arial"/>
          <w:color w:val="000000"/>
          <w:sz w:val="20"/>
          <w:szCs w:val="20"/>
          <w:lang w:val="en-GB" w:eastAsia="en-GB"/>
        </w:rPr>
        <w:t>The assistance of the National Health Laboratory Services, Cape Town Health Directorate and Western Cape Provincial Department of Health is acknowledged. We wish to acknowledge the City of Cape Town Health Directorate, Cape Town, South Africa for provided permission for this data to be used.</w:t>
      </w:r>
      <w:r w:rsidR="00FC36C1">
        <w:rPr>
          <w:rFonts w:eastAsia="Calibri" w:cs="Arial"/>
          <w:color w:val="000000"/>
          <w:sz w:val="20"/>
          <w:szCs w:val="20"/>
          <w:lang w:val="en-GB" w:eastAsia="en-GB"/>
        </w:rPr>
        <w:t xml:space="preserve"> </w:t>
      </w:r>
    </w:p>
    <w:p w14:paraId="3CB86D63" w14:textId="15687CA9" w:rsidR="0048549C" w:rsidRPr="0048549C" w:rsidRDefault="00FC36C1" w:rsidP="0048549C">
      <w:pPr>
        <w:rPr>
          <w:rFonts w:eastAsia="Calibri" w:cs="Arial"/>
          <w:color w:val="000000"/>
          <w:sz w:val="20"/>
          <w:szCs w:val="20"/>
          <w:lang w:val="en-GB" w:eastAsia="en-GB"/>
        </w:rPr>
      </w:pPr>
      <w:r w:rsidRPr="00FC36C1">
        <w:rPr>
          <w:rFonts w:eastAsia="Calibri" w:cs="Arial"/>
          <w:color w:val="000000"/>
          <w:sz w:val="20"/>
          <w:szCs w:val="20"/>
          <w:lang w:val="en-GB" w:eastAsia="en-GB"/>
        </w:rPr>
        <w:t>This work is based on the research supported by the National Research Foundation</w:t>
      </w:r>
      <w:r>
        <w:rPr>
          <w:rFonts w:eastAsia="Calibri" w:cs="Arial"/>
          <w:color w:val="000000"/>
          <w:sz w:val="20"/>
          <w:szCs w:val="20"/>
          <w:lang w:val="en-GB" w:eastAsia="en-GB"/>
        </w:rPr>
        <w:t>.</w:t>
      </w:r>
      <w:r w:rsidR="00367921">
        <w:rPr>
          <w:rFonts w:eastAsia="Calibri" w:cs="Arial"/>
          <w:color w:val="000000"/>
          <w:sz w:val="20"/>
          <w:szCs w:val="20"/>
          <w:lang w:val="en-GB" w:eastAsia="en-GB"/>
        </w:rPr>
        <w:t xml:space="preserve"> </w:t>
      </w:r>
      <w:r w:rsidR="00367921" w:rsidRPr="00367921">
        <w:rPr>
          <w:rFonts w:eastAsia="Calibri" w:cs="Arial"/>
          <w:color w:val="000000"/>
          <w:sz w:val="20"/>
          <w:szCs w:val="20"/>
          <w:lang w:val="en-GB" w:eastAsia="en-GB"/>
        </w:rPr>
        <w:t>Any opinion, finding and conclusion or recommendation expressed in this material is that of the author(s) and the NRF does not accept any liability in this regard</w:t>
      </w:r>
      <w:r w:rsidR="00367921">
        <w:rPr>
          <w:rFonts w:eastAsia="Calibri" w:cs="Arial"/>
          <w:color w:val="000000"/>
          <w:sz w:val="20"/>
          <w:szCs w:val="20"/>
          <w:lang w:val="en-GB" w:eastAsia="en-GB"/>
        </w:rPr>
        <w:t>.</w:t>
      </w:r>
    </w:p>
    <w:p w14:paraId="26FC093C" w14:textId="0A494702" w:rsidR="003316A5" w:rsidRPr="0048549C" w:rsidRDefault="0048549C" w:rsidP="0048549C">
      <w:pPr>
        <w:rPr>
          <w:rFonts w:eastAsia="Calibri" w:cs="Arial"/>
          <w:color w:val="000000"/>
          <w:sz w:val="20"/>
          <w:szCs w:val="20"/>
          <w:lang w:val="en-GB" w:eastAsia="en-GB"/>
        </w:rPr>
      </w:pPr>
      <w:r w:rsidRPr="0048549C">
        <w:rPr>
          <w:rFonts w:eastAsia="Calibri" w:cs="Arial"/>
          <w:color w:val="000000"/>
          <w:sz w:val="20"/>
          <w:szCs w:val="20"/>
          <w:lang w:val="en-GB" w:eastAsia="en-GB"/>
        </w:rPr>
        <w:t>Authors contributions: RD, PN, NB, and IL designed the study. RD conducted the modelling and data analysis and wrote the first draft of the Article. All authors reviewed.</w:t>
      </w:r>
    </w:p>
    <w:p w14:paraId="7E7DDFE1" w14:textId="5730B457" w:rsidR="00F700D7" w:rsidRDefault="00F700D7">
      <w:pPr>
        <w:rPr>
          <w:rFonts w:eastAsia="Calibri" w:cs="Arial"/>
          <w:b/>
          <w:sz w:val="20"/>
          <w:szCs w:val="20"/>
          <w:lang w:val="en-GB" w:eastAsia="en-GB"/>
        </w:rPr>
      </w:pPr>
      <w:r>
        <w:rPr>
          <w:rFonts w:cs="Arial"/>
          <w:b/>
          <w:sz w:val="20"/>
          <w:szCs w:val="20"/>
        </w:rPr>
        <w:br w:type="page"/>
      </w:r>
    </w:p>
    <w:p w14:paraId="3E02AC7B" w14:textId="77777777" w:rsidR="00251E0A" w:rsidRPr="00C41963" w:rsidRDefault="00251E0A" w:rsidP="00BD7070">
      <w:pPr>
        <w:pStyle w:val="Default"/>
        <w:spacing w:line="360" w:lineRule="auto"/>
        <w:jc w:val="both"/>
        <w:rPr>
          <w:rFonts w:ascii="Arial" w:hAnsi="Arial" w:cs="Arial"/>
          <w:b/>
          <w:color w:val="auto"/>
          <w:sz w:val="20"/>
          <w:szCs w:val="20"/>
        </w:rPr>
      </w:pPr>
      <w:r w:rsidRPr="00C41963">
        <w:rPr>
          <w:rFonts w:ascii="Arial" w:hAnsi="Arial" w:cs="Arial"/>
          <w:b/>
          <w:color w:val="auto"/>
          <w:sz w:val="20"/>
          <w:szCs w:val="20"/>
        </w:rPr>
        <w:lastRenderedPageBreak/>
        <w:t>References</w:t>
      </w:r>
    </w:p>
    <w:p w14:paraId="2E32CE8F" w14:textId="133D19C3" w:rsidR="003147E8" w:rsidRPr="003147E8" w:rsidRDefault="00DB553B" w:rsidP="003147E8">
      <w:pPr>
        <w:widowControl w:val="0"/>
        <w:autoSpaceDE w:val="0"/>
        <w:autoSpaceDN w:val="0"/>
        <w:adjustRightInd w:val="0"/>
        <w:spacing w:line="240" w:lineRule="auto"/>
        <w:ind w:left="640" w:hanging="640"/>
        <w:rPr>
          <w:rFonts w:cs="Arial"/>
          <w:noProof/>
          <w:sz w:val="20"/>
          <w:szCs w:val="24"/>
        </w:rPr>
      </w:pPr>
      <w:r>
        <w:rPr>
          <w:rFonts w:cs="Arial"/>
          <w:sz w:val="20"/>
          <w:szCs w:val="20"/>
        </w:rPr>
        <w:fldChar w:fldCharType="begin" w:fldLock="1"/>
      </w:r>
      <w:r>
        <w:rPr>
          <w:rFonts w:cs="Arial"/>
          <w:sz w:val="20"/>
          <w:szCs w:val="20"/>
        </w:rPr>
        <w:instrText xml:space="preserve">ADDIN Mendeley Bibliography CSL_BIBLIOGRAPHY </w:instrText>
      </w:r>
      <w:r>
        <w:rPr>
          <w:rFonts w:cs="Arial"/>
          <w:sz w:val="20"/>
          <w:szCs w:val="20"/>
        </w:rPr>
        <w:fldChar w:fldCharType="separate"/>
      </w:r>
      <w:r w:rsidR="003147E8" w:rsidRPr="003147E8">
        <w:rPr>
          <w:rFonts w:cs="Arial"/>
          <w:noProof/>
          <w:sz w:val="20"/>
          <w:szCs w:val="24"/>
        </w:rPr>
        <w:t xml:space="preserve">1. </w:t>
      </w:r>
      <w:r w:rsidR="003147E8" w:rsidRPr="003147E8">
        <w:rPr>
          <w:rFonts w:cs="Arial"/>
          <w:noProof/>
          <w:sz w:val="20"/>
          <w:szCs w:val="24"/>
        </w:rPr>
        <w:tab/>
        <w:t>World Health Organization. Global Tuberculosis Report 2016 [Internet]. Geneva, Switzerland; 2016. Available from: http://apps.who.int/iris/bitstream/10665/250441/1/9789241565394-eng.pdf?ua=1&amp;ua=1</w:t>
      </w:r>
    </w:p>
    <w:p w14:paraId="6E2B2235"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2. </w:t>
      </w:r>
      <w:r w:rsidRPr="003147E8">
        <w:rPr>
          <w:rFonts w:cs="Arial"/>
          <w:noProof/>
          <w:sz w:val="20"/>
          <w:szCs w:val="24"/>
        </w:rPr>
        <w:tab/>
        <w:t>World Health Organization. Rapid Implementation of the Xpert MTB/RIF diagnostic test [Internet]. Geneva, Switzerland; 2011 [cited 2017 Jul 20]. Available from: http://apps.who.int/iris/bitstream/10665/44593/1/9789241501569_eng.pdf</w:t>
      </w:r>
    </w:p>
    <w:p w14:paraId="07CC386E"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3. </w:t>
      </w:r>
      <w:r w:rsidRPr="003147E8">
        <w:rPr>
          <w:rFonts w:cs="Arial"/>
          <w:noProof/>
          <w:sz w:val="20"/>
          <w:szCs w:val="24"/>
        </w:rPr>
        <w:tab/>
        <w:t>World Health Organization. Automated real-time nucleic acid amplification technology for rapid and simultaneous detection of tuberculosis and rifampicin resistance: Xpert MTB/RIF System. Policy update. [Internet]. Geneva, Switzerland; 2013 [cited 2017 Aug 2]. Available from: http://apps.who.int/iris/bitstream/10665/44586/1/9789241501545_eng.pdf</w:t>
      </w:r>
    </w:p>
    <w:p w14:paraId="409D7A1A"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4. </w:t>
      </w:r>
      <w:r w:rsidRPr="003147E8">
        <w:rPr>
          <w:rFonts w:cs="Arial"/>
          <w:noProof/>
          <w:sz w:val="20"/>
          <w:szCs w:val="24"/>
        </w:rPr>
        <w:tab/>
        <w:t xml:space="preserve">Boehme CC, Nicol MP, Nabeta P, Michael JS, Gotuzzo E, Tahirli R, et al. Feasibility, diagnostic accuracy, and effectiveness of decentralised use of the Xpert MTB/RIF test for diagnosis of tuberculosis and multidrug resistance: a multicentre implementation study. Lancet (London, England). 2011 Apr 30;377(9776):1495–505. </w:t>
      </w:r>
    </w:p>
    <w:p w14:paraId="7461FC60"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5. </w:t>
      </w:r>
      <w:r w:rsidRPr="003147E8">
        <w:rPr>
          <w:rFonts w:cs="Arial"/>
          <w:noProof/>
          <w:sz w:val="20"/>
          <w:szCs w:val="24"/>
        </w:rPr>
        <w:tab/>
        <w:t xml:space="preserve">Cox H, Dickson-Hall L, Ndjeka N, van’t Hoog A, Grant A, Cobelens F, et al. Delays and loss to follow-up before treatment of drug-resistant tuberculosis following implementation of Xpert MTB/RIF in South Africa: A retrospective cohort study. Suthar AB, editor. PLOS Med. 2017 Feb 21;14(2):e1002238. </w:t>
      </w:r>
    </w:p>
    <w:p w14:paraId="6E1BF345"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6. </w:t>
      </w:r>
      <w:r w:rsidRPr="003147E8">
        <w:rPr>
          <w:rFonts w:cs="Arial"/>
          <w:noProof/>
          <w:sz w:val="20"/>
          <w:szCs w:val="24"/>
        </w:rPr>
        <w:tab/>
        <w:t xml:space="preserve">Naidoo P, Dunbar R, Caldwell J, Lombard C, Beyers N. Has universal screening with Xpert® MTB/RIF increased the proportion of multidrug-resistant tuberculosis cases diagnosed in a routine operational setting? Pai M, editor. PLoS One. 2017 Feb 15;12(2):e0172143. </w:t>
      </w:r>
    </w:p>
    <w:p w14:paraId="41509CC5"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7. </w:t>
      </w:r>
      <w:r w:rsidRPr="003147E8">
        <w:rPr>
          <w:rFonts w:cs="Arial"/>
          <w:noProof/>
          <w:sz w:val="20"/>
          <w:szCs w:val="24"/>
        </w:rPr>
        <w:tab/>
        <w:t xml:space="preserve">Naidoo P, Dunbar R, Toit E, Niekerk M Van, Squire SB, Beyers N, et al. Comparing laboratory costs of smear/culture and Xpert® MTB/RIF-based tuberculosis diagnostic algorithms. Int J Tuberc Lung Dis. 2016;20(10):1377–85. </w:t>
      </w:r>
    </w:p>
    <w:p w14:paraId="4C9B1166"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8. </w:t>
      </w:r>
      <w:r w:rsidRPr="003147E8">
        <w:rPr>
          <w:rFonts w:cs="Arial"/>
          <w:noProof/>
          <w:sz w:val="20"/>
          <w:szCs w:val="24"/>
        </w:rPr>
        <w:tab/>
        <w:t>Department of Health. National Tuberculosis Management Guidelines 2014 [Internet]. Pretoria, South Africa; 2014. Available from: http://www.hst.org.za/publications/national-tuberculosis-management-guidelines-2014</w:t>
      </w:r>
    </w:p>
    <w:p w14:paraId="73F75C1B"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9. </w:t>
      </w:r>
      <w:r w:rsidRPr="003147E8">
        <w:rPr>
          <w:rFonts w:cs="Arial"/>
          <w:noProof/>
          <w:sz w:val="20"/>
          <w:szCs w:val="24"/>
        </w:rPr>
        <w:tab/>
        <w:t xml:space="preserve">Dunbar R, Naidoo P, Beyers N, Langley I. Operational modelling: the mechanisms influencing TB diagnostic yield in an Xpert(®) MTB/RIF-based algorithm. Int J Tuberc Lung Dis. 2017;21(4):381–8. </w:t>
      </w:r>
    </w:p>
    <w:p w14:paraId="739560C8"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10. </w:t>
      </w:r>
      <w:r w:rsidRPr="003147E8">
        <w:rPr>
          <w:rFonts w:cs="Arial"/>
          <w:noProof/>
          <w:sz w:val="20"/>
          <w:szCs w:val="24"/>
        </w:rPr>
        <w:tab/>
        <w:t>Lanner. WITNESS Service and Process Performance Edition [Internet]. Redditch, UK; Available from: http://www.lanner.com/en/witness.cfm</w:t>
      </w:r>
    </w:p>
    <w:p w14:paraId="44AEC4ED"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11. </w:t>
      </w:r>
      <w:r w:rsidRPr="003147E8">
        <w:rPr>
          <w:rFonts w:cs="Arial"/>
          <w:noProof/>
          <w:sz w:val="20"/>
          <w:szCs w:val="24"/>
        </w:rPr>
        <w:tab/>
        <w:t xml:space="preserve">Naidoo P, Dunbar R, Lombard C, du Toit E, Caldwell J, Detjen A, et al. Comparing tuberculosis diagnostic yield in smear/culture and Xpert® MTB/RIF-based algorithms using a non-randomised stepped-wedge design. PLoS One. 2016;11(3):e0150487. </w:t>
      </w:r>
    </w:p>
    <w:p w14:paraId="7FC5A411"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12. </w:t>
      </w:r>
      <w:r w:rsidRPr="003147E8">
        <w:rPr>
          <w:rFonts w:cs="Arial"/>
          <w:noProof/>
          <w:sz w:val="20"/>
          <w:szCs w:val="24"/>
        </w:rPr>
        <w:tab/>
        <w:t xml:space="preserve">Caminero JA. Multidrug-resistant tuberculosis: epidemiology, risk factors and case finding. INT J TUBERC LUNG DIS. 14(4):382–90. </w:t>
      </w:r>
    </w:p>
    <w:p w14:paraId="5C341690"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13. </w:t>
      </w:r>
      <w:r w:rsidRPr="003147E8">
        <w:rPr>
          <w:rFonts w:cs="Arial"/>
          <w:noProof/>
          <w:sz w:val="20"/>
          <w:szCs w:val="24"/>
        </w:rPr>
        <w:tab/>
        <w:t xml:space="preserve">Faustini A, Hall AJ, Perucci CA. Risk factors for multidrug resistant tuberculosis in Europe: a systematic review. Thorax. 2006 Feb;61(2):158–63. </w:t>
      </w:r>
    </w:p>
    <w:p w14:paraId="55526BDA"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14. </w:t>
      </w:r>
      <w:r w:rsidRPr="003147E8">
        <w:rPr>
          <w:rFonts w:cs="Arial"/>
          <w:noProof/>
          <w:sz w:val="20"/>
          <w:szCs w:val="24"/>
        </w:rPr>
        <w:tab/>
        <w:t xml:space="preserve">Rifat M, Milton AH, Hall J, Oldmeadow C, Islam MA, Husain A, et al. Development of multidrug resistant tuberculosis in Bangladesh: a case-control study on risk factors. PLoS One. 2014;9(8):e105214. </w:t>
      </w:r>
    </w:p>
    <w:p w14:paraId="5600665B"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15. </w:t>
      </w:r>
      <w:r w:rsidRPr="003147E8">
        <w:rPr>
          <w:rFonts w:cs="Arial"/>
          <w:noProof/>
          <w:sz w:val="20"/>
          <w:szCs w:val="24"/>
        </w:rPr>
        <w:tab/>
        <w:t xml:space="preserve">Mase SR, Ramsay A, Ng V, Henry M, Hopewell PC, Cunningham J, et al. Yield of serial sputum specimen examinations in the diagnosis of pulmonary tuberculosis: a systematic review. Int J Tuberc Lung Dis. 2007;11(5):485–95. </w:t>
      </w:r>
    </w:p>
    <w:p w14:paraId="68639AEE" w14:textId="77777777" w:rsidR="003147E8" w:rsidRPr="003147E8" w:rsidRDefault="003147E8" w:rsidP="003147E8">
      <w:pPr>
        <w:widowControl w:val="0"/>
        <w:autoSpaceDE w:val="0"/>
        <w:autoSpaceDN w:val="0"/>
        <w:adjustRightInd w:val="0"/>
        <w:spacing w:line="240" w:lineRule="auto"/>
        <w:ind w:left="640" w:hanging="640"/>
        <w:rPr>
          <w:rFonts w:cs="Arial"/>
          <w:noProof/>
          <w:sz w:val="20"/>
          <w:szCs w:val="24"/>
        </w:rPr>
      </w:pPr>
      <w:r w:rsidRPr="003147E8">
        <w:rPr>
          <w:rFonts w:cs="Arial"/>
          <w:noProof/>
          <w:sz w:val="20"/>
          <w:szCs w:val="24"/>
        </w:rPr>
        <w:t xml:space="preserve">16. </w:t>
      </w:r>
      <w:r w:rsidRPr="003147E8">
        <w:rPr>
          <w:rFonts w:cs="Arial"/>
          <w:noProof/>
          <w:sz w:val="20"/>
          <w:szCs w:val="24"/>
        </w:rPr>
        <w:tab/>
        <w:t xml:space="preserve">Steingart KR, Henry M, Ng V, Hopewell PC, Ramsay A, Cunningham J, et al. Fluorescence versus conventional sputum smear microscopy for tuberculosis: a systematic review. Lancet Infect Dis. 2006;6(9):570–81. </w:t>
      </w:r>
    </w:p>
    <w:p w14:paraId="503B8F8D" w14:textId="77777777" w:rsidR="003147E8" w:rsidRPr="003147E8" w:rsidRDefault="003147E8" w:rsidP="003147E8">
      <w:pPr>
        <w:widowControl w:val="0"/>
        <w:autoSpaceDE w:val="0"/>
        <w:autoSpaceDN w:val="0"/>
        <w:adjustRightInd w:val="0"/>
        <w:spacing w:line="240" w:lineRule="auto"/>
        <w:ind w:left="640" w:hanging="640"/>
        <w:rPr>
          <w:rFonts w:cs="Arial"/>
          <w:noProof/>
          <w:sz w:val="20"/>
        </w:rPr>
      </w:pPr>
      <w:r w:rsidRPr="003147E8">
        <w:rPr>
          <w:rFonts w:cs="Arial"/>
          <w:noProof/>
          <w:sz w:val="20"/>
          <w:szCs w:val="24"/>
        </w:rPr>
        <w:lastRenderedPageBreak/>
        <w:t xml:space="preserve">17. </w:t>
      </w:r>
      <w:r w:rsidRPr="003147E8">
        <w:rPr>
          <w:rFonts w:cs="Arial"/>
          <w:noProof/>
          <w:sz w:val="20"/>
          <w:szCs w:val="24"/>
        </w:rPr>
        <w:tab/>
        <w:t xml:space="preserve">Steingart KR, Sohn H, Schiller I, Kloda LA, Boehme CC, Pai M, et al. Xpert® MTB/RIF assay for pulmonary tuberculosis and rifampicin resistance in adults. Cochrane database Syst Rev. 2013;1:CD009593. </w:t>
      </w:r>
    </w:p>
    <w:p w14:paraId="51648F21" w14:textId="77777777" w:rsidR="00DF05CB" w:rsidRDefault="00DB553B">
      <w:pPr>
        <w:rPr>
          <w:rFonts w:cs="Arial"/>
          <w:sz w:val="20"/>
          <w:szCs w:val="20"/>
        </w:rPr>
      </w:pPr>
      <w:r>
        <w:rPr>
          <w:rFonts w:cs="Arial"/>
          <w:sz w:val="20"/>
          <w:szCs w:val="20"/>
        </w:rPr>
        <w:fldChar w:fldCharType="end"/>
      </w:r>
    </w:p>
    <w:p w14:paraId="19D3D289" w14:textId="77777777" w:rsidR="00DF05CB" w:rsidRDefault="00DF05CB">
      <w:pPr>
        <w:rPr>
          <w:rFonts w:cs="Arial"/>
          <w:sz w:val="20"/>
          <w:szCs w:val="20"/>
        </w:rPr>
      </w:pPr>
      <w:r>
        <w:rPr>
          <w:rFonts w:cs="Arial"/>
          <w:sz w:val="20"/>
          <w:szCs w:val="20"/>
        </w:rPr>
        <w:br w:type="page"/>
      </w:r>
    </w:p>
    <w:p w14:paraId="6E409AAC" w14:textId="13F05877" w:rsidR="0093024E" w:rsidRPr="00251E0A" w:rsidRDefault="0093024E" w:rsidP="0093024E">
      <w:pPr>
        <w:pStyle w:val="Caption"/>
        <w:rPr>
          <w:rFonts w:cs="Arial"/>
          <w:szCs w:val="20"/>
        </w:rPr>
      </w:pPr>
      <w:r w:rsidRPr="00251E0A">
        <w:rPr>
          <w:rFonts w:cs="Arial"/>
          <w:szCs w:val="20"/>
        </w:rPr>
        <w:lastRenderedPageBreak/>
        <w:t xml:space="preserve">Table </w:t>
      </w:r>
      <w:r w:rsidRPr="00251E0A">
        <w:rPr>
          <w:rFonts w:cs="Arial"/>
          <w:szCs w:val="20"/>
        </w:rPr>
        <w:fldChar w:fldCharType="begin"/>
      </w:r>
      <w:r w:rsidRPr="00251E0A">
        <w:rPr>
          <w:rFonts w:cs="Arial"/>
          <w:szCs w:val="20"/>
        </w:rPr>
        <w:instrText xml:space="preserve"> SEQ Table \* ARABIC </w:instrText>
      </w:r>
      <w:r w:rsidRPr="00251E0A">
        <w:rPr>
          <w:rFonts w:cs="Arial"/>
          <w:szCs w:val="20"/>
        </w:rPr>
        <w:fldChar w:fldCharType="separate"/>
      </w:r>
      <w:r w:rsidR="00835AB7">
        <w:rPr>
          <w:rFonts w:cs="Arial"/>
          <w:noProof/>
          <w:szCs w:val="20"/>
        </w:rPr>
        <w:t>1</w:t>
      </w:r>
      <w:r w:rsidRPr="00251E0A">
        <w:rPr>
          <w:rFonts w:cs="Arial"/>
          <w:szCs w:val="20"/>
        </w:rPr>
        <w:fldChar w:fldCharType="end"/>
      </w:r>
      <w:r w:rsidRPr="00251E0A">
        <w:rPr>
          <w:rFonts w:cs="Arial"/>
          <w:szCs w:val="20"/>
        </w:rPr>
        <w:t xml:space="preserve">: Test costs for sputum smear microscopy, </w:t>
      </w:r>
      <w:r>
        <w:rPr>
          <w:rFonts w:cs="Arial"/>
          <w:szCs w:val="20"/>
        </w:rPr>
        <w:t xml:space="preserve">culture, </w:t>
      </w:r>
      <w:r w:rsidR="00F5364E" w:rsidRPr="00A148CA">
        <w:rPr>
          <w:rFonts w:cs="Arial"/>
          <w:color w:val="FF0000"/>
          <w:szCs w:val="20"/>
        </w:rPr>
        <w:t xml:space="preserve">line probe assay </w:t>
      </w:r>
      <w:r>
        <w:rPr>
          <w:rFonts w:cs="Arial"/>
          <w:szCs w:val="20"/>
        </w:rPr>
        <w:t xml:space="preserve">and Xpert in the </w:t>
      </w:r>
      <w:r w:rsidR="003A0C2E">
        <w:rPr>
          <w:rFonts w:cs="Arial"/>
          <w:szCs w:val="20"/>
        </w:rPr>
        <w:t xml:space="preserve">smear/culture and </w:t>
      </w:r>
      <w:r>
        <w:rPr>
          <w:rFonts w:cs="Arial"/>
          <w:szCs w:val="20"/>
        </w:rPr>
        <w:t>Xpert-based</w:t>
      </w:r>
      <w:r w:rsidRPr="00251E0A">
        <w:rPr>
          <w:rFonts w:cs="Arial"/>
          <w:szCs w:val="20"/>
        </w:rPr>
        <w:t xml:space="preserve"> algorithm</w:t>
      </w:r>
      <w:r w:rsidR="003A0C2E">
        <w:rPr>
          <w:rFonts w:cs="Arial"/>
          <w:szCs w:val="20"/>
        </w:rPr>
        <w:t>s</w:t>
      </w:r>
      <w:r w:rsidR="004971CB">
        <w:rPr>
          <w:rFonts w:cs="Arial"/>
          <w:szCs w:val="20"/>
        </w:rPr>
        <w:t>* (</w:t>
      </w:r>
      <w:r w:rsidR="004971CB" w:rsidRPr="00251E0A">
        <w:rPr>
          <w:rFonts w:cs="Arial"/>
          <w:szCs w:val="20"/>
        </w:rPr>
        <w:t>Reprinted with permission of the International Union Against Tuberculosis and Lung Disease. Copyright © The Union</w:t>
      </w:r>
      <w:r w:rsidR="004971CB">
        <w:rPr>
          <w:rFonts w:cs="Arial"/>
          <w:szCs w:val="20"/>
        </w:rPr>
        <w:t>)</w:t>
      </w:r>
      <w:r w:rsidR="003D07F0">
        <w:rPr>
          <w:rFonts w:cs="Arial"/>
          <w:szCs w:val="20"/>
        </w:rPr>
        <w:fldChar w:fldCharType="begin" w:fldLock="1"/>
      </w:r>
      <w:r w:rsidR="006A5DC1">
        <w:rPr>
          <w:rFonts w:cs="Arial"/>
          <w:szCs w:val="20"/>
        </w:rPr>
        <w:instrText>ADDIN CSL_CITATION { "citationItems" : [ { "id" : "ITEM-1", "itemData" : { "DOI" : "10.5588/ijtld.16.0081", "ISSN" : "10273719", "author" : [ { "dropping-particle" : "", "family" : "Naidoo", "given" : "P", "non-dropping-particle" : "", "parse-names" : false, "suffix" : "" }, { "dropping-particle" : "", "family" : "Dunbar", "given" : "R", "non-dropping-particle" : "", "parse-names" : false, "suffix" : "" }, { "dropping-particle" : "", "family" : "Toit", "given" : "E", "non-dropping-particle" : "", "parse-names" : false, "suffix" : "" }, { "dropping-particle" : "Van", "family" : "Niekerk", "given" : "M", "non-dropping-particle" : "", "parse-names" : false, "suffix" : "" }, { "dropping-particle" : "", "family" : "Squire", "given" : "S B", "non-dropping-particle" : "", "parse-names" : false, "suffix" : "" }, { "dropping-particle" : "", "family" : "Beyers", "given" : "N", "non-dropping-particle" : "", "parse-names" : false, "suffix" : "" }, { "dropping-particle" : "", "family" : "Madan", "given" : "J", "non-dropping-particle" : "", "parse-names" : false, "suffix" : "" } ], "container-title" : "The International Journal of Tuberculosis and Lung Disease", "id" : "ITEM-1", "issue" : "10", "issued" : { "date-parts" : [ [ "2016" ] ] }, "page" : "1377-85", "title" : "Comparing laboratory costs of smear/culture and Xpert\u00ae MTB/RIF-based tuberculosis diagnostic algorithms", "type" : "article-journal", "volume" : "20" }, "uris" : [ "http://www.mendeley.com/documents/?uuid=5d15e329-b449-3eb5-a5c2-d8dfeae8435f" ] } ], "mendeley" : { "formattedCitation" : "&lt;sup&gt;7&lt;/sup&gt;", "plainTextFormattedCitation" : "7", "previouslyFormattedCitation" : "&lt;sup&gt;7&lt;/sup&gt;" }, "properties" : { "noteIndex" : 0 }, "schema" : "https://github.com/citation-style-language/schema/raw/master/csl-citation.json" }</w:instrText>
      </w:r>
      <w:r w:rsidR="003D07F0">
        <w:rPr>
          <w:rFonts w:cs="Arial"/>
          <w:szCs w:val="20"/>
        </w:rPr>
        <w:fldChar w:fldCharType="separate"/>
      </w:r>
      <w:r w:rsidR="0050723B" w:rsidRPr="0050723B">
        <w:rPr>
          <w:rFonts w:cs="Arial"/>
          <w:i w:val="0"/>
          <w:noProof/>
          <w:szCs w:val="20"/>
          <w:vertAlign w:val="superscript"/>
        </w:rPr>
        <w:t>7</w:t>
      </w:r>
      <w:r w:rsidR="003D07F0">
        <w:rPr>
          <w:rFonts w:cs="Arial"/>
          <w:szCs w:val="2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92"/>
        <w:gridCol w:w="1492"/>
        <w:gridCol w:w="1492"/>
        <w:gridCol w:w="1492"/>
        <w:gridCol w:w="1493"/>
      </w:tblGrid>
      <w:tr w:rsidR="0093024E" w:rsidRPr="00B332A9" w14:paraId="031A7A06" w14:textId="77777777" w:rsidTr="00C53751">
        <w:tc>
          <w:tcPr>
            <w:tcW w:w="1555" w:type="dxa"/>
          </w:tcPr>
          <w:p w14:paraId="3F7AAE92" w14:textId="77777777" w:rsidR="0093024E" w:rsidRPr="00B332A9" w:rsidRDefault="0093024E" w:rsidP="00431154">
            <w:pPr>
              <w:spacing w:after="0" w:line="240" w:lineRule="auto"/>
              <w:jc w:val="both"/>
              <w:rPr>
                <w:rFonts w:cs="Arial"/>
                <w:sz w:val="18"/>
                <w:szCs w:val="18"/>
                <w:lang w:val="en-GB"/>
              </w:rPr>
            </w:pPr>
          </w:p>
        </w:tc>
        <w:tc>
          <w:tcPr>
            <w:tcW w:w="1492" w:type="dxa"/>
            <w:vAlign w:val="bottom"/>
          </w:tcPr>
          <w:p w14:paraId="6087FB11" w14:textId="77777777" w:rsidR="0093024E" w:rsidRPr="00C53751" w:rsidRDefault="0093024E" w:rsidP="00C53751">
            <w:pPr>
              <w:spacing w:after="0" w:line="240" w:lineRule="auto"/>
              <w:jc w:val="center"/>
              <w:rPr>
                <w:rFonts w:cs="Arial"/>
                <w:sz w:val="18"/>
                <w:szCs w:val="18"/>
              </w:rPr>
            </w:pPr>
            <w:r w:rsidRPr="00C53751">
              <w:rPr>
                <w:rFonts w:cs="Arial"/>
                <w:bCs/>
                <w:sz w:val="18"/>
                <w:szCs w:val="18"/>
              </w:rPr>
              <w:t>Smear microscopy</w:t>
            </w:r>
            <w:r w:rsidRPr="00C53751">
              <w:rPr>
                <w:rFonts w:cs="Arial"/>
                <w:bCs/>
                <w:sz w:val="18"/>
                <w:szCs w:val="18"/>
              </w:rPr>
              <w:br/>
            </w:r>
            <w:r w:rsidRPr="00C53751">
              <w:rPr>
                <w:rFonts w:cs="Arial"/>
                <w:sz w:val="18"/>
                <w:szCs w:val="18"/>
              </w:rPr>
              <w:t>(Bleach treated)</w:t>
            </w:r>
          </w:p>
          <w:p w14:paraId="5BB7A7D2" w14:textId="77777777" w:rsidR="00C53751" w:rsidRPr="00C53751" w:rsidRDefault="00C53751" w:rsidP="00C53751">
            <w:pPr>
              <w:spacing w:after="0" w:line="240" w:lineRule="auto"/>
              <w:jc w:val="center"/>
              <w:rPr>
                <w:rFonts w:cs="Arial"/>
                <w:sz w:val="18"/>
                <w:szCs w:val="18"/>
                <w:lang w:val="en-GB"/>
              </w:rPr>
            </w:pPr>
            <w:r w:rsidRPr="00C53751">
              <w:rPr>
                <w:rFonts w:cs="Arial"/>
                <w:sz w:val="18"/>
                <w:szCs w:val="18"/>
              </w:rPr>
              <w:t>US$</w:t>
            </w:r>
          </w:p>
        </w:tc>
        <w:tc>
          <w:tcPr>
            <w:tcW w:w="1492" w:type="dxa"/>
            <w:vAlign w:val="bottom"/>
          </w:tcPr>
          <w:p w14:paraId="2FAE0BAA" w14:textId="77777777" w:rsidR="0093024E" w:rsidRPr="00C53751" w:rsidRDefault="0093024E" w:rsidP="00C53751">
            <w:pPr>
              <w:spacing w:after="0" w:line="240" w:lineRule="auto"/>
              <w:jc w:val="center"/>
              <w:rPr>
                <w:rFonts w:cs="Arial"/>
                <w:bCs/>
                <w:sz w:val="18"/>
                <w:szCs w:val="18"/>
              </w:rPr>
            </w:pPr>
            <w:r w:rsidRPr="00C53751">
              <w:rPr>
                <w:rFonts w:cs="Arial"/>
                <w:bCs/>
                <w:sz w:val="18"/>
                <w:szCs w:val="18"/>
              </w:rPr>
              <w:t>Smear microscopy &amp; culture</w:t>
            </w:r>
          </w:p>
          <w:p w14:paraId="43025392" w14:textId="77777777" w:rsidR="00C53751" w:rsidRPr="00C53751" w:rsidRDefault="00C53751" w:rsidP="00C53751">
            <w:pPr>
              <w:spacing w:after="0" w:line="240" w:lineRule="auto"/>
              <w:jc w:val="center"/>
              <w:rPr>
                <w:rFonts w:cs="Arial"/>
                <w:sz w:val="18"/>
                <w:szCs w:val="18"/>
                <w:lang w:val="en-GB"/>
              </w:rPr>
            </w:pPr>
            <w:r w:rsidRPr="00C53751">
              <w:rPr>
                <w:rFonts w:cs="Arial"/>
                <w:sz w:val="18"/>
                <w:szCs w:val="18"/>
              </w:rPr>
              <w:t>US$</w:t>
            </w:r>
          </w:p>
        </w:tc>
        <w:tc>
          <w:tcPr>
            <w:tcW w:w="1492" w:type="dxa"/>
            <w:vAlign w:val="bottom"/>
          </w:tcPr>
          <w:p w14:paraId="4B4CE793" w14:textId="77777777" w:rsidR="0093024E" w:rsidRDefault="0093024E" w:rsidP="00C53751">
            <w:pPr>
              <w:spacing w:after="0" w:line="240" w:lineRule="auto"/>
              <w:jc w:val="center"/>
              <w:rPr>
                <w:rFonts w:cs="Arial"/>
                <w:bCs/>
                <w:sz w:val="18"/>
                <w:szCs w:val="18"/>
              </w:rPr>
            </w:pPr>
            <w:r w:rsidRPr="00C53751">
              <w:rPr>
                <w:rFonts w:cs="Arial"/>
                <w:bCs/>
                <w:sz w:val="18"/>
                <w:szCs w:val="18"/>
              </w:rPr>
              <w:t>Culture confirmation</w:t>
            </w:r>
          </w:p>
          <w:p w14:paraId="605CBC94" w14:textId="77777777" w:rsidR="00C53751" w:rsidRPr="00C53751" w:rsidRDefault="00C53751" w:rsidP="00C53751">
            <w:pPr>
              <w:spacing w:after="0" w:line="240" w:lineRule="auto"/>
              <w:jc w:val="center"/>
              <w:rPr>
                <w:rFonts w:cs="Arial"/>
                <w:sz w:val="18"/>
                <w:szCs w:val="18"/>
                <w:lang w:val="en-GB"/>
              </w:rPr>
            </w:pPr>
            <w:r>
              <w:rPr>
                <w:rFonts w:cs="Arial"/>
                <w:sz w:val="18"/>
                <w:szCs w:val="18"/>
              </w:rPr>
              <w:t>US$</w:t>
            </w:r>
          </w:p>
        </w:tc>
        <w:tc>
          <w:tcPr>
            <w:tcW w:w="1492" w:type="dxa"/>
            <w:vAlign w:val="bottom"/>
          </w:tcPr>
          <w:p w14:paraId="60BB7339" w14:textId="77777777" w:rsidR="0093024E" w:rsidRPr="00C53751" w:rsidRDefault="0093024E" w:rsidP="00C53751">
            <w:pPr>
              <w:spacing w:after="0" w:line="240" w:lineRule="auto"/>
              <w:jc w:val="center"/>
              <w:rPr>
                <w:rFonts w:cs="Arial"/>
                <w:bCs/>
                <w:sz w:val="18"/>
                <w:szCs w:val="18"/>
              </w:rPr>
            </w:pPr>
            <w:r w:rsidRPr="00C53751">
              <w:rPr>
                <w:rFonts w:cs="Arial"/>
                <w:bCs/>
                <w:sz w:val="18"/>
                <w:szCs w:val="18"/>
              </w:rPr>
              <w:t>MTBDRplus</w:t>
            </w:r>
          </w:p>
          <w:p w14:paraId="12403C68" w14:textId="77777777" w:rsidR="0093024E" w:rsidRDefault="0093024E" w:rsidP="00C53751">
            <w:pPr>
              <w:spacing w:after="0" w:line="240" w:lineRule="auto"/>
              <w:jc w:val="center"/>
              <w:rPr>
                <w:rFonts w:cs="Arial"/>
                <w:bCs/>
                <w:sz w:val="18"/>
                <w:szCs w:val="18"/>
              </w:rPr>
            </w:pPr>
            <w:r w:rsidRPr="00C53751">
              <w:rPr>
                <w:rFonts w:cs="Arial"/>
                <w:bCs/>
                <w:sz w:val="18"/>
                <w:szCs w:val="18"/>
              </w:rPr>
              <w:t>line-probe assay</w:t>
            </w:r>
          </w:p>
          <w:p w14:paraId="455A2E6F" w14:textId="77777777" w:rsidR="00C53751" w:rsidRPr="00C53751" w:rsidRDefault="00C53751" w:rsidP="00C53751">
            <w:pPr>
              <w:spacing w:after="0" w:line="240" w:lineRule="auto"/>
              <w:jc w:val="center"/>
              <w:rPr>
                <w:rFonts w:cs="Arial"/>
                <w:bCs/>
                <w:sz w:val="18"/>
                <w:szCs w:val="18"/>
              </w:rPr>
            </w:pPr>
            <w:r>
              <w:rPr>
                <w:rFonts w:cs="Arial"/>
                <w:sz w:val="18"/>
                <w:szCs w:val="18"/>
              </w:rPr>
              <w:t>US$</w:t>
            </w:r>
          </w:p>
        </w:tc>
        <w:tc>
          <w:tcPr>
            <w:tcW w:w="1493" w:type="dxa"/>
            <w:vAlign w:val="bottom"/>
          </w:tcPr>
          <w:p w14:paraId="2FB42B32" w14:textId="77777777" w:rsidR="0093024E" w:rsidRDefault="00B3213C" w:rsidP="00C53751">
            <w:pPr>
              <w:spacing w:after="0" w:line="240" w:lineRule="auto"/>
              <w:jc w:val="center"/>
              <w:rPr>
                <w:rFonts w:cs="Arial"/>
                <w:bCs/>
                <w:sz w:val="18"/>
                <w:szCs w:val="18"/>
              </w:rPr>
            </w:pPr>
            <w:r>
              <w:rPr>
                <w:rFonts w:cs="Arial"/>
                <w:bCs/>
                <w:sz w:val="18"/>
                <w:szCs w:val="18"/>
              </w:rPr>
              <w:t>Xpert</w:t>
            </w:r>
          </w:p>
          <w:p w14:paraId="2DE9F2F5" w14:textId="77777777" w:rsidR="00B3213C" w:rsidRPr="00C53751" w:rsidRDefault="00B3213C" w:rsidP="00C53751">
            <w:pPr>
              <w:spacing w:after="0" w:line="240" w:lineRule="auto"/>
              <w:jc w:val="center"/>
              <w:rPr>
                <w:rFonts w:cs="Arial"/>
                <w:sz w:val="18"/>
                <w:szCs w:val="18"/>
                <w:lang w:val="en-GB"/>
              </w:rPr>
            </w:pPr>
            <w:r>
              <w:rPr>
                <w:rFonts w:cs="Arial"/>
                <w:sz w:val="18"/>
                <w:szCs w:val="18"/>
              </w:rPr>
              <w:t>US$</w:t>
            </w:r>
          </w:p>
        </w:tc>
      </w:tr>
      <w:tr w:rsidR="00B332A9" w:rsidRPr="00B332A9" w14:paraId="7471EBAB" w14:textId="77777777" w:rsidTr="00B332A9">
        <w:trPr>
          <w:trHeight w:val="251"/>
        </w:trPr>
        <w:tc>
          <w:tcPr>
            <w:tcW w:w="9016" w:type="dxa"/>
            <w:gridSpan w:val="6"/>
            <w:vAlign w:val="center"/>
          </w:tcPr>
          <w:p w14:paraId="29C7E391" w14:textId="77777777" w:rsidR="00B332A9" w:rsidRPr="00B332A9" w:rsidRDefault="00024F80" w:rsidP="00B332A9">
            <w:pPr>
              <w:spacing w:after="0" w:line="240" w:lineRule="auto"/>
              <w:rPr>
                <w:rFonts w:cs="Arial"/>
                <w:b/>
                <w:bCs/>
                <w:sz w:val="18"/>
                <w:szCs w:val="18"/>
              </w:rPr>
            </w:pPr>
            <w:r>
              <w:rPr>
                <w:rFonts w:cs="Arial"/>
                <w:sz w:val="18"/>
                <w:szCs w:val="18"/>
                <w:lang w:val="en-GB"/>
              </w:rPr>
              <w:t>Smear/culture-based algorithm</w:t>
            </w:r>
          </w:p>
        </w:tc>
      </w:tr>
      <w:tr w:rsidR="00B332A9" w:rsidRPr="00B332A9" w14:paraId="7BB53654" w14:textId="77777777" w:rsidTr="002869D3">
        <w:trPr>
          <w:trHeight w:val="251"/>
        </w:trPr>
        <w:tc>
          <w:tcPr>
            <w:tcW w:w="1555" w:type="dxa"/>
            <w:tcMar>
              <w:left w:w="198" w:type="dxa"/>
            </w:tcMar>
            <w:vAlign w:val="center"/>
          </w:tcPr>
          <w:p w14:paraId="516B0697" w14:textId="77777777" w:rsidR="00B332A9" w:rsidRPr="00B332A9" w:rsidRDefault="00B332A9" w:rsidP="002869D3">
            <w:pPr>
              <w:spacing w:after="0" w:line="240" w:lineRule="auto"/>
              <w:rPr>
                <w:rFonts w:cs="Arial"/>
                <w:sz w:val="18"/>
                <w:szCs w:val="18"/>
                <w:lang w:val="en-GB"/>
              </w:rPr>
            </w:pPr>
            <w:r w:rsidRPr="00B332A9">
              <w:rPr>
                <w:rFonts w:cs="Arial"/>
                <w:sz w:val="18"/>
                <w:szCs w:val="18"/>
              </w:rPr>
              <w:t>Building space</w:t>
            </w:r>
          </w:p>
        </w:tc>
        <w:tc>
          <w:tcPr>
            <w:tcW w:w="1492" w:type="dxa"/>
            <w:vAlign w:val="center"/>
          </w:tcPr>
          <w:p w14:paraId="11E8B848"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0.02</w:t>
            </w:r>
          </w:p>
        </w:tc>
        <w:tc>
          <w:tcPr>
            <w:tcW w:w="1492" w:type="dxa"/>
            <w:vAlign w:val="center"/>
          </w:tcPr>
          <w:p w14:paraId="27F26B70"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0.14</w:t>
            </w:r>
          </w:p>
        </w:tc>
        <w:tc>
          <w:tcPr>
            <w:tcW w:w="1492" w:type="dxa"/>
            <w:vAlign w:val="center"/>
          </w:tcPr>
          <w:p w14:paraId="1A1073E4"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0.05</w:t>
            </w:r>
          </w:p>
        </w:tc>
        <w:tc>
          <w:tcPr>
            <w:tcW w:w="1492" w:type="dxa"/>
            <w:vAlign w:val="center"/>
          </w:tcPr>
          <w:p w14:paraId="043AC142" w14:textId="77777777" w:rsidR="00B332A9" w:rsidRPr="00B332A9" w:rsidRDefault="00701C93" w:rsidP="00B332A9">
            <w:pPr>
              <w:spacing w:after="0" w:line="240" w:lineRule="auto"/>
              <w:jc w:val="center"/>
              <w:rPr>
                <w:rFonts w:cs="Arial"/>
                <w:sz w:val="18"/>
                <w:szCs w:val="18"/>
                <w:lang w:val="en-GB"/>
              </w:rPr>
            </w:pPr>
            <w:r>
              <w:rPr>
                <w:rFonts w:cs="Arial"/>
                <w:sz w:val="18"/>
                <w:szCs w:val="18"/>
                <w:lang w:val="en-GB"/>
              </w:rPr>
              <w:t>0.15</w:t>
            </w:r>
          </w:p>
        </w:tc>
        <w:tc>
          <w:tcPr>
            <w:tcW w:w="1493" w:type="dxa"/>
            <w:vAlign w:val="center"/>
          </w:tcPr>
          <w:p w14:paraId="5D14A2C5"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lang w:val="en-GB"/>
              </w:rPr>
              <w:t>-</w:t>
            </w:r>
          </w:p>
        </w:tc>
      </w:tr>
      <w:tr w:rsidR="00B332A9" w:rsidRPr="00B332A9" w14:paraId="039C1D76" w14:textId="77777777" w:rsidTr="002869D3">
        <w:trPr>
          <w:trHeight w:val="251"/>
        </w:trPr>
        <w:tc>
          <w:tcPr>
            <w:tcW w:w="1555" w:type="dxa"/>
            <w:tcMar>
              <w:left w:w="198" w:type="dxa"/>
            </w:tcMar>
            <w:vAlign w:val="center"/>
          </w:tcPr>
          <w:p w14:paraId="71F241C1" w14:textId="77777777" w:rsidR="00B332A9" w:rsidRPr="00B332A9" w:rsidRDefault="00B332A9" w:rsidP="002869D3">
            <w:pPr>
              <w:spacing w:after="0" w:line="240" w:lineRule="auto"/>
              <w:rPr>
                <w:rFonts w:cs="Arial"/>
                <w:sz w:val="18"/>
                <w:szCs w:val="18"/>
                <w:lang w:val="en-GB"/>
              </w:rPr>
            </w:pPr>
            <w:r w:rsidRPr="00B332A9">
              <w:rPr>
                <w:rFonts w:cs="Arial"/>
                <w:sz w:val="18"/>
                <w:szCs w:val="18"/>
              </w:rPr>
              <w:t>Equipment</w:t>
            </w:r>
          </w:p>
        </w:tc>
        <w:tc>
          <w:tcPr>
            <w:tcW w:w="1492" w:type="dxa"/>
            <w:vAlign w:val="center"/>
          </w:tcPr>
          <w:p w14:paraId="75D17216"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0.11</w:t>
            </w:r>
          </w:p>
        </w:tc>
        <w:tc>
          <w:tcPr>
            <w:tcW w:w="1492" w:type="dxa"/>
            <w:vAlign w:val="center"/>
          </w:tcPr>
          <w:p w14:paraId="7F12A243"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0.72</w:t>
            </w:r>
          </w:p>
        </w:tc>
        <w:tc>
          <w:tcPr>
            <w:tcW w:w="1492" w:type="dxa"/>
            <w:vAlign w:val="center"/>
          </w:tcPr>
          <w:p w14:paraId="08E7D051"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0.02</w:t>
            </w:r>
          </w:p>
        </w:tc>
        <w:tc>
          <w:tcPr>
            <w:tcW w:w="1492" w:type="dxa"/>
            <w:vAlign w:val="center"/>
          </w:tcPr>
          <w:p w14:paraId="402F5D29" w14:textId="77777777" w:rsidR="00B332A9" w:rsidRPr="00B332A9" w:rsidRDefault="00701C93" w:rsidP="00B332A9">
            <w:pPr>
              <w:spacing w:after="0" w:line="240" w:lineRule="auto"/>
              <w:jc w:val="center"/>
              <w:rPr>
                <w:rFonts w:cs="Arial"/>
                <w:sz w:val="18"/>
                <w:szCs w:val="18"/>
                <w:lang w:val="en-GB"/>
              </w:rPr>
            </w:pPr>
            <w:r>
              <w:rPr>
                <w:rFonts w:cs="Arial"/>
                <w:sz w:val="18"/>
                <w:szCs w:val="18"/>
                <w:lang w:val="en-GB"/>
              </w:rPr>
              <w:t>0.17</w:t>
            </w:r>
          </w:p>
        </w:tc>
        <w:tc>
          <w:tcPr>
            <w:tcW w:w="1493" w:type="dxa"/>
            <w:vAlign w:val="center"/>
          </w:tcPr>
          <w:p w14:paraId="7415CE66"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lang w:val="en-GB"/>
              </w:rPr>
              <w:t>-</w:t>
            </w:r>
          </w:p>
        </w:tc>
      </w:tr>
      <w:tr w:rsidR="00B332A9" w:rsidRPr="00B332A9" w14:paraId="7800B151" w14:textId="77777777" w:rsidTr="002869D3">
        <w:trPr>
          <w:trHeight w:val="251"/>
        </w:trPr>
        <w:tc>
          <w:tcPr>
            <w:tcW w:w="1555" w:type="dxa"/>
            <w:tcMar>
              <w:left w:w="198" w:type="dxa"/>
            </w:tcMar>
            <w:vAlign w:val="center"/>
          </w:tcPr>
          <w:p w14:paraId="1722FBD4" w14:textId="77777777" w:rsidR="00B332A9" w:rsidRPr="00B332A9" w:rsidRDefault="00B332A9" w:rsidP="002869D3">
            <w:pPr>
              <w:spacing w:after="0" w:line="240" w:lineRule="auto"/>
              <w:rPr>
                <w:rFonts w:cs="Arial"/>
                <w:sz w:val="18"/>
                <w:szCs w:val="18"/>
                <w:lang w:val="en-GB"/>
              </w:rPr>
            </w:pPr>
            <w:r w:rsidRPr="00B332A9">
              <w:rPr>
                <w:rFonts w:cs="Arial"/>
                <w:sz w:val="18"/>
                <w:szCs w:val="18"/>
              </w:rPr>
              <w:t>Consumables</w:t>
            </w:r>
          </w:p>
        </w:tc>
        <w:tc>
          <w:tcPr>
            <w:tcW w:w="1492" w:type="dxa"/>
            <w:vAlign w:val="center"/>
          </w:tcPr>
          <w:p w14:paraId="3423C431"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0.36</w:t>
            </w:r>
          </w:p>
        </w:tc>
        <w:tc>
          <w:tcPr>
            <w:tcW w:w="1492" w:type="dxa"/>
            <w:vAlign w:val="center"/>
          </w:tcPr>
          <w:p w14:paraId="5B2A4CEA"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3.87</w:t>
            </w:r>
          </w:p>
        </w:tc>
        <w:tc>
          <w:tcPr>
            <w:tcW w:w="1492" w:type="dxa"/>
            <w:vAlign w:val="center"/>
          </w:tcPr>
          <w:p w14:paraId="00D580EF"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0.84</w:t>
            </w:r>
          </w:p>
        </w:tc>
        <w:tc>
          <w:tcPr>
            <w:tcW w:w="1492" w:type="dxa"/>
            <w:vAlign w:val="center"/>
          </w:tcPr>
          <w:p w14:paraId="19BFEEB9" w14:textId="77777777" w:rsidR="00B332A9" w:rsidRPr="00B332A9" w:rsidRDefault="00701C93" w:rsidP="00B332A9">
            <w:pPr>
              <w:spacing w:after="0" w:line="240" w:lineRule="auto"/>
              <w:jc w:val="center"/>
              <w:rPr>
                <w:rFonts w:cs="Arial"/>
                <w:sz w:val="18"/>
                <w:szCs w:val="18"/>
                <w:lang w:val="en-GB"/>
              </w:rPr>
            </w:pPr>
            <w:r>
              <w:rPr>
                <w:rFonts w:cs="Arial"/>
                <w:sz w:val="18"/>
                <w:szCs w:val="18"/>
                <w:lang w:val="en-GB"/>
              </w:rPr>
              <w:t>12.67</w:t>
            </w:r>
          </w:p>
        </w:tc>
        <w:tc>
          <w:tcPr>
            <w:tcW w:w="1493" w:type="dxa"/>
            <w:vAlign w:val="center"/>
          </w:tcPr>
          <w:p w14:paraId="7335F4E4"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lang w:val="en-GB"/>
              </w:rPr>
              <w:t>-</w:t>
            </w:r>
          </w:p>
        </w:tc>
      </w:tr>
      <w:tr w:rsidR="00B332A9" w:rsidRPr="00B332A9" w14:paraId="3D22BE94" w14:textId="77777777" w:rsidTr="002869D3">
        <w:trPr>
          <w:trHeight w:val="251"/>
        </w:trPr>
        <w:tc>
          <w:tcPr>
            <w:tcW w:w="1555" w:type="dxa"/>
            <w:tcMar>
              <w:left w:w="198" w:type="dxa"/>
            </w:tcMar>
            <w:vAlign w:val="center"/>
          </w:tcPr>
          <w:p w14:paraId="4D9F7AF8" w14:textId="77777777" w:rsidR="00B332A9" w:rsidRPr="00B332A9" w:rsidRDefault="00B332A9" w:rsidP="002869D3">
            <w:pPr>
              <w:spacing w:after="0" w:line="240" w:lineRule="auto"/>
              <w:rPr>
                <w:rFonts w:cs="Arial"/>
                <w:sz w:val="18"/>
                <w:szCs w:val="18"/>
                <w:lang w:val="en-GB"/>
              </w:rPr>
            </w:pPr>
            <w:r w:rsidRPr="00B332A9">
              <w:rPr>
                <w:rFonts w:cs="Arial"/>
                <w:sz w:val="18"/>
                <w:szCs w:val="18"/>
              </w:rPr>
              <w:t>Staff</w:t>
            </w:r>
          </w:p>
        </w:tc>
        <w:tc>
          <w:tcPr>
            <w:tcW w:w="1492" w:type="dxa"/>
            <w:vAlign w:val="center"/>
          </w:tcPr>
          <w:p w14:paraId="7A3D5063"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0.55</w:t>
            </w:r>
          </w:p>
        </w:tc>
        <w:tc>
          <w:tcPr>
            <w:tcW w:w="1492" w:type="dxa"/>
            <w:vAlign w:val="center"/>
          </w:tcPr>
          <w:p w14:paraId="1D41CD12"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2.21</w:t>
            </w:r>
          </w:p>
        </w:tc>
        <w:tc>
          <w:tcPr>
            <w:tcW w:w="1492" w:type="dxa"/>
            <w:vAlign w:val="center"/>
          </w:tcPr>
          <w:p w14:paraId="0064DC9F"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0.57</w:t>
            </w:r>
          </w:p>
        </w:tc>
        <w:tc>
          <w:tcPr>
            <w:tcW w:w="1492" w:type="dxa"/>
            <w:vAlign w:val="center"/>
          </w:tcPr>
          <w:p w14:paraId="38707244" w14:textId="77777777" w:rsidR="00B332A9" w:rsidRPr="00B332A9" w:rsidRDefault="00701C93" w:rsidP="00B332A9">
            <w:pPr>
              <w:spacing w:after="0" w:line="240" w:lineRule="auto"/>
              <w:jc w:val="center"/>
              <w:rPr>
                <w:rFonts w:cs="Arial"/>
                <w:sz w:val="18"/>
                <w:szCs w:val="18"/>
                <w:lang w:val="en-GB"/>
              </w:rPr>
            </w:pPr>
            <w:r>
              <w:rPr>
                <w:rFonts w:cs="Arial"/>
                <w:sz w:val="18"/>
                <w:szCs w:val="18"/>
                <w:lang w:val="en-GB"/>
              </w:rPr>
              <w:t>1.34</w:t>
            </w:r>
          </w:p>
        </w:tc>
        <w:tc>
          <w:tcPr>
            <w:tcW w:w="1493" w:type="dxa"/>
            <w:vAlign w:val="center"/>
          </w:tcPr>
          <w:p w14:paraId="4CDC5E84"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lang w:val="en-GB"/>
              </w:rPr>
              <w:t>-</w:t>
            </w:r>
          </w:p>
        </w:tc>
      </w:tr>
      <w:tr w:rsidR="00B332A9" w:rsidRPr="00B332A9" w14:paraId="7EABCF40" w14:textId="77777777" w:rsidTr="002869D3">
        <w:trPr>
          <w:trHeight w:val="251"/>
        </w:trPr>
        <w:tc>
          <w:tcPr>
            <w:tcW w:w="1555" w:type="dxa"/>
            <w:tcMar>
              <w:left w:w="198" w:type="dxa"/>
            </w:tcMar>
            <w:vAlign w:val="center"/>
          </w:tcPr>
          <w:p w14:paraId="78F5F852" w14:textId="77777777" w:rsidR="00B332A9" w:rsidRPr="00B332A9" w:rsidRDefault="00B332A9" w:rsidP="002869D3">
            <w:pPr>
              <w:spacing w:after="0" w:line="240" w:lineRule="auto"/>
              <w:rPr>
                <w:rFonts w:cs="Arial"/>
                <w:sz w:val="18"/>
                <w:szCs w:val="18"/>
                <w:lang w:val="en-GB"/>
              </w:rPr>
            </w:pPr>
            <w:r w:rsidRPr="00B332A9">
              <w:rPr>
                <w:rFonts w:cs="Arial"/>
                <w:sz w:val="18"/>
                <w:szCs w:val="18"/>
              </w:rPr>
              <w:t>Overheads</w:t>
            </w:r>
            <w:r w:rsidRPr="00B332A9">
              <w:rPr>
                <w:rFonts w:cs="Arial"/>
                <w:sz w:val="18"/>
                <w:szCs w:val="18"/>
                <w:vertAlign w:val="superscript"/>
              </w:rPr>
              <w:t>#</w:t>
            </w:r>
          </w:p>
        </w:tc>
        <w:tc>
          <w:tcPr>
            <w:tcW w:w="1492" w:type="dxa"/>
            <w:vAlign w:val="center"/>
          </w:tcPr>
          <w:p w14:paraId="0F4469B6"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1.80</w:t>
            </w:r>
          </w:p>
        </w:tc>
        <w:tc>
          <w:tcPr>
            <w:tcW w:w="1492" w:type="dxa"/>
            <w:vAlign w:val="center"/>
          </w:tcPr>
          <w:p w14:paraId="4E9831C6"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1.80</w:t>
            </w:r>
          </w:p>
        </w:tc>
        <w:tc>
          <w:tcPr>
            <w:tcW w:w="1492" w:type="dxa"/>
            <w:vAlign w:val="center"/>
          </w:tcPr>
          <w:p w14:paraId="3FBA5DC9"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0.00</w:t>
            </w:r>
          </w:p>
        </w:tc>
        <w:tc>
          <w:tcPr>
            <w:tcW w:w="1492" w:type="dxa"/>
            <w:vAlign w:val="center"/>
          </w:tcPr>
          <w:p w14:paraId="6BACAE3A" w14:textId="77777777" w:rsidR="00B332A9" w:rsidRPr="00B332A9" w:rsidRDefault="00701C93" w:rsidP="00B332A9">
            <w:pPr>
              <w:spacing w:after="0" w:line="240" w:lineRule="auto"/>
              <w:jc w:val="center"/>
              <w:rPr>
                <w:rFonts w:cs="Arial"/>
                <w:sz w:val="18"/>
                <w:szCs w:val="18"/>
                <w:lang w:val="en-GB"/>
              </w:rPr>
            </w:pPr>
            <w:r>
              <w:rPr>
                <w:rFonts w:cs="Arial"/>
                <w:sz w:val="18"/>
                <w:szCs w:val="18"/>
                <w:lang w:val="en-GB"/>
              </w:rPr>
              <w:t>1.80</w:t>
            </w:r>
          </w:p>
        </w:tc>
        <w:tc>
          <w:tcPr>
            <w:tcW w:w="1493" w:type="dxa"/>
            <w:vAlign w:val="center"/>
          </w:tcPr>
          <w:p w14:paraId="5AA4C87A"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lang w:val="en-GB"/>
              </w:rPr>
              <w:t>-</w:t>
            </w:r>
          </w:p>
        </w:tc>
      </w:tr>
      <w:tr w:rsidR="00B332A9" w:rsidRPr="00B332A9" w14:paraId="562A281D" w14:textId="77777777" w:rsidTr="002869D3">
        <w:trPr>
          <w:trHeight w:val="251"/>
        </w:trPr>
        <w:tc>
          <w:tcPr>
            <w:tcW w:w="1555" w:type="dxa"/>
            <w:tcMar>
              <w:left w:w="198" w:type="dxa"/>
            </w:tcMar>
            <w:vAlign w:val="center"/>
          </w:tcPr>
          <w:p w14:paraId="203ACFC6" w14:textId="77777777" w:rsidR="00B332A9" w:rsidRPr="00B332A9" w:rsidRDefault="00B332A9" w:rsidP="002869D3">
            <w:pPr>
              <w:spacing w:after="0" w:line="240" w:lineRule="auto"/>
              <w:rPr>
                <w:rFonts w:cs="Arial"/>
                <w:sz w:val="18"/>
                <w:szCs w:val="18"/>
                <w:lang w:val="en-GB"/>
              </w:rPr>
            </w:pPr>
            <w:r w:rsidRPr="00B332A9">
              <w:rPr>
                <w:rFonts w:cs="Arial"/>
                <w:sz w:val="18"/>
                <w:szCs w:val="18"/>
              </w:rPr>
              <w:t>Cost per test</w:t>
            </w:r>
          </w:p>
        </w:tc>
        <w:tc>
          <w:tcPr>
            <w:tcW w:w="1492" w:type="dxa"/>
            <w:vAlign w:val="center"/>
          </w:tcPr>
          <w:p w14:paraId="0B41ACC9" w14:textId="77777777" w:rsidR="00B332A9" w:rsidRPr="00485DBC" w:rsidRDefault="00B332A9" w:rsidP="00B332A9">
            <w:pPr>
              <w:spacing w:after="0" w:line="240" w:lineRule="auto"/>
              <w:jc w:val="center"/>
              <w:rPr>
                <w:rFonts w:cs="Arial"/>
                <w:sz w:val="18"/>
                <w:szCs w:val="18"/>
                <w:lang w:val="en-GB"/>
              </w:rPr>
            </w:pPr>
            <w:r w:rsidRPr="00485DBC">
              <w:rPr>
                <w:rFonts w:cs="Arial"/>
                <w:bCs/>
                <w:sz w:val="18"/>
                <w:szCs w:val="18"/>
              </w:rPr>
              <w:t>2.85</w:t>
            </w:r>
          </w:p>
        </w:tc>
        <w:tc>
          <w:tcPr>
            <w:tcW w:w="1492" w:type="dxa"/>
            <w:vAlign w:val="center"/>
          </w:tcPr>
          <w:p w14:paraId="718E43ED" w14:textId="77777777" w:rsidR="00B332A9" w:rsidRPr="00485DBC" w:rsidRDefault="00B332A9" w:rsidP="00B332A9">
            <w:pPr>
              <w:spacing w:after="0" w:line="240" w:lineRule="auto"/>
              <w:jc w:val="center"/>
              <w:rPr>
                <w:rFonts w:cs="Arial"/>
                <w:sz w:val="18"/>
                <w:szCs w:val="18"/>
                <w:lang w:val="en-GB"/>
              </w:rPr>
            </w:pPr>
            <w:r w:rsidRPr="00485DBC">
              <w:rPr>
                <w:rFonts w:cs="Arial"/>
                <w:bCs/>
                <w:sz w:val="18"/>
                <w:szCs w:val="18"/>
              </w:rPr>
              <w:t>8.75</w:t>
            </w:r>
          </w:p>
        </w:tc>
        <w:tc>
          <w:tcPr>
            <w:tcW w:w="1492" w:type="dxa"/>
            <w:vAlign w:val="center"/>
          </w:tcPr>
          <w:p w14:paraId="79D0E20A" w14:textId="77777777" w:rsidR="00B332A9" w:rsidRPr="00485DBC" w:rsidRDefault="00B332A9" w:rsidP="00B332A9">
            <w:pPr>
              <w:spacing w:after="0" w:line="240" w:lineRule="auto"/>
              <w:jc w:val="center"/>
              <w:rPr>
                <w:rFonts w:cs="Arial"/>
                <w:sz w:val="18"/>
                <w:szCs w:val="18"/>
                <w:lang w:val="en-GB"/>
              </w:rPr>
            </w:pPr>
            <w:r w:rsidRPr="00485DBC">
              <w:rPr>
                <w:rFonts w:cs="Arial"/>
                <w:bCs/>
                <w:sz w:val="18"/>
                <w:szCs w:val="18"/>
              </w:rPr>
              <w:t>1.49</w:t>
            </w:r>
          </w:p>
        </w:tc>
        <w:tc>
          <w:tcPr>
            <w:tcW w:w="1492" w:type="dxa"/>
            <w:vAlign w:val="center"/>
          </w:tcPr>
          <w:p w14:paraId="5D7C9F14" w14:textId="77777777" w:rsidR="00B332A9" w:rsidRPr="00B332A9" w:rsidRDefault="00701C93" w:rsidP="00B332A9">
            <w:pPr>
              <w:spacing w:after="0" w:line="240" w:lineRule="auto"/>
              <w:jc w:val="center"/>
              <w:rPr>
                <w:rFonts w:cs="Arial"/>
                <w:sz w:val="18"/>
                <w:szCs w:val="18"/>
                <w:lang w:val="en-GB"/>
              </w:rPr>
            </w:pPr>
            <w:r>
              <w:rPr>
                <w:rFonts w:cs="Arial"/>
                <w:sz w:val="18"/>
                <w:szCs w:val="18"/>
                <w:lang w:val="en-GB"/>
              </w:rPr>
              <w:t>16.12</w:t>
            </w:r>
          </w:p>
        </w:tc>
        <w:tc>
          <w:tcPr>
            <w:tcW w:w="1493" w:type="dxa"/>
            <w:vAlign w:val="center"/>
          </w:tcPr>
          <w:p w14:paraId="10EFAF70"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lang w:val="en-GB"/>
              </w:rPr>
              <w:t>-</w:t>
            </w:r>
          </w:p>
        </w:tc>
      </w:tr>
      <w:tr w:rsidR="00B332A9" w:rsidRPr="00B332A9" w14:paraId="1DFA3472" w14:textId="77777777" w:rsidTr="00B332A9">
        <w:trPr>
          <w:trHeight w:val="251"/>
        </w:trPr>
        <w:tc>
          <w:tcPr>
            <w:tcW w:w="9016" w:type="dxa"/>
            <w:gridSpan w:val="6"/>
            <w:vAlign w:val="center"/>
          </w:tcPr>
          <w:p w14:paraId="2A51C4DE" w14:textId="77777777" w:rsidR="00B332A9" w:rsidRPr="00B332A9" w:rsidRDefault="00B332A9" w:rsidP="00B332A9">
            <w:pPr>
              <w:spacing w:after="0" w:line="240" w:lineRule="auto"/>
              <w:rPr>
                <w:rFonts w:cs="Arial"/>
                <w:b/>
                <w:bCs/>
                <w:sz w:val="18"/>
                <w:szCs w:val="18"/>
              </w:rPr>
            </w:pPr>
            <w:r w:rsidRPr="00B332A9">
              <w:rPr>
                <w:rFonts w:cs="Arial"/>
                <w:sz w:val="18"/>
                <w:szCs w:val="18"/>
                <w:lang w:val="en-GB"/>
              </w:rPr>
              <w:t>Xpert-based algorithm</w:t>
            </w:r>
          </w:p>
        </w:tc>
      </w:tr>
      <w:tr w:rsidR="00B332A9" w:rsidRPr="00B332A9" w14:paraId="422BF6B3" w14:textId="77777777" w:rsidTr="002869D3">
        <w:trPr>
          <w:trHeight w:val="251"/>
        </w:trPr>
        <w:tc>
          <w:tcPr>
            <w:tcW w:w="1555" w:type="dxa"/>
            <w:tcMar>
              <w:left w:w="198" w:type="dxa"/>
            </w:tcMar>
            <w:vAlign w:val="center"/>
          </w:tcPr>
          <w:p w14:paraId="22BAAAF2" w14:textId="77777777" w:rsidR="00B332A9" w:rsidRPr="00B332A9" w:rsidRDefault="00B332A9" w:rsidP="002869D3">
            <w:pPr>
              <w:spacing w:after="0" w:line="240" w:lineRule="auto"/>
              <w:rPr>
                <w:rFonts w:cs="Arial"/>
                <w:sz w:val="18"/>
                <w:szCs w:val="18"/>
                <w:lang w:val="en-GB"/>
              </w:rPr>
            </w:pPr>
            <w:r w:rsidRPr="00B332A9">
              <w:rPr>
                <w:rFonts w:cs="Arial"/>
                <w:sz w:val="18"/>
                <w:szCs w:val="18"/>
              </w:rPr>
              <w:t>Building space</w:t>
            </w:r>
          </w:p>
        </w:tc>
        <w:tc>
          <w:tcPr>
            <w:tcW w:w="1492" w:type="dxa"/>
            <w:vAlign w:val="center"/>
          </w:tcPr>
          <w:p w14:paraId="6E3CBBDC"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0.02</w:t>
            </w:r>
          </w:p>
        </w:tc>
        <w:tc>
          <w:tcPr>
            <w:tcW w:w="1492" w:type="dxa"/>
            <w:vAlign w:val="center"/>
          </w:tcPr>
          <w:p w14:paraId="2AFFDEBC"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0.14</w:t>
            </w:r>
          </w:p>
        </w:tc>
        <w:tc>
          <w:tcPr>
            <w:tcW w:w="1492" w:type="dxa"/>
            <w:vAlign w:val="center"/>
          </w:tcPr>
          <w:p w14:paraId="351096DB"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0.05</w:t>
            </w:r>
          </w:p>
        </w:tc>
        <w:tc>
          <w:tcPr>
            <w:tcW w:w="1492" w:type="dxa"/>
          </w:tcPr>
          <w:p w14:paraId="5878311D" w14:textId="77777777" w:rsidR="00B332A9" w:rsidRPr="00B332A9" w:rsidRDefault="00B332A9" w:rsidP="00B332A9">
            <w:pPr>
              <w:spacing w:after="0" w:line="240" w:lineRule="auto"/>
              <w:jc w:val="center"/>
              <w:rPr>
                <w:rFonts w:cs="Arial"/>
                <w:sz w:val="18"/>
                <w:szCs w:val="18"/>
              </w:rPr>
            </w:pPr>
            <w:r w:rsidRPr="00B332A9">
              <w:rPr>
                <w:rFonts w:cs="Arial"/>
                <w:sz w:val="18"/>
                <w:szCs w:val="18"/>
              </w:rPr>
              <w:t>0.15</w:t>
            </w:r>
          </w:p>
        </w:tc>
        <w:tc>
          <w:tcPr>
            <w:tcW w:w="1493" w:type="dxa"/>
            <w:vAlign w:val="center"/>
          </w:tcPr>
          <w:p w14:paraId="16011269"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0.06</w:t>
            </w:r>
          </w:p>
        </w:tc>
      </w:tr>
      <w:tr w:rsidR="00B332A9" w:rsidRPr="00B332A9" w14:paraId="30B06099" w14:textId="77777777" w:rsidTr="002869D3">
        <w:trPr>
          <w:trHeight w:val="251"/>
        </w:trPr>
        <w:tc>
          <w:tcPr>
            <w:tcW w:w="1555" w:type="dxa"/>
            <w:tcMar>
              <w:left w:w="198" w:type="dxa"/>
            </w:tcMar>
            <w:vAlign w:val="center"/>
          </w:tcPr>
          <w:p w14:paraId="2BA3FF7B" w14:textId="77777777" w:rsidR="00B332A9" w:rsidRPr="00B332A9" w:rsidRDefault="00B332A9" w:rsidP="002869D3">
            <w:pPr>
              <w:spacing w:after="0" w:line="240" w:lineRule="auto"/>
              <w:rPr>
                <w:rFonts w:cs="Arial"/>
                <w:sz w:val="18"/>
                <w:szCs w:val="18"/>
                <w:lang w:val="en-GB"/>
              </w:rPr>
            </w:pPr>
            <w:r w:rsidRPr="00B332A9">
              <w:rPr>
                <w:rFonts w:cs="Arial"/>
                <w:sz w:val="18"/>
                <w:szCs w:val="18"/>
              </w:rPr>
              <w:t>Equipment</w:t>
            </w:r>
          </w:p>
        </w:tc>
        <w:tc>
          <w:tcPr>
            <w:tcW w:w="1492" w:type="dxa"/>
            <w:vAlign w:val="center"/>
          </w:tcPr>
          <w:p w14:paraId="4D8CCBFA"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0.13</w:t>
            </w:r>
          </w:p>
        </w:tc>
        <w:tc>
          <w:tcPr>
            <w:tcW w:w="1492" w:type="dxa"/>
            <w:vAlign w:val="center"/>
          </w:tcPr>
          <w:p w14:paraId="2D7A1BCD"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0.74</w:t>
            </w:r>
          </w:p>
        </w:tc>
        <w:tc>
          <w:tcPr>
            <w:tcW w:w="1492" w:type="dxa"/>
            <w:vAlign w:val="center"/>
          </w:tcPr>
          <w:p w14:paraId="4089431E"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0.02</w:t>
            </w:r>
          </w:p>
        </w:tc>
        <w:tc>
          <w:tcPr>
            <w:tcW w:w="1492" w:type="dxa"/>
          </w:tcPr>
          <w:p w14:paraId="6CE09FDA" w14:textId="77777777" w:rsidR="00B332A9" w:rsidRPr="00B332A9" w:rsidRDefault="00B332A9" w:rsidP="00B332A9">
            <w:pPr>
              <w:spacing w:after="0" w:line="240" w:lineRule="auto"/>
              <w:jc w:val="center"/>
              <w:rPr>
                <w:rFonts w:cs="Arial"/>
                <w:sz w:val="18"/>
                <w:szCs w:val="18"/>
              </w:rPr>
            </w:pPr>
            <w:r w:rsidRPr="00B332A9">
              <w:rPr>
                <w:rFonts w:cs="Arial"/>
                <w:sz w:val="18"/>
                <w:szCs w:val="18"/>
              </w:rPr>
              <w:t>0.18</w:t>
            </w:r>
          </w:p>
        </w:tc>
        <w:tc>
          <w:tcPr>
            <w:tcW w:w="1493" w:type="dxa"/>
            <w:vAlign w:val="center"/>
          </w:tcPr>
          <w:p w14:paraId="006152C1"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0.40</w:t>
            </w:r>
          </w:p>
        </w:tc>
      </w:tr>
      <w:tr w:rsidR="00B332A9" w:rsidRPr="00B332A9" w14:paraId="6778666C" w14:textId="77777777" w:rsidTr="002869D3">
        <w:trPr>
          <w:trHeight w:val="251"/>
        </w:trPr>
        <w:tc>
          <w:tcPr>
            <w:tcW w:w="1555" w:type="dxa"/>
            <w:tcMar>
              <w:left w:w="198" w:type="dxa"/>
            </w:tcMar>
            <w:vAlign w:val="center"/>
          </w:tcPr>
          <w:p w14:paraId="7976A70B" w14:textId="77777777" w:rsidR="00B332A9" w:rsidRPr="00B332A9" w:rsidRDefault="00B332A9" w:rsidP="002869D3">
            <w:pPr>
              <w:spacing w:after="0" w:line="240" w:lineRule="auto"/>
              <w:rPr>
                <w:rFonts w:cs="Arial"/>
                <w:sz w:val="18"/>
                <w:szCs w:val="18"/>
                <w:lang w:val="en-GB"/>
              </w:rPr>
            </w:pPr>
            <w:r w:rsidRPr="00B332A9">
              <w:rPr>
                <w:rFonts w:cs="Arial"/>
                <w:sz w:val="18"/>
                <w:szCs w:val="18"/>
              </w:rPr>
              <w:t>Consumables</w:t>
            </w:r>
          </w:p>
        </w:tc>
        <w:tc>
          <w:tcPr>
            <w:tcW w:w="1492" w:type="dxa"/>
            <w:vAlign w:val="center"/>
          </w:tcPr>
          <w:p w14:paraId="57F35AF0"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0.36</w:t>
            </w:r>
          </w:p>
        </w:tc>
        <w:tc>
          <w:tcPr>
            <w:tcW w:w="1492" w:type="dxa"/>
            <w:vAlign w:val="center"/>
          </w:tcPr>
          <w:p w14:paraId="2DF49277"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3.87</w:t>
            </w:r>
          </w:p>
        </w:tc>
        <w:tc>
          <w:tcPr>
            <w:tcW w:w="1492" w:type="dxa"/>
            <w:vAlign w:val="center"/>
          </w:tcPr>
          <w:p w14:paraId="1AA39A94"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0.84</w:t>
            </w:r>
          </w:p>
        </w:tc>
        <w:tc>
          <w:tcPr>
            <w:tcW w:w="1492" w:type="dxa"/>
          </w:tcPr>
          <w:p w14:paraId="116DCDDA" w14:textId="77777777" w:rsidR="00B332A9" w:rsidRPr="00B332A9" w:rsidRDefault="00B332A9" w:rsidP="00B332A9">
            <w:pPr>
              <w:spacing w:after="0" w:line="240" w:lineRule="auto"/>
              <w:jc w:val="center"/>
              <w:rPr>
                <w:rFonts w:cs="Arial"/>
                <w:sz w:val="18"/>
                <w:szCs w:val="18"/>
              </w:rPr>
            </w:pPr>
            <w:r w:rsidRPr="00B332A9">
              <w:rPr>
                <w:rFonts w:cs="Arial"/>
                <w:sz w:val="18"/>
                <w:szCs w:val="18"/>
              </w:rPr>
              <w:t>12.67</w:t>
            </w:r>
          </w:p>
        </w:tc>
        <w:tc>
          <w:tcPr>
            <w:tcW w:w="1493" w:type="dxa"/>
            <w:vAlign w:val="center"/>
          </w:tcPr>
          <w:p w14:paraId="3C7ECC82"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14.62</w:t>
            </w:r>
          </w:p>
        </w:tc>
      </w:tr>
      <w:tr w:rsidR="00B332A9" w:rsidRPr="00B332A9" w14:paraId="2083C7B9" w14:textId="77777777" w:rsidTr="002869D3">
        <w:trPr>
          <w:trHeight w:val="251"/>
        </w:trPr>
        <w:tc>
          <w:tcPr>
            <w:tcW w:w="1555" w:type="dxa"/>
            <w:tcMar>
              <w:left w:w="198" w:type="dxa"/>
            </w:tcMar>
            <w:vAlign w:val="center"/>
          </w:tcPr>
          <w:p w14:paraId="10FE3D37" w14:textId="77777777" w:rsidR="00B332A9" w:rsidRPr="00B332A9" w:rsidRDefault="00B332A9" w:rsidP="002869D3">
            <w:pPr>
              <w:spacing w:after="0" w:line="240" w:lineRule="auto"/>
              <w:rPr>
                <w:rFonts w:cs="Arial"/>
                <w:sz w:val="18"/>
                <w:szCs w:val="18"/>
                <w:lang w:val="en-GB"/>
              </w:rPr>
            </w:pPr>
            <w:r w:rsidRPr="00B332A9">
              <w:rPr>
                <w:rFonts w:cs="Arial"/>
                <w:sz w:val="18"/>
                <w:szCs w:val="18"/>
              </w:rPr>
              <w:t>Staff</w:t>
            </w:r>
          </w:p>
        </w:tc>
        <w:tc>
          <w:tcPr>
            <w:tcW w:w="1492" w:type="dxa"/>
            <w:vAlign w:val="center"/>
          </w:tcPr>
          <w:p w14:paraId="047F23C0"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0.55</w:t>
            </w:r>
          </w:p>
        </w:tc>
        <w:tc>
          <w:tcPr>
            <w:tcW w:w="1492" w:type="dxa"/>
            <w:vAlign w:val="center"/>
          </w:tcPr>
          <w:p w14:paraId="1C8B3C24"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2.21</w:t>
            </w:r>
          </w:p>
        </w:tc>
        <w:tc>
          <w:tcPr>
            <w:tcW w:w="1492" w:type="dxa"/>
            <w:vAlign w:val="center"/>
          </w:tcPr>
          <w:p w14:paraId="248EFE2E"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0.57</w:t>
            </w:r>
          </w:p>
        </w:tc>
        <w:tc>
          <w:tcPr>
            <w:tcW w:w="1492" w:type="dxa"/>
          </w:tcPr>
          <w:p w14:paraId="1CBA0108" w14:textId="77777777" w:rsidR="00B332A9" w:rsidRPr="00B332A9" w:rsidRDefault="00B332A9" w:rsidP="00B332A9">
            <w:pPr>
              <w:spacing w:after="0" w:line="240" w:lineRule="auto"/>
              <w:jc w:val="center"/>
              <w:rPr>
                <w:rFonts w:cs="Arial"/>
                <w:sz w:val="18"/>
                <w:szCs w:val="18"/>
              </w:rPr>
            </w:pPr>
            <w:r w:rsidRPr="00B332A9">
              <w:rPr>
                <w:rFonts w:cs="Arial"/>
                <w:sz w:val="18"/>
                <w:szCs w:val="18"/>
              </w:rPr>
              <w:t>1.34</w:t>
            </w:r>
          </w:p>
        </w:tc>
        <w:tc>
          <w:tcPr>
            <w:tcW w:w="1493" w:type="dxa"/>
            <w:vAlign w:val="center"/>
          </w:tcPr>
          <w:p w14:paraId="26C64CFA"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1.32</w:t>
            </w:r>
          </w:p>
        </w:tc>
      </w:tr>
      <w:tr w:rsidR="00B332A9" w:rsidRPr="00B332A9" w14:paraId="131ABB2F" w14:textId="77777777" w:rsidTr="002869D3">
        <w:trPr>
          <w:trHeight w:val="251"/>
        </w:trPr>
        <w:tc>
          <w:tcPr>
            <w:tcW w:w="1555" w:type="dxa"/>
            <w:tcMar>
              <w:left w:w="198" w:type="dxa"/>
            </w:tcMar>
            <w:vAlign w:val="center"/>
          </w:tcPr>
          <w:p w14:paraId="7A91C0D2" w14:textId="77777777" w:rsidR="00B332A9" w:rsidRPr="00B332A9" w:rsidRDefault="00B332A9" w:rsidP="002869D3">
            <w:pPr>
              <w:spacing w:after="0" w:line="240" w:lineRule="auto"/>
              <w:rPr>
                <w:rFonts w:cs="Arial"/>
                <w:sz w:val="18"/>
                <w:szCs w:val="18"/>
                <w:lang w:val="en-GB"/>
              </w:rPr>
            </w:pPr>
            <w:r w:rsidRPr="00B332A9">
              <w:rPr>
                <w:rFonts w:cs="Arial"/>
                <w:sz w:val="18"/>
                <w:szCs w:val="18"/>
              </w:rPr>
              <w:t>Overheads</w:t>
            </w:r>
            <w:r w:rsidRPr="00B332A9">
              <w:rPr>
                <w:rFonts w:cs="Arial"/>
                <w:sz w:val="18"/>
                <w:szCs w:val="18"/>
                <w:vertAlign w:val="superscript"/>
              </w:rPr>
              <w:t>#</w:t>
            </w:r>
          </w:p>
        </w:tc>
        <w:tc>
          <w:tcPr>
            <w:tcW w:w="1492" w:type="dxa"/>
            <w:vAlign w:val="center"/>
          </w:tcPr>
          <w:p w14:paraId="449F3678"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2.64</w:t>
            </w:r>
          </w:p>
        </w:tc>
        <w:tc>
          <w:tcPr>
            <w:tcW w:w="1492" w:type="dxa"/>
            <w:vAlign w:val="center"/>
          </w:tcPr>
          <w:p w14:paraId="2AF96EF0"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2.64</w:t>
            </w:r>
          </w:p>
        </w:tc>
        <w:tc>
          <w:tcPr>
            <w:tcW w:w="1492" w:type="dxa"/>
            <w:vAlign w:val="center"/>
          </w:tcPr>
          <w:p w14:paraId="3E21C2C2"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0.00</w:t>
            </w:r>
          </w:p>
        </w:tc>
        <w:tc>
          <w:tcPr>
            <w:tcW w:w="1492" w:type="dxa"/>
          </w:tcPr>
          <w:p w14:paraId="30395096" w14:textId="77777777" w:rsidR="00B332A9" w:rsidRPr="00B332A9" w:rsidRDefault="00B332A9" w:rsidP="00B332A9">
            <w:pPr>
              <w:spacing w:after="0" w:line="240" w:lineRule="auto"/>
              <w:jc w:val="center"/>
              <w:rPr>
                <w:rFonts w:cs="Arial"/>
                <w:sz w:val="18"/>
                <w:szCs w:val="18"/>
              </w:rPr>
            </w:pPr>
            <w:r w:rsidRPr="00B332A9">
              <w:rPr>
                <w:rFonts w:cs="Arial"/>
                <w:sz w:val="18"/>
                <w:szCs w:val="18"/>
              </w:rPr>
              <w:t>2.64</w:t>
            </w:r>
          </w:p>
        </w:tc>
        <w:tc>
          <w:tcPr>
            <w:tcW w:w="1493" w:type="dxa"/>
            <w:vAlign w:val="center"/>
          </w:tcPr>
          <w:p w14:paraId="21D5689B" w14:textId="77777777" w:rsidR="00B332A9" w:rsidRPr="00B332A9" w:rsidRDefault="00B332A9" w:rsidP="00B332A9">
            <w:pPr>
              <w:spacing w:after="0" w:line="240" w:lineRule="auto"/>
              <w:jc w:val="center"/>
              <w:rPr>
                <w:rFonts w:cs="Arial"/>
                <w:sz w:val="18"/>
                <w:szCs w:val="18"/>
                <w:lang w:val="en-GB"/>
              </w:rPr>
            </w:pPr>
            <w:r w:rsidRPr="00B332A9">
              <w:rPr>
                <w:rFonts w:cs="Arial"/>
                <w:sz w:val="18"/>
                <w:szCs w:val="18"/>
              </w:rPr>
              <w:t>2.64</w:t>
            </w:r>
          </w:p>
        </w:tc>
      </w:tr>
      <w:tr w:rsidR="00B332A9" w:rsidRPr="00B332A9" w14:paraId="5B22C05B" w14:textId="77777777" w:rsidTr="002869D3">
        <w:trPr>
          <w:trHeight w:val="251"/>
        </w:trPr>
        <w:tc>
          <w:tcPr>
            <w:tcW w:w="1555" w:type="dxa"/>
            <w:tcMar>
              <w:left w:w="198" w:type="dxa"/>
            </w:tcMar>
            <w:vAlign w:val="center"/>
          </w:tcPr>
          <w:p w14:paraId="038BA862" w14:textId="77777777" w:rsidR="00B332A9" w:rsidRPr="00B332A9" w:rsidRDefault="00B332A9" w:rsidP="002869D3">
            <w:pPr>
              <w:spacing w:after="0" w:line="240" w:lineRule="auto"/>
              <w:rPr>
                <w:rFonts w:cs="Arial"/>
                <w:sz w:val="18"/>
                <w:szCs w:val="18"/>
                <w:lang w:val="en-GB"/>
              </w:rPr>
            </w:pPr>
            <w:r w:rsidRPr="00B332A9">
              <w:rPr>
                <w:rFonts w:cs="Arial"/>
                <w:sz w:val="18"/>
                <w:szCs w:val="18"/>
              </w:rPr>
              <w:t>Cost per test</w:t>
            </w:r>
          </w:p>
        </w:tc>
        <w:tc>
          <w:tcPr>
            <w:tcW w:w="1492" w:type="dxa"/>
            <w:vAlign w:val="center"/>
          </w:tcPr>
          <w:p w14:paraId="1FC774D2" w14:textId="77777777" w:rsidR="00B332A9" w:rsidRPr="006A5FB4" w:rsidRDefault="00B332A9" w:rsidP="00B332A9">
            <w:pPr>
              <w:spacing w:after="0" w:line="240" w:lineRule="auto"/>
              <w:jc w:val="center"/>
              <w:rPr>
                <w:rFonts w:cs="Arial"/>
                <w:sz w:val="18"/>
                <w:szCs w:val="18"/>
                <w:lang w:val="en-GB"/>
              </w:rPr>
            </w:pPr>
            <w:r w:rsidRPr="006A5FB4">
              <w:rPr>
                <w:rFonts w:cs="Arial"/>
                <w:bCs/>
                <w:sz w:val="18"/>
                <w:szCs w:val="18"/>
              </w:rPr>
              <w:t>3.70</w:t>
            </w:r>
          </w:p>
        </w:tc>
        <w:tc>
          <w:tcPr>
            <w:tcW w:w="1492" w:type="dxa"/>
            <w:vAlign w:val="center"/>
          </w:tcPr>
          <w:p w14:paraId="41D95F20" w14:textId="77777777" w:rsidR="00B332A9" w:rsidRPr="006A5FB4" w:rsidRDefault="00B332A9" w:rsidP="00B332A9">
            <w:pPr>
              <w:spacing w:after="0" w:line="240" w:lineRule="auto"/>
              <w:jc w:val="center"/>
              <w:rPr>
                <w:rFonts w:cs="Arial"/>
                <w:sz w:val="18"/>
                <w:szCs w:val="18"/>
                <w:lang w:val="en-GB"/>
              </w:rPr>
            </w:pPr>
            <w:r w:rsidRPr="006A5FB4">
              <w:rPr>
                <w:rFonts w:cs="Arial"/>
                <w:bCs/>
                <w:sz w:val="18"/>
                <w:szCs w:val="18"/>
              </w:rPr>
              <w:t>9.62</w:t>
            </w:r>
          </w:p>
        </w:tc>
        <w:tc>
          <w:tcPr>
            <w:tcW w:w="1492" w:type="dxa"/>
            <w:vAlign w:val="center"/>
          </w:tcPr>
          <w:p w14:paraId="4B23295D" w14:textId="77777777" w:rsidR="00B332A9" w:rsidRPr="006A5FB4" w:rsidRDefault="00B332A9" w:rsidP="00B332A9">
            <w:pPr>
              <w:spacing w:after="0" w:line="240" w:lineRule="auto"/>
              <w:jc w:val="center"/>
              <w:rPr>
                <w:rFonts w:cs="Arial"/>
                <w:sz w:val="18"/>
                <w:szCs w:val="18"/>
                <w:lang w:val="en-GB"/>
              </w:rPr>
            </w:pPr>
            <w:r w:rsidRPr="006A5FB4">
              <w:rPr>
                <w:rFonts w:cs="Arial"/>
                <w:bCs/>
                <w:sz w:val="18"/>
                <w:szCs w:val="18"/>
              </w:rPr>
              <w:t>1.49</w:t>
            </w:r>
          </w:p>
        </w:tc>
        <w:tc>
          <w:tcPr>
            <w:tcW w:w="1492" w:type="dxa"/>
          </w:tcPr>
          <w:p w14:paraId="1EF6AD5A" w14:textId="77777777" w:rsidR="00B332A9" w:rsidRPr="006A5FB4" w:rsidRDefault="00B332A9" w:rsidP="00B332A9">
            <w:pPr>
              <w:spacing w:after="0" w:line="240" w:lineRule="auto"/>
              <w:jc w:val="center"/>
              <w:rPr>
                <w:rFonts w:cs="Arial"/>
                <w:bCs/>
                <w:sz w:val="18"/>
                <w:szCs w:val="18"/>
              </w:rPr>
            </w:pPr>
            <w:r w:rsidRPr="006A5FB4">
              <w:rPr>
                <w:rFonts w:cs="Arial"/>
                <w:bCs/>
                <w:sz w:val="18"/>
                <w:szCs w:val="18"/>
              </w:rPr>
              <w:t>16.98</w:t>
            </w:r>
          </w:p>
        </w:tc>
        <w:tc>
          <w:tcPr>
            <w:tcW w:w="1493" w:type="dxa"/>
            <w:vAlign w:val="center"/>
          </w:tcPr>
          <w:p w14:paraId="786523FE" w14:textId="77777777" w:rsidR="00B332A9" w:rsidRPr="006A5FB4" w:rsidRDefault="00B332A9" w:rsidP="00B332A9">
            <w:pPr>
              <w:spacing w:after="0" w:line="240" w:lineRule="auto"/>
              <w:jc w:val="center"/>
              <w:rPr>
                <w:rFonts w:cs="Arial"/>
                <w:sz w:val="18"/>
                <w:szCs w:val="18"/>
                <w:lang w:val="en-GB"/>
              </w:rPr>
            </w:pPr>
            <w:r w:rsidRPr="006A5FB4">
              <w:rPr>
                <w:rFonts w:cs="Arial"/>
                <w:bCs/>
                <w:sz w:val="18"/>
                <w:szCs w:val="18"/>
              </w:rPr>
              <w:t>19.03</w:t>
            </w:r>
          </w:p>
        </w:tc>
      </w:tr>
    </w:tbl>
    <w:p w14:paraId="5F3A5147" w14:textId="71FA4DF2" w:rsidR="001A33B4" w:rsidRPr="004971CB" w:rsidRDefault="004971CB" w:rsidP="004971CB">
      <w:pPr>
        <w:pStyle w:val="Default"/>
        <w:jc w:val="both"/>
        <w:rPr>
          <w:rFonts w:ascii="Arial" w:hAnsi="Arial" w:cs="Arial"/>
          <w:i/>
          <w:color w:val="auto"/>
          <w:sz w:val="20"/>
          <w:szCs w:val="20"/>
        </w:rPr>
      </w:pPr>
      <w:r>
        <w:rPr>
          <w:rFonts w:ascii="Arial" w:hAnsi="Arial" w:cs="Arial"/>
          <w:i/>
          <w:color w:val="auto"/>
          <w:sz w:val="20"/>
          <w:szCs w:val="20"/>
        </w:rPr>
        <w:t>*</w:t>
      </w:r>
      <w:r w:rsidR="0093024E" w:rsidRPr="00251E0A">
        <w:rPr>
          <w:rFonts w:ascii="Arial" w:hAnsi="Arial" w:cs="Arial"/>
          <w:i/>
          <w:color w:val="auto"/>
          <w:sz w:val="20"/>
          <w:szCs w:val="20"/>
        </w:rPr>
        <w:t>Test costs are for the central National Health Laboratory only. All costs are expressed in 2013 CPI-adjusted values. Overhead costs included costs for buildings, equipment, consumables and staff involved in specimen sorting and registration, results processing, procurement, stores, training, supervision and management. Specimen transport, electricity, water, sanitation, municipal and biohazardous waste disposal, cleaning and janitorial services, secur</w:t>
      </w:r>
      <w:r w:rsidR="002522A0">
        <w:rPr>
          <w:rFonts w:ascii="Arial" w:hAnsi="Arial" w:cs="Arial"/>
          <w:i/>
          <w:color w:val="auto"/>
          <w:sz w:val="20"/>
          <w:szCs w:val="20"/>
        </w:rPr>
        <w:t>ity services and telephone and I</w:t>
      </w:r>
      <w:r w:rsidR="0093024E" w:rsidRPr="00251E0A">
        <w:rPr>
          <w:rFonts w:ascii="Arial" w:hAnsi="Arial" w:cs="Arial"/>
          <w:i/>
          <w:color w:val="auto"/>
          <w:sz w:val="20"/>
          <w:szCs w:val="20"/>
        </w:rPr>
        <w:t xml:space="preserve">nternet costs were also included. In each scenario tested, we determined the number of tests performed per algorithm, applied the above costs and calculated </w:t>
      </w:r>
      <w:r>
        <w:rPr>
          <w:rFonts w:ascii="Arial" w:hAnsi="Arial" w:cs="Arial"/>
          <w:i/>
          <w:color w:val="auto"/>
          <w:sz w:val="20"/>
          <w:szCs w:val="20"/>
        </w:rPr>
        <w:t>the cost per TB</w:t>
      </w:r>
      <w:r w:rsidR="00A23468">
        <w:rPr>
          <w:rFonts w:ascii="Arial" w:hAnsi="Arial" w:cs="Arial"/>
          <w:i/>
          <w:color w:val="auto"/>
          <w:sz w:val="20"/>
          <w:szCs w:val="20"/>
        </w:rPr>
        <w:t xml:space="preserve"> and RMP-R TB</w:t>
      </w:r>
      <w:r>
        <w:rPr>
          <w:rFonts w:ascii="Arial" w:hAnsi="Arial" w:cs="Arial"/>
          <w:i/>
          <w:color w:val="auto"/>
          <w:sz w:val="20"/>
          <w:szCs w:val="20"/>
        </w:rPr>
        <w:t xml:space="preserve"> case </w:t>
      </w:r>
      <w:r w:rsidR="001D5894">
        <w:rPr>
          <w:rFonts w:ascii="Arial" w:hAnsi="Arial" w:cs="Arial"/>
          <w:i/>
          <w:color w:val="auto"/>
          <w:sz w:val="20"/>
          <w:szCs w:val="20"/>
        </w:rPr>
        <w:t>identified</w:t>
      </w:r>
      <w:r>
        <w:rPr>
          <w:rFonts w:ascii="Arial" w:hAnsi="Arial" w:cs="Arial"/>
          <w:i/>
          <w:color w:val="auto"/>
          <w:sz w:val="20"/>
          <w:szCs w:val="20"/>
        </w:rPr>
        <w:t>.</w:t>
      </w:r>
    </w:p>
    <w:p w14:paraId="5B4CF20C" w14:textId="77777777" w:rsidR="001A33B4" w:rsidRDefault="001A33B4">
      <w:pPr>
        <w:rPr>
          <w:rFonts w:cs="Arial"/>
          <w:sz w:val="20"/>
          <w:szCs w:val="20"/>
        </w:rPr>
      </w:pPr>
    </w:p>
    <w:p w14:paraId="31EEADB9" w14:textId="77777777" w:rsidR="001A33B4" w:rsidRDefault="001A33B4">
      <w:pPr>
        <w:rPr>
          <w:rFonts w:cs="Arial"/>
          <w:sz w:val="20"/>
          <w:szCs w:val="20"/>
        </w:rPr>
      </w:pPr>
      <w:r>
        <w:rPr>
          <w:rFonts w:cs="Arial"/>
          <w:sz w:val="20"/>
          <w:szCs w:val="20"/>
        </w:rPr>
        <w:br w:type="page"/>
      </w:r>
    </w:p>
    <w:p w14:paraId="2C8B533F" w14:textId="7468FFEA" w:rsidR="001A33B4" w:rsidRDefault="001A33B4" w:rsidP="002F49D9">
      <w:pPr>
        <w:pStyle w:val="Caption"/>
      </w:pPr>
      <w:r>
        <w:lastRenderedPageBreak/>
        <w:t xml:space="preserve">Table </w:t>
      </w:r>
      <w:r w:rsidR="00C47B7A">
        <w:fldChar w:fldCharType="begin"/>
      </w:r>
      <w:r w:rsidR="00C47B7A">
        <w:instrText xml:space="preserve"> SEQ Table \* ARABIC </w:instrText>
      </w:r>
      <w:r w:rsidR="00C47B7A">
        <w:fldChar w:fldCharType="separate"/>
      </w:r>
      <w:r w:rsidR="00835AB7">
        <w:rPr>
          <w:noProof/>
        </w:rPr>
        <w:t>2</w:t>
      </w:r>
      <w:r w:rsidR="00C47B7A">
        <w:rPr>
          <w:noProof/>
        </w:rPr>
        <w:fldChar w:fldCharType="end"/>
      </w:r>
      <w:r>
        <w:t xml:space="preserve">: </w:t>
      </w:r>
      <w:r w:rsidR="002F49D9">
        <w:t xml:space="preserve">Input parameters used </w:t>
      </w:r>
      <w:r w:rsidR="00985558">
        <w:t>for</w:t>
      </w:r>
      <w:r w:rsidR="002F49D9">
        <w:t xml:space="preserve"> the smear/culture and Xpert</w:t>
      </w:r>
      <w:r w:rsidR="00495351">
        <w:rPr>
          <w:rFonts w:cs="Arial"/>
        </w:rPr>
        <w:t>-</w:t>
      </w:r>
      <w:r w:rsidR="002F49D9">
        <w:t>based algorithms</w:t>
      </w:r>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2173"/>
        <w:gridCol w:w="1290"/>
        <w:gridCol w:w="1378"/>
        <w:gridCol w:w="1378"/>
      </w:tblGrid>
      <w:tr w:rsidR="001A33B4" w:rsidRPr="00581B89" w14:paraId="7B8804DE" w14:textId="77777777" w:rsidTr="00431154">
        <w:trPr>
          <w:trHeight w:val="293"/>
        </w:trPr>
        <w:tc>
          <w:tcPr>
            <w:tcW w:w="6260" w:type="dxa"/>
            <w:gridSpan w:val="3"/>
            <w:shd w:val="clear" w:color="auto" w:fill="auto"/>
            <w:vAlign w:val="center"/>
          </w:tcPr>
          <w:p w14:paraId="780564D6" w14:textId="77777777" w:rsidR="001A33B4" w:rsidRPr="00581B89" w:rsidRDefault="001A33B4" w:rsidP="00431154">
            <w:pPr>
              <w:spacing w:after="0" w:line="240" w:lineRule="auto"/>
              <w:rPr>
                <w:rFonts w:eastAsia="Times New Roman" w:cs="Arial"/>
                <w:bCs/>
                <w:color w:val="000000"/>
                <w:sz w:val="18"/>
                <w:szCs w:val="18"/>
              </w:rPr>
            </w:pPr>
          </w:p>
        </w:tc>
        <w:tc>
          <w:tcPr>
            <w:tcW w:w="2756" w:type="dxa"/>
            <w:gridSpan w:val="2"/>
            <w:shd w:val="clear" w:color="auto" w:fill="auto"/>
            <w:noWrap/>
            <w:vAlign w:val="center"/>
          </w:tcPr>
          <w:p w14:paraId="01FA547E" w14:textId="77777777" w:rsidR="001A33B4" w:rsidRDefault="001A33B4" w:rsidP="00431154">
            <w:pPr>
              <w:spacing w:after="0" w:line="240" w:lineRule="auto"/>
              <w:jc w:val="center"/>
              <w:rPr>
                <w:rFonts w:eastAsia="Times New Roman" w:cs="Arial"/>
                <w:color w:val="000000"/>
                <w:sz w:val="18"/>
                <w:szCs w:val="18"/>
              </w:rPr>
            </w:pPr>
            <w:r>
              <w:rPr>
                <w:rFonts w:eastAsia="Times New Roman" w:cs="Arial"/>
                <w:color w:val="000000"/>
                <w:sz w:val="18"/>
                <w:szCs w:val="18"/>
              </w:rPr>
              <w:t>Input values</w:t>
            </w:r>
            <w:r w:rsidRPr="00581B89">
              <w:rPr>
                <w:rFonts w:eastAsia="Times New Roman" w:cs="Arial"/>
                <w:color w:val="000000"/>
                <w:sz w:val="18"/>
                <w:szCs w:val="18"/>
              </w:rPr>
              <w:t xml:space="preserve"> (%)</w:t>
            </w:r>
          </w:p>
        </w:tc>
      </w:tr>
      <w:tr w:rsidR="001A33B4" w:rsidRPr="00581B89" w14:paraId="266C3DE8" w14:textId="77777777" w:rsidTr="00431154">
        <w:trPr>
          <w:trHeight w:val="293"/>
        </w:trPr>
        <w:tc>
          <w:tcPr>
            <w:tcW w:w="6260" w:type="dxa"/>
            <w:gridSpan w:val="3"/>
            <w:shd w:val="clear" w:color="auto" w:fill="auto"/>
            <w:vAlign w:val="center"/>
          </w:tcPr>
          <w:p w14:paraId="2C2FA11A" w14:textId="77777777" w:rsidR="001A33B4" w:rsidRPr="00581B89" w:rsidRDefault="001A33B4" w:rsidP="00431154">
            <w:pPr>
              <w:spacing w:after="0" w:line="240" w:lineRule="auto"/>
              <w:rPr>
                <w:rFonts w:eastAsia="Times New Roman" w:cs="Arial"/>
                <w:bCs/>
                <w:color w:val="000000"/>
                <w:sz w:val="18"/>
                <w:szCs w:val="18"/>
              </w:rPr>
            </w:pPr>
          </w:p>
        </w:tc>
        <w:tc>
          <w:tcPr>
            <w:tcW w:w="1378" w:type="dxa"/>
            <w:shd w:val="clear" w:color="auto" w:fill="auto"/>
            <w:noWrap/>
            <w:vAlign w:val="center"/>
          </w:tcPr>
          <w:p w14:paraId="3A4434F1" w14:textId="77777777" w:rsidR="001A33B4" w:rsidRPr="00581B89" w:rsidRDefault="001A33B4" w:rsidP="00431154">
            <w:pPr>
              <w:spacing w:after="0" w:line="240" w:lineRule="auto"/>
              <w:jc w:val="center"/>
              <w:rPr>
                <w:rFonts w:eastAsia="Times New Roman" w:cs="Arial"/>
                <w:color w:val="000000"/>
                <w:sz w:val="18"/>
                <w:szCs w:val="18"/>
              </w:rPr>
            </w:pPr>
            <w:r w:rsidRPr="00581B89">
              <w:rPr>
                <w:rFonts w:eastAsia="Times New Roman" w:cs="Arial"/>
                <w:bCs/>
                <w:color w:val="000000"/>
                <w:sz w:val="18"/>
                <w:szCs w:val="18"/>
              </w:rPr>
              <w:t>New presumptive cases</w:t>
            </w:r>
          </w:p>
        </w:tc>
        <w:tc>
          <w:tcPr>
            <w:tcW w:w="1378" w:type="dxa"/>
          </w:tcPr>
          <w:p w14:paraId="65AFDADD" w14:textId="77777777" w:rsidR="001A33B4" w:rsidRPr="00581B89" w:rsidRDefault="001A33B4" w:rsidP="00431154">
            <w:pPr>
              <w:spacing w:after="0" w:line="240" w:lineRule="auto"/>
              <w:jc w:val="center"/>
              <w:rPr>
                <w:rFonts w:eastAsia="Times New Roman" w:cs="Arial"/>
                <w:color w:val="000000"/>
                <w:sz w:val="18"/>
                <w:szCs w:val="18"/>
              </w:rPr>
            </w:pPr>
            <w:r w:rsidRPr="00581B89">
              <w:rPr>
                <w:rFonts w:eastAsia="Times New Roman" w:cs="Arial"/>
                <w:bCs/>
                <w:color w:val="000000"/>
                <w:sz w:val="18"/>
                <w:szCs w:val="18"/>
              </w:rPr>
              <w:t>Previously treated presumptive cases</w:t>
            </w:r>
          </w:p>
        </w:tc>
      </w:tr>
      <w:tr w:rsidR="001A33B4" w:rsidRPr="00581B89" w14:paraId="2D73AC3D" w14:textId="77777777" w:rsidTr="005A6682">
        <w:trPr>
          <w:trHeight w:val="293"/>
        </w:trPr>
        <w:tc>
          <w:tcPr>
            <w:tcW w:w="6260" w:type="dxa"/>
            <w:gridSpan w:val="3"/>
            <w:shd w:val="clear" w:color="auto" w:fill="auto"/>
            <w:vAlign w:val="center"/>
            <w:hideMark/>
          </w:tcPr>
          <w:p w14:paraId="218FBD28" w14:textId="77777777" w:rsidR="001A33B4" w:rsidRPr="00581B89" w:rsidRDefault="001A33B4" w:rsidP="00431154">
            <w:pPr>
              <w:spacing w:after="0" w:line="240" w:lineRule="auto"/>
              <w:rPr>
                <w:rFonts w:eastAsia="Times New Roman" w:cs="Arial"/>
                <w:color w:val="000000"/>
                <w:sz w:val="18"/>
                <w:szCs w:val="18"/>
              </w:rPr>
            </w:pPr>
          </w:p>
        </w:tc>
        <w:tc>
          <w:tcPr>
            <w:tcW w:w="1378" w:type="dxa"/>
            <w:shd w:val="clear" w:color="auto" w:fill="auto"/>
            <w:noWrap/>
            <w:vAlign w:val="center"/>
            <w:hideMark/>
          </w:tcPr>
          <w:p w14:paraId="22587323" w14:textId="77777777" w:rsidR="001A33B4" w:rsidRPr="00581B89"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75</w:t>
            </w:r>
          </w:p>
        </w:tc>
        <w:tc>
          <w:tcPr>
            <w:tcW w:w="1378" w:type="dxa"/>
            <w:vAlign w:val="center"/>
          </w:tcPr>
          <w:p w14:paraId="3645C3C2" w14:textId="77777777" w:rsidR="001A33B4" w:rsidRPr="00581B89"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25</w:t>
            </w:r>
          </w:p>
        </w:tc>
      </w:tr>
      <w:tr w:rsidR="001A33B4" w:rsidRPr="00581B89" w14:paraId="2BFCC3E3" w14:textId="77777777" w:rsidTr="005A6682">
        <w:trPr>
          <w:trHeight w:val="293"/>
        </w:trPr>
        <w:tc>
          <w:tcPr>
            <w:tcW w:w="4970" w:type="dxa"/>
            <w:gridSpan w:val="2"/>
            <w:vMerge w:val="restart"/>
            <w:shd w:val="clear" w:color="auto" w:fill="auto"/>
            <w:noWrap/>
            <w:vAlign w:val="center"/>
            <w:hideMark/>
          </w:tcPr>
          <w:p w14:paraId="49A373EE" w14:textId="77777777" w:rsidR="001A33B4" w:rsidRPr="00581B89" w:rsidRDefault="001A33B4" w:rsidP="00431154">
            <w:pPr>
              <w:spacing w:after="0" w:line="240" w:lineRule="auto"/>
              <w:rPr>
                <w:rFonts w:eastAsia="Times New Roman" w:cs="Arial"/>
                <w:bCs/>
                <w:color w:val="000000"/>
                <w:sz w:val="18"/>
                <w:szCs w:val="18"/>
              </w:rPr>
            </w:pPr>
            <w:r w:rsidRPr="00581B89">
              <w:rPr>
                <w:rFonts w:eastAsia="Times New Roman" w:cs="Arial"/>
                <w:bCs/>
                <w:color w:val="000000"/>
                <w:sz w:val="18"/>
                <w:szCs w:val="18"/>
              </w:rPr>
              <w:t>HIV status</w:t>
            </w:r>
          </w:p>
        </w:tc>
        <w:tc>
          <w:tcPr>
            <w:tcW w:w="1290" w:type="dxa"/>
            <w:shd w:val="clear" w:color="auto" w:fill="auto"/>
            <w:noWrap/>
            <w:vAlign w:val="center"/>
          </w:tcPr>
          <w:p w14:paraId="1EA34E26" w14:textId="77777777" w:rsidR="001A33B4" w:rsidRPr="00581B89" w:rsidRDefault="001A33B4"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1378" w:type="dxa"/>
            <w:shd w:val="clear" w:color="auto" w:fill="auto"/>
            <w:noWrap/>
            <w:vAlign w:val="center"/>
          </w:tcPr>
          <w:p w14:paraId="79F9D5BA" w14:textId="77777777" w:rsidR="001A33B4" w:rsidRPr="00581B89" w:rsidRDefault="001A33B4" w:rsidP="005A6682">
            <w:pPr>
              <w:spacing w:after="0" w:line="240" w:lineRule="auto"/>
              <w:jc w:val="center"/>
              <w:rPr>
                <w:rFonts w:eastAsia="Times New Roman" w:cs="Arial"/>
                <w:color w:val="000000"/>
                <w:sz w:val="18"/>
                <w:szCs w:val="18"/>
              </w:rPr>
            </w:pPr>
            <w:r w:rsidRPr="00581B89">
              <w:rPr>
                <w:rFonts w:eastAsia="Times New Roman" w:cs="Arial"/>
                <w:color w:val="000000"/>
                <w:sz w:val="18"/>
                <w:szCs w:val="18"/>
              </w:rPr>
              <w:t>36</w:t>
            </w:r>
          </w:p>
        </w:tc>
        <w:tc>
          <w:tcPr>
            <w:tcW w:w="1378" w:type="dxa"/>
            <w:vAlign w:val="center"/>
          </w:tcPr>
          <w:p w14:paraId="00893D2E" w14:textId="77777777" w:rsidR="001A33B4" w:rsidRPr="00581B89"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54</w:t>
            </w:r>
          </w:p>
        </w:tc>
      </w:tr>
      <w:tr w:rsidR="001A33B4" w:rsidRPr="00581B89" w14:paraId="1B7D8E34" w14:textId="77777777" w:rsidTr="005A6682">
        <w:trPr>
          <w:trHeight w:val="293"/>
        </w:trPr>
        <w:tc>
          <w:tcPr>
            <w:tcW w:w="4970" w:type="dxa"/>
            <w:gridSpan w:val="2"/>
            <w:vMerge/>
            <w:shd w:val="clear" w:color="auto" w:fill="auto"/>
            <w:noWrap/>
            <w:vAlign w:val="center"/>
          </w:tcPr>
          <w:p w14:paraId="1AF39B75" w14:textId="77777777" w:rsidR="001A33B4" w:rsidRPr="00581B89" w:rsidRDefault="001A33B4" w:rsidP="00431154">
            <w:pPr>
              <w:spacing w:after="0" w:line="240" w:lineRule="auto"/>
              <w:rPr>
                <w:rFonts w:eastAsia="Times New Roman" w:cs="Arial"/>
                <w:bCs/>
                <w:color w:val="000000"/>
                <w:sz w:val="18"/>
                <w:szCs w:val="18"/>
              </w:rPr>
            </w:pPr>
          </w:p>
        </w:tc>
        <w:tc>
          <w:tcPr>
            <w:tcW w:w="1290" w:type="dxa"/>
            <w:shd w:val="clear" w:color="auto" w:fill="auto"/>
            <w:noWrap/>
            <w:vAlign w:val="center"/>
          </w:tcPr>
          <w:p w14:paraId="0E9F9B21" w14:textId="77777777" w:rsidR="001A33B4" w:rsidRPr="00581B89" w:rsidRDefault="001A33B4"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HIV-negative</w:t>
            </w:r>
          </w:p>
        </w:tc>
        <w:tc>
          <w:tcPr>
            <w:tcW w:w="1378" w:type="dxa"/>
            <w:shd w:val="clear" w:color="auto" w:fill="auto"/>
            <w:noWrap/>
            <w:vAlign w:val="center"/>
          </w:tcPr>
          <w:p w14:paraId="1C0F04FD" w14:textId="77777777" w:rsidR="001A33B4" w:rsidRPr="00581B89" w:rsidRDefault="001A33B4" w:rsidP="005A6682">
            <w:pPr>
              <w:spacing w:after="0" w:line="240" w:lineRule="auto"/>
              <w:jc w:val="center"/>
              <w:rPr>
                <w:rFonts w:eastAsia="Times New Roman" w:cs="Arial"/>
                <w:color w:val="000000"/>
                <w:sz w:val="18"/>
                <w:szCs w:val="18"/>
              </w:rPr>
            </w:pPr>
            <w:r w:rsidRPr="00581B89">
              <w:rPr>
                <w:rFonts w:eastAsia="Times New Roman" w:cs="Arial"/>
                <w:color w:val="000000"/>
                <w:sz w:val="18"/>
                <w:szCs w:val="18"/>
              </w:rPr>
              <w:t>64</w:t>
            </w:r>
          </w:p>
        </w:tc>
        <w:tc>
          <w:tcPr>
            <w:tcW w:w="1378" w:type="dxa"/>
            <w:vAlign w:val="center"/>
          </w:tcPr>
          <w:p w14:paraId="073F1E64" w14:textId="77777777" w:rsidR="001A33B4" w:rsidRPr="00581B89"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46</w:t>
            </w:r>
          </w:p>
        </w:tc>
      </w:tr>
      <w:tr w:rsidR="001A33B4" w:rsidRPr="00581B89" w14:paraId="691AA9FD" w14:textId="77777777" w:rsidTr="005A6682">
        <w:trPr>
          <w:trHeight w:val="293"/>
        </w:trPr>
        <w:tc>
          <w:tcPr>
            <w:tcW w:w="6260" w:type="dxa"/>
            <w:gridSpan w:val="3"/>
            <w:shd w:val="clear" w:color="auto" w:fill="auto"/>
            <w:noWrap/>
            <w:vAlign w:val="center"/>
          </w:tcPr>
          <w:p w14:paraId="3AC50EA3" w14:textId="4B6087C1" w:rsidR="001A33B4" w:rsidRPr="00581B89" w:rsidRDefault="007A5DE8" w:rsidP="00431154">
            <w:pPr>
              <w:spacing w:after="0" w:line="240" w:lineRule="auto"/>
              <w:rPr>
                <w:rFonts w:eastAsia="Times New Roman" w:cs="Arial"/>
                <w:bCs/>
                <w:color w:val="000000"/>
                <w:sz w:val="18"/>
                <w:szCs w:val="18"/>
              </w:rPr>
            </w:pPr>
            <w:r>
              <w:rPr>
                <w:rFonts w:eastAsia="Times New Roman" w:cs="Arial"/>
                <w:bCs/>
                <w:color w:val="000000"/>
                <w:sz w:val="18"/>
                <w:szCs w:val="18"/>
              </w:rPr>
              <w:t xml:space="preserve">Best estimated </w:t>
            </w:r>
            <w:r w:rsidRPr="007A5DE8">
              <w:rPr>
                <w:rFonts w:eastAsia="Times New Roman" w:cs="Arial"/>
                <w:bCs/>
                <w:color w:val="000000"/>
                <w:sz w:val="18"/>
                <w:szCs w:val="18"/>
              </w:rPr>
              <w:t>TB prevalence amongst presumptive cases</w:t>
            </w:r>
          </w:p>
        </w:tc>
        <w:tc>
          <w:tcPr>
            <w:tcW w:w="1378" w:type="dxa"/>
            <w:shd w:val="clear" w:color="auto" w:fill="auto"/>
            <w:noWrap/>
            <w:vAlign w:val="center"/>
          </w:tcPr>
          <w:p w14:paraId="34CF45B7" w14:textId="77777777" w:rsidR="001A33B4" w:rsidRPr="00581B89"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18</w:t>
            </w:r>
          </w:p>
        </w:tc>
        <w:tc>
          <w:tcPr>
            <w:tcW w:w="1378" w:type="dxa"/>
            <w:vAlign w:val="center"/>
          </w:tcPr>
          <w:p w14:paraId="0EB24C02" w14:textId="77777777" w:rsidR="001A33B4"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21</w:t>
            </w:r>
          </w:p>
        </w:tc>
      </w:tr>
      <w:tr w:rsidR="001A33B4" w:rsidRPr="00581B89" w14:paraId="68018D0B" w14:textId="77777777" w:rsidTr="005A6682">
        <w:trPr>
          <w:trHeight w:val="293"/>
        </w:trPr>
        <w:tc>
          <w:tcPr>
            <w:tcW w:w="6260" w:type="dxa"/>
            <w:gridSpan w:val="3"/>
            <w:shd w:val="clear" w:color="auto" w:fill="auto"/>
            <w:noWrap/>
            <w:vAlign w:val="center"/>
          </w:tcPr>
          <w:p w14:paraId="3EF830C4" w14:textId="77777777" w:rsidR="001A33B4" w:rsidRPr="00581B89" w:rsidRDefault="001A33B4" w:rsidP="00394C3A">
            <w:pPr>
              <w:spacing w:after="0" w:line="240" w:lineRule="auto"/>
              <w:rPr>
                <w:rFonts w:eastAsia="Times New Roman" w:cs="Arial"/>
                <w:bCs/>
                <w:color w:val="000000"/>
                <w:sz w:val="18"/>
                <w:szCs w:val="18"/>
              </w:rPr>
            </w:pPr>
            <w:r>
              <w:rPr>
                <w:rFonts w:eastAsia="Times New Roman" w:cs="Arial"/>
                <w:bCs/>
                <w:color w:val="000000"/>
                <w:sz w:val="18"/>
                <w:szCs w:val="18"/>
              </w:rPr>
              <w:t>E</w:t>
            </w:r>
            <w:r w:rsidRPr="00581B89">
              <w:rPr>
                <w:rFonts w:eastAsia="Times New Roman" w:cs="Arial"/>
                <w:bCs/>
                <w:color w:val="000000"/>
                <w:sz w:val="18"/>
                <w:szCs w:val="18"/>
              </w:rPr>
              <w:t xml:space="preserve">stimated proportion of </w:t>
            </w:r>
            <w:r w:rsidR="00394C3A" w:rsidRPr="00394C3A">
              <w:rPr>
                <w:rFonts w:eastAsia="Times New Roman" w:cs="Arial"/>
                <w:bCs/>
                <w:color w:val="000000"/>
                <w:sz w:val="18"/>
                <w:szCs w:val="18"/>
              </w:rPr>
              <w:t>RMP-R</w:t>
            </w:r>
            <w:r w:rsidRPr="00581B89">
              <w:rPr>
                <w:rFonts w:eastAsia="Times New Roman" w:cs="Arial"/>
                <w:bCs/>
                <w:color w:val="000000"/>
                <w:sz w:val="18"/>
                <w:szCs w:val="18"/>
              </w:rPr>
              <w:t xml:space="preserve"> cases amongst </w:t>
            </w:r>
            <w:r>
              <w:rPr>
                <w:rFonts w:eastAsia="Times New Roman" w:cs="Arial"/>
                <w:bCs/>
                <w:color w:val="000000"/>
                <w:sz w:val="18"/>
                <w:szCs w:val="18"/>
              </w:rPr>
              <w:t>TB cases</w:t>
            </w:r>
          </w:p>
        </w:tc>
        <w:tc>
          <w:tcPr>
            <w:tcW w:w="1378" w:type="dxa"/>
            <w:shd w:val="clear" w:color="auto" w:fill="auto"/>
            <w:noWrap/>
            <w:vAlign w:val="center"/>
          </w:tcPr>
          <w:p w14:paraId="5273B195" w14:textId="77777777" w:rsidR="001A33B4"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6</w:t>
            </w:r>
          </w:p>
        </w:tc>
        <w:tc>
          <w:tcPr>
            <w:tcW w:w="1378" w:type="dxa"/>
            <w:vAlign w:val="center"/>
          </w:tcPr>
          <w:p w14:paraId="3B708DED" w14:textId="77777777" w:rsidR="001A33B4" w:rsidRDefault="001A33B4" w:rsidP="005A6682">
            <w:pPr>
              <w:spacing w:after="0" w:line="240" w:lineRule="auto"/>
              <w:jc w:val="center"/>
              <w:rPr>
                <w:rFonts w:eastAsia="Times New Roman" w:cs="Arial"/>
                <w:color w:val="000000"/>
                <w:sz w:val="18"/>
                <w:szCs w:val="18"/>
              </w:rPr>
            </w:pPr>
            <w:r>
              <w:rPr>
                <w:rFonts w:eastAsia="Times New Roman" w:cs="Arial"/>
                <w:color w:val="000000"/>
                <w:sz w:val="18"/>
                <w:szCs w:val="18"/>
              </w:rPr>
              <w:t>12</w:t>
            </w:r>
          </w:p>
        </w:tc>
      </w:tr>
      <w:tr w:rsidR="00D66A95" w:rsidRPr="00581B89" w14:paraId="529AB14B" w14:textId="77777777" w:rsidTr="00431154">
        <w:trPr>
          <w:trHeight w:val="285"/>
        </w:trPr>
        <w:tc>
          <w:tcPr>
            <w:tcW w:w="2797" w:type="dxa"/>
            <w:vMerge w:val="restart"/>
            <w:shd w:val="clear" w:color="auto" w:fill="auto"/>
            <w:vAlign w:val="center"/>
          </w:tcPr>
          <w:p w14:paraId="1E8CD7EF" w14:textId="0EEE0356" w:rsidR="00D66A95" w:rsidRPr="00581B89" w:rsidRDefault="00D66A95" w:rsidP="00431154">
            <w:pPr>
              <w:spacing w:after="0" w:line="240" w:lineRule="auto"/>
              <w:rPr>
                <w:rFonts w:eastAsia="Times New Roman" w:cs="Arial"/>
                <w:bCs/>
                <w:color w:val="000000"/>
                <w:sz w:val="18"/>
                <w:szCs w:val="18"/>
              </w:rPr>
            </w:pPr>
            <w:r w:rsidRPr="00581B89">
              <w:rPr>
                <w:rFonts w:cs="Arial"/>
                <w:sz w:val="18"/>
                <w:szCs w:val="18"/>
              </w:rPr>
              <w:t xml:space="preserve">Accuracy of </w:t>
            </w:r>
            <w:r w:rsidR="00A62347" w:rsidRPr="00A62347">
              <w:rPr>
                <w:rFonts w:cs="Arial"/>
                <w:sz w:val="18"/>
                <w:szCs w:val="18"/>
              </w:rPr>
              <w:t xml:space="preserve">fluorescence light-emitting diode (LED) </w:t>
            </w:r>
            <w:r w:rsidRPr="00581B89">
              <w:rPr>
                <w:rFonts w:cs="Arial"/>
                <w:sz w:val="18"/>
                <w:szCs w:val="18"/>
              </w:rPr>
              <w:t>smear microscopy</w:t>
            </w:r>
            <w:r w:rsidRPr="00581B89">
              <w:rPr>
                <w:rFonts w:cs="Arial"/>
                <w:sz w:val="18"/>
                <w:szCs w:val="18"/>
              </w:rPr>
              <w:fldChar w:fldCharType="begin" w:fldLock="1"/>
            </w:r>
            <w:r w:rsidR="001713C0">
              <w:rPr>
                <w:rFonts w:cs="Arial"/>
                <w:sz w:val="18"/>
                <w:szCs w:val="18"/>
              </w:rPr>
              <w:instrText>ADDIN CSL_CITATION { "citationItems" : [ { "id" : "ITEM-1", "itemData" : { "ISSN" : "1027-3719", "PMID" : "17439669", "abstract" : "Current international tuberculosis (TB) guidelines recommend the microscopic examination of three sputum specimens for acid-fast bacilli in the evaluation of persons suspected of having pulmonary TB. We conducted a systematic review of studies that quantified the diagnostic yield of each of three sputum specimens. By searching multiple databases and sources, we identified a total of 37 eligible studies. The incremental yield in smear-positive results (in studies using all smear-positive cases as the denominator) and the increase in sensitivity (in studies that used all culture-positive cases as the denominator) of the third specimen were the main outcomes of interest. Although heterogeneity in study methods and results presented challenges for data synthesis, subgroup analyses suggest that the average incremental yield and/or the increase in sensitivity of examining a third specimen ranged between 2% and 5%. Reducing the recommended number of specimens examined from three to two (particularly to two specimens collected on the same day) could benefit TB control programs, and potentially increase case detection for several reasons. A number of operational research issues need to be addressed. Studies examining the most effective and efficient means to utilize current technologies for microscopic examination of sputum would be most useful if they followed an internationally coordinated and standardized approach, both to strengthen the country-specific evidence base and to permit comparison among studies.", "author" : [ { "dropping-particle" : "", "family" : "Mase", "given" : "S R", "non-dropping-particle" : "", "parse-names" : false, "suffix" : "" }, { "dropping-particle" : "", "family" : "Ramsay", "given" : "A", "non-dropping-particle" : "", "parse-names" : false, "suffix" : "" }, { "dropping-particle" : "", "family" : "Ng", "given" : "V", "non-dropping-particle" : "", "parse-names" : false, "suffix" : "" }, { "dropping-particle" : "", "family" : "Henry", "given" : "M", "non-dropping-particle" : "", "parse-names" : false, "suffix" : "" }, { "dropping-particle" : "", "family" : "Hopewell", "given" : "P C", "non-dropping-particle" : "", "parse-names" : false, "suffix" : "" }, { "dropping-particle" : "", "family" : "Cunningham", "given" : "J", "non-dropping-particle" : "", "parse-names" : false, "suffix" : "" }, { "dropping-particle" : "", "family" : "Urbanczik", "given" : "R", "non-dropping-particle" : "", "parse-names" : false, "suffix" : "" }, { "dropping-particle" : "", "family" : "Perkins", "given" : "M D", "non-dropping-particle" : "", "parse-names" : false, "suffix" : "" }, { "dropping-particle" : "", "family" : "Aziz", "given" : "M A", "non-dropping-particle" : "", "parse-names" : false, "suffix" : "" }, { "dropping-particle" : "", "family" : "Pai", "given" : "M", "non-dropping-particle" : "", "parse-names" : false, "suffix" : "" } ], "container-title" : "The international journal of tuberculosis and lung disease : the official journal of the International Union against Tuberculosis and Lung Disease", "id" : "ITEM-1", "issue" : "5", "issued" : { "date-parts" : [ [ "2007" ] ] }, "page" : "485-95", "title" : "Yield of serial sputum specimen examinations in the diagnosis of pulmonary tuberculosis: a systematic review.", "type" : "article-journal", "volume" : "11" }, "uris" : [ "http://www.mendeley.com/documents/?uuid=43308d6c-e642-3ab3-9663-2bd7a9de8a03" ] }, { "id" : "ITEM-2", "itemData" : { "DOI" : "10.1016/S1473-3099(06)70578-3", "ISSN" : "1473-3099", "PMID" : "16931408", "abstract" : "Most of the world's tuberculosis cases occur in low-income and middle-income countries, where sputum microscopy with a conventional light microscope is the primary method for diagnosing pulmonary tuberculosis. A major shortcoming of conventional microscopy is its relatively low sensitivity compared with culture, especially in patients co-infected with HIV. In high-income countries, fluorescence microscopy rather than conventional microscopy is the standard diagnostic method. Fluorescence microscopy is credited with increased sensitivity and lower work effort, but there is concern that specificity may be lower. We did a systematic review to summarise the accuracy of fluorescence microscopy compared with conventional microscopy. By searching many databases and contacting experts, we identified 45 relevant studies. Sensitivity, specificity, and incremental yield were the outcomes of interest. The results suggest that, overall, fluorescence microscopy is more sensitive than conventional microscopy, and has similar specificity. There is insufficient evidence to determine the value of fluorescence microscopy in HIV-infected individuals. The results of this review provide a point of reference, quantifying the potential benefit of fluorescence microscopy, with which the increased cost and technical complexity of the method can be compared to determine the possible value of the method under programme conditions.", "author" : [ { "dropping-particle" : "", "family" : "Steingart", "given" : "Karen R", "non-dropping-particle" : "", "parse-names" : false, "suffix" : "" }, { "dropping-particle" : "", "family" : "Henry", "given" : "Megan", "non-dropping-particle" : "", "parse-names" : false, "suffix" : "" }, { "dropping-particle" : "", "family" : "Ng", "given" : "Vivienne", "non-dropping-particle" : "", "parse-names" : false, "suffix" : "" }, { "dropping-particle" : "", "family" : "Hopewell", "given" : "Philip C", "non-dropping-particle" : "", "parse-names" : false, "suffix" : "" }, { "dropping-particle" : "", "family" : "Ramsay", "given" : "Andrew", "non-dropping-particle" : "", "parse-names" : false, "suffix" : "" }, { "dropping-particle" : "", "family" : "Cunningham", "given" : "Jane", "non-dropping-particle" : "", "parse-names" : false, "suffix" : "" }, { "dropping-particle" : "", "family" : "Urbanczik", "given" : "Richard", "non-dropping-particle" : "", "parse-names" : false, "suffix" : "" }, { "dropping-particle" : "", "family" : "Perkins", "given" : "Mark", "non-dropping-particle" : "", "parse-names" : false, "suffix" : "" }, { "dropping-particle" : "", "family" : "Aziz", "given" : "Mohamed Abdel", "non-dropping-particle" : "", "parse-names" : false, "suffix" : "" }, { "dropping-particle" : "", "family" : "Pai", "given" : "Madhukar", "non-dropping-particle" : "", "parse-names" : false, "suffix" : "" } ], "container-title" : "The Lancet. Infectious diseases", "id" : "ITEM-2", "issue" : "9", "issued" : { "date-parts" : [ [ "2006" ] ] }, "page" : "570-81", "title" : "Fluorescence versus conventional sputum smear microscopy for tuberculosis: a systematic review.", "type" : "article-journal", "volume" : "6" }, "uris" : [ "http://www.mendeley.com/documents/?uuid=ca21c0ca-1c0e-432e-91f6-29742c172257" ] } ], "mendeley" : { "formattedCitation" : "&lt;sup&gt;15,16&lt;/sup&gt;", "plainTextFormattedCitation" : "15,16", "previouslyFormattedCitation" : "&lt;sup&gt;15,16&lt;/sup&gt;" }, "properties" : { "noteIndex" : 0 }, "schema" : "https://github.com/citation-style-language/schema/raw/master/csl-citation.json" }</w:instrText>
            </w:r>
            <w:r w:rsidRPr="00581B89">
              <w:rPr>
                <w:rFonts w:cs="Arial"/>
                <w:sz w:val="18"/>
                <w:szCs w:val="18"/>
              </w:rPr>
              <w:fldChar w:fldCharType="separate"/>
            </w:r>
            <w:r w:rsidR="00F27AAC" w:rsidRPr="00F27AAC">
              <w:rPr>
                <w:rFonts w:cs="Arial"/>
                <w:noProof/>
                <w:sz w:val="18"/>
                <w:szCs w:val="18"/>
                <w:vertAlign w:val="superscript"/>
              </w:rPr>
              <w:t>15,16</w:t>
            </w:r>
            <w:r w:rsidRPr="00581B89">
              <w:rPr>
                <w:rFonts w:cs="Arial"/>
                <w:sz w:val="18"/>
                <w:szCs w:val="18"/>
              </w:rPr>
              <w:fldChar w:fldCharType="end"/>
            </w:r>
            <w:r w:rsidR="004C0890">
              <w:rPr>
                <w:rFonts w:cs="Arial"/>
                <w:sz w:val="18"/>
                <w:szCs w:val="18"/>
              </w:rPr>
              <w:t xml:space="preserve"> (1 </w:t>
            </w:r>
            <w:r w:rsidR="00E01978" w:rsidRPr="00E01978">
              <w:rPr>
                <w:rFonts w:cs="Arial"/>
                <w:sz w:val="18"/>
                <w:szCs w:val="18"/>
              </w:rPr>
              <w:t>specimen</w:t>
            </w:r>
            <w:r w:rsidR="004C0890">
              <w:rPr>
                <w:rFonts w:cs="Arial"/>
                <w:sz w:val="18"/>
                <w:szCs w:val="18"/>
              </w:rPr>
              <w:t>)</w:t>
            </w:r>
          </w:p>
          <w:p w14:paraId="1C44A5BF" w14:textId="77777777" w:rsidR="00D66A95" w:rsidRPr="00581B89" w:rsidRDefault="00D66A95" w:rsidP="00431154">
            <w:pPr>
              <w:spacing w:after="0" w:line="240" w:lineRule="auto"/>
              <w:rPr>
                <w:rFonts w:eastAsia="Times New Roman" w:cs="Arial"/>
                <w:bCs/>
                <w:color w:val="000000"/>
                <w:sz w:val="18"/>
                <w:szCs w:val="18"/>
              </w:rPr>
            </w:pPr>
          </w:p>
        </w:tc>
        <w:tc>
          <w:tcPr>
            <w:tcW w:w="2173" w:type="dxa"/>
            <w:vMerge w:val="restart"/>
            <w:shd w:val="clear" w:color="auto" w:fill="auto"/>
            <w:noWrap/>
            <w:vAlign w:val="center"/>
          </w:tcPr>
          <w:p w14:paraId="10975387" w14:textId="77777777" w:rsidR="00D66A95" w:rsidRPr="00581B89" w:rsidRDefault="00D66A95" w:rsidP="00431154">
            <w:pPr>
              <w:spacing w:after="0" w:line="240" w:lineRule="auto"/>
              <w:rPr>
                <w:rFonts w:eastAsia="Times New Roman" w:cs="Arial"/>
                <w:bCs/>
                <w:color w:val="000000"/>
                <w:sz w:val="18"/>
                <w:szCs w:val="18"/>
              </w:rPr>
            </w:pPr>
            <w:r w:rsidRPr="00581B89">
              <w:rPr>
                <w:rFonts w:cs="Arial"/>
                <w:sz w:val="18"/>
                <w:szCs w:val="18"/>
              </w:rPr>
              <w:t>Sensitivity</w:t>
            </w:r>
          </w:p>
        </w:tc>
        <w:tc>
          <w:tcPr>
            <w:tcW w:w="1290" w:type="dxa"/>
            <w:shd w:val="clear" w:color="auto" w:fill="auto"/>
            <w:vAlign w:val="center"/>
          </w:tcPr>
          <w:p w14:paraId="186C0BEE" w14:textId="77777777" w:rsidR="00D66A95" w:rsidRPr="00581B89" w:rsidRDefault="00D66A95"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0412718C"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55</w:t>
            </w:r>
          </w:p>
        </w:tc>
      </w:tr>
      <w:tr w:rsidR="00D66A95" w:rsidRPr="00581B89" w14:paraId="3D1B8629" w14:textId="77777777" w:rsidTr="00431154">
        <w:trPr>
          <w:trHeight w:val="285"/>
        </w:trPr>
        <w:tc>
          <w:tcPr>
            <w:tcW w:w="2797" w:type="dxa"/>
            <w:vMerge/>
            <w:shd w:val="clear" w:color="auto" w:fill="auto"/>
            <w:vAlign w:val="center"/>
          </w:tcPr>
          <w:p w14:paraId="1390753F" w14:textId="77777777" w:rsidR="00D66A95" w:rsidRPr="00581B89" w:rsidRDefault="00D66A95" w:rsidP="00431154">
            <w:pPr>
              <w:spacing w:after="0" w:line="240" w:lineRule="auto"/>
              <w:rPr>
                <w:rFonts w:eastAsia="Times New Roman" w:cs="Arial"/>
                <w:bCs/>
                <w:color w:val="000000"/>
                <w:sz w:val="18"/>
                <w:szCs w:val="18"/>
              </w:rPr>
            </w:pPr>
          </w:p>
        </w:tc>
        <w:tc>
          <w:tcPr>
            <w:tcW w:w="2173" w:type="dxa"/>
            <w:vMerge/>
            <w:shd w:val="clear" w:color="auto" w:fill="auto"/>
            <w:noWrap/>
            <w:vAlign w:val="center"/>
          </w:tcPr>
          <w:p w14:paraId="27EEB40D" w14:textId="77777777" w:rsidR="00D66A95" w:rsidRPr="00581B89" w:rsidRDefault="00D66A95" w:rsidP="00431154">
            <w:pPr>
              <w:spacing w:after="0" w:line="240" w:lineRule="auto"/>
              <w:rPr>
                <w:rFonts w:eastAsia="Times New Roman" w:cs="Arial"/>
                <w:bCs/>
                <w:color w:val="000000"/>
                <w:sz w:val="18"/>
                <w:szCs w:val="18"/>
              </w:rPr>
            </w:pPr>
          </w:p>
        </w:tc>
        <w:tc>
          <w:tcPr>
            <w:tcW w:w="1290" w:type="dxa"/>
            <w:shd w:val="clear" w:color="auto" w:fill="auto"/>
            <w:vAlign w:val="center"/>
          </w:tcPr>
          <w:p w14:paraId="0B7E191D" w14:textId="77777777" w:rsidR="00D66A95" w:rsidRPr="00581B89" w:rsidRDefault="00D66A95" w:rsidP="00431154">
            <w:pPr>
              <w:spacing w:after="0" w:line="240" w:lineRule="auto"/>
              <w:jc w:val="right"/>
              <w:rPr>
                <w:rFonts w:eastAsia="Times New Roman" w:cs="Arial"/>
                <w:color w:val="000000"/>
                <w:sz w:val="18"/>
                <w:szCs w:val="18"/>
              </w:rPr>
            </w:pPr>
            <w:r w:rsidRPr="00581B89">
              <w:rPr>
                <w:rFonts w:eastAsia="Times New Roman" w:cs="Arial"/>
                <w:bCs/>
                <w:color w:val="000000"/>
                <w:sz w:val="18"/>
                <w:szCs w:val="18"/>
              </w:rPr>
              <w:t>HIV-negative</w:t>
            </w:r>
          </w:p>
        </w:tc>
        <w:tc>
          <w:tcPr>
            <w:tcW w:w="2756" w:type="dxa"/>
            <w:gridSpan w:val="2"/>
            <w:shd w:val="clear" w:color="auto" w:fill="auto"/>
            <w:noWrap/>
            <w:vAlign w:val="center"/>
          </w:tcPr>
          <w:p w14:paraId="7F961E76"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60</w:t>
            </w:r>
          </w:p>
        </w:tc>
      </w:tr>
      <w:tr w:rsidR="00D66A95" w:rsidRPr="00581B89" w14:paraId="4E1C2C49" w14:textId="77777777" w:rsidTr="00431154">
        <w:trPr>
          <w:trHeight w:val="285"/>
        </w:trPr>
        <w:tc>
          <w:tcPr>
            <w:tcW w:w="2797" w:type="dxa"/>
            <w:vMerge/>
            <w:shd w:val="clear" w:color="auto" w:fill="auto"/>
            <w:vAlign w:val="center"/>
          </w:tcPr>
          <w:p w14:paraId="63F69EF2" w14:textId="77777777" w:rsidR="00D66A95" w:rsidRPr="00581B89" w:rsidRDefault="00D66A95" w:rsidP="00431154">
            <w:pPr>
              <w:spacing w:after="0" w:line="240" w:lineRule="auto"/>
              <w:rPr>
                <w:rFonts w:eastAsia="Times New Roman" w:cs="Arial"/>
                <w:bCs/>
                <w:color w:val="000000"/>
                <w:sz w:val="18"/>
                <w:szCs w:val="18"/>
              </w:rPr>
            </w:pPr>
          </w:p>
        </w:tc>
        <w:tc>
          <w:tcPr>
            <w:tcW w:w="2173" w:type="dxa"/>
            <w:vMerge w:val="restart"/>
            <w:shd w:val="clear" w:color="auto" w:fill="auto"/>
            <w:noWrap/>
            <w:vAlign w:val="center"/>
          </w:tcPr>
          <w:p w14:paraId="073C91C5" w14:textId="77777777" w:rsidR="00D66A95" w:rsidRPr="00581B89" w:rsidRDefault="00D66A95" w:rsidP="00431154">
            <w:pPr>
              <w:spacing w:after="0" w:line="240" w:lineRule="auto"/>
              <w:rPr>
                <w:rFonts w:eastAsia="Times New Roman" w:cs="Arial"/>
                <w:bCs/>
                <w:color w:val="000000"/>
                <w:sz w:val="18"/>
                <w:szCs w:val="18"/>
              </w:rPr>
            </w:pPr>
            <w:r w:rsidRPr="00581B89">
              <w:rPr>
                <w:rFonts w:cs="Arial"/>
                <w:sz w:val="18"/>
                <w:szCs w:val="18"/>
              </w:rPr>
              <w:t>Specificity</w:t>
            </w:r>
          </w:p>
        </w:tc>
        <w:tc>
          <w:tcPr>
            <w:tcW w:w="1290" w:type="dxa"/>
            <w:shd w:val="clear" w:color="auto" w:fill="auto"/>
            <w:vAlign w:val="center"/>
          </w:tcPr>
          <w:p w14:paraId="39B0DC9A" w14:textId="77777777" w:rsidR="00D66A95" w:rsidRPr="00581B89" w:rsidRDefault="00D66A95"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510BD5F6"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99</w:t>
            </w:r>
          </w:p>
        </w:tc>
      </w:tr>
      <w:tr w:rsidR="00D66A95" w:rsidRPr="00581B89" w14:paraId="03395500" w14:textId="77777777" w:rsidTr="00431154">
        <w:trPr>
          <w:trHeight w:val="285"/>
        </w:trPr>
        <w:tc>
          <w:tcPr>
            <w:tcW w:w="2797" w:type="dxa"/>
            <w:vMerge/>
            <w:shd w:val="clear" w:color="auto" w:fill="auto"/>
            <w:vAlign w:val="center"/>
          </w:tcPr>
          <w:p w14:paraId="29DBD845" w14:textId="77777777" w:rsidR="00D66A95" w:rsidRPr="00581B89" w:rsidRDefault="00D66A95" w:rsidP="00431154">
            <w:pPr>
              <w:spacing w:after="0" w:line="240" w:lineRule="auto"/>
              <w:rPr>
                <w:rFonts w:eastAsia="Times New Roman" w:cs="Arial"/>
                <w:bCs/>
                <w:color w:val="000000"/>
                <w:sz w:val="18"/>
                <w:szCs w:val="18"/>
              </w:rPr>
            </w:pPr>
          </w:p>
        </w:tc>
        <w:tc>
          <w:tcPr>
            <w:tcW w:w="2173" w:type="dxa"/>
            <w:vMerge/>
            <w:shd w:val="clear" w:color="auto" w:fill="auto"/>
            <w:noWrap/>
            <w:vAlign w:val="center"/>
          </w:tcPr>
          <w:p w14:paraId="72048A2F" w14:textId="77777777" w:rsidR="00D66A95" w:rsidRPr="00581B89" w:rsidRDefault="00D66A95" w:rsidP="00431154">
            <w:pPr>
              <w:spacing w:after="0" w:line="240" w:lineRule="auto"/>
              <w:rPr>
                <w:rFonts w:eastAsia="Times New Roman" w:cs="Arial"/>
                <w:bCs/>
                <w:color w:val="000000"/>
                <w:sz w:val="18"/>
                <w:szCs w:val="18"/>
              </w:rPr>
            </w:pPr>
          </w:p>
        </w:tc>
        <w:tc>
          <w:tcPr>
            <w:tcW w:w="1290" w:type="dxa"/>
            <w:shd w:val="clear" w:color="auto" w:fill="auto"/>
            <w:vAlign w:val="center"/>
          </w:tcPr>
          <w:p w14:paraId="333612FA" w14:textId="77777777" w:rsidR="00D66A95" w:rsidRPr="00581B89" w:rsidRDefault="00D66A95" w:rsidP="00431154">
            <w:pPr>
              <w:spacing w:after="0" w:line="240" w:lineRule="auto"/>
              <w:jc w:val="right"/>
              <w:rPr>
                <w:rFonts w:eastAsia="Times New Roman" w:cs="Arial"/>
                <w:color w:val="000000"/>
                <w:sz w:val="18"/>
                <w:szCs w:val="18"/>
              </w:rPr>
            </w:pPr>
            <w:r w:rsidRPr="00581B89">
              <w:rPr>
                <w:rFonts w:eastAsia="Times New Roman" w:cs="Arial"/>
                <w:bCs/>
                <w:color w:val="000000"/>
                <w:sz w:val="18"/>
                <w:szCs w:val="18"/>
              </w:rPr>
              <w:t>HIV-negative</w:t>
            </w:r>
          </w:p>
        </w:tc>
        <w:tc>
          <w:tcPr>
            <w:tcW w:w="2756" w:type="dxa"/>
            <w:gridSpan w:val="2"/>
            <w:shd w:val="clear" w:color="auto" w:fill="auto"/>
            <w:noWrap/>
            <w:vAlign w:val="center"/>
          </w:tcPr>
          <w:p w14:paraId="3C82DBDC"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99</w:t>
            </w:r>
          </w:p>
        </w:tc>
      </w:tr>
      <w:tr w:rsidR="004C0890" w:rsidRPr="00581B89" w14:paraId="3D25414A" w14:textId="77777777" w:rsidTr="00431154">
        <w:trPr>
          <w:trHeight w:val="285"/>
        </w:trPr>
        <w:tc>
          <w:tcPr>
            <w:tcW w:w="2797" w:type="dxa"/>
            <w:vMerge w:val="restart"/>
            <w:shd w:val="clear" w:color="auto" w:fill="auto"/>
            <w:vAlign w:val="center"/>
          </w:tcPr>
          <w:p w14:paraId="497E9ED1" w14:textId="32A7ADF8" w:rsidR="004C0890" w:rsidRPr="00581B89" w:rsidRDefault="004C0890" w:rsidP="00431154">
            <w:pPr>
              <w:spacing w:after="0" w:line="240" w:lineRule="auto"/>
              <w:rPr>
                <w:rFonts w:eastAsia="Times New Roman" w:cs="Arial"/>
                <w:bCs/>
                <w:color w:val="000000"/>
                <w:sz w:val="18"/>
                <w:szCs w:val="18"/>
              </w:rPr>
            </w:pPr>
            <w:r w:rsidRPr="00581B89">
              <w:rPr>
                <w:rFonts w:cs="Arial"/>
                <w:sz w:val="18"/>
                <w:szCs w:val="18"/>
              </w:rPr>
              <w:t xml:space="preserve">Accuracy of </w:t>
            </w:r>
            <w:r w:rsidRPr="00A62347">
              <w:rPr>
                <w:rFonts w:cs="Arial"/>
                <w:sz w:val="18"/>
                <w:szCs w:val="18"/>
              </w:rPr>
              <w:t xml:space="preserve">fluorescence light-emitting diode (LED) </w:t>
            </w:r>
            <w:r w:rsidRPr="00581B89">
              <w:rPr>
                <w:rFonts w:cs="Arial"/>
                <w:sz w:val="18"/>
                <w:szCs w:val="18"/>
              </w:rPr>
              <w:t>smear microscopy</w:t>
            </w:r>
            <w:r w:rsidRPr="00581B89">
              <w:rPr>
                <w:rFonts w:cs="Arial"/>
                <w:sz w:val="18"/>
                <w:szCs w:val="18"/>
              </w:rPr>
              <w:fldChar w:fldCharType="begin" w:fldLock="1"/>
            </w:r>
            <w:r w:rsidR="001713C0">
              <w:rPr>
                <w:rFonts w:cs="Arial"/>
                <w:sz w:val="18"/>
                <w:szCs w:val="18"/>
              </w:rPr>
              <w:instrText>ADDIN CSL_CITATION { "citationItems" : [ { "id" : "ITEM-1", "itemData" : { "ISSN" : "1027-3719", "PMID" : "17439669", "abstract" : "Current international tuberculosis (TB) guidelines recommend the microscopic examination of three sputum specimens for acid-fast bacilli in the evaluation of persons suspected of having pulmonary TB. We conducted a systematic review of studies that quantified the diagnostic yield of each of three sputum specimens. By searching multiple databases and sources, we identified a total of 37 eligible studies. The incremental yield in smear-positive results (in studies using all smear-positive cases as the denominator) and the increase in sensitivity (in studies that used all culture-positive cases as the denominator) of the third specimen were the main outcomes of interest. Although heterogeneity in study methods and results presented challenges for data synthesis, subgroup analyses suggest that the average incremental yield and/or the increase in sensitivity of examining a third specimen ranged between 2% and 5%. Reducing the recommended number of specimens examined from three to two (particularly to two specimens collected on the same day) could benefit TB control programs, and potentially increase case detection for several reasons. A number of operational research issues need to be addressed. Studies examining the most effective and efficient means to utilize current technologies for microscopic examination of sputum would be most useful if they followed an internationally coordinated and standardized approach, both to strengthen the country-specific evidence base and to permit comparison among studies.", "author" : [ { "dropping-particle" : "", "family" : "Mase", "given" : "S R", "non-dropping-particle" : "", "parse-names" : false, "suffix" : "" }, { "dropping-particle" : "", "family" : "Ramsay", "given" : "A", "non-dropping-particle" : "", "parse-names" : false, "suffix" : "" }, { "dropping-particle" : "", "family" : "Ng", "given" : "V", "non-dropping-particle" : "", "parse-names" : false, "suffix" : "" }, { "dropping-particle" : "", "family" : "Henry", "given" : "M", "non-dropping-particle" : "", "parse-names" : false, "suffix" : "" }, { "dropping-particle" : "", "family" : "Hopewell", "given" : "P C", "non-dropping-particle" : "", "parse-names" : false, "suffix" : "" }, { "dropping-particle" : "", "family" : "Cunningham", "given" : "J", "non-dropping-particle" : "", "parse-names" : false, "suffix" : "" }, { "dropping-particle" : "", "family" : "Urbanczik", "given" : "R", "non-dropping-particle" : "", "parse-names" : false, "suffix" : "" }, { "dropping-particle" : "", "family" : "Perkins", "given" : "M D", "non-dropping-particle" : "", "parse-names" : false, "suffix" : "" }, { "dropping-particle" : "", "family" : "Aziz", "given" : "M A", "non-dropping-particle" : "", "parse-names" : false, "suffix" : "" }, { "dropping-particle" : "", "family" : "Pai", "given" : "M", "non-dropping-particle" : "", "parse-names" : false, "suffix" : "" } ], "container-title" : "The international journal of tuberculosis and lung disease : the official journal of the International Union against Tuberculosis and Lung Disease", "id" : "ITEM-1", "issue" : "5", "issued" : { "date-parts" : [ [ "2007" ] ] }, "page" : "485-95", "title" : "Yield of serial sputum specimen examinations in the diagnosis of pulmonary tuberculosis: a systematic review.", "type" : "article-journal", "volume" : "11" }, "uris" : [ "http://www.mendeley.com/documents/?uuid=43308d6c-e642-3ab3-9663-2bd7a9de8a03" ] }, { "id" : "ITEM-2", "itemData" : { "DOI" : "10.1016/S1473-3099(06)70578-3", "ISSN" : "1473-3099", "PMID" : "16931408", "abstract" : "Most of the world's tuberculosis cases occur in low-income and middle-income countries, where sputum microscopy with a conventional light microscope is the primary method for diagnosing pulmonary tuberculosis. A major shortcoming of conventional microscopy is its relatively low sensitivity compared with culture, especially in patients co-infected with HIV. In high-income countries, fluorescence microscopy rather than conventional microscopy is the standard diagnostic method. Fluorescence microscopy is credited with increased sensitivity and lower work effort, but there is concern that specificity may be lower. We did a systematic review to summarise the accuracy of fluorescence microscopy compared with conventional microscopy. By searching many databases and contacting experts, we identified 45 relevant studies. Sensitivity, specificity, and incremental yield were the outcomes of interest. The results suggest that, overall, fluorescence microscopy is more sensitive than conventional microscopy, and has similar specificity. There is insufficient evidence to determine the value of fluorescence microscopy in HIV-infected individuals. The results of this review provide a point of reference, quantifying the potential benefit of fluorescence microscopy, with which the increased cost and technical complexity of the method can be compared to determine the possible value of the method under programme conditions.", "author" : [ { "dropping-particle" : "", "family" : "Steingart", "given" : "Karen R", "non-dropping-particle" : "", "parse-names" : false, "suffix" : "" }, { "dropping-particle" : "", "family" : "Henry", "given" : "Megan", "non-dropping-particle" : "", "parse-names" : false, "suffix" : "" }, { "dropping-particle" : "", "family" : "Ng", "given" : "Vivienne", "non-dropping-particle" : "", "parse-names" : false, "suffix" : "" }, { "dropping-particle" : "", "family" : "Hopewell", "given" : "Philip C", "non-dropping-particle" : "", "parse-names" : false, "suffix" : "" }, { "dropping-particle" : "", "family" : "Ramsay", "given" : "Andrew", "non-dropping-particle" : "", "parse-names" : false, "suffix" : "" }, { "dropping-particle" : "", "family" : "Cunningham", "given" : "Jane", "non-dropping-particle" : "", "parse-names" : false, "suffix" : "" }, { "dropping-particle" : "", "family" : "Urbanczik", "given" : "Richard", "non-dropping-particle" : "", "parse-names" : false, "suffix" : "" }, { "dropping-particle" : "", "family" : "Perkins", "given" : "Mark", "non-dropping-particle" : "", "parse-names" : false, "suffix" : "" }, { "dropping-particle" : "", "family" : "Aziz", "given" : "Mohamed Abdel", "non-dropping-particle" : "", "parse-names" : false, "suffix" : "" }, { "dropping-particle" : "", "family" : "Pai", "given" : "Madhukar", "non-dropping-particle" : "", "parse-names" : false, "suffix" : "" } ], "container-title" : "The Lancet. Infectious diseases", "id" : "ITEM-2", "issue" : "9", "issued" : { "date-parts" : [ [ "2006" ] ] }, "page" : "570-81", "title" : "Fluorescence versus conventional sputum smear microscopy for tuberculosis: a systematic review.", "type" : "article-journal", "volume" : "6" }, "uris" : [ "http://www.mendeley.com/documents/?uuid=ca21c0ca-1c0e-432e-91f6-29742c172257" ] } ], "mendeley" : { "formattedCitation" : "&lt;sup&gt;15,16&lt;/sup&gt;", "plainTextFormattedCitation" : "15,16", "previouslyFormattedCitation" : "&lt;sup&gt;15,16&lt;/sup&gt;" }, "properties" : { "noteIndex" : 0 }, "schema" : "https://github.com/citation-style-language/schema/raw/master/csl-citation.json" }</w:instrText>
            </w:r>
            <w:r w:rsidRPr="00581B89">
              <w:rPr>
                <w:rFonts w:cs="Arial"/>
                <w:sz w:val="18"/>
                <w:szCs w:val="18"/>
              </w:rPr>
              <w:fldChar w:fldCharType="separate"/>
            </w:r>
            <w:r w:rsidR="00F27AAC" w:rsidRPr="00F27AAC">
              <w:rPr>
                <w:rFonts w:cs="Arial"/>
                <w:noProof/>
                <w:sz w:val="18"/>
                <w:szCs w:val="18"/>
                <w:vertAlign w:val="superscript"/>
              </w:rPr>
              <w:t>15,16</w:t>
            </w:r>
            <w:r w:rsidRPr="00581B89">
              <w:rPr>
                <w:rFonts w:cs="Arial"/>
                <w:sz w:val="18"/>
                <w:szCs w:val="18"/>
              </w:rPr>
              <w:fldChar w:fldCharType="end"/>
            </w:r>
            <w:r>
              <w:rPr>
                <w:rFonts w:cs="Arial"/>
                <w:sz w:val="18"/>
                <w:szCs w:val="18"/>
              </w:rPr>
              <w:t xml:space="preserve"> (2 </w:t>
            </w:r>
            <w:r w:rsidR="00E01978" w:rsidRPr="00E01978">
              <w:rPr>
                <w:rFonts w:cs="Arial"/>
                <w:sz w:val="18"/>
                <w:szCs w:val="18"/>
              </w:rPr>
              <w:t>specimen</w:t>
            </w:r>
            <w:r w:rsidR="00E01978">
              <w:rPr>
                <w:rFonts w:cs="Arial"/>
                <w:sz w:val="18"/>
                <w:szCs w:val="18"/>
              </w:rPr>
              <w:t>s</w:t>
            </w:r>
            <w:r>
              <w:rPr>
                <w:rFonts w:cs="Arial"/>
                <w:sz w:val="18"/>
                <w:szCs w:val="18"/>
              </w:rPr>
              <w:t>)</w:t>
            </w:r>
          </w:p>
          <w:p w14:paraId="199F8C26" w14:textId="77777777" w:rsidR="004C0890" w:rsidRPr="00581B89" w:rsidRDefault="004C0890" w:rsidP="00431154">
            <w:pPr>
              <w:spacing w:after="0" w:line="240" w:lineRule="auto"/>
              <w:rPr>
                <w:rFonts w:eastAsia="Times New Roman" w:cs="Arial"/>
                <w:bCs/>
                <w:color w:val="000000"/>
                <w:sz w:val="18"/>
                <w:szCs w:val="18"/>
              </w:rPr>
            </w:pPr>
          </w:p>
        </w:tc>
        <w:tc>
          <w:tcPr>
            <w:tcW w:w="2173" w:type="dxa"/>
            <w:vMerge w:val="restart"/>
            <w:shd w:val="clear" w:color="auto" w:fill="auto"/>
            <w:noWrap/>
            <w:vAlign w:val="center"/>
          </w:tcPr>
          <w:p w14:paraId="18D05E95" w14:textId="77777777" w:rsidR="004C0890" w:rsidRPr="00581B89" w:rsidRDefault="004C0890" w:rsidP="00431154">
            <w:pPr>
              <w:spacing w:after="0" w:line="240" w:lineRule="auto"/>
              <w:rPr>
                <w:rFonts w:eastAsia="Times New Roman" w:cs="Arial"/>
                <w:bCs/>
                <w:color w:val="000000"/>
                <w:sz w:val="18"/>
                <w:szCs w:val="18"/>
              </w:rPr>
            </w:pPr>
            <w:r w:rsidRPr="00581B89">
              <w:rPr>
                <w:rFonts w:cs="Arial"/>
                <w:sz w:val="18"/>
                <w:szCs w:val="18"/>
              </w:rPr>
              <w:t>Sensitivity</w:t>
            </w:r>
          </w:p>
        </w:tc>
        <w:tc>
          <w:tcPr>
            <w:tcW w:w="1290" w:type="dxa"/>
            <w:shd w:val="clear" w:color="auto" w:fill="auto"/>
            <w:vAlign w:val="center"/>
          </w:tcPr>
          <w:p w14:paraId="0CC92644" w14:textId="77777777" w:rsidR="004C0890" w:rsidRPr="00581B89" w:rsidRDefault="004C0890"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1BCDB1A8" w14:textId="77777777" w:rsidR="004C0890" w:rsidRPr="00581B89" w:rsidRDefault="004C0890" w:rsidP="00431154">
            <w:pPr>
              <w:spacing w:after="0" w:line="240" w:lineRule="auto"/>
              <w:jc w:val="center"/>
              <w:rPr>
                <w:rFonts w:eastAsia="Times New Roman" w:cs="Arial"/>
                <w:color w:val="000000"/>
                <w:sz w:val="18"/>
                <w:szCs w:val="18"/>
              </w:rPr>
            </w:pPr>
            <w:r>
              <w:rPr>
                <w:rFonts w:eastAsia="Times New Roman" w:cs="Arial"/>
                <w:color w:val="000000"/>
                <w:sz w:val="18"/>
                <w:szCs w:val="18"/>
              </w:rPr>
              <w:t>65</w:t>
            </w:r>
          </w:p>
        </w:tc>
      </w:tr>
      <w:tr w:rsidR="004C0890" w:rsidRPr="00581B89" w14:paraId="60039928" w14:textId="77777777" w:rsidTr="00431154">
        <w:trPr>
          <w:trHeight w:val="285"/>
        </w:trPr>
        <w:tc>
          <w:tcPr>
            <w:tcW w:w="2797" w:type="dxa"/>
            <w:vMerge/>
            <w:shd w:val="clear" w:color="auto" w:fill="auto"/>
            <w:vAlign w:val="center"/>
          </w:tcPr>
          <w:p w14:paraId="594683C1" w14:textId="77777777" w:rsidR="004C0890" w:rsidRPr="00581B89" w:rsidRDefault="004C0890" w:rsidP="00431154">
            <w:pPr>
              <w:spacing w:after="0" w:line="240" w:lineRule="auto"/>
              <w:rPr>
                <w:rFonts w:eastAsia="Times New Roman" w:cs="Arial"/>
                <w:bCs/>
                <w:color w:val="000000"/>
                <w:sz w:val="18"/>
                <w:szCs w:val="18"/>
              </w:rPr>
            </w:pPr>
          </w:p>
        </w:tc>
        <w:tc>
          <w:tcPr>
            <w:tcW w:w="2173" w:type="dxa"/>
            <w:vMerge/>
            <w:shd w:val="clear" w:color="auto" w:fill="auto"/>
            <w:noWrap/>
            <w:vAlign w:val="center"/>
          </w:tcPr>
          <w:p w14:paraId="01397515" w14:textId="77777777" w:rsidR="004C0890" w:rsidRPr="00581B89" w:rsidRDefault="004C0890" w:rsidP="00431154">
            <w:pPr>
              <w:spacing w:after="0" w:line="240" w:lineRule="auto"/>
              <w:rPr>
                <w:rFonts w:eastAsia="Times New Roman" w:cs="Arial"/>
                <w:bCs/>
                <w:color w:val="000000"/>
                <w:sz w:val="18"/>
                <w:szCs w:val="18"/>
              </w:rPr>
            </w:pPr>
          </w:p>
        </w:tc>
        <w:tc>
          <w:tcPr>
            <w:tcW w:w="1290" w:type="dxa"/>
            <w:shd w:val="clear" w:color="auto" w:fill="auto"/>
            <w:vAlign w:val="center"/>
          </w:tcPr>
          <w:p w14:paraId="144D64AC" w14:textId="77777777" w:rsidR="004C0890" w:rsidRPr="00581B89" w:rsidRDefault="004C0890" w:rsidP="00431154">
            <w:pPr>
              <w:spacing w:after="0" w:line="240" w:lineRule="auto"/>
              <w:jc w:val="right"/>
              <w:rPr>
                <w:rFonts w:eastAsia="Times New Roman" w:cs="Arial"/>
                <w:color w:val="000000"/>
                <w:sz w:val="18"/>
                <w:szCs w:val="18"/>
              </w:rPr>
            </w:pPr>
            <w:r w:rsidRPr="00581B89">
              <w:rPr>
                <w:rFonts w:eastAsia="Times New Roman" w:cs="Arial"/>
                <w:bCs/>
                <w:color w:val="000000"/>
                <w:sz w:val="18"/>
                <w:szCs w:val="18"/>
              </w:rPr>
              <w:t>HIV-negative</w:t>
            </w:r>
          </w:p>
        </w:tc>
        <w:tc>
          <w:tcPr>
            <w:tcW w:w="2756" w:type="dxa"/>
            <w:gridSpan w:val="2"/>
            <w:shd w:val="clear" w:color="auto" w:fill="auto"/>
            <w:noWrap/>
            <w:vAlign w:val="center"/>
          </w:tcPr>
          <w:p w14:paraId="781BDD3E" w14:textId="77777777" w:rsidR="004C0890" w:rsidRPr="00581B89" w:rsidRDefault="004C0890" w:rsidP="00431154">
            <w:pPr>
              <w:spacing w:after="0" w:line="240" w:lineRule="auto"/>
              <w:jc w:val="center"/>
              <w:rPr>
                <w:rFonts w:eastAsia="Times New Roman" w:cs="Arial"/>
                <w:color w:val="000000"/>
                <w:sz w:val="18"/>
                <w:szCs w:val="18"/>
              </w:rPr>
            </w:pPr>
            <w:r>
              <w:rPr>
                <w:rFonts w:eastAsia="Times New Roman" w:cs="Arial"/>
                <w:color w:val="000000"/>
                <w:sz w:val="18"/>
                <w:szCs w:val="18"/>
              </w:rPr>
              <w:t>75</w:t>
            </w:r>
          </w:p>
        </w:tc>
      </w:tr>
      <w:tr w:rsidR="004C0890" w:rsidRPr="00581B89" w14:paraId="07DD8E7A" w14:textId="77777777" w:rsidTr="00431154">
        <w:trPr>
          <w:trHeight w:val="285"/>
        </w:trPr>
        <w:tc>
          <w:tcPr>
            <w:tcW w:w="2797" w:type="dxa"/>
            <w:vMerge/>
            <w:shd w:val="clear" w:color="auto" w:fill="auto"/>
            <w:vAlign w:val="center"/>
          </w:tcPr>
          <w:p w14:paraId="05177EE8" w14:textId="77777777" w:rsidR="004C0890" w:rsidRPr="00581B89" w:rsidRDefault="004C0890" w:rsidP="00431154">
            <w:pPr>
              <w:spacing w:after="0" w:line="240" w:lineRule="auto"/>
              <w:rPr>
                <w:rFonts w:eastAsia="Times New Roman" w:cs="Arial"/>
                <w:bCs/>
                <w:color w:val="000000"/>
                <w:sz w:val="18"/>
                <w:szCs w:val="18"/>
              </w:rPr>
            </w:pPr>
          </w:p>
        </w:tc>
        <w:tc>
          <w:tcPr>
            <w:tcW w:w="2173" w:type="dxa"/>
            <w:vMerge w:val="restart"/>
            <w:shd w:val="clear" w:color="auto" w:fill="auto"/>
            <w:noWrap/>
            <w:vAlign w:val="center"/>
          </w:tcPr>
          <w:p w14:paraId="716C48EB" w14:textId="77777777" w:rsidR="004C0890" w:rsidRPr="00581B89" w:rsidRDefault="004C0890" w:rsidP="00431154">
            <w:pPr>
              <w:spacing w:after="0" w:line="240" w:lineRule="auto"/>
              <w:rPr>
                <w:rFonts w:eastAsia="Times New Roman" w:cs="Arial"/>
                <w:bCs/>
                <w:color w:val="000000"/>
                <w:sz w:val="18"/>
                <w:szCs w:val="18"/>
              </w:rPr>
            </w:pPr>
            <w:r w:rsidRPr="00581B89">
              <w:rPr>
                <w:rFonts w:cs="Arial"/>
                <w:sz w:val="18"/>
                <w:szCs w:val="18"/>
              </w:rPr>
              <w:t>Specificity</w:t>
            </w:r>
          </w:p>
        </w:tc>
        <w:tc>
          <w:tcPr>
            <w:tcW w:w="1290" w:type="dxa"/>
            <w:shd w:val="clear" w:color="auto" w:fill="auto"/>
            <w:vAlign w:val="center"/>
          </w:tcPr>
          <w:p w14:paraId="623659E1" w14:textId="77777777" w:rsidR="004C0890" w:rsidRPr="00581B89" w:rsidRDefault="004C0890"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5A22E5FA" w14:textId="77777777" w:rsidR="004C0890" w:rsidRPr="00581B89" w:rsidRDefault="004C0890" w:rsidP="00431154">
            <w:pPr>
              <w:spacing w:after="0" w:line="240" w:lineRule="auto"/>
              <w:jc w:val="center"/>
              <w:rPr>
                <w:rFonts w:eastAsia="Times New Roman" w:cs="Arial"/>
                <w:color w:val="000000"/>
                <w:sz w:val="18"/>
                <w:szCs w:val="18"/>
              </w:rPr>
            </w:pPr>
            <w:r>
              <w:rPr>
                <w:rFonts w:eastAsia="Times New Roman" w:cs="Arial"/>
                <w:color w:val="000000"/>
                <w:sz w:val="18"/>
                <w:szCs w:val="18"/>
              </w:rPr>
              <w:t>99</w:t>
            </w:r>
          </w:p>
        </w:tc>
      </w:tr>
      <w:tr w:rsidR="004C0890" w:rsidRPr="00581B89" w14:paraId="36D1CB77" w14:textId="77777777" w:rsidTr="00431154">
        <w:trPr>
          <w:trHeight w:val="285"/>
        </w:trPr>
        <w:tc>
          <w:tcPr>
            <w:tcW w:w="2797" w:type="dxa"/>
            <w:vMerge/>
            <w:shd w:val="clear" w:color="auto" w:fill="auto"/>
            <w:vAlign w:val="center"/>
          </w:tcPr>
          <w:p w14:paraId="59AF8BF3" w14:textId="77777777" w:rsidR="004C0890" w:rsidRPr="00581B89" w:rsidRDefault="004C0890" w:rsidP="00431154">
            <w:pPr>
              <w:spacing w:after="0" w:line="240" w:lineRule="auto"/>
              <w:rPr>
                <w:rFonts w:eastAsia="Times New Roman" w:cs="Arial"/>
                <w:bCs/>
                <w:color w:val="000000"/>
                <w:sz w:val="18"/>
                <w:szCs w:val="18"/>
              </w:rPr>
            </w:pPr>
          </w:p>
        </w:tc>
        <w:tc>
          <w:tcPr>
            <w:tcW w:w="2173" w:type="dxa"/>
            <w:vMerge/>
            <w:shd w:val="clear" w:color="auto" w:fill="auto"/>
            <w:noWrap/>
            <w:vAlign w:val="center"/>
          </w:tcPr>
          <w:p w14:paraId="3E98DADE" w14:textId="77777777" w:rsidR="004C0890" w:rsidRPr="00581B89" w:rsidRDefault="004C0890" w:rsidP="00431154">
            <w:pPr>
              <w:spacing w:after="0" w:line="240" w:lineRule="auto"/>
              <w:rPr>
                <w:rFonts w:eastAsia="Times New Roman" w:cs="Arial"/>
                <w:bCs/>
                <w:color w:val="000000"/>
                <w:sz w:val="18"/>
                <w:szCs w:val="18"/>
              </w:rPr>
            </w:pPr>
          </w:p>
        </w:tc>
        <w:tc>
          <w:tcPr>
            <w:tcW w:w="1290" w:type="dxa"/>
            <w:shd w:val="clear" w:color="auto" w:fill="auto"/>
            <w:vAlign w:val="center"/>
          </w:tcPr>
          <w:p w14:paraId="09115E94" w14:textId="77777777" w:rsidR="004C0890" w:rsidRPr="00581B89" w:rsidRDefault="004C0890" w:rsidP="00431154">
            <w:pPr>
              <w:spacing w:after="0" w:line="240" w:lineRule="auto"/>
              <w:jc w:val="right"/>
              <w:rPr>
                <w:rFonts w:eastAsia="Times New Roman" w:cs="Arial"/>
                <w:color w:val="000000"/>
                <w:sz w:val="18"/>
                <w:szCs w:val="18"/>
              </w:rPr>
            </w:pPr>
            <w:r w:rsidRPr="00581B89">
              <w:rPr>
                <w:rFonts w:eastAsia="Times New Roman" w:cs="Arial"/>
                <w:bCs/>
                <w:color w:val="000000"/>
                <w:sz w:val="18"/>
                <w:szCs w:val="18"/>
              </w:rPr>
              <w:t>HIV-negative</w:t>
            </w:r>
          </w:p>
        </w:tc>
        <w:tc>
          <w:tcPr>
            <w:tcW w:w="2756" w:type="dxa"/>
            <w:gridSpan w:val="2"/>
            <w:shd w:val="clear" w:color="auto" w:fill="auto"/>
            <w:noWrap/>
            <w:vAlign w:val="center"/>
          </w:tcPr>
          <w:p w14:paraId="7A6604C4" w14:textId="77777777" w:rsidR="004C0890" w:rsidRPr="00581B89" w:rsidRDefault="004C0890" w:rsidP="00431154">
            <w:pPr>
              <w:spacing w:after="0" w:line="240" w:lineRule="auto"/>
              <w:jc w:val="center"/>
              <w:rPr>
                <w:rFonts w:eastAsia="Times New Roman" w:cs="Arial"/>
                <w:color w:val="000000"/>
                <w:sz w:val="18"/>
                <w:szCs w:val="18"/>
              </w:rPr>
            </w:pPr>
            <w:r>
              <w:rPr>
                <w:rFonts w:eastAsia="Times New Roman" w:cs="Arial"/>
                <w:color w:val="000000"/>
                <w:sz w:val="18"/>
                <w:szCs w:val="18"/>
              </w:rPr>
              <w:t>99</w:t>
            </w:r>
          </w:p>
        </w:tc>
      </w:tr>
      <w:tr w:rsidR="00D66A95" w:rsidRPr="00581B89" w14:paraId="59D62F92" w14:textId="77777777" w:rsidTr="00431154">
        <w:trPr>
          <w:trHeight w:val="285"/>
        </w:trPr>
        <w:tc>
          <w:tcPr>
            <w:tcW w:w="2797" w:type="dxa"/>
            <w:vMerge w:val="restart"/>
            <w:shd w:val="clear" w:color="auto" w:fill="auto"/>
            <w:vAlign w:val="center"/>
          </w:tcPr>
          <w:p w14:paraId="29775C3D" w14:textId="59F51639" w:rsidR="00D66A95" w:rsidRPr="00581B89" w:rsidRDefault="00D66A95" w:rsidP="00F27AAC">
            <w:pPr>
              <w:spacing w:after="0" w:line="240" w:lineRule="auto"/>
              <w:rPr>
                <w:rFonts w:eastAsia="Times New Roman" w:cs="Arial"/>
                <w:bCs/>
                <w:color w:val="000000"/>
                <w:sz w:val="18"/>
                <w:szCs w:val="18"/>
              </w:rPr>
            </w:pPr>
            <w:r w:rsidRPr="00581B89">
              <w:rPr>
                <w:rFonts w:cs="Arial"/>
                <w:sz w:val="18"/>
                <w:szCs w:val="18"/>
              </w:rPr>
              <w:t>Accuracy of Xpert MTB/RIF</w:t>
            </w:r>
            <w:r w:rsidR="004C0890">
              <w:rPr>
                <w:rFonts w:cs="Arial"/>
                <w:sz w:val="18"/>
                <w:szCs w:val="18"/>
              </w:rPr>
              <w:t xml:space="preserve"> for TB</w:t>
            </w:r>
            <w:r w:rsidRPr="00581B89">
              <w:rPr>
                <w:rFonts w:cs="Arial"/>
                <w:sz w:val="18"/>
                <w:szCs w:val="18"/>
              </w:rPr>
              <w:fldChar w:fldCharType="begin" w:fldLock="1"/>
            </w:r>
            <w:r w:rsidR="001713C0">
              <w:rPr>
                <w:rFonts w:cs="Arial"/>
                <w:sz w:val="18"/>
                <w:szCs w:val="18"/>
              </w:rPr>
              <w:instrText>ADDIN CSL_CITATION { "citationItems" : [ { "id" : "ITEM-1", "itemData" : { "DOI" : "10.1002/14651858.CD009593.pub2", "ISSN" : "1469-493X", "PMID" : "23440842", "author" : [ { "dropping-particle" : "", "family" : "Steingart", "given" : "Karen R", "non-dropping-particle" : "", "parse-names" : false, "suffix" : "" }, { "dropping-particle" : "", "family" : "Sohn", "given" : "Hojoon", "non-dropping-particle" : "", "parse-names" : false, "suffix" : "" }, { "dropping-particle" : "", "family" : "Schiller", "given" : "Ian", "non-dropping-particle" : "", "parse-names" : false, "suffix" : "" }, { "dropping-particle" : "", "family" : "Kloda", "given" : "Lorie A", "non-dropping-particle" : "", "parse-names" : false, "suffix" : "" }, { "dropping-particle" : "", "family" : "Boehme", "given" : "Catharina C", "non-dropping-particle" : "", "parse-names" : false, "suffix" : "" }, { "dropping-particle" : "", "family" : "Pai", "given" : "Madhukar", "non-dropping-particle" : "", "parse-names" : false, "suffix" : "" }, { "dropping-particle" : "", "family" : "Dendukuri", "given" : "Nandini", "non-dropping-particle" : "", "parse-names" : false, "suffix" : "" } ], "container-title" : "The Cochrane database of systematic reviews", "id" : "ITEM-1", "issued" : { "date-parts" : [ [ "2013" ] ] }, "page" : "CD009593", "title" : "Xpert\u00ae MTB/RIF assay for pulmonary tuberculosis and rifampicin resistance in adults.", "type" : "article-journal", "volume" : "1" }, "uris" : [ "http://www.mendeley.com/documents/?uuid=5a6dc7c2-4d91-4037-b1eb-56420c7a5b5c" ] } ], "mendeley" : { "formattedCitation" : "&lt;sup&gt;17&lt;/sup&gt;", "plainTextFormattedCitation" : "17", "previouslyFormattedCitation" : "&lt;sup&gt;17&lt;/sup&gt;" }, "properties" : { "noteIndex" : 0 }, "schema" : "https://github.com/citation-style-language/schema/raw/master/csl-citation.json" }</w:instrText>
            </w:r>
            <w:r w:rsidRPr="00581B89">
              <w:rPr>
                <w:rFonts w:cs="Arial"/>
                <w:sz w:val="18"/>
                <w:szCs w:val="18"/>
              </w:rPr>
              <w:fldChar w:fldCharType="separate"/>
            </w:r>
            <w:r w:rsidR="00F27AAC" w:rsidRPr="00F27AAC">
              <w:rPr>
                <w:rFonts w:cs="Arial"/>
                <w:noProof/>
                <w:sz w:val="18"/>
                <w:szCs w:val="18"/>
                <w:vertAlign w:val="superscript"/>
              </w:rPr>
              <w:t>17</w:t>
            </w:r>
            <w:r w:rsidRPr="00581B89">
              <w:rPr>
                <w:rFonts w:cs="Arial"/>
                <w:sz w:val="18"/>
                <w:szCs w:val="18"/>
              </w:rPr>
              <w:fldChar w:fldCharType="end"/>
            </w:r>
          </w:p>
        </w:tc>
        <w:tc>
          <w:tcPr>
            <w:tcW w:w="2173" w:type="dxa"/>
            <w:vMerge w:val="restart"/>
            <w:shd w:val="clear" w:color="auto" w:fill="auto"/>
            <w:noWrap/>
            <w:vAlign w:val="center"/>
          </w:tcPr>
          <w:p w14:paraId="631A58FD" w14:textId="77777777" w:rsidR="00D66A95" w:rsidRPr="00581B89" w:rsidRDefault="00D66A95" w:rsidP="00431154">
            <w:pPr>
              <w:spacing w:after="0" w:line="240" w:lineRule="auto"/>
              <w:rPr>
                <w:rFonts w:eastAsia="Times New Roman" w:cs="Arial"/>
                <w:bCs/>
                <w:color w:val="000000"/>
                <w:sz w:val="18"/>
                <w:szCs w:val="18"/>
              </w:rPr>
            </w:pPr>
            <w:r w:rsidRPr="00581B89">
              <w:rPr>
                <w:rFonts w:cs="Arial"/>
                <w:sz w:val="18"/>
                <w:szCs w:val="18"/>
              </w:rPr>
              <w:t>Sensitivity</w:t>
            </w:r>
          </w:p>
        </w:tc>
        <w:tc>
          <w:tcPr>
            <w:tcW w:w="1290" w:type="dxa"/>
            <w:shd w:val="clear" w:color="auto" w:fill="auto"/>
            <w:vAlign w:val="center"/>
          </w:tcPr>
          <w:p w14:paraId="04D4D108" w14:textId="77777777" w:rsidR="00D66A95" w:rsidRPr="00581B89" w:rsidRDefault="00D66A95"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7363E1B1"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80</w:t>
            </w:r>
          </w:p>
        </w:tc>
      </w:tr>
      <w:tr w:rsidR="00D66A95" w:rsidRPr="00581B89" w14:paraId="515881AF" w14:textId="77777777" w:rsidTr="00431154">
        <w:trPr>
          <w:trHeight w:val="285"/>
        </w:trPr>
        <w:tc>
          <w:tcPr>
            <w:tcW w:w="2797" w:type="dxa"/>
            <w:vMerge/>
            <w:shd w:val="clear" w:color="auto" w:fill="auto"/>
            <w:vAlign w:val="center"/>
          </w:tcPr>
          <w:p w14:paraId="08EBE004" w14:textId="77777777" w:rsidR="00D66A95" w:rsidRPr="00581B89" w:rsidRDefault="00D66A95" w:rsidP="00431154">
            <w:pPr>
              <w:spacing w:after="0" w:line="240" w:lineRule="auto"/>
              <w:rPr>
                <w:rFonts w:eastAsia="Times New Roman" w:cs="Arial"/>
                <w:bCs/>
                <w:color w:val="000000"/>
                <w:sz w:val="18"/>
                <w:szCs w:val="18"/>
              </w:rPr>
            </w:pPr>
          </w:p>
        </w:tc>
        <w:tc>
          <w:tcPr>
            <w:tcW w:w="2173" w:type="dxa"/>
            <w:vMerge/>
            <w:shd w:val="clear" w:color="auto" w:fill="auto"/>
            <w:noWrap/>
            <w:vAlign w:val="center"/>
          </w:tcPr>
          <w:p w14:paraId="5BFDA31D" w14:textId="77777777" w:rsidR="00D66A95" w:rsidRPr="00581B89" w:rsidRDefault="00D66A95" w:rsidP="00431154">
            <w:pPr>
              <w:spacing w:after="0" w:line="240" w:lineRule="auto"/>
              <w:rPr>
                <w:rFonts w:eastAsia="Times New Roman" w:cs="Arial"/>
                <w:bCs/>
                <w:color w:val="000000"/>
                <w:sz w:val="18"/>
                <w:szCs w:val="18"/>
              </w:rPr>
            </w:pPr>
          </w:p>
        </w:tc>
        <w:tc>
          <w:tcPr>
            <w:tcW w:w="1290" w:type="dxa"/>
            <w:shd w:val="clear" w:color="auto" w:fill="auto"/>
            <w:vAlign w:val="center"/>
          </w:tcPr>
          <w:p w14:paraId="2C676913" w14:textId="77777777" w:rsidR="00D66A95" w:rsidRPr="00581B89" w:rsidRDefault="00D66A95" w:rsidP="00431154">
            <w:pPr>
              <w:spacing w:after="0" w:line="240" w:lineRule="auto"/>
              <w:jc w:val="right"/>
              <w:rPr>
                <w:rFonts w:eastAsia="Times New Roman" w:cs="Arial"/>
                <w:color w:val="000000"/>
                <w:sz w:val="18"/>
                <w:szCs w:val="18"/>
              </w:rPr>
            </w:pPr>
            <w:r w:rsidRPr="00581B89">
              <w:rPr>
                <w:rFonts w:eastAsia="Times New Roman" w:cs="Arial"/>
                <w:bCs/>
                <w:color w:val="000000"/>
                <w:sz w:val="18"/>
                <w:szCs w:val="18"/>
              </w:rPr>
              <w:t>HIV-negative</w:t>
            </w:r>
          </w:p>
        </w:tc>
        <w:tc>
          <w:tcPr>
            <w:tcW w:w="2756" w:type="dxa"/>
            <w:gridSpan w:val="2"/>
            <w:shd w:val="clear" w:color="auto" w:fill="auto"/>
            <w:noWrap/>
            <w:vAlign w:val="center"/>
          </w:tcPr>
          <w:p w14:paraId="1636DA11"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89</w:t>
            </w:r>
          </w:p>
        </w:tc>
      </w:tr>
      <w:tr w:rsidR="00D66A95" w:rsidRPr="00581B89" w14:paraId="4BB1BE97" w14:textId="77777777" w:rsidTr="00431154">
        <w:trPr>
          <w:trHeight w:val="285"/>
        </w:trPr>
        <w:tc>
          <w:tcPr>
            <w:tcW w:w="2797" w:type="dxa"/>
            <w:vMerge/>
            <w:shd w:val="clear" w:color="auto" w:fill="auto"/>
            <w:vAlign w:val="center"/>
          </w:tcPr>
          <w:p w14:paraId="4B7409AA" w14:textId="77777777" w:rsidR="00D66A95" w:rsidRPr="00581B89" w:rsidRDefault="00D66A95" w:rsidP="005A6682">
            <w:pPr>
              <w:spacing w:after="0" w:line="240" w:lineRule="auto"/>
              <w:rPr>
                <w:rFonts w:eastAsia="Times New Roman" w:cs="Arial"/>
                <w:bCs/>
                <w:color w:val="000000"/>
                <w:sz w:val="18"/>
                <w:szCs w:val="18"/>
              </w:rPr>
            </w:pPr>
          </w:p>
        </w:tc>
        <w:tc>
          <w:tcPr>
            <w:tcW w:w="2173" w:type="dxa"/>
            <w:vMerge w:val="restart"/>
            <w:shd w:val="clear" w:color="auto" w:fill="auto"/>
            <w:noWrap/>
            <w:vAlign w:val="center"/>
          </w:tcPr>
          <w:p w14:paraId="3DA39899" w14:textId="77777777" w:rsidR="00D66A95" w:rsidRPr="00581B89" w:rsidRDefault="00D66A95" w:rsidP="005A6682">
            <w:pPr>
              <w:spacing w:after="0" w:line="240" w:lineRule="auto"/>
              <w:rPr>
                <w:rFonts w:eastAsia="Times New Roman" w:cs="Arial"/>
                <w:bCs/>
                <w:color w:val="000000"/>
                <w:sz w:val="18"/>
                <w:szCs w:val="18"/>
              </w:rPr>
            </w:pPr>
            <w:r w:rsidRPr="00581B89">
              <w:rPr>
                <w:rFonts w:cs="Arial"/>
                <w:sz w:val="18"/>
                <w:szCs w:val="18"/>
              </w:rPr>
              <w:t>Specificity</w:t>
            </w:r>
          </w:p>
        </w:tc>
        <w:tc>
          <w:tcPr>
            <w:tcW w:w="1290" w:type="dxa"/>
            <w:shd w:val="clear" w:color="auto" w:fill="auto"/>
            <w:vAlign w:val="center"/>
          </w:tcPr>
          <w:p w14:paraId="4821F741" w14:textId="77777777" w:rsidR="00D66A95" w:rsidRPr="00581B89" w:rsidRDefault="00D66A95" w:rsidP="005A6682">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5A175200"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98</w:t>
            </w:r>
          </w:p>
        </w:tc>
      </w:tr>
      <w:tr w:rsidR="00D66A95" w:rsidRPr="00581B89" w14:paraId="2B6CA86E" w14:textId="77777777" w:rsidTr="00431154">
        <w:trPr>
          <w:trHeight w:val="285"/>
        </w:trPr>
        <w:tc>
          <w:tcPr>
            <w:tcW w:w="2797" w:type="dxa"/>
            <w:vMerge/>
            <w:shd w:val="clear" w:color="auto" w:fill="auto"/>
            <w:vAlign w:val="center"/>
          </w:tcPr>
          <w:p w14:paraId="7CE9729B" w14:textId="77777777" w:rsidR="00D66A95" w:rsidRPr="00581B89" w:rsidRDefault="00D66A95" w:rsidP="005A6682">
            <w:pPr>
              <w:spacing w:after="0" w:line="240" w:lineRule="auto"/>
              <w:rPr>
                <w:rFonts w:eastAsia="Times New Roman" w:cs="Arial"/>
                <w:bCs/>
                <w:color w:val="000000"/>
                <w:sz w:val="18"/>
                <w:szCs w:val="18"/>
              </w:rPr>
            </w:pPr>
          </w:p>
        </w:tc>
        <w:tc>
          <w:tcPr>
            <w:tcW w:w="2173" w:type="dxa"/>
            <w:vMerge/>
            <w:shd w:val="clear" w:color="auto" w:fill="auto"/>
            <w:noWrap/>
            <w:vAlign w:val="center"/>
          </w:tcPr>
          <w:p w14:paraId="22DE96A7" w14:textId="77777777" w:rsidR="00D66A95" w:rsidRPr="00581B89" w:rsidRDefault="00D66A95" w:rsidP="005A6682">
            <w:pPr>
              <w:spacing w:after="0" w:line="240" w:lineRule="auto"/>
              <w:rPr>
                <w:rFonts w:eastAsia="Times New Roman" w:cs="Arial"/>
                <w:bCs/>
                <w:color w:val="000000"/>
                <w:sz w:val="18"/>
                <w:szCs w:val="18"/>
              </w:rPr>
            </w:pPr>
          </w:p>
        </w:tc>
        <w:tc>
          <w:tcPr>
            <w:tcW w:w="1290" w:type="dxa"/>
            <w:shd w:val="clear" w:color="auto" w:fill="auto"/>
            <w:vAlign w:val="center"/>
          </w:tcPr>
          <w:p w14:paraId="50463F56" w14:textId="77777777" w:rsidR="00D66A95" w:rsidRPr="00581B89" w:rsidRDefault="00D66A95" w:rsidP="005A6682">
            <w:pPr>
              <w:spacing w:after="0" w:line="240" w:lineRule="auto"/>
              <w:jc w:val="right"/>
              <w:rPr>
                <w:rFonts w:eastAsia="Times New Roman" w:cs="Arial"/>
                <w:color w:val="000000"/>
                <w:sz w:val="18"/>
                <w:szCs w:val="18"/>
              </w:rPr>
            </w:pPr>
            <w:r w:rsidRPr="00581B89">
              <w:rPr>
                <w:rFonts w:eastAsia="Times New Roman" w:cs="Arial"/>
                <w:bCs/>
                <w:color w:val="000000"/>
                <w:sz w:val="18"/>
                <w:szCs w:val="18"/>
              </w:rPr>
              <w:t>HIV-negative</w:t>
            </w:r>
          </w:p>
        </w:tc>
        <w:tc>
          <w:tcPr>
            <w:tcW w:w="2756" w:type="dxa"/>
            <w:gridSpan w:val="2"/>
            <w:shd w:val="clear" w:color="auto" w:fill="auto"/>
            <w:noWrap/>
            <w:vAlign w:val="center"/>
          </w:tcPr>
          <w:p w14:paraId="31F8A8B3" w14:textId="77777777" w:rsidR="00D66A95" w:rsidRPr="00581B89" w:rsidRDefault="004C0890" w:rsidP="005A6682">
            <w:pPr>
              <w:spacing w:after="0" w:line="240" w:lineRule="auto"/>
              <w:jc w:val="center"/>
              <w:rPr>
                <w:rFonts w:eastAsia="Times New Roman" w:cs="Arial"/>
                <w:color w:val="000000"/>
                <w:sz w:val="18"/>
                <w:szCs w:val="18"/>
              </w:rPr>
            </w:pPr>
            <w:r>
              <w:rPr>
                <w:rFonts w:eastAsia="Times New Roman" w:cs="Arial"/>
                <w:color w:val="000000"/>
                <w:sz w:val="18"/>
                <w:szCs w:val="18"/>
              </w:rPr>
              <w:t>98</w:t>
            </w:r>
          </w:p>
        </w:tc>
      </w:tr>
      <w:tr w:rsidR="004C0890" w:rsidRPr="00581B89" w14:paraId="7900BE7A" w14:textId="77777777" w:rsidTr="004C0890">
        <w:trPr>
          <w:trHeight w:val="409"/>
        </w:trPr>
        <w:tc>
          <w:tcPr>
            <w:tcW w:w="2797" w:type="dxa"/>
            <w:vMerge w:val="restart"/>
            <w:shd w:val="clear" w:color="auto" w:fill="auto"/>
            <w:vAlign w:val="center"/>
          </w:tcPr>
          <w:p w14:paraId="02864FCB" w14:textId="329175FF" w:rsidR="004C0890" w:rsidRPr="00581B89" w:rsidRDefault="004C0890" w:rsidP="00431154">
            <w:pPr>
              <w:spacing w:after="0" w:line="240" w:lineRule="auto"/>
              <w:rPr>
                <w:rFonts w:eastAsia="Times New Roman" w:cs="Arial"/>
                <w:bCs/>
                <w:color w:val="000000"/>
                <w:sz w:val="18"/>
                <w:szCs w:val="18"/>
              </w:rPr>
            </w:pPr>
            <w:r w:rsidRPr="00581B89">
              <w:rPr>
                <w:rFonts w:cs="Arial"/>
                <w:sz w:val="18"/>
                <w:szCs w:val="18"/>
              </w:rPr>
              <w:t xml:space="preserve">Accuracy of </w:t>
            </w:r>
            <w:r w:rsidRPr="00D66A95">
              <w:rPr>
                <w:rFonts w:cs="Arial"/>
                <w:sz w:val="18"/>
                <w:szCs w:val="18"/>
              </w:rPr>
              <w:t>GenoType® MTBDRplus LPA</w:t>
            </w:r>
            <w:r>
              <w:rPr>
                <w:rFonts w:cs="Arial"/>
                <w:sz w:val="18"/>
                <w:szCs w:val="18"/>
              </w:rPr>
              <w:t xml:space="preserve"> for </w:t>
            </w:r>
            <w:r w:rsidR="00394C3A" w:rsidRPr="00394C3A">
              <w:rPr>
                <w:rFonts w:cs="Arial"/>
                <w:sz w:val="18"/>
                <w:szCs w:val="18"/>
              </w:rPr>
              <w:t>RMP-R</w:t>
            </w:r>
            <w:r w:rsidR="00394C3A">
              <w:rPr>
                <w:rFonts w:cs="Arial"/>
                <w:sz w:val="18"/>
                <w:szCs w:val="18"/>
              </w:rPr>
              <w:t xml:space="preserve"> </w:t>
            </w:r>
            <w:r w:rsidR="003D2083">
              <w:rPr>
                <w:rFonts w:cs="Arial"/>
                <w:sz w:val="18"/>
                <w:szCs w:val="18"/>
              </w:rPr>
              <w:t>TB</w:t>
            </w:r>
            <w:r w:rsidRPr="00581B89">
              <w:rPr>
                <w:rFonts w:cs="Arial"/>
                <w:sz w:val="18"/>
                <w:szCs w:val="18"/>
              </w:rPr>
              <w:fldChar w:fldCharType="begin" w:fldLock="1"/>
            </w:r>
            <w:r w:rsidR="001713C0">
              <w:rPr>
                <w:rFonts w:cs="Arial"/>
                <w:sz w:val="18"/>
                <w:szCs w:val="18"/>
              </w:rPr>
              <w:instrText>ADDIN CSL_CITATION { "citationItems" : [ { "id" : "ITEM-1", "itemData" : { "ISSN" : "1027-3719", "PMID" : "17439669", "abstract" : "Current international tuberculosis (TB) guidelines recommend the microscopic examination of three sputum specimens for acid-fast bacilli in the evaluation of persons suspected of having pulmonary TB. We conducted a systematic review of studies that quantified the diagnostic yield of each of three sputum specimens. By searching multiple databases and sources, we identified a total of 37 eligible studies. The incremental yield in smear-positive results (in studies using all smear-positive cases as the denominator) and the increase in sensitivity (in studies that used all culture-positive cases as the denominator) of the third specimen were the main outcomes of interest. Although heterogeneity in study methods and results presented challenges for data synthesis, subgroup analyses suggest that the average incremental yield and/or the increase in sensitivity of examining a third specimen ranged between 2% and 5%. Reducing the recommended number of specimens examined from three to two (particularly to two specimens collected on the same day) could benefit TB control programs, and potentially increase case detection for several reasons. A number of operational research issues need to be addressed. Studies examining the most effective and efficient means to utilize current technologies for microscopic examination of sputum would be most useful if they followed an internationally coordinated and standardized approach, both to strengthen the country-specific evidence base and to permit comparison among studies.", "author" : [ { "dropping-particle" : "", "family" : "Mase", "given" : "S R", "non-dropping-particle" : "", "parse-names" : false, "suffix" : "" }, { "dropping-particle" : "", "family" : "Ramsay", "given" : "A", "non-dropping-particle" : "", "parse-names" : false, "suffix" : "" }, { "dropping-particle" : "", "family" : "Ng", "given" : "V", "non-dropping-particle" : "", "parse-names" : false, "suffix" : "" }, { "dropping-particle" : "", "family" : "Henry", "given" : "M", "non-dropping-particle" : "", "parse-names" : false, "suffix" : "" }, { "dropping-particle" : "", "family" : "Hopewell", "given" : "P C", "non-dropping-particle" : "", "parse-names" : false, "suffix" : "" }, { "dropping-particle" : "", "family" : "Cunningham", "given" : "J", "non-dropping-particle" : "", "parse-names" : false, "suffix" : "" }, { "dropping-particle" : "", "family" : "Urbanczik", "given" : "R", "non-dropping-particle" : "", "parse-names" : false, "suffix" : "" }, { "dropping-particle" : "", "family" : "Perkins", "given" : "M D", "non-dropping-particle" : "", "parse-names" : false, "suffix" : "" }, { "dropping-particle" : "", "family" : "Aziz", "given" : "M A", "non-dropping-particle" : "", "parse-names" : false, "suffix" : "" }, { "dropping-particle" : "", "family" : "Pai", "given" : "M", "non-dropping-particle" : "", "parse-names" : false, "suffix" : "" } ], "container-title" : "The international journal of tuberculosis and lung disease : the official journal of the International Union against Tuberculosis and Lung Disease", "id" : "ITEM-1", "issue" : "5", "issued" : { "date-parts" : [ [ "2007" ] ] }, "page" : "485-95", "title" : "Yield of serial sputum specimen examinations in the diagnosis of pulmonary tuberculosis: a systematic review.", "type" : "article-journal", "volume" : "11" }, "uris" : [ "http://www.mendeley.com/documents/?uuid=43308d6c-e642-3ab3-9663-2bd7a9de8a03" ] }, { "id" : "ITEM-2", "itemData" : { "DOI" : "10.1016/S1473-3099(06)70578-3", "ISSN" : "1473-3099", "PMID" : "16931408", "abstract" : "Most of the world's tuberculosis cases occur in low-income and middle-income countries, where sputum microscopy with a conventional light microscope is the primary method for diagnosing pulmonary tuberculosis. A major shortcoming of conventional microscopy is its relatively low sensitivity compared with culture, especially in patients co-infected with HIV. In high-income countries, fluorescence microscopy rather than conventional microscopy is the standard diagnostic method. Fluorescence microscopy is credited with increased sensitivity and lower work effort, but there is concern that specificity may be lower. We did a systematic review to summarise the accuracy of fluorescence microscopy compared with conventional microscopy. By searching many databases and contacting experts, we identified 45 relevant studies. Sensitivity, specificity, and incremental yield were the outcomes of interest. The results suggest that, overall, fluorescence microscopy is more sensitive than conventional microscopy, and has similar specificity. There is insufficient evidence to determine the value of fluorescence microscopy in HIV-infected individuals. The results of this review provide a point of reference, quantifying the potential benefit of fluorescence microscopy, with which the increased cost and technical complexity of the method can be compared to determine the possible value of the method under programme conditions.", "author" : [ { "dropping-particle" : "", "family" : "Steingart", "given" : "Karen R", "non-dropping-particle" : "", "parse-names" : false, "suffix" : "" }, { "dropping-particle" : "", "family" : "Henry", "given" : "Megan", "non-dropping-particle" : "", "parse-names" : false, "suffix" : "" }, { "dropping-particle" : "", "family" : "Ng", "given" : "Vivienne", "non-dropping-particle" : "", "parse-names" : false, "suffix" : "" }, { "dropping-particle" : "", "family" : "Hopewell", "given" : "Philip C", "non-dropping-particle" : "", "parse-names" : false, "suffix" : "" }, { "dropping-particle" : "", "family" : "Ramsay", "given" : "Andrew", "non-dropping-particle" : "", "parse-names" : false, "suffix" : "" }, { "dropping-particle" : "", "family" : "Cunningham", "given" : "Jane", "non-dropping-particle" : "", "parse-names" : false, "suffix" : "" }, { "dropping-particle" : "", "family" : "Urbanczik", "given" : "Richard", "non-dropping-particle" : "", "parse-names" : false, "suffix" : "" }, { "dropping-particle" : "", "family" : "Perkins", "given" : "Mark", "non-dropping-particle" : "", "parse-names" : false, "suffix" : "" }, { "dropping-particle" : "", "family" : "Aziz", "given" : "Mohamed Abdel", "non-dropping-particle" : "", "parse-names" : false, "suffix" : "" }, { "dropping-particle" : "", "family" : "Pai", "given" : "Madhukar", "non-dropping-particle" : "", "parse-names" : false, "suffix" : "" } ], "container-title" : "The Lancet. Infectious diseases", "id" : "ITEM-2", "issue" : "9", "issued" : { "date-parts" : [ [ "2006" ] ] }, "page" : "570-81", "title" : "Fluorescence versus conventional sputum smear microscopy for tuberculosis: a systematic review.", "type" : "article-journal", "volume" : "6" }, "uris" : [ "http://www.mendeley.com/documents/?uuid=ca21c0ca-1c0e-432e-91f6-29742c172257" ] } ], "mendeley" : { "formattedCitation" : "&lt;sup&gt;15,16&lt;/sup&gt;", "plainTextFormattedCitation" : "15,16", "previouslyFormattedCitation" : "&lt;sup&gt;15,16&lt;/sup&gt;" }, "properties" : { "noteIndex" : 0 }, "schema" : "https://github.com/citation-style-language/schema/raw/master/csl-citation.json" }</w:instrText>
            </w:r>
            <w:r w:rsidRPr="00581B89">
              <w:rPr>
                <w:rFonts w:cs="Arial"/>
                <w:sz w:val="18"/>
                <w:szCs w:val="18"/>
              </w:rPr>
              <w:fldChar w:fldCharType="separate"/>
            </w:r>
            <w:r w:rsidR="00F27AAC" w:rsidRPr="00F27AAC">
              <w:rPr>
                <w:rFonts w:cs="Arial"/>
                <w:noProof/>
                <w:sz w:val="18"/>
                <w:szCs w:val="18"/>
                <w:vertAlign w:val="superscript"/>
              </w:rPr>
              <w:t>15,16</w:t>
            </w:r>
            <w:r w:rsidRPr="00581B89">
              <w:rPr>
                <w:rFonts w:cs="Arial"/>
                <w:sz w:val="18"/>
                <w:szCs w:val="18"/>
              </w:rPr>
              <w:fldChar w:fldCharType="end"/>
            </w:r>
          </w:p>
          <w:p w14:paraId="75AFCB53" w14:textId="77777777" w:rsidR="004C0890" w:rsidRPr="00581B89" w:rsidRDefault="004C0890" w:rsidP="00431154">
            <w:pPr>
              <w:spacing w:after="0" w:line="240" w:lineRule="auto"/>
              <w:rPr>
                <w:rFonts w:eastAsia="Times New Roman" w:cs="Arial"/>
                <w:bCs/>
                <w:color w:val="000000"/>
                <w:sz w:val="18"/>
                <w:szCs w:val="18"/>
              </w:rPr>
            </w:pPr>
          </w:p>
        </w:tc>
        <w:tc>
          <w:tcPr>
            <w:tcW w:w="2173" w:type="dxa"/>
            <w:shd w:val="clear" w:color="auto" w:fill="auto"/>
            <w:noWrap/>
            <w:vAlign w:val="center"/>
          </w:tcPr>
          <w:p w14:paraId="74183247" w14:textId="77777777" w:rsidR="004C0890" w:rsidRPr="00581B89" w:rsidRDefault="004C0890" w:rsidP="00431154">
            <w:pPr>
              <w:spacing w:after="0" w:line="240" w:lineRule="auto"/>
              <w:rPr>
                <w:rFonts w:eastAsia="Times New Roman" w:cs="Arial"/>
                <w:bCs/>
                <w:color w:val="000000"/>
                <w:sz w:val="18"/>
                <w:szCs w:val="18"/>
              </w:rPr>
            </w:pPr>
            <w:r w:rsidRPr="00581B89">
              <w:rPr>
                <w:rFonts w:cs="Arial"/>
                <w:sz w:val="18"/>
                <w:szCs w:val="18"/>
              </w:rPr>
              <w:t>Sensitivity</w:t>
            </w:r>
          </w:p>
        </w:tc>
        <w:tc>
          <w:tcPr>
            <w:tcW w:w="1290" w:type="dxa"/>
            <w:shd w:val="clear" w:color="auto" w:fill="auto"/>
            <w:vAlign w:val="center"/>
          </w:tcPr>
          <w:p w14:paraId="5F4DB9C3" w14:textId="77777777" w:rsidR="004C0890" w:rsidRPr="00581B89" w:rsidRDefault="004C0890"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43DC644D" w14:textId="77777777" w:rsidR="004C0890" w:rsidRPr="00581B89" w:rsidRDefault="003D2083" w:rsidP="00431154">
            <w:pPr>
              <w:spacing w:after="0" w:line="240" w:lineRule="auto"/>
              <w:jc w:val="center"/>
              <w:rPr>
                <w:rFonts w:eastAsia="Times New Roman" w:cs="Arial"/>
                <w:color w:val="000000"/>
                <w:sz w:val="18"/>
                <w:szCs w:val="18"/>
              </w:rPr>
            </w:pPr>
            <w:r>
              <w:rPr>
                <w:rFonts w:eastAsia="Times New Roman" w:cs="Arial"/>
                <w:color w:val="000000"/>
                <w:sz w:val="18"/>
                <w:szCs w:val="18"/>
              </w:rPr>
              <w:t>98</w:t>
            </w:r>
          </w:p>
        </w:tc>
      </w:tr>
      <w:tr w:rsidR="004C0890" w:rsidRPr="00581B89" w14:paraId="583C7371" w14:textId="77777777" w:rsidTr="004C0890">
        <w:trPr>
          <w:trHeight w:val="409"/>
        </w:trPr>
        <w:tc>
          <w:tcPr>
            <w:tcW w:w="2797" w:type="dxa"/>
            <w:vMerge/>
            <w:shd w:val="clear" w:color="auto" w:fill="auto"/>
            <w:vAlign w:val="center"/>
          </w:tcPr>
          <w:p w14:paraId="2C984CBA" w14:textId="77777777" w:rsidR="004C0890" w:rsidRPr="00581B89" w:rsidRDefault="004C0890" w:rsidP="00431154">
            <w:pPr>
              <w:spacing w:after="0" w:line="240" w:lineRule="auto"/>
              <w:rPr>
                <w:rFonts w:eastAsia="Times New Roman" w:cs="Arial"/>
                <w:bCs/>
                <w:color w:val="000000"/>
                <w:sz w:val="18"/>
                <w:szCs w:val="18"/>
              </w:rPr>
            </w:pPr>
          </w:p>
        </w:tc>
        <w:tc>
          <w:tcPr>
            <w:tcW w:w="2173" w:type="dxa"/>
            <w:shd w:val="clear" w:color="auto" w:fill="auto"/>
            <w:noWrap/>
            <w:vAlign w:val="center"/>
          </w:tcPr>
          <w:p w14:paraId="69C43F87" w14:textId="77777777" w:rsidR="004C0890" w:rsidRPr="00581B89" w:rsidRDefault="004C0890" w:rsidP="00431154">
            <w:pPr>
              <w:spacing w:after="0" w:line="240" w:lineRule="auto"/>
              <w:rPr>
                <w:rFonts w:eastAsia="Times New Roman" w:cs="Arial"/>
                <w:bCs/>
                <w:color w:val="000000"/>
                <w:sz w:val="18"/>
                <w:szCs w:val="18"/>
              </w:rPr>
            </w:pPr>
            <w:r w:rsidRPr="00581B89">
              <w:rPr>
                <w:rFonts w:cs="Arial"/>
                <w:sz w:val="18"/>
                <w:szCs w:val="18"/>
              </w:rPr>
              <w:t>Specificity</w:t>
            </w:r>
          </w:p>
        </w:tc>
        <w:tc>
          <w:tcPr>
            <w:tcW w:w="1290" w:type="dxa"/>
            <w:shd w:val="clear" w:color="auto" w:fill="auto"/>
            <w:vAlign w:val="center"/>
          </w:tcPr>
          <w:p w14:paraId="28C61495" w14:textId="77777777" w:rsidR="004C0890" w:rsidRPr="00581B89" w:rsidRDefault="004C0890"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5210593E" w14:textId="77777777" w:rsidR="004C0890" w:rsidRPr="00581B89" w:rsidRDefault="003D2083" w:rsidP="00431154">
            <w:pPr>
              <w:spacing w:after="0" w:line="240" w:lineRule="auto"/>
              <w:jc w:val="center"/>
              <w:rPr>
                <w:rFonts w:eastAsia="Times New Roman" w:cs="Arial"/>
                <w:color w:val="000000"/>
                <w:sz w:val="18"/>
                <w:szCs w:val="18"/>
              </w:rPr>
            </w:pPr>
            <w:r>
              <w:rPr>
                <w:rFonts w:eastAsia="Times New Roman" w:cs="Arial"/>
                <w:color w:val="000000"/>
                <w:sz w:val="18"/>
                <w:szCs w:val="18"/>
              </w:rPr>
              <w:t>98</w:t>
            </w:r>
          </w:p>
        </w:tc>
      </w:tr>
      <w:tr w:rsidR="003D2083" w:rsidRPr="00581B89" w14:paraId="1A402621" w14:textId="77777777" w:rsidTr="00431154">
        <w:trPr>
          <w:trHeight w:val="409"/>
        </w:trPr>
        <w:tc>
          <w:tcPr>
            <w:tcW w:w="2797" w:type="dxa"/>
            <w:vMerge w:val="restart"/>
            <w:shd w:val="clear" w:color="auto" w:fill="auto"/>
            <w:vAlign w:val="center"/>
          </w:tcPr>
          <w:p w14:paraId="2225A0AD" w14:textId="160BC551" w:rsidR="003D2083" w:rsidRPr="00581B89" w:rsidRDefault="003D2083" w:rsidP="00431154">
            <w:pPr>
              <w:spacing w:after="0" w:line="240" w:lineRule="auto"/>
              <w:rPr>
                <w:rFonts w:eastAsia="Times New Roman" w:cs="Arial"/>
                <w:bCs/>
                <w:color w:val="000000"/>
                <w:sz w:val="18"/>
                <w:szCs w:val="18"/>
              </w:rPr>
            </w:pPr>
            <w:r w:rsidRPr="00581B89">
              <w:rPr>
                <w:rFonts w:cs="Arial"/>
                <w:sz w:val="18"/>
                <w:szCs w:val="18"/>
              </w:rPr>
              <w:t>Accuracy of Xpert MTB/RIF</w:t>
            </w:r>
            <w:r>
              <w:rPr>
                <w:rFonts w:cs="Arial"/>
                <w:sz w:val="18"/>
                <w:szCs w:val="18"/>
              </w:rPr>
              <w:t xml:space="preserve"> for </w:t>
            </w:r>
            <w:r w:rsidR="00394C3A" w:rsidRPr="00394C3A">
              <w:rPr>
                <w:rFonts w:cs="Arial"/>
                <w:sz w:val="18"/>
                <w:szCs w:val="18"/>
              </w:rPr>
              <w:t xml:space="preserve">RMP-R </w:t>
            </w:r>
            <w:r>
              <w:rPr>
                <w:rFonts w:cs="Arial"/>
                <w:sz w:val="18"/>
                <w:szCs w:val="18"/>
              </w:rPr>
              <w:t>TB</w:t>
            </w:r>
            <w:r w:rsidRPr="00581B89">
              <w:rPr>
                <w:rFonts w:cs="Arial"/>
                <w:sz w:val="18"/>
                <w:szCs w:val="18"/>
              </w:rPr>
              <w:fldChar w:fldCharType="begin" w:fldLock="1"/>
            </w:r>
            <w:r w:rsidR="001713C0">
              <w:rPr>
                <w:rFonts w:cs="Arial"/>
                <w:sz w:val="18"/>
                <w:szCs w:val="18"/>
              </w:rPr>
              <w:instrText>ADDIN CSL_CITATION { "citationItems" : [ { "id" : "ITEM-1", "itemData" : { "ISSN" : "1027-3719", "PMID" : "17439669", "abstract" : "Current international tuberculosis (TB) guidelines recommend the microscopic examination of three sputum specimens for acid-fast bacilli in the evaluation of persons suspected of having pulmonary TB. We conducted a systematic review of studies that quantified the diagnostic yield of each of three sputum specimens. By searching multiple databases and sources, we identified a total of 37 eligible studies. The incremental yield in smear-positive results (in studies using all smear-positive cases as the denominator) and the increase in sensitivity (in studies that used all culture-positive cases as the denominator) of the third specimen were the main outcomes of interest. Although heterogeneity in study methods and results presented challenges for data synthesis, subgroup analyses suggest that the average incremental yield and/or the increase in sensitivity of examining a third specimen ranged between 2% and 5%. Reducing the recommended number of specimens examined from three to two (particularly to two specimens collected on the same day) could benefit TB control programs, and potentially increase case detection for several reasons. A number of operational research issues need to be addressed. Studies examining the most effective and efficient means to utilize current technologies for microscopic examination of sputum would be most useful if they followed an internationally coordinated and standardized approach, both to strengthen the country-specific evidence base and to permit comparison among studies.", "author" : [ { "dropping-particle" : "", "family" : "Mase", "given" : "S R", "non-dropping-particle" : "", "parse-names" : false, "suffix" : "" }, { "dropping-particle" : "", "family" : "Ramsay", "given" : "A", "non-dropping-particle" : "", "parse-names" : false, "suffix" : "" }, { "dropping-particle" : "", "family" : "Ng", "given" : "V", "non-dropping-particle" : "", "parse-names" : false, "suffix" : "" }, { "dropping-particle" : "", "family" : "Henry", "given" : "M", "non-dropping-particle" : "", "parse-names" : false, "suffix" : "" }, { "dropping-particle" : "", "family" : "Hopewell", "given" : "P C", "non-dropping-particle" : "", "parse-names" : false, "suffix" : "" }, { "dropping-particle" : "", "family" : "Cunningham", "given" : "J", "non-dropping-particle" : "", "parse-names" : false, "suffix" : "" }, { "dropping-particle" : "", "family" : "Urbanczik", "given" : "R", "non-dropping-particle" : "", "parse-names" : false, "suffix" : "" }, { "dropping-particle" : "", "family" : "Perkins", "given" : "M D", "non-dropping-particle" : "", "parse-names" : false, "suffix" : "" }, { "dropping-particle" : "", "family" : "Aziz", "given" : "M A", "non-dropping-particle" : "", "parse-names" : false, "suffix" : "" }, { "dropping-particle" : "", "family" : "Pai", "given" : "M", "non-dropping-particle" : "", "parse-names" : false, "suffix" : "" } ], "container-title" : "The international journal of tuberculosis and lung disease : the official journal of the International Union against Tuberculosis and Lung Disease", "id" : "ITEM-1", "issue" : "5", "issued" : { "date-parts" : [ [ "2007" ] ] }, "page" : "485-95", "title" : "Yield of serial sputum specimen examinations in the diagnosis of pulmonary tuberculosis: a systematic review.", "type" : "article-journal", "volume" : "11" }, "uris" : [ "http://www.mendeley.com/documents/?uuid=43308d6c-e642-3ab3-9663-2bd7a9de8a03" ] }, { "id" : "ITEM-2", "itemData" : { "DOI" : "10.1016/S1473-3099(06)70578-3", "ISSN" : "1473-3099", "PMID" : "16931408", "abstract" : "Most of the world's tuberculosis cases occur in low-income and middle-income countries, where sputum microscopy with a conventional light microscope is the primary method for diagnosing pulmonary tuberculosis. A major shortcoming of conventional microscopy is its relatively low sensitivity compared with culture, especially in patients co-infected with HIV. In high-income countries, fluorescence microscopy rather than conventional microscopy is the standard diagnostic method. Fluorescence microscopy is credited with increased sensitivity and lower work effort, but there is concern that specificity may be lower. We did a systematic review to summarise the accuracy of fluorescence microscopy compared with conventional microscopy. By searching many databases and contacting experts, we identified 45 relevant studies. Sensitivity, specificity, and incremental yield were the outcomes of interest. The results suggest that, overall, fluorescence microscopy is more sensitive than conventional microscopy, and has similar specificity. There is insufficient evidence to determine the value of fluorescence microscopy in HIV-infected individuals. The results of this review provide a point of reference, quantifying the potential benefit of fluorescence microscopy, with which the increased cost and technical complexity of the method can be compared to determine the possible value of the method under programme conditions.", "author" : [ { "dropping-particle" : "", "family" : "Steingart", "given" : "Karen R", "non-dropping-particle" : "", "parse-names" : false, "suffix" : "" }, { "dropping-particle" : "", "family" : "Henry", "given" : "Megan", "non-dropping-particle" : "", "parse-names" : false, "suffix" : "" }, { "dropping-particle" : "", "family" : "Ng", "given" : "Vivienne", "non-dropping-particle" : "", "parse-names" : false, "suffix" : "" }, { "dropping-particle" : "", "family" : "Hopewell", "given" : "Philip C", "non-dropping-particle" : "", "parse-names" : false, "suffix" : "" }, { "dropping-particle" : "", "family" : "Ramsay", "given" : "Andrew", "non-dropping-particle" : "", "parse-names" : false, "suffix" : "" }, { "dropping-particle" : "", "family" : "Cunningham", "given" : "Jane", "non-dropping-particle" : "", "parse-names" : false, "suffix" : "" }, { "dropping-particle" : "", "family" : "Urbanczik", "given" : "Richard", "non-dropping-particle" : "", "parse-names" : false, "suffix" : "" }, { "dropping-particle" : "", "family" : "Perkins", "given" : "Mark", "non-dropping-particle" : "", "parse-names" : false, "suffix" : "" }, { "dropping-particle" : "", "family" : "Aziz", "given" : "Mohamed Abdel", "non-dropping-particle" : "", "parse-names" : false, "suffix" : "" }, { "dropping-particle" : "", "family" : "Pai", "given" : "Madhukar", "non-dropping-particle" : "", "parse-names" : false, "suffix" : "" } ], "container-title" : "The Lancet. Infectious diseases", "id" : "ITEM-2", "issue" : "9", "issued" : { "date-parts" : [ [ "2006" ] ] }, "page" : "570-81", "title" : "Fluorescence versus conventional sputum smear microscopy for tuberculosis: a systematic review.", "type" : "article-journal", "volume" : "6" }, "uris" : [ "http://www.mendeley.com/documents/?uuid=ca21c0ca-1c0e-432e-91f6-29742c172257" ] } ], "mendeley" : { "formattedCitation" : "&lt;sup&gt;15,16&lt;/sup&gt;", "plainTextFormattedCitation" : "15,16", "previouslyFormattedCitation" : "&lt;sup&gt;15,16&lt;/sup&gt;" }, "properties" : { "noteIndex" : 0 }, "schema" : "https://github.com/citation-style-language/schema/raw/master/csl-citation.json" }</w:instrText>
            </w:r>
            <w:r w:rsidRPr="00581B89">
              <w:rPr>
                <w:rFonts w:cs="Arial"/>
                <w:sz w:val="18"/>
                <w:szCs w:val="18"/>
              </w:rPr>
              <w:fldChar w:fldCharType="separate"/>
            </w:r>
            <w:r w:rsidR="00F27AAC" w:rsidRPr="00F27AAC">
              <w:rPr>
                <w:rFonts w:cs="Arial"/>
                <w:noProof/>
                <w:sz w:val="18"/>
                <w:szCs w:val="18"/>
                <w:vertAlign w:val="superscript"/>
              </w:rPr>
              <w:t>15,16</w:t>
            </w:r>
            <w:r w:rsidRPr="00581B89">
              <w:rPr>
                <w:rFonts w:cs="Arial"/>
                <w:sz w:val="18"/>
                <w:szCs w:val="18"/>
              </w:rPr>
              <w:fldChar w:fldCharType="end"/>
            </w:r>
          </w:p>
          <w:p w14:paraId="1891D289" w14:textId="77777777" w:rsidR="003D2083" w:rsidRPr="00581B89" w:rsidRDefault="003D2083" w:rsidP="00431154">
            <w:pPr>
              <w:spacing w:after="0" w:line="240" w:lineRule="auto"/>
              <w:rPr>
                <w:rFonts w:eastAsia="Times New Roman" w:cs="Arial"/>
                <w:bCs/>
                <w:color w:val="000000"/>
                <w:sz w:val="18"/>
                <w:szCs w:val="18"/>
              </w:rPr>
            </w:pPr>
          </w:p>
        </w:tc>
        <w:tc>
          <w:tcPr>
            <w:tcW w:w="2173" w:type="dxa"/>
            <w:shd w:val="clear" w:color="auto" w:fill="auto"/>
            <w:noWrap/>
            <w:vAlign w:val="center"/>
          </w:tcPr>
          <w:p w14:paraId="2D468266" w14:textId="77777777" w:rsidR="003D2083" w:rsidRPr="00581B89" w:rsidRDefault="003D2083" w:rsidP="00431154">
            <w:pPr>
              <w:spacing w:after="0" w:line="240" w:lineRule="auto"/>
              <w:rPr>
                <w:rFonts w:eastAsia="Times New Roman" w:cs="Arial"/>
                <w:bCs/>
                <w:color w:val="000000"/>
                <w:sz w:val="18"/>
                <w:szCs w:val="18"/>
              </w:rPr>
            </w:pPr>
            <w:r w:rsidRPr="00581B89">
              <w:rPr>
                <w:rFonts w:cs="Arial"/>
                <w:sz w:val="18"/>
                <w:szCs w:val="18"/>
              </w:rPr>
              <w:t>Sensitivity</w:t>
            </w:r>
          </w:p>
        </w:tc>
        <w:tc>
          <w:tcPr>
            <w:tcW w:w="1290" w:type="dxa"/>
            <w:shd w:val="clear" w:color="auto" w:fill="auto"/>
            <w:vAlign w:val="center"/>
          </w:tcPr>
          <w:p w14:paraId="0505587A" w14:textId="77777777" w:rsidR="003D2083" w:rsidRPr="00581B89" w:rsidRDefault="003D2083"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391FF67F" w14:textId="77777777" w:rsidR="003D2083" w:rsidRPr="00581B89" w:rsidRDefault="008A55C3" w:rsidP="00431154">
            <w:pPr>
              <w:spacing w:after="0" w:line="240" w:lineRule="auto"/>
              <w:jc w:val="center"/>
              <w:rPr>
                <w:rFonts w:eastAsia="Times New Roman" w:cs="Arial"/>
                <w:color w:val="000000"/>
                <w:sz w:val="18"/>
                <w:szCs w:val="18"/>
              </w:rPr>
            </w:pPr>
            <w:r>
              <w:rPr>
                <w:rFonts w:eastAsia="Times New Roman" w:cs="Arial"/>
                <w:color w:val="000000"/>
                <w:sz w:val="18"/>
                <w:szCs w:val="18"/>
              </w:rPr>
              <w:t>94</w:t>
            </w:r>
          </w:p>
        </w:tc>
      </w:tr>
      <w:tr w:rsidR="003D2083" w:rsidRPr="00581B89" w14:paraId="3DEE9CBA" w14:textId="77777777" w:rsidTr="00431154">
        <w:trPr>
          <w:trHeight w:val="409"/>
        </w:trPr>
        <w:tc>
          <w:tcPr>
            <w:tcW w:w="2797" w:type="dxa"/>
            <w:vMerge/>
            <w:shd w:val="clear" w:color="auto" w:fill="auto"/>
            <w:vAlign w:val="center"/>
          </w:tcPr>
          <w:p w14:paraId="2A03781C" w14:textId="77777777" w:rsidR="003D2083" w:rsidRPr="00581B89" w:rsidRDefault="003D2083" w:rsidP="00431154">
            <w:pPr>
              <w:spacing w:after="0" w:line="240" w:lineRule="auto"/>
              <w:rPr>
                <w:rFonts w:eastAsia="Times New Roman" w:cs="Arial"/>
                <w:bCs/>
                <w:color w:val="000000"/>
                <w:sz w:val="18"/>
                <w:szCs w:val="18"/>
              </w:rPr>
            </w:pPr>
          </w:p>
        </w:tc>
        <w:tc>
          <w:tcPr>
            <w:tcW w:w="2173" w:type="dxa"/>
            <w:shd w:val="clear" w:color="auto" w:fill="auto"/>
            <w:noWrap/>
            <w:vAlign w:val="center"/>
          </w:tcPr>
          <w:p w14:paraId="6223A5E2" w14:textId="77777777" w:rsidR="003D2083" w:rsidRPr="00581B89" w:rsidRDefault="003D2083" w:rsidP="00431154">
            <w:pPr>
              <w:spacing w:after="0" w:line="240" w:lineRule="auto"/>
              <w:rPr>
                <w:rFonts w:eastAsia="Times New Roman" w:cs="Arial"/>
                <w:bCs/>
                <w:color w:val="000000"/>
                <w:sz w:val="18"/>
                <w:szCs w:val="18"/>
              </w:rPr>
            </w:pPr>
            <w:r w:rsidRPr="00581B89">
              <w:rPr>
                <w:rFonts w:cs="Arial"/>
                <w:sz w:val="18"/>
                <w:szCs w:val="18"/>
              </w:rPr>
              <w:t>Specificity</w:t>
            </w:r>
          </w:p>
        </w:tc>
        <w:tc>
          <w:tcPr>
            <w:tcW w:w="1290" w:type="dxa"/>
            <w:shd w:val="clear" w:color="auto" w:fill="auto"/>
            <w:vAlign w:val="center"/>
          </w:tcPr>
          <w:p w14:paraId="0C9FB588" w14:textId="77777777" w:rsidR="003D2083" w:rsidRPr="00581B89" w:rsidRDefault="003D2083" w:rsidP="00431154">
            <w:pPr>
              <w:spacing w:after="0" w:line="240" w:lineRule="auto"/>
              <w:jc w:val="right"/>
              <w:rPr>
                <w:rFonts w:eastAsia="Times New Roman" w:cs="Arial"/>
                <w:bCs/>
                <w:color w:val="000000"/>
                <w:sz w:val="18"/>
                <w:szCs w:val="18"/>
              </w:rPr>
            </w:pPr>
            <w:r w:rsidRPr="00581B89">
              <w:rPr>
                <w:rFonts w:eastAsia="Times New Roman" w:cs="Arial"/>
                <w:bCs/>
                <w:color w:val="000000"/>
                <w:sz w:val="18"/>
                <w:szCs w:val="18"/>
              </w:rPr>
              <w:t>HIV-positive</w:t>
            </w:r>
          </w:p>
        </w:tc>
        <w:tc>
          <w:tcPr>
            <w:tcW w:w="2756" w:type="dxa"/>
            <w:gridSpan w:val="2"/>
            <w:shd w:val="clear" w:color="auto" w:fill="auto"/>
            <w:noWrap/>
            <w:vAlign w:val="center"/>
          </w:tcPr>
          <w:p w14:paraId="6603E17E" w14:textId="77777777" w:rsidR="003D2083" w:rsidRPr="00581B89" w:rsidRDefault="003D2083" w:rsidP="00431154">
            <w:pPr>
              <w:spacing w:after="0" w:line="240" w:lineRule="auto"/>
              <w:jc w:val="center"/>
              <w:rPr>
                <w:rFonts w:eastAsia="Times New Roman" w:cs="Arial"/>
                <w:color w:val="000000"/>
                <w:sz w:val="18"/>
                <w:szCs w:val="18"/>
              </w:rPr>
            </w:pPr>
            <w:r>
              <w:rPr>
                <w:rFonts w:eastAsia="Times New Roman" w:cs="Arial"/>
                <w:color w:val="000000"/>
                <w:sz w:val="18"/>
                <w:szCs w:val="18"/>
              </w:rPr>
              <w:t>98</w:t>
            </w:r>
          </w:p>
        </w:tc>
      </w:tr>
    </w:tbl>
    <w:p w14:paraId="05FF7260" w14:textId="2FDE61EE" w:rsidR="005A6682" w:rsidRPr="00876EC7" w:rsidRDefault="00DC24BB" w:rsidP="00DC24BB">
      <w:pPr>
        <w:rPr>
          <w:rFonts w:eastAsia="Calibri" w:cs="Arial"/>
          <w:i/>
          <w:iCs/>
          <w:sz w:val="20"/>
          <w:szCs w:val="20"/>
        </w:rPr>
      </w:pPr>
      <w:r w:rsidRPr="00876EC7">
        <w:rPr>
          <w:rFonts w:cs="Arial"/>
          <w:sz w:val="20"/>
          <w:szCs w:val="20"/>
        </w:rPr>
        <w:t>NHLS data from presumptive cases had been analysed previously as part of the PROVE IT (Policy Relevant Outcomes from Validating Evidence on ImpacT) study. In</w:t>
      </w:r>
      <w:r w:rsidR="00C2020A">
        <w:rPr>
          <w:rFonts w:cs="Arial"/>
          <w:sz w:val="20"/>
          <w:szCs w:val="20"/>
        </w:rPr>
        <w:t>put parameters derived from these analyses</w:t>
      </w:r>
      <w:r w:rsidRPr="00876EC7">
        <w:rPr>
          <w:rFonts w:cs="Arial"/>
          <w:sz w:val="20"/>
          <w:szCs w:val="20"/>
        </w:rPr>
        <w:t xml:space="preserve"> were used as probability distributions </w:t>
      </w:r>
      <w:r w:rsidR="00174B60" w:rsidRPr="00876EC7">
        <w:rPr>
          <w:rFonts w:cs="Arial"/>
          <w:sz w:val="20"/>
          <w:szCs w:val="20"/>
        </w:rPr>
        <w:t>for the model.</w:t>
      </w:r>
      <w:r w:rsidR="00037122" w:rsidRPr="00876EC7">
        <w:rPr>
          <w:rFonts w:cs="Arial"/>
          <w:sz w:val="20"/>
          <w:szCs w:val="20"/>
        </w:rPr>
        <w:fldChar w:fldCharType="begin" w:fldLock="1"/>
      </w:r>
      <w:r w:rsidR="003147E8">
        <w:rPr>
          <w:rFonts w:cs="Arial"/>
          <w:sz w:val="20"/>
          <w:szCs w:val="20"/>
        </w:rPr>
        <w:instrText>ADDIN CSL_CITATION { "citationItems" : [ { "id" : "ITEM-1", "itemData" : { "DOI" : "10.5588/ijtld.16.0432", "PMID" : "28284252", "author" : [ { "dropping-particle" : "", "family" : "Dunbar", "given" : "R", "non-dropping-particle" : "", "parse-names" : false, "suffix" : "" }, { "dropping-particle" : "", "family" : "Naidoo", "given" : "P", "non-dropping-particle" : "", "parse-names" : false, "suffix" : "" }, { "dropping-particle" : "", "family" : "Beyers", "given" : "N", "non-dropping-particle" : "", "parse-names" : false, "suffix" : "" }, { "dropping-particle" : "", "family" : "Langley", "given" : "I", "non-dropping-particle" : "", "parse-names" : false, "suffix" : "" } ], "container-title" : "The International Journal of Tuberculosis and Lung Disease", "id" : "ITEM-1", "issue" : "4", "issued" : { "date-parts" : [ [ "2017" ] ] }, "page" : "381-388", "title" : "Operational modelling: the mechanisms influencing TB diagnostic yield in an Xpert(\u00ae) MTB/RIF-based algorithm.", "type" : "article-journal", "volume" : "21" }, "uris" : [ "http://www.mendeley.com/documents/?uuid=f0e9d97f-4efa-4039-a2e2-f88a0981c760" ] }, { "id" : "ITEM-2", "itemData" : { "DOI" : "10.1371/journal.pone.0172143", "ISSN" : "1932-6203", "author" : [ { "dropping-particle" : "", "family" : "Naidoo", "given" : "Pren", "non-dropping-particle" : "", "parse-names" : false, "suffix" : "" }, { "dropping-particle" : "", "family" : "Dunbar", "given" : "Rory", "non-dropping-particle" : "", "parse-names" : false, "suffix" : "" }, { "dropping-particle" : "", "family" : "Caldwell", "given" : "Judy", "non-dropping-particle" : "", "parse-names" : false, "suffix" : "" }, { "dropping-particle" : "", "family" : "Lombard", "given" : "Carl", "non-dropping-particle" : "", "parse-names" : false, "suffix" : "" }, { "dropping-particle" : "", "family" : "Beyers", "given" : "Nulda", "non-dropping-particle" : "", "parse-names" : false, "suffix" : "" } ], "container-title" : "PLOS ONE", "editor" : [ { "dropping-particle" : "", "family" : "Pai", "given" : "Madhukar", "non-dropping-particle" : "", "parse-names" : false, "suffix" : "" } ], "id" : "ITEM-2", "issue" : "2", "issued" : { "date-parts" : [ [ "2017", "2", "15" ] ] }, "page" : "e0172143", "publisher" : "Public Library of Science", "title" : "Has universal screening with Xpert\u00ae MTB/RIF increased the proportion of multidrug-resistant tuberculosis cases diagnosed in a routine operational setting?", "type" : "article-journal", "volume" : "12" }, "uris" : [ "http://www.mendeley.com/documents/?uuid=ec19f3b9-b35a-3fa9-bb81-f957bbf073fc" ] }, { "id" : "ITEM-3", "itemData" : { "DOI" : "10.1371/journal.pone.0150487", "ISSN" : "1932-6203", "PMID" : "26930400", "abstract" : "SETTING Primary health services in Cape Town, South Africa. STUDY AIM To compare tuberculosis (TB) diagnostic yield in an existing smear/culture-based and a newly introduced Xpert\u00ae MTB/RIF-based algorithm. METHODS TB diagnostic yield (the proportion of presumptive TB cases with a laboratory diagnosis of TB) was assessed using a non-randomised stepped-wedge design as sites transitioned to the Xpert\u00ae based algorithm. We identified the full sequence of sputum tests recorded in the electronic laboratory database for presumptive TB cases from 60 primary health sites during seven one-month time-points, six months apart. Differences in TB yield and temporal trends were estimated using a binomial regression model. RESULTS TB yield was 20.9% (95% CI 19.9% to 22.0%) in the smear/culture-based algorithm compared to 17.9% (95%CI 16.4% to 19.5%) in the Xpert\u00ae based algorithm. There was a decline in TB yield over time with a mean risk difference of -0.9% (95% CI -1.2% to -0.6%) (p&lt;0.001) per time-point. When estimates were adjusted for the temporal trend, TB yield was 19.1% (95% CI 17.6% to 20.5%) in the smear/culture-based algorithm compared to 19.3% (95% CI 17.7% to 20.9%) in the Xpert\u00ae based algorithm with a risk difference of 0.3% (95% CI -1.8% to 2.3%) (p = 0.796). Culture tests were undertaken for 35.5% of smear-negative compared to 17.9% of Xpert\u00ae negative low MDR-TB risk cases and for 82.6% of smear-negative compared to 40.5% of Xpert\u00ae negative high MDR-TB risk cases in respective algorithms. CONCLUSION Introduction of an Xpert\u00ae based algorithm did not produce the expected increase in TB diagnostic yield. Studies are required to assess whether improving adherence to the Xpert\u00ae negative algorithm for HIV-infected individuals will increase yield. In light of the high cost of Xpert\u00ae, a review of its role as a screening test for all presumptive TB cases may be warranted.", "author" : [ { "dropping-particle" : "", "family" : "Naidoo", "given" : "Pren", "non-dropping-particle" : "", "parse-names" : false, "suffix" : "" }, { "dropping-particle" : "", "family" : "Dunbar", "given" : "Rory", "non-dropping-particle" : "", "parse-names" : false, "suffix" : "" }, { "dropping-particle" : "", "family" : "Lombard", "given" : "Carl", "non-dropping-particle" : "", "parse-names" : false, "suffix" : "" }, { "dropping-particle" : "", "family" : "Toit", "given" : "Elizabeth", "non-dropping-particle" : "du", "parse-names" : false, "suffix" : "" }, { "dropping-particle" : "", "family" : "Caldwell", "given" : "Judy", "non-dropping-particle" : "", "parse-names" : false, "suffix" : "" }, { "dropping-particle" : "", "family" : "Detjen", "given" : "Anne", "non-dropping-particle" : "", "parse-names" : false, "suffix" : "" }, { "dropping-particle" : "", "family" : "Squire", "given" : "S Bertel", "non-dropping-particle" : "", "parse-names" : false, "suffix" : "" }, { "dropping-particle" : "", "family" : "Enarson", "given" : "Donald A", "non-dropping-particle" : "", "parse-names" : false, "suffix" : "" }, { "dropping-particle" : "", "family" : "Beyers", "given" : "Nulda", "non-dropping-particle" : "", "parse-names" : false, "suffix" : "" } ], "container-title" : "PloS one", "id" : "ITEM-3", "issue" : "3", "issued" : { "date-parts" : [ [ "2016" ] ] }, "page" : "e0150487", "title" : "Comparing tuberculosis diagnostic yield in smear/culture and Xpert\u00ae MTB/RIF-based algorithms using a non-randomised stepped-wedge design.", "type" : "article-journal", "volume" : "11" }, "uris" : [ "http://www.mendeley.com/documents/?uuid=34b60bdf-5e12-3834-970d-88da88a19044" ] } ], "mendeley" : { "formattedCitation" : "&lt;sup&gt;6,9,11&lt;/sup&gt;", "plainTextFormattedCitation" : "6,9,11", "previouslyFormattedCitation" : "&lt;sup&gt;6,9,11&lt;/sup&gt;" }, "properties" : { "noteIndex" : 0 }, "schema" : "https://github.com/citation-style-language/schema/raw/master/csl-citation.json" }</w:instrText>
      </w:r>
      <w:r w:rsidR="00037122" w:rsidRPr="00876EC7">
        <w:rPr>
          <w:rFonts w:cs="Arial"/>
          <w:sz w:val="20"/>
          <w:szCs w:val="20"/>
        </w:rPr>
        <w:fldChar w:fldCharType="separate"/>
      </w:r>
      <w:r w:rsidR="0050723B" w:rsidRPr="0050723B">
        <w:rPr>
          <w:rFonts w:cs="Arial"/>
          <w:noProof/>
          <w:sz w:val="20"/>
          <w:szCs w:val="20"/>
          <w:vertAlign w:val="superscript"/>
        </w:rPr>
        <w:t>6,9,11</w:t>
      </w:r>
      <w:r w:rsidR="00037122" w:rsidRPr="00876EC7">
        <w:rPr>
          <w:rFonts w:cs="Arial"/>
          <w:sz w:val="20"/>
          <w:szCs w:val="20"/>
        </w:rPr>
        <w:fldChar w:fldCharType="end"/>
      </w:r>
      <w:r w:rsidR="005A6682" w:rsidRPr="00876EC7">
        <w:rPr>
          <w:rFonts w:cs="Arial"/>
          <w:sz w:val="20"/>
          <w:szCs w:val="20"/>
        </w:rPr>
        <w:br w:type="page"/>
      </w:r>
    </w:p>
    <w:p w14:paraId="33D38872" w14:textId="77777777" w:rsidR="00835AB7" w:rsidRDefault="00835AB7" w:rsidP="00835AB7">
      <w:pPr>
        <w:pStyle w:val="Caption"/>
      </w:pPr>
      <w:r>
        <w:lastRenderedPageBreak/>
        <w:t xml:space="preserve">Table </w:t>
      </w:r>
      <w:r w:rsidR="00C47B7A">
        <w:fldChar w:fldCharType="begin"/>
      </w:r>
      <w:r w:rsidR="00C47B7A">
        <w:instrText xml:space="preserve"> SEQ Table \* ARABIC </w:instrText>
      </w:r>
      <w:r w:rsidR="00C47B7A">
        <w:fldChar w:fldCharType="separate"/>
      </w:r>
      <w:r>
        <w:rPr>
          <w:noProof/>
        </w:rPr>
        <w:t>3</w:t>
      </w:r>
      <w:r w:rsidR="00C47B7A">
        <w:rPr>
          <w:noProof/>
        </w:rPr>
        <w:fldChar w:fldCharType="end"/>
      </w:r>
      <w:r w:rsidR="009606B3">
        <w:t xml:space="preserve">: The number and </w:t>
      </w:r>
      <w:r w:rsidR="000B5270">
        <w:t>percentage</w:t>
      </w:r>
      <w:r w:rsidR="009606B3">
        <w:t xml:space="preserve"> of </w:t>
      </w:r>
      <w:r w:rsidR="009606B3" w:rsidRPr="00CF565A">
        <w:rPr>
          <w:rFonts w:cs="Arial"/>
          <w:szCs w:val="20"/>
        </w:rPr>
        <w:t xml:space="preserve">TB and </w:t>
      </w:r>
      <w:r w:rsidR="00394C3A" w:rsidRPr="00394C3A">
        <w:rPr>
          <w:rFonts w:cs="Arial"/>
          <w:szCs w:val="20"/>
        </w:rPr>
        <w:t xml:space="preserve">RMP-R </w:t>
      </w:r>
      <w:r w:rsidR="009606B3" w:rsidRPr="00CF565A">
        <w:rPr>
          <w:rFonts w:cs="Arial"/>
          <w:szCs w:val="20"/>
        </w:rPr>
        <w:t xml:space="preserve">TB </w:t>
      </w:r>
      <w:r w:rsidR="009606B3">
        <w:rPr>
          <w:rFonts w:cs="Arial"/>
          <w:szCs w:val="20"/>
        </w:rPr>
        <w:t xml:space="preserve">cases </w:t>
      </w:r>
      <w:r w:rsidR="000B5270">
        <w:rPr>
          <w:rFonts w:cs="Arial"/>
          <w:szCs w:val="20"/>
        </w:rPr>
        <w:t>identified</w:t>
      </w:r>
      <w:r w:rsidR="009606B3">
        <w:rPr>
          <w:rFonts w:cs="Arial"/>
          <w:szCs w:val="20"/>
        </w:rPr>
        <w:t xml:space="preserve"> in a</w:t>
      </w:r>
      <w:r w:rsidR="00966C69">
        <w:rPr>
          <w:rFonts w:cs="Arial"/>
          <w:szCs w:val="20"/>
        </w:rPr>
        <w:t xml:space="preserve"> s</w:t>
      </w:r>
      <w:r w:rsidR="00312E7B">
        <w:rPr>
          <w:rFonts w:cs="Arial"/>
          <w:szCs w:val="20"/>
        </w:rPr>
        <w:t>mear/</w:t>
      </w:r>
      <w:r w:rsidR="00966C69">
        <w:rPr>
          <w:rFonts w:cs="Arial"/>
          <w:szCs w:val="20"/>
        </w:rPr>
        <w:t>c</w:t>
      </w:r>
      <w:r w:rsidR="00312E7B">
        <w:rPr>
          <w:rFonts w:cs="Arial"/>
          <w:szCs w:val="20"/>
        </w:rPr>
        <w:t>ulture compared to</w:t>
      </w:r>
      <w:r w:rsidR="009606B3">
        <w:rPr>
          <w:rFonts w:cs="Arial"/>
          <w:szCs w:val="20"/>
        </w:rPr>
        <w:t xml:space="preserve"> </w:t>
      </w:r>
      <w:r w:rsidR="009F6BC9">
        <w:rPr>
          <w:rFonts w:cs="Arial"/>
          <w:szCs w:val="20"/>
        </w:rPr>
        <w:t xml:space="preserve">an </w:t>
      </w:r>
      <w:r w:rsidR="009606B3">
        <w:rPr>
          <w:rFonts w:cs="Arial"/>
          <w:szCs w:val="20"/>
        </w:rPr>
        <w:t>Xpert-based algor</w:t>
      </w:r>
      <w:r w:rsidR="00B41D0E">
        <w:rPr>
          <w:rFonts w:cs="Arial"/>
          <w:szCs w:val="20"/>
        </w:rPr>
        <w:t>i</w:t>
      </w:r>
      <w:r w:rsidR="009606B3">
        <w:rPr>
          <w:rFonts w:cs="Arial"/>
          <w:szCs w:val="20"/>
        </w:rPr>
        <w:t xml:space="preserve">thm </w:t>
      </w:r>
      <w:r w:rsidR="000B5270">
        <w:rPr>
          <w:rFonts w:cs="Arial"/>
          <w:szCs w:val="20"/>
        </w:rPr>
        <w:t xml:space="preserve">and </w:t>
      </w:r>
      <w:r w:rsidR="0095330D">
        <w:rPr>
          <w:rFonts w:cs="Arial"/>
          <w:szCs w:val="20"/>
        </w:rPr>
        <w:t>laboratory diagnostic cost</w:t>
      </w:r>
      <w:r w:rsidR="000B5270">
        <w:rPr>
          <w:rFonts w:cs="Arial"/>
          <w:szCs w:val="20"/>
        </w:rPr>
        <w:t xml:space="preserve"> for both algorithms</w:t>
      </w:r>
    </w:p>
    <w:tbl>
      <w:tblPr>
        <w:tblW w:w="5072" w:type="pct"/>
        <w:jc w:val="center"/>
        <w:tblLayout w:type="fixed"/>
        <w:tblLook w:val="04A0" w:firstRow="1" w:lastRow="0" w:firstColumn="1" w:lastColumn="0" w:noHBand="0" w:noVBand="1"/>
      </w:tblPr>
      <w:tblGrid>
        <w:gridCol w:w="1278"/>
        <w:gridCol w:w="1013"/>
        <w:gridCol w:w="1015"/>
        <w:gridCol w:w="1014"/>
        <w:gridCol w:w="1015"/>
        <w:gridCol w:w="1014"/>
        <w:gridCol w:w="1015"/>
        <w:gridCol w:w="568"/>
        <w:gridCol w:w="568"/>
        <w:gridCol w:w="646"/>
      </w:tblGrid>
      <w:tr w:rsidR="008E5236" w:rsidRPr="008E5236" w14:paraId="0ECBB840" w14:textId="77777777" w:rsidTr="009F6BC9">
        <w:trPr>
          <w:trHeight w:val="855"/>
          <w:jc w:val="center"/>
        </w:trPr>
        <w:tc>
          <w:tcPr>
            <w:tcW w:w="129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57" w:type="dxa"/>
              <w:right w:w="57" w:type="dxa"/>
            </w:tcMar>
            <w:vAlign w:val="bottom"/>
            <w:hideMark/>
          </w:tcPr>
          <w:p w14:paraId="55264066"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 </w:t>
            </w:r>
          </w:p>
        </w:tc>
        <w:tc>
          <w:tcPr>
            <w:tcW w:w="308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78171BB" w14:textId="77777777" w:rsid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Smear/Culture-based algorithm</w:t>
            </w:r>
          </w:p>
          <w:p w14:paraId="7BF4E341" w14:textId="77777777" w:rsidR="00531DA9" w:rsidRPr="008E5236" w:rsidRDefault="00531DA9"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n (%)</w:t>
            </w:r>
          </w:p>
        </w:tc>
        <w:tc>
          <w:tcPr>
            <w:tcW w:w="3086"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CBF2A06" w14:textId="77777777" w:rsid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Xpert-based algorithm</w:t>
            </w:r>
          </w:p>
          <w:p w14:paraId="4CBC1A4C" w14:textId="77777777" w:rsidR="00531DA9" w:rsidRPr="008E5236" w:rsidRDefault="00531DA9"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n (%)</w:t>
            </w:r>
          </w:p>
        </w:tc>
        <w:tc>
          <w:tcPr>
            <w:tcW w:w="1804"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749A1A9"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Relative</w:t>
            </w:r>
            <w:r w:rsidR="00EC133D">
              <w:rPr>
                <w:rFonts w:eastAsia="Times New Roman" w:cs="Arial"/>
                <w:color w:val="000000"/>
                <w:sz w:val="18"/>
                <w:szCs w:val="18"/>
                <w:lang w:eastAsia="en-ZA"/>
              </w:rPr>
              <w:t xml:space="preserve"> %</w:t>
            </w:r>
            <w:r w:rsidRPr="008E5236">
              <w:rPr>
                <w:rFonts w:eastAsia="Times New Roman" w:cs="Arial"/>
                <w:color w:val="000000"/>
                <w:sz w:val="18"/>
                <w:szCs w:val="18"/>
                <w:lang w:eastAsia="en-ZA"/>
              </w:rPr>
              <w:t xml:space="preserve"> </w:t>
            </w:r>
            <w:r w:rsidR="00835AB7" w:rsidRPr="0070267E">
              <w:rPr>
                <w:rFonts w:eastAsia="Times New Roman" w:cs="Arial"/>
                <w:color w:val="000000"/>
                <w:sz w:val="18"/>
                <w:szCs w:val="18"/>
                <w:lang w:eastAsia="en-ZA"/>
              </w:rPr>
              <w:t>difference</w:t>
            </w:r>
            <w:r w:rsidRPr="008E5236">
              <w:rPr>
                <w:rFonts w:eastAsia="Times New Roman" w:cs="Arial"/>
                <w:color w:val="000000"/>
                <w:sz w:val="18"/>
                <w:szCs w:val="18"/>
                <w:lang w:eastAsia="en-ZA"/>
              </w:rPr>
              <w:t xml:space="preserve"> in Xpert compared to smear/culture-based algorithm</w:t>
            </w:r>
          </w:p>
        </w:tc>
      </w:tr>
      <w:tr w:rsidR="008E5236" w:rsidRPr="008E5236" w14:paraId="74677E0E" w14:textId="77777777" w:rsidTr="00C96761">
        <w:trPr>
          <w:trHeight w:val="345"/>
          <w:jc w:val="center"/>
        </w:trPr>
        <w:tc>
          <w:tcPr>
            <w:tcW w:w="1296"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38681949" w14:textId="77777777" w:rsidR="008E5236" w:rsidRPr="008E5236" w:rsidRDefault="008E5236" w:rsidP="008E5236">
            <w:pPr>
              <w:spacing w:after="0" w:line="240" w:lineRule="auto"/>
              <w:rPr>
                <w:rFonts w:eastAsia="Times New Roman" w:cs="Arial"/>
                <w:color w:val="000000"/>
                <w:sz w:val="18"/>
                <w:szCs w:val="18"/>
                <w:lang w:eastAsia="en-ZA"/>
              </w:rPr>
            </w:pPr>
          </w:p>
        </w:tc>
        <w:tc>
          <w:tcPr>
            <w:tcW w:w="308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C9EDB8A" w14:textId="77777777" w:rsidR="00A35B93" w:rsidRPr="008E5236" w:rsidRDefault="003F64BB" w:rsidP="00EF67A3">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 xml:space="preserve">% </w:t>
            </w:r>
            <w:r w:rsidR="00732D2D" w:rsidRPr="00732D2D">
              <w:rPr>
                <w:rFonts w:eastAsia="Times New Roman" w:cs="Arial"/>
                <w:color w:val="000000"/>
                <w:sz w:val="18"/>
                <w:szCs w:val="18"/>
                <w:lang w:eastAsia="en-ZA"/>
              </w:rPr>
              <w:t>knew their HIV status</w:t>
            </w:r>
            <w:r w:rsidR="00EF67A3">
              <w:rPr>
                <w:rFonts w:eastAsia="Times New Roman" w:cs="Arial"/>
                <w:color w:val="000000"/>
                <w:sz w:val="18"/>
                <w:szCs w:val="18"/>
                <w:lang w:eastAsia="en-ZA"/>
              </w:rPr>
              <w:t>*</w:t>
            </w:r>
          </w:p>
        </w:tc>
        <w:tc>
          <w:tcPr>
            <w:tcW w:w="3086"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55904B0" w14:textId="120037E3" w:rsidR="00A35B93" w:rsidRPr="008E5236" w:rsidRDefault="00857792"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 xml:space="preserve">% </w:t>
            </w:r>
            <w:r w:rsidR="00732D2D" w:rsidRPr="00732D2D">
              <w:rPr>
                <w:rFonts w:eastAsia="Times New Roman" w:cs="Arial"/>
                <w:color w:val="000000"/>
                <w:sz w:val="18"/>
                <w:szCs w:val="18"/>
                <w:lang w:eastAsia="en-ZA"/>
              </w:rPr>
              <w:t>knew their HIV status</w:t>
            </w:r>
            <w:r w:rsidR="00EF67A3">
              <w:rPr>
                <w:rFonts w:eastAsia="Times New Roman" w:cs="Arial"/>
                <w:color w:val="000000"/>
                <w:sz w:val="18"/>
                <w:szCs w:val="18"/>
                <w:lang w:eastAsia="en-ZA"/>
              </w:rPr>
              <w:t>*</w:t>
            </w:r>
          </w:p>
        </w:tc>
        <w:tc>
          <w:tcPr>
            <w:tcW w:w="1804"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315BFB0" w14:textId="515AA44B" w:rsidR="00A35B93" w:rsidRPr="008E5236" w:rsidRDefault="00857792"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 xml:space="preserve">% </w:t>
            </w:r>
            <w:r w:rsidR="00732D2D" w:rsidRPr="00732D2D">
              <w:rPr>
                <w:rFonts w:eastAsia="Times New Roman" w:cs="Arial"/>
                <w:color w:val="000000"/>
                <w:sz w:val="18"/>
                <w:szCs w:val="18"/>
                <w:lang w:eastAsia="en-ZA"/>
              </w:rPr>
              <w:t>knew their HIV status</w:t>
            </w:r>
            <w:r w:rsidR="004F7837">
              <w:rPr>
                <w:rFonts w:eastAsia="Times New Roman" w:cs="Arial"/>
                <w:color w:val="000000"/>
                <w:sz w:val="18"/>
                <w:szCs w:val="18"/>
                <w:lang w:eastAsia="en-ZA"/>
              </w:rPr>
              <w:t>*</w:t>
            </w:r>
          </w:p>
        </w:tc>
      </w:tr>
      <w:tr w:rsidR="00492484" w:rsidRPr="008E5236" w14:paraId="555F714E" w14:textId="77777777" w:rsidTr="00C96761">
        <w:trPr>
          <w:trHeight w:val="285"/>
          <w:jc w:val="center"/>
        </w:trPr>
        <w:tc>
          <w:tcPr>
            <w:tcW w:w="1296"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415BC4FE" w14:textId="77777777" w:rsidR="008E5236" w:rsidRPr="008E5236" w:rsidRDefault="008E5236" w:rsidP="008E5236">
            <w:pPr>
              <w:spacing w:after="0" w:line="240" w:lineRule="auto"/>
              <w:rPr>
                <w:rFonts w:eastAsia="Times New Roman" w:cs="Arial"/>
                <w:color w:val="000000"/>
                <w:sz w:val="18"/>
                <w:szCs w:val="18"/>
                <w:lang w:eastAsia="en-ZA"/>
              </w:rPr>
            </w:pP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A11006"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60</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F0A885"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80</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7DD75A"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100</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BB53C9"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60</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8A39C8"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80</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D79FDA"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100</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1C1AC7"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60</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3C210F"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80</w:t>
            </w:r>
          </w:p>
        </w:tc>
        <w:tc>
          <w:tcPr>
            <w:tcW w:w="65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CCEAFB" w14:textId="77777777" w:rsidR="008E5236" w:rsidRPr="008E5236" w:rsidRDefault="00A35B93" w:rsidP="0093446A">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100</w:t>
            </w:r>
          </w:p>
        </w:tc>
      </w:tr>
      <w:tr w:rsidR="00492484" w:rsidRPr="008E5236" w14:paraId="470BA305" w14:textId="77777777" w:rsidTr="00C96761">
        <w:trPr>
          <w:trHeight w:val="285"/>
          <w:jc w:val="center"/>
        </w:trPr>
        <w:tc>
          <w:tcPr>
            <w:tcW w:w="129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498A9A2C" w14:textId="77777777" w:rsidR="008E5236" w:rsidRPr="008E5236" w:rsidRDefault="008E5236" w:rsidP="003D23B2">
            <w:pPr>
              <w:spacing w:after="0" w:line="240" w:lineRule="auto"/>
              <w:rPr>
                <w:rFonts w:eastAsia="Times New Roman" w:cs="Arial"/>
                <w:color w:val="000000"/>
                <w:sz w:val="18"/>
                <w:szCs w:val="18"/>
                <w:lang w:eastAsia="en-ZA"/>
              </w:rPr>
            </w:pPr>
            <w:r w:rsidRPr="008E5236">
              <w:rPr>
                <w:rFonts w:eastAsia="Times New Roman" w:cs="Arial"/>
                <w:color w:val="000000"/>
                <w:sz w:val="18"/>
                <w:szCs w:val="18"/>
                <w:lang w:eastAsia="en-ZA"/>
              </w:rPr>
              <w:t xml:space="preserve">TB </w:t>
            </w:r>
            <w:r w:rsidR="003D23B2">
              <w:rPr>
                <w:rFonts w:eastAsia="Times New Roman" w:cs="Arial"/>
                <w:color w:val="000000"/>
                <w:sz w:val="18"/>
                <w:szCs w:val="18"/>
                <w:lang w:eastAsia="en-ZA"/>
              </w:rPr>
              <w:t>cases identified</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4965D8"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15</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475</w:t>
            </w:r>
          </w:p>
          <w:p w14:paraId="4BD503D5" w14:textId="77777777" w:rsidR="00BD4415" w:rsidRPr="008E5236" w:rsidRDefault="00BD4415"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(15.5)</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00DF97"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15</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810</w:t>
            </w:r>
          </w:p>
          <w:p w14:paraId="2A8E7C33" w14:textId="77777777" w:rsidR="00BD4415" w:rsidRPr="008E5236" w:rsidRDefault="00BD4415"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(15.8)</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3F69EC"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16</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144</w:t>
            </w:r>
          </w:p>
          <w:p w14:paraId="16CF61D2" w14:textId="77777777" w:rsidR="00BD4415" w:rsidRPr="008E5236" w:rsidRDefault="00BD4415"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(16.1)</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E87C06"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16</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332</w:t>
            </w:r>
          </w:p>
          <w:p w14:paraId="6DEAB7A3" w14:textId="77777777" w:rsidR="00BD4415" w:rsidRPr="008E5236" w:rsidRDefault="00685914"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(16.3</w:t>
            </w:r>
            <w:r w:rsidR="00BD4415">
              <w:rPr>
                <w:rFonts w:eastAsia="Times New Roman" w:cs="Arial"/>
                <w:color w:val="000000"/>
                <w:sz w:val="18"/>
                <w:szCs w:val="18"/>
                <w:lang w:eastAsia="en-ZA"/>
              </w:rPr>
              <w:t>)</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93D0AA"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16</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670</w:t>
            </w:r>
          </w:p>
          <w:p w14:paraId="21B8EBB1" w14:textId="77777777" w:rsidR="00BD4415" w:rsidRPr="008E5236" w:rsidRDefault="00BD4415"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(16.7)</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36A849"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16</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968</w:t>
            </w:r>
          </w:p>
          <w:p w14:paraId="21E2E132" w14:textId="77777777" w:rsidR="00BD4415" w:rsidRPr="008E5236" w:rsidRDefault="00BD4415"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(17.0)</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E60B7D" w14:textId="77777777" w:rsidR="008E5236" w:rsidRPr="008E5236" w:rsidRDefault="00C96761" w:rsidP="00531DA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538975" w14:textId="77777777" w:rsidR="008E5236" w:rsidRPr="008E5236" w:rsidRDefault="00BE153C" w:rsidP="00531DA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5.4</w:t>
            </w:r>
          </w:p>
        </w:tc>
        <w:tc>
          <w:tcPr>
            <w:tcW w:w="65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CD3F8B" w14:textId="77777777" w:rsidR="008E5236" w:rsidRPr="008E5236" w:rsidRDefault="00C96761" w:rsidP="00531DA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5.1</w:t>
            </w:r>
          </w:p>
        </w:tc>
      </w:tr>
      <w:tr w:rsidR="00492484" w:rsidRPr="008E5236" w14:paraId="35BDAB58" w14:textId="77777777" w:rsidTr="00C96761">
        <w:trPr>
          <w:trHeight w:val="285"/>
          <w:jc w:val="center"/>
        </w:trPr>
        <w:tc>
          <w:tcPr>
            <w:tcW w:w="129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479C378" w14:textId="77777777" w:rsidR="008E5236" w:rsidRPr="008E5236" w:rsidRDefault="007D2428" w:rsidP="003D23B2">
            <w:pPr>
              <w:spacing w:after="0" w:line="240" w:lineRule="auto"/>
              <w:rPr>
                <w:rFonts w:eastAsia="Times New Roman" w:cs="Arial"/>
                <w:color w:val="000000"/>
                <w:sz w:val="18"/>
                <w:szCs w:val="18"/>
                <w:lang w:eastAsia="en-ZA"/>
              </w:rPr>
            </w:pPr>
            <w:r w:rsidRPr="007D2428">
              <w:rPr>
                <w:rFonts w:eastAsia="Times New Roman" w:cs="Arial"/>
                <w:color w:val="000000"/>
                <w:sz w:val="18"/>
                <w:szCs w:val="18"/>
                <w:lang w:eastAsia="en-ZA"/>
              </w:rPr>
              <w:t xml:space="preserve">RMP-R </w:t>
            </w:r>
            <w:r w:rsidR="008E5236" w:rsidRPr="008E5236">
              <w:rPr>
                <w:rFonts w:eastAsia="Times New Roman" w:cs="Arial"/>
                <w:color w:val="000000"/>
                <w:sz w:val="18"/>
                <w:szCs w:val="18"/>
                <w:lang w:eastAsia="en-ZA"/>
              </w:rPr>
              <w:t xml:space="preserve">TB </w:t>
            </w:r>
            <w:r w:rsidR="003D23B2">
              <w:rPr>
                <w:rFonts w:eastAsia="Times New Roman" w:cs="Arial"/>
                <w:color w:val="000000"/>
                <w:sz w:val="18"/>
                <w:szCs w:val="18"/>
                <w:lang w:eastAsia="en-ZA"/>
              </w:rPr>
              <w:t>cases identified</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4CA576"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603</w:t>
            </w:r>
          </w:p>
          <w:p w14:paraId="0D749C07" w14:textId="77777777" w:rsidR="00A43BBB" w:rsidRPr="008E5236" w:rsidRDefault="00103D79" w:rsidP="00103D7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(3.9)</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926B45"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607</w:t>
            </w:r>
          </w:p>
          <w:p w14:paraId="052A0EC9" w14:textId="77777777" w:rsidR="00A43BBB" w:rsidRPr="008E5236" w:rsidRDefault="00103D79"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(3.8</w:t>
            </w:r>
            <w:r w:rsidR="00A43BBB">
              <w:rPr>
                <w:rFonts w:eastAsia="Times New Roman" w:cs="Arial"/>
                <w:color w:val="000000"/>
                <w:sz w:val="18"/>
                <w:szCs w:val="18"/>
                <w:lang w:eastAsia="en-ZA"/>
              </w:rPr>
              <w:t>)</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85EAE5"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608</w:t>
            </w:r>
          </w:p>
          <w:p w14:paraId="61911DAB" w14:textId="77777777" w:rsidR="00A43BBB" w:rsidRPr="008E5236" w:rsidRDefault="00103D79"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(3.8</w:t>
            </w:r>
            <w:r w:rsidR="00A43BBB">
              <w:rPr>
                <w:rFonts w:eastAsia="Times New Roman" w:cs="Arial"/>
                <w:color w:val="000000"/>
                <w:sz w:val="18"/>
                <w:szCs w:val="18"/>
                <w:lang w:eastAsia="en-ZA"/>
              </w:rPr>
              <w:t>)</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2C1818"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178</w:t>
            </w:r>
          </w:p>
          <w:p w14:paraId="11A50493" w14:textId="77777777" w:rsidR="00A43BBB" w:rsidRPr="008E5236" w:rsidRDefault="00103D79"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(7.2</w:t>
            </w:r>
            <w:r w:rsidR="00A43BBB">
              <w:rPr>
                <w:rFonts w:eastAsia="Times New Roman" w:cs="Arial"/>
                <w:color w:val="000000"/>
                <w:sz w:val="18"/>
                <w:szCs w:val="18"/>
                <w:lang w:eastAsia="en-ZA"/>
              </w:rPr>
              <w:t>)</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AD2331"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201</w:t>
            </w:r>
          </w:p>
          <w:p w14:paraId="472BD396" w14:textId="77777777" w:rsidR="00A43BBB" w:rsidRPr="008E5236" w:rsidRDefault="00103D79"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(7.2</w:t>
            </w:r>
            <w:r w:rsidR="00A43BBB">
              <w:rPr>
                <w:rFonts w:eastAsia="Times New Roman" w:cs="Arial"/>
                <w:color w:val="000000"/>
                <w:sz w:val="18"/>
                <w:szCs w:val="18"/>
                <w:lang w:eastAsia="en-ZA"/>
              </w:rPr>
              <w:t>)</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60F197"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810D58">
              <w:rPr>
                <w:rFonts w:eastAsia="Times New Roman" w:cs="Arial"/>
                <w:color w:val="000000"/>
                <w:sz w:val="18"/>
                <w:szCs w:val="18"/>
                <w:lang w:eastAsia="en-ZA"/>
              </w:rPr>
              <w:t>,</w:t>
            </w:r>
            <w:r w:rsidRPr="008E5236">
              <w:rPr>
                <w:rFonts w:eastAsia="Times New Roman" w:cs="Arial"/>
                <w:color w:val="000000"/>
                <w:sz w:val="18"/>
                <w:szCs w:val="18"/>
                <w:lang w:eastAsia="en-ZA"/>
              </w:rPr>
              <w:t>232</w:t>
            </w:r>
          </w:p>
          <w:p w14:paraId="5D21255D" w14:textId="77777777" w:rsidR="00A43BBB" w:rsidRPr="008E5236" w:rsidRDefault="00103D79"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(7.3</w:t>
            </w:r>
            <w:r w:rsidR="00A43BBB">
              <w:rPr>
                <w:rFonts w:eastAsia="Times New Roman" w:cs="Arial"/>
                <w:color w:val="000000"/>
                <w:sz w:val="18"/>
                <w:szCs w:val="18"/>
                <w:lang w:eastAsia="en-ZA"/>
              </w:rPr>
              <w:t>)</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A35632" w14:textId="77777777" w:rsidR="008E5236" w:rsidRPr="008E5236" w:rsidRDefault="00C96761" w:rsidP="00531DA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95.4</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2EAE35" w14:textId="77777777" w:rsidR="008E5236" w:rsidRPr="008E5236" w:rsidRDefault="00C96761" w:rsidP="00531DA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97.9</w:t>
            </w:r>
          </w:p>
        </w:tc>
        <w:tc>
          <w:tcPr>
            <w:tcW w:w="65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DDEC44" w14:textId="77777777" w:rsidR="008E5236" w:rsidRPr="008E5236" w:rsidRDefault="00C96761" w:rsidP="00531DA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102.6</w:t>
            </w:r>
          </w:p>
        </w:tc>
      </w:tr>
      <w:tr w:rsidR="008E5236" w:rsidRPr="008E5236" w14:paraId="1E46E8B4" w14:textId="77777777" w:rsidTr="00C96761">
        <w:trPr>
          <w:trHeight w:val="345"/>
          <w:jc w:val="center"/>
        </w:trPr>
        <w:tc>
          <w:tcPr>
            <w:tcW w:w="9271" w:type="dxa"/>
            <w:gridSpan w:val="10"/>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hideMark/>
          </w:tcPr>
          <w:p w14:paraId="4863231D" w14:textId="77777777" w:rsidR="008E5236" w:rsidRPr="008E5236" w:rsidRDefault="007D2428" w:rsidP="003D23B2">
            <w:pPr>
              <w:spacing w:after="0" w:line="240" w:lineRule="auto"/>
              <w:rPr>
                <w:rFonts w:eastAsia="Times New Roman" w:cs="Arial"/>
                <w:color w:val="000000"/>
                <w:sz w:val="18"/>
                <w:szCs w:val="18"/>
                <w:lang w:eastAsia="en-ZA"/>
              </w:rPr>
            </w:pPr>
            <w:r w:rsidRPr="007D2428">
              <w:rPr>
                <w:rFonts w:eastAsia="Times New Roman" w:cs="Arial"/>
                <w:color w:val="000000"/>
                <w:sz w:val="18"/>
                <w:szCs w:val="18"/>
                <w:lang w:eastAsia="en-ZA"/>
              </w:rPr>
              <w:t xml:space="preserve">RMP-R </w:t>
            </w:r>
            <w:r w:rsidR="008E5236" w:rsidRPr="008E5236">
              <w:rPr>
                <w:rFonts w:eastAsia="Times New Roman" w:cs="Arial"/>
                <w:color w:val="000000"/>
                <w:sz w:val="18"/>
                <w:szCs w:val="18"/>
                <w:lang w:eastAsia="en-ZA"/>
              </w:rPr>
              <w:t>TB cases</w:t>
            </w:r>
            <w:r w:rsidR="003D23B2">
              <w:rPr>
                <w:rFonts w:eastAsia="Times New Roman" w:cs="Arial"/>
                <w:color w:val="000000"/>
                <w:sz w:val="18"/>
                <w:szCs w:val="18"/>
                <w:lang w:eastAsia="en-ZA"/>
              </w:rPr>
              <w:t xml:space="preserve"> missed and the </w:t>
            </w:r>
            <w:r w:rsidR="008E5236" w:rsidRPr="008E5236">
              <w:rPr>
                <w:rFonts w:eastAsia="Times New Roman" w:cs="Arial"/>
                <w:color w:val="000000"/>
                <w:sz w:val="18"/>
                <w:szCs w:val="18"/>
                <w:lang w:eastAsia="en-ZA"/>
              </w:rPr>
              <w:t xml:space="preserve">reasons </w:t>
            </w:r>
            <w:r>
              <w:rPr>
                <w:rFonts w:eastAsia="Times New Roman" w:cs="Arial"/>
                <w:color w:val="000000"/>
                <w:sz w:val="18"/>
                <w:szCs w:val="18"/>
                <w:lang w:eastAsia="en-ZA"/>
              </w:rPr>
              <w:t xml:space="preserve">why </w:t>
            </w:r>
            <w:r w:rsidR="003D23B2">
              <w:rPr>
                <w:rFonts w:eastAsia="Times New Roman" w:cs="Arial"/>
                <w:color w:val="000000"/>
                <w:sz w:val="18"/>
                <w:szCs w:val="18"/>
                <w:lang w:eastAsia="en-ZA"/>
              </w:rPr>
              <w:t>they were missed</w:t>
            </w:r>
            <w:r w:rsidR="005B0E21">
              <w:rPr>
                <w:rFonts w:eastAsia="Times New Roman" w:cs="Arial"/>
                <w:color w:val="000000"/>
                <w:sz w:val="18"/>
                <w:szCs w:val="18"/>
                <w:lang w:eastAsia="en-ZA"/>
              </w:rPr>
              <w:t xml:space="preserve"> (</w:t>
            </w:r>
            <w:r w:rsidR="005B0E21" w:rsidRPr="005B0E21">
              <w:rPr>
                <w:rFonts w:eastAsia="Times New Roman" w:cs="Arial"/>
                <w:color w:val="000000"/>
                <w:sz w:val="18"/>
                <w:szCs w:val="18"/>
                <w:lang w:eastAsia="en-ZA"/>
              </w:rPr>
              <w:t xml:space="preserve">% of total </w:t>
            </w:r>
            <w:r w:rsidRPr="007D2428">
              <w:rPr>
                <w:rFonts w:eastAsia="Times New Roman" w:cs="Arial"/>
                <w:color w:val="000000"/>
                <w:sz w:val="18"/>
                <w:szCs w:val="18"/>
                <w:lang w:eastAsia="en-ZA"/>
              </w:rPr>
              <w:t xml:space="preserve">RMP-R </w:t>
            </w:r>
            <w:r w:rsidR="005B0E21" w:rsidRPr="005B0E21">
              <w:rPr>
                <w:rFonts w:eastAsia="Times New Roman" w:cs="Arial"/>
                <w:color w:val="000000"/>
                <w:sz w:val="18"/>
                <w:szCs w:val="18"/>
                <w:lang w:eastAsia="en-ZA"/>
              </w:rPr>
              <w:t>TB cases</w:t>
            </w:r>
            <w:r w:rsidR="005B0E21">
              <w:rPr>
                <w:rFonts w:eastAsia="Times New Roman" w:cs="Arial"/>
                <w:color w:val="000000"/>
                <w:sz w:val="18"/>
                <w:szCs w:val="18"/>
                <w:lang w:eastAsia="en-ZA"/>
              </w:rPr>
              <w:t>)</w:t>
            </w:r>
          </w:p>
        </w:tc>
      </w:tr>
      <w:tr w:rsidR="00492484" w:rsidRPr="008E5236" w14:paraId="382123FE" w14:textId="77777777" w:rsidTr="009F6BC9">
        <w:trPr>
          <w:trHeight w:val="285"/>
          <w:jc w:val="center"/>
        </w:trPr>
        <w:tc>
          <w:tcPr>
            <w:tcW w:w="129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159FAB7" w14:textId="77777777" w:rsidR="008E5236" w:rsidRPr="008E5236" w:rsidRDefault="00981797" w:rsidP="008E5236">
            <w:pPr>
              <w:spacing w:after="0" w:line="240" w:lineRule="auto"/>
              <w:jc w:val="right"/>
              <w:rPr>
                <w:rFonts w:eastAsia="Times New Roman" w:cs="Arial"/>
                <w:color w:val="000000"/>
                <w:sz w:val="18"/>
                <w:szCs w:val="18"/>
                <w:lang w:eastAsia="en-ZA"/>
              </w:rPr>
            </w:pPr>
            <w:r>
              <w:rPr>
                <w:rFonts w:eastAsia="Times New Roman" w:cs="Arial"/>
                <w:color w:val="000000"/>
                <w:sz w:val="18"/>
                <w:szCs w:val="18"/>
                <w:lang w:eastAsia="en-ZA"/>
              </w:rPr>
              <w:t>F</w:t>
            </w:r>
            <w:r w:rsidRPr="00981797">
              <w:rPr>
                <w:rFonts w:eastAsia="Times New Roman" w:cs="Arial"/>
                <w:color w:val="000000"/>
                <w:sz w:val="18"/>
                <w:szCs w:val="18"/>
                <w:lang w:eastAsia="en-ZA"/>
              </w:rPr>
              <w:t>alse negative TB test</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F3F03C" w14:textId="77777777" w:rsidR="008E5236" w:rsidRDefault="00C96761" w:rsidP="00C96761">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231</w:t>
            </w:r>
          </w:p>
          <w:p w14:paraId="1053F8A7" w14:textId="6A936BCE" w:rsidR="00C96761" w:rsidRPr="008E5236" w:rsidRDefault="00996D0F" w:rsidP="00C96761">
            <w:pPr>
              <w:spacing w:after="0" w:line="240" w:lineRule="auto"/>
              <w:jc w:val="center"/>
              <w:rPr>
                <w:rFonts w:eastAsia="Times New Roman" w:cs="Arial"/>
                <w:color w:val="000000"/>
                <w:sz w:val="18"/>
                <w:szCs w:val="18"/>
                <w:lang w:eastAsia="en-ZA"/>
              </w:rPr>
            </w:pPr>
            <w:r w:rsidRPr="00996D0F">
              <w:rPr>
                <w:rFonts w:eastAsia="Times New Roman" w:cs="Arial"/>
                <w:color w:val="FF0000"/>
                <w:sz w:val="18"/>
                <w:szCs w:val="18"/>
                <w:lang w:eastAsia="en-ZA"/>
              </w:rPr>
              <w:t>(16.5</w:t>
            </w:r>
            <w:r w:rsidR="00C96761" w:rsidRPr="00996D0F">
              <w:rPr>
                <w:rFonts w:eastAsia="Times New Roman" w:cs="Arial"/>
                <w:color w:val="FF0000"/>
                <w:sz w:val="18"/>
                <w:szCs w:val="18"/>
                <w:lang w:eastAsia="en-ZA"/>
              </w:rPr>
              <w:t>)</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76E3C2" w14:textId="77777777" w:rsid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227</w:t>
            </w:r>
          </w:p>
          <w:p w14:paraId="6C0C28B8" w14:textId="77777777" w:rsidR="00C96761" w:rsidRP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(16.2)</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83113C" w14:textId="77777777" w:rsid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226</w:t>
            </w:r>
          </w:p>
          <w:p w14:paraId="2438E984" w14:textId="77777777" w:rsidR="00C96761" w:rsidRP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(16.2)</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6321B4"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144</w:t>
            </w:r>
          </w:p>
          <w:p w14:paraId="1410CB70"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(10.3)</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594161"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120</w:t>
            </w:r>
          </w:p>
          <w:p w14:paraId="722E2131"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(8.6)</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BC57C6"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88</w:t>
            </w:r>
          </w:p>
          <w:p w14:paraId="4A803440"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(6.3)</w:t>
            </w:r>
          </w:p>
        </w:tc>
        <w:tc>
          <w:tcPr>
            <w:tcW w:w="180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left w:w="57" w:type="dxa"/>
              <w:right w:w="57" w:type="dxa"/>
            </w:tcMar>
            <w:vAlign w:val="bottom"/>
            <w:hideMark/>
          </w:tcPr>
          <w:p w14:paraId="336155B1"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 </w:t>
            </w:r>
          </w:p>
        </w:tc>
      </w:tr>
      <w:tr w:rsidR="00492484" w:rsidRPr="008E5236" w14:paraId="0FF7775F" w14:textId="77777777" w:rsidTr="009F6BC9">
        <w:trPr>
          <w:trHeight w:val="285"/>
          <w:jc w:val="center"/>
        </w:trPr>
        <w:tc>
          <w:tcPr>
            <w:tcW w:w="129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A6EA60E" w14:textId="73E7C009" w:rsidR="008E5236" w:rsidRPr="008E5236" w:rsidRDefault="00DD07C7" w:rsidP="007D2428">
            <w:pPr>
              <w:spacing w:after="0" w:line="240" w:lineRule="auto"/>
              <w:jc w:val="right"/>
              <w:rPr>
                <w:rFonts w:eastAsia="Times New Roman" w:cs="Arial"/>
                <w:color w:val="000000"/>
                <w:sz w:val="18"/>
                <w:szCs w:val="18"/>
                <w:lang w:eastAsia="en-ZA"/>
              </w:rPr>
            </w:pPr>
            <w:r>
              <w:rPr>
                <w:rFonts w:eastAsia="Times New Roman" w:cs="Arial"/>
                <w:color w:val="000000"/>
                <w:sz w:val="18"/>
                <w:szCs w:val="18"/>
                <w:lang w:eastAsia="en-ZA"/>
              </w:rPr>
              <w:t>F</w:t>
            </w:r>
            <w:r w:rsidRPr="00DD07C7">
              <w:rPr>
                <w:rFonts w:eastAsia="Times New Roman" w:cs="Arial"/>
                <w:color w:val="000000"/>
                <w:sz w:val="18"/>
                <w:szCs w:val="18"/>
                <w:lang w:eastAsia="en-ZA"/>
              </w:rPr>
              <w:t>alse negative RMP-R result</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E55EAC"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13</w:t>
            </w:r>
          </w:p>
          <w:p w14:paraId="476DC26D"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(0.9)</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C8B68C"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13</w:t>
            </w:r>
          </w:p>
          <w:p w14:paraId="271008BB"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(0.9)</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2BA8AE"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13</w:t>
            </w:r>
          </w:p>
          <w:p w14:paraId="7EF2DE45"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(0.9)</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5ECB6"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76</w:t>
            </w:r>
          </w:p>
          <w:p w14:paraId="0396CE79"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(5.4)</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BAEF4"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77</w:t>
            </w:r>
          </w:p>
          <w:p w14:paraId="62F3ACEA"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3D8AE3" w14:textId="77777777" w:rsid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78</w:t>
            </w:r>
          </w:p>
          <w:p w14:paraId="0906064D" w14:textId="77777777" w:rsidR="006B781E" w:rsidRPr="008E5236" w:rsidRDefault="006B781E"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(5.6)</w:t>
            </w:r>
          </w:p>
        </w:tc>
        <w:tc>
          <w:tcPr>
            <w:tcW w:w="1804" w:type="dxa"/>
            <w:gridSpan w:val="3"/>
            <w:vMerge/>
            <w:tcBorders>
              <w:top w:val="nil"/>
              <w:left w:val="nil"/>
              <w:bottom w:val="single" w:sz="4" w:space="0" w:color="auto"/>
              <w:right w:val="single" w:sz="4" w:space="0" w:color="auto"/>
            </w:tcBorders>
            <w:tcMar>
              <w:left w:w="57" w:type="dxa"/>
              <w:right w:w="57" w:type="dxa"/>
            </w:tcMar>
            <w:vAlign w:val="center"/>
            <w:hideMark/>
          </w:tcPr>
          <w:p w14:paraId="472C77A9" w14:textId="77777777" w:rsidR="008E5236" w:rsidRPr="008E5236" w:rsidRDefault="008E5236" w:rsidP="008E5236">
            <w:pPr>
              <w:spacing w:after="0" w:line="240" w:lineRule="auto"/>
              <w:rPr>
                <w:rFonts w:eastAsia="Times New Roman" w:cs="Arial"/>
                <w:color w:val="000000"/>
                <w:sz w:val="18"/>
                <w:szCs w:val="18"/>
                <w:lang w:eastAsia="en-ZA"/>
              </w:rPr>
            </w:pPr>
          </w:p>
        </w:tc>
      </w:tr>
      <w:tr w:rsidR="00492484" w:rsidRPr="008E5236" w14:paraId="70C617B9" w14:textId="77777777" w:rsidTr="009F6BC9">
        <w:trPr>
          <w:trHeight w:val="285"/>
          <w:jc w:val="center"/>
        </w:trPr>
        <w:tc>
          <w:tcPr>
            <w:tcW w:w="129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3AB3D59" w14:textId="77777777" w:rsidR="008E5236" w:rsidRPr="008E5236" w:rsidRDefault="008E5236" w:rsidP="008E5236">
            <w:pPr>
              <w:spacing w:after="0" w:line="240" w:lineRule="auto"/>
              <w:jc w:val="right"/>
              <w:rPr>
                <w:rFonts w:eastAsia="Times New Roman" w:cs="Arial"/>
                <w:color w:val="000000"/>
                <w:sz w:val="18"/>
                <w:szCs w:val="18"/>
                <w:lang w:eastAsia="en-ZA"/>
              </w:rPr>
            </w:pPr>
            <w:r w:rsidRPr="008E5236">
              <w:rPr>
                <w:rFonts w:eastAsia="Times New Roman" w:cs="Arial"/>
                <w:color w:val="000000"/>
                <w:sz w:val="18"/>
                <w:szCs w:val="18"/>
                <w:lang w:eastAsia="en-ZA"/>
              </w:rPr>
              <w:t>No DST done</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5D3DE5" w14:textId="77777777" w:rsid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551</w:t>
            </w:r>
          </w:p>
          <w:p w14:paraId="431C6DBB" w14:textId="77777777" w:rsidR="008B53B0" w:rsidRP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(39.4</w:t>
            </w:r>
            <w:r w:rsidR="008B53B0">
              <w:rPr>
                <w:rFonts w:eastAsia="Times New Roman" w:cs="Arial"/>
                <w:color w:val="000000"/>
                <w:sz w:val="18"/>
                <w:szCs w:val="18"/>
                <w:lang w:eastAsia="en-ZA"/>
              </w:rPr>
              <w:t>)</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AA7C5F" w14:textId="77777777" w:rsid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551</w:t>
            </w:r>
          </w:p>
          <w:p w14:paraId="0B720F66" w14:textId="77777777" w:rsidR="008B53B0" w:rsidRP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(39.4</w:t>
            </w:r>
            <w:r w:rsidR="008B53B0">
              <w:rPr>
                <w:rFonts w:eastAsia="Times New Roman" w:cs="Arial"/>
                <w:color w:val="000000"/>
                <w:sz w:val="18"/>
                <w:szCs w:val="18"/>
                <w:lang w:eastAsia="en-ZA"/>
              </w:rPr>
              <w:t>)</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C56916" w14:textId="77777777" w:rsid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551</w:t>
            </w:r>
          </w:p>
          <w:p w14:paraId="7D5D5132" w14:textId="77777777" w:rsidR="008B53B0" w:rsidRPr="008E5236" w:rsidRDefault="00C96761" w:rsidP="0010456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(39.4</w:t>
            </w:r>
            <w:r w:rsidR="008B53B0">
              <w:rPr>
                <w:rFonts w:eastAsia="Times New Roman" w:cs="Arial"/>
                <w:color w:val="000000"/>
                <w:sz w:val="18"/>
                <w:szCs w:val="18"/>
                <w:lang w:eastAsia="en-ZA"/>
              </w:rPr>
              <w:t>)</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00F410" w14:textId="77777777" w:rsidR="008E5236" w:rsidRP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0</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9FB7E5" w14:textId="77777777" w:rsidR="008E5236" w:rsidRP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0</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5E9ADD" w14:textId="77777777" w:rsidR="008E5236" w:rsidRPr="008E5236" w:rsidRDefault="008E5236" w:rsidP="00104569">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0</w:t>
            </w:r>
          </w:p>
        </w:tc>
        <w:tc>
          <w:tcPr>
            <w:tcW w:w="1804" w:type="dxa"/>
            <w:gridSpan w:val="3"/>
            <w:vMerge/>
            <w:tcBorders>
              <w:top w:val="nil"/>
              <w:left w:val="nil"/>
              <w:bottom w:val="single" w:sz="4" w:space="0" w:color="auto"/>
              <w:right w:val="single" w:sz="4" w:space="0" w:color="auto"/>
            </w:tcBorders>
            <w:tcMar>
              <w:left w:w="57" w:type="dxa"/>
              <w:right w:w="57" w:type="dxa"/>
            </w:tcMar>
            <w:vAlign w:val="center"/>
            <w:hideMark/>
          </w:tcPr>
          <w:p w14:paraId="616813A2" w14:textId="77777777" w:rsidR="008E5236" w:rsidRPr="008E5236" w:rsidRDefault="008E5236" w:rsidP="008E5236">
            <w:pPr>
              <w:spacing w:after="0" w:line="240" w:lineRule="auto"/>
              <w:rPr>
                <w:rFonts w:eastAsia="Times New Roman" w:cs="Arial"/>
                <w:color w:val="000000"/>
                <w:sz w:val="18"/>
                <w:szCs w:val="18"/>
                <w:lang w:eastAsia="en-ZA"/>
              </w:rPr>
            </w:pPr>
          </w:p>
        </w:tc>
      </w:tr>
      <w:tr w:rsidR="008E5236" w:rsidRPr="008E5236" w14:paraId="75E9C872" w14:textId="77777777" w:rsidTr="009F6BC9">
        <w:trPr>
          <w:trHeight w:val="330"/>
          <w:jc w:val="center"/>
        </w:trPr>
        <w:tc>
          <w:tcPr>
            <w:tcW w:w="9272" w:type="dxa"/>
            <w:gridSpan w:val="10"/>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hideMark/>
          </w:tcPr>
          <w:p w14:paraId="7A89074B" w14:textId="77777777" w:rsidR="008E5236" w:rsidRPr="008E5236" w:rsidRDefault="008E5236" w:rsidP="008E5236">
            <w:pPr>
              <w:spacing w:after="0" w:line="240" w:lineRule="auto"/>
              <w:rPr>
                <w:rFonts w:eastAsia="Times New Roman" w:cs="Arial"/>
                <w:color w:val="000000"/>
                <w:sz w:val="18"/>
                <w:szCs w:val="18"/>
                <w:lang w:eastAsia="en-ZA"/>
              </w:rPr>
            </w:pPr>
            <w:r w:rsidRPr="008E5236">
              <w:rPr>
                <w:rFonts w:eastAsia="Times New Roman" w:cs="Arial"/>
                <w:color w:val="000000"/>
                <w:sz w:val="18"/>
                <w:szCs w:val="18"/>
                <w:lang w:eastAsia="en-ZA"/>
              </w:rPr>
              <w:t>Laboratory diagnostic cost</w:t>
            </w:r>
          </w:p>
        </w:tc>
      </w:tr>
      <w:tr w:rsidR="00492484" w:rsidRPr="008E5236" w14:paraId="44A34A75" w14:textId="77777777" w:rsidTr="009F6BC9">
        <w:trPr>
          <w:trHeight w:val="600"/>
          <w:jc w:val="center"/>
        </w:trPr>
        <w:tc>
          <w:tcPr>
            <w:tcW w:w="129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4BBB587" w14:textId="77777777" w:rsidR="008E5236" w:rsidRPr="008E5236" w:rsidRDefault="008E5236" w:rsidP="008E5236">
            <w:pPr>
              <w:spacing w:after="0" w:line="240" w:lineRule="auto"/>
              <w:rPr>
                <w:rFonts w:eastAsia="Times New Roman" w:cs="Arial"/>
                <w:color w:val="000000"/>
                <w:sz w:val="18"/>
                <w:szCs w:val="18"/>
                <w:lang w:eastAsia="en-ZA"/>
              </w:rPr>
            </w:pPr>
            <w:r w:rsidRPr="008E5236">
              <w:rPr>
                <w:rFonts w:eastAsia="Times New Roman" w:cs="Arial"/>
                <w:color w:val="000000"/>
                <w:sz w:val="18"/>
                <w:szCs w:val="18"/>
                <w:lang w:eastAsia="en-ZA"/>
              </w:rPr>
              <w:t>Total TB diagnostic costs</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2FB61D"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BE0CB2">
              <w:rPr>
                <w:rFonts w:eastAsia="Times New Roman" w:cs="Arial"/>
                <w:color w:val="000000"/>
                <w:sz w:val="18"/>
                <w:szCs w:val="18"/>
                <w:lang w:eastAsia="en-ZA"/>
              </w:rPr>
              <w:t>,</w:t>
            </w:r>
            <w:r w:rsidRPr="008E5236">
              <w:rPr>
                <w:rFonts w:eastAsia="Times New Roman" w:cs="Arial"/>
                <w:color w:val="000000"/>
                <w:sz w:val="18"/>
                <w:szCs w:val="18"/>
                <w:lang w:eastAsia="en-ZA"/>
              </w:rPr>
              <w:t>073</w:t>
            </w:r>
            <w:r w:rsidR="00BE0CB2">
              <w:rPr>
                <w:rFonts w:eastAsia="Times New Roman" w:cs="Arial"/>
                <w:color w:val="000000"/>
                <w:sz w:val="18"/>
                <w:szCs w:val="18"/>
                <w:lang w:eastAsia="en-ZA"/>
              </w:rPr>
              <w:t>,</w:t>
            </w:r>
            <w:r w:rsidRPr="008E5236">
              <w:rPr>
                <w:rFonts w:eastAsia="Times New Roman" w:cs="Arial"/>
                <w:color w:val="000000"/>
                <w:sz w:val="18"/>
                <w:szCs w:val="18"/>
                <w:lang w:eastAsia="en-ZA"/>
              </w:rPr>
              <w:t>858</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6A479B"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159</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092</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49F3AD"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240</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777</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16230B"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430</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050</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4B25C1"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567</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444</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F41EE7"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700</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384</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5249D4" w14:textId="77777777" w:rsidR="008E5236" w:rsidRPr="008E5236" w:rsidRDefault="00C96761"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126.3</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E70F8E" w14:textId="77777777" w:rsidR="008E5236" w:rsidRPr="008E5236" w:rsidRDefault="00C96761"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121.5</w:t>
            </w:r>
          </w:p>
        </w:tc>
        <w:tc>
          <w:tcPr>
            <w:tcW w:w="65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4C5D48" w14:textId="77777777" w:rsidR="008E5236" w:rsidRPr="008E5236" w:rsidRDefault="00C96761"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117.6</w:t>
            </w:r>
          </w:p>
        </w:tc>
      </w:tr>
      <w:tr w:rsidR="00492484" w:rsidRPr="008E5236" w14:paraId="43BEA1E4" w14:textId="77777777" w:rsidTr="009F6BC9">
        <w:trPr>
          <w:trHeight w:val="600"/>
          <w:jc w:val="center"/>
        </w:trPr>
        <w:tc>
          <w:tcPr>
            <w:tcW w:w="129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76C36EE" w14:textId="77777777" w:rsidR="008E5236" w:rsidRPr="008E5236" w:rsidRDefault="008E5236" w:rsidP="006A0824">
            <w:pPr>
              <w:spacing w:after="0" w:line="240" w:lineRule="auto"/>
              <w:rPr>
                <w:rFonts w:eastAsia="Times New Roman" w:cs="Arial"/>
                <w:color w:val="000000"/>
                <w:sz w:val="18"/>
                <w:szCs w:val="18"/>
                <w:lang w:eastAsia="en-ZA"/>
              </w:rPr>
            </w:pPr>
            <w:r w:rsidRPr="008E5236">
              <w:rPr>
                <w:rFonts w:eastAsia="Times New Roman" w:cs="Arial"/>
                <w:color w:val="000000"/>
                <w:sz w:val="18"/>
                <w:szCs w:val="18"/>
                <w:lang w:eastAsia="en-ZA"/>
              </w:rPr>
              <w:t xml:space="preserve">Cost per </w:t>
            </w:r>
            <w:r w:rsidR="007D2428" w:rsidRPr="007D2428">
              <w:rPr>
                <w:rFonts w:eastAsia="Times New Roman" w:cs="Arial"/>
                <w:color w:val="000000"/>
                <w:sz w:val="18"/>
                <w:szCs w:val="18"/>
                <w:lang w:eastAsia="en-ZA"/>
              </w:rPr>
              <w:t xml:space="preserve">RMP-R </w:t>
            </w:r>
            <w:r w:rsidRPr="008E5236">
              <w:rPr>
                <w:rFonts w:eastAsia="Times New Roman" w:cs="Arial"/>
                <w:color w:val="000000"/>
                <w:sz w:val="18"/>
                <w:szCs w:val="18"/>
                <w:lang w:eastAsia="en-ZA"/>
              </w:rPr>
              <w:t xml:space="preserve">TB case </w:t>
            </w:r>
            <w:r w:rsidR="006A0824">
              <w:rPr>
                <w:rFonts w:eastAsia="Times New Roman" w:cs="Arial"/>
                <w:color w:val="000000"/>
                <w:sz w:val="18"/>
                <w:szCs w:val="18"/>
                <w:lang w:eastAsia="en-ZA"/>
              </w:rPr>
              <w:t>identified</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842CCB"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781</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B72389"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1</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910</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DB3D05"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041</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C0EB91"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063</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19F22B"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138</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6C22F5" w14:textId="77777777" w:rsidR="008E5236" w:rsidRPr="008E5236" w:rsidRDefault="008E5236"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192</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85C17B" w14:textId="77777777" w:rsidR="008E5236" w:rsidRPr="008E5236" w:rsidRDefault="00C96761"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15.8</w:t>
            </w:r>
          </w:p>
        </w:tc>
        <w:tc>
          <w:tcPr>
            <w:tcW w:w="5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5C7988" w14:textId="77777777" w:rsidR="008E5236" w:rsidRPr="008E5236" w:rsidRDefault="00C96761"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12.0</w:t>
            </w:r>
          </w:p>
        </w:tc>
        <w:tc>
          <w:tcPr>
            <w:tcW w:w="65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AF14D2" w14:textId="77777777" w:rsidR="008E5236" w:rsidRPr="008E5236" w:rsidRDefault="00C96761" w:rsidP="008E5236">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7.4</w:t>
            </w:r>
          </w:p>
        </w:tc>
      </w:tr>
      <w:tr w:rsidR="005F1A80" w:rsidRPr="008E5236" w14:paraId="1B03BA0B" w14:textId="77777777" w:rsidTr="009F6BC9">
        <w:trPr>
          <w:trHeight w:val="600"/>
          <w:jc w:val="center"/>
        </w:trPr>
        <w:tc>
          <w:tcPr>
            <w:tcW w:w="1297"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3558D5C" w14:textId="77777777" w:rsidR="005F1A80" w:rsidRPr="008E5236" w:rsidRDefault="005F1A80" w:rsidP="006A0824">
            <w:pPr>
              <w:spacing w:after="0" w:line="240" w:lineRule="auto"/>
              <w:rPr>
                <w:rFonts w:eastAsia="Times New Roman" w:cs="Arial"/>
                <w:color w:val="000000"/>
                <w:sz w:val="18"/>
                <w:szCs w:val="18"/>
                <w:lang w:eastAsia="en-ZA"/>
              </w:rPr>
            </w:pPr>
            <w:r w:rsidRPr="008E5236">
              <w:rPr>
                <w:rFonts w:eastAsia="Times New Roman" w:cs="Arial"/>
                <w:color w:val="000000"/>
                <w:sz w:val="18"/>
                <w:szCs w:val="18"/>
                <w:lang w:eastAsia="en-ZA"/>
              </w:rPr>
              <w:t xml:space="preserve">Cost per additional </w:t>
            </w:r>
            <w:r w:rsidR="007D2428" w:rsidRPr="007D2428">
              <w:rPr>
                <w:rFonts w:eastAsia="Times New Roman" w:cs="Arial"/>
                <w:color w:val="000000"/>
                <w:sz w:val="18"/>
                <w:szCs w:val="18"/>
                <w:lang w:eastAsia="en-ZA"/>
              </w:rPr>
              <w:t xml:space="preserve">RMP-R </w:t>
            </w:r>
            <w:r w:rsidRPr="008E5236">
              <w:rPr>
                <w:rFonts w:eastAsia="Times New Roman" w:cs="Arial"/>
                <w:color w:val="000000"/>
                <w:sz w:val="18"/>
                <w:szCs w:val="18"/>
                <w:lang w:eastAsia="en-ZA"/>
              </w:rPr>
              <w:t xml:space="preserve">TB case </w:t>
            </w:r>
            <w:r w:rsidR="006A0824">
              <w:rPr>
                <w:rFonts w:eastAsia="Times New Roman" w:cs="Arial"/>
                <w:color w:val="000000"/>
                <w:sz w:val="18"/>
                <w:szCs w:val="18"/>
                <w:lang w:eastAsia="en-ZA"/>
              </w:rPr>
              <w:t>identified</w:t>
            </w:r>
          </w:p>
        </w:tc>
        <w:tc>
          <w:tcPr>
            <w:tcW w:w="3085"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041CBA9F" w14:textId="77777777" w:rsidR="005F1A80" w:rsidRPr="008E5236" w:rsidRDefault="005F1A80"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 </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302214" w14:textId="77777777" w:rsidR="005F1A80" w:rsidRPr="008E5236" w:rsidRDefault="005F1A80"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359</w:t>
            </w:r>
          </w:p>
        </w:tc>
        <w:tc>
          <w:tcPr>
            <w:tcW w:w="102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983B93" w14:textId="77777777" w:rsidR="005F1A80" w:rsidRPr="008E5236" w:rsidRDefault="005F1A80"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371</w:t>
            </w:r>
          </w:p>
        </w:tc>
        <w:tc>
          <w:tcPr>
            <w:tcW w:w="102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3235DD" w14:textId="77777777" w:rsidR="005F1A80" w:rsidRPr="008E5236" w:rsidRDefault="005F1A80"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2</w:t>
            </w:r>
            <w:r w:rsidR="00230BA8">
              <w:rPr>
                <w:rFonts w:eastAsia="Times New Roman" w:cs="Arial"/>
                <w:color w:val="000000"/>
                <w:sz w:val="18"/>
                <w:szCs w:val="18"/>
                <w:lang w:eastAsia="en-ZA"/>
              </w:rPr>
              <w:t>,</w:t>
            </w:r>
            <w:r w:rsidRPr="008E5236">
              <w:rPr>
                <w:rFonts w:eastAsia="Times New Roman" w:cs="Arial"/>
                <w:color w:val="000000"/>
                <w:sz w:val="18"/>
                <w:szCs w:val="18"/>
                <w:lang w:eastAsia="en-ZA"/>
              </w:rPr>
              <w:t>339</w:t>
            </w:r>
          </w:p>
        </w:tc>
        <w:tc>
          <w:tcPr>
            <w:tcW w:w="180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6A4959B7" w14:textId="77777777" w:rsidR="005F1A80" w:rsidRPr="008E5236" w:rsidRDefault="005F1A80" w:rsidP="008E5236">
            <w:pPr>
              <w:spacing w:after="0" w:line="240" w:lineRule="auto"/>
              <w:jc w:val="center"/>
              <w:rPr>
                <w:rFonts w:eastAsia="Times New Roman" w:cs="Arial"/>
                <w:color w:val="000000"/>
                <w:sz w:val="18"/>
                <w:szCs w:val="18"/>
                <w:lang w:eastAsia="en-ZA"/>
              </w:rPr>
            </w:pPr>
            <w:r w:rsidRPr="008E5236">
              <w:rPr>
                <w:rFonts w:eastAsia="Times New Roman" w:cs="Arial"/>
                <w:color w:val="000000"/>
                <w:sz w:val="18"/>
                <w:szCs w:val="18"/>
                <w:lang w:eastAsia="en-ZA"/>
              </w:rPr>
              <w:t> </w:t>
            </w:r>
          </w:p>
        </w:tc>
      </w:tr>
    </w:tbl>
    <w:p w14:paraId="7904F56F" w14:textId="77777777" w:rsidR="00B4115A" w:rsidRPr="00F00107" w:rsidRDefault="0088662C" w:rsidP="0088662C">
      <w:pPr>
        <w:tabs>
          <w:tab w:val="left" w:pos="3833"/>
        </w:tabs>
        <w:rPr>
          <w:rFonts w:cs="Arial"/>
          <w:sz w:val="20"/>
          <w:szCs w:val="20"/>
        </w:rPr>
      </w:pPr>
      <w:r w:rsidRPr="00F00107">
        <w:rPr>
          <w:rFonts w:cs="Arial"/>
          <w:sz w:val="20"/>
          <w:szCs w:val="20"/>
        </w:rPr>
        <w:t xml:space="preserve">Amongst the population of 100,000 presumptive TB cases there were </w:t>
      </w:r>
      <w:r w:rsidRPr="00F00107">
        <w:rPr>
          <w:rFonts w:eastAsia="Times New Roman" w:cs="Arial"/>
          <w:color w:val="000000"/>
          <w:sz w:val="20"/>
          <w:szCs w:val="20"/>
          <w:lang w:eastAsia="en-ZA"/>
        </w:rPr>
        <w:t xml:space="preserve">18,155 </w:t>
      </w:r>
      <w:r w:rsidR="00AF1171">
        <w:rPr>
          <w:rFonts w:eastAsia="Times New Roman" w:cs="Arial"/>
          <w:color w:val="000000"/>
          <w:sz w:val="20"/>
          <w:szCs w:val="20"/>
          <w:lang w:eastAsia="en-ZA"/>
        </w:rPr>
        <w:t xml:space="preserve">true TB cases and 1,398 true </w:t>
      </w:r>
      <w:r w:rsidR="00517C82" w:rsidRPr="001500E1">
        <w:rPr>
          <w:rFonts w:cs="Arial"/>
          <w:sz w:val="20"/>
          <w:szCs w:val="20"/>
        </w:rPr>
        <w:t>RMP-R</w:t>
      </w:r>
      <w:r w:rsidR="00517C82" w:rsidRPr="00F00107">
        <w:rPr>
          <w:rFonts w:eastAsia="Times New Roman" w:cs="Arial"/>
          <w:color w:val="000000"/>
          <w:sz w:val="20"/>
          <w:szCs w:val="20"/>
          <w:lang w:eastAsia="en-ZA"/>
        </w:rPr>
        <w:t xml:space="preserve"> </w:t>
      </w:r>
      <w:r w:rsidRPr="00F00107">
        <w:rPr>
          <w:rFonts w:eastAsia="Times New Roman" w:cs="Arial"/>
          <w:color w:val="000000"/>
          <w:sz w:val="20"/>
          <w:szCs w:val="20"/>
          <w:lang w:eastAsia="en-ZA"/>
        </w:rPr>
        <w:t>TB cases.</w:t>
      </w:r>
      <w:r w:rsidR="00446180">
        <w:rPr>
          <w:rFonts w:eastAsia="Times New Roman" w:cs="Arial"/>
          <w:color w:val="000000"/>
          <w:sz w:val="20"/>
          <w:szCs w:val="20"/>
          <w:lang w:eastAsia="en-ZA"/>
        </w:rPr>
        <w:t xml:space="preserve"> </w:t>
      </w:r>
      <w:r w:rsidR="00687A3D" w:rsidRPr="00F00107">
        <w:rPr>
          <w:rFonts w:cs="Arial"/>
          <w:sz w:val="20"/>
          <w:szCs w:val="20"/>
        </w:rPr>
        <w:t>Adherence to algorithms at 100%.</w:t>
      </w:r>
      <w:r w:rsidR="00446180">
        <w:rPr>
          <w:rFonts w:cs="Arial"/>
          <w:sz w:val="20"/>
          <w:szCs w:val="20"/>
        </w:rPr>
        <w:t xml:space="preserve"> </w:t>
      </w:r>
      <w:r w:rsidR="00B4115A" w:rsidRPr="00F00107">
        <w:rPr>
          <w:rFonts w:cs="Arial"/>
          <w:sz w:val="20"/>
          <w:szCs w:val="20"/>
        </w:rPr>
        <w:t>All costs are expressed in 2013 CPI-adjusted values and in US$.</w:t>
      </w:r>
      <w:r w:rsidR="00EF67A3">
        <w:rPr>
          <w:rFonts w:cs="Arial"/>
          <w:sz w:val="20"/>
          <w:szCs w:val="20"/>
        </w:rPr>
        <w:br/>
        <w:t>* Proportion of presumptive TB cases that knew their HIV status.</w:t>
      </w:r>
    </w:p>
    <w:p w14:paraId="4E48A16E" w14:textId="77777777" w:rsidR="00F83A31" w:rsidRDefault="00F83A31">
      <w:pPr>
        <w:rPr>
          <w:rFonts w:eastAsia="Calibri" w:cs="Times New Roman"/>
          <w:i/>
          <w:iCs/>
          <w:sz w:val="20"/>
          <w:szCs w:val="18"/>
        </w:rPr>
      </w:pPr>
      <w:r>
        <w:br w:type="page"/>
      </w:r>
    </w:p>
    <w:p w14:paraId="5365C769" w14:textId="77777777" w:rsidR="00AD53CB" w:rsidRDefault="00AD53CB" w:rsidP="00AD53CB">
      <w:pPr>
        <w:pStyle w:val="Caption"/>
      </w:pPr>
      <w:r>
        <w:lastRenderedPageBreak/>
        <w:t xml:space="preserve">Table </w:t>
      </w:r>
      <w:r w:rsidR="00C47B7A">
        <w:fldChar w:fldCharType="begin"/>
      </w:r>
      <w:r w:rsidR="00C47B7A">
        <w:instrText xml:space="preserve"> SEQ Table \* ARABIC </w:instrText>
      </w:r>
      <w:r w:rsidR="00C47B7A">
        <w:fldChar w:fldCharType="separate"/>
      </w:r>
      <w:r w:rsidR="00835AB7">
        <w:rPr>
          <w:noProof/>
        </w:rPr>
        <w:t>4</w:t>
      </w:r>
      <w:r w:rsidR="00C47B7A">
        <w:rPr>
          <w:noProof/>
        </w:rPr>
        <w:fldChar w:fldCharType="end"/>
      </w:r>
      <w:r w:rsidR="00311A11">
        <w:t xml:space="preserve">: </w:t>
      </w:r>
      <w:r w:rsidR="00340B5A">
        <w:t xml:space="preserve">The number and </w:t>
      </w:r>
      <w:r w:rsidR="00F662C4">
        <w:t>percentage</w:t>
      </w:r>
      <w:r w:rsidR="00340B5A">
        <w:t xml:space="preserve"> of </w:t>
      </w:r>
      <w:r w:rsidR="00201F4C" w:rsidRPr="00CF565A">
        <w:rPr>
          <w:rFonts w:cs="Arial"/>
          <w:szCs w:val="20"/>
        </w:rPr>
        <w:t xml:space="preserve">TB and </w:t>
      </w:r>
      <w:r w:rsidR="00042FA9" w:rsidRPr="001500E1">
        <w:rPr>
          <w:rFonts w:cs="Arial"/>
          <w:szCs w:val="20"/>
        </w:rPr>
        <w:t>RMP-R</w:t>
      </w:r>
      <w:r w:rsidR="00042FA9" w:rsidRPr="00CF565A">
        <w:rPr>
          <w:rFonts w:cs="Arial"/>
          <w:szCs w:val="20"/>
        </w:rPr>
        <w:t xml:space="preserve"> </w:t>
      </w:r>
      <w:r w:rsidR="00201F4C" w:rsidRPr="00CF565A">
        <w:rPr>
          <w:rFonts w:cs="Arial"/>
          <w:szCs w:val="20"/>
        </w:rPr>
        <w:t xml:space="preserve">TB </w:t>
      </w:r>
      <w:r w:rsidR="00340B5A">
        <w:rPr>
          <w:rFonts w:cs="Arial"/>
          <w:szCs w:val="20"/>
        </w:rPr>
        <w:t xml:space="preserve">cases </w:t>
      </w:r>
      <w:r w:rsidR="00F662C4">
        <w:rPr>
          <w:rFonts w:cs="Arial"/>
          <w:szCs w:val="20"/>
        </w:rPr>
        <w:t>identified</w:t>
      </w:r>
      <w:r w:rsidR="002A1C87">
        <w:rPr>
          <w:rFonts w:cs="Arial"/>
          <w:szCs w:val="20"/>
        </w:rPr>
        <w:t xml:space="preserve"> in a</w:t>
      </w:r>
      <w:r w:rsidR="005A1E3F">
        <w:rPr>
          <w:rFonts w:cs="Arial"/>
          <w:szCs w:val="20"/>
        </w:rPr>
        <w:t>n</w:t>
      </w:r>
      <w:r w:rsidR="002A1C87">
        <w:rPr>
          <w:rFonts w:cs="Arial"/>
          <w:szCs w:val="20"/>
        </w:rPr>
        <w:t xml:space="preserve"> Xpert-based </w:t>
      </w:r>
      <w:r w:rsidR="00B6394A">
        <w:rPr>
          <w:rFonts w:cs="Arial"/>
          <w:szCs w:val="20"/>
        </w:rPr>
        <w:t>algorithm</w:t>
      </w:r>
      <w:r w:rsidR="00340B5A">
        <w:rPr>
          <w:rFonts w:cs="Arial"/>
          <w:szCs w:val="20"/>
        </w:rPr>
        <w:t xml:space="preserve"> </w:t>
      </w:r>
      <w:r w:rsidR="006121E0">
        <w:rPr>
          <w:rFonts w:cs="Arial"/>
          <w:szCs w:val="20"/>
        </w:rPr>
        <w:t xml:space="preserve">with varying </w:t>
      </w:r>
      <w:r w:rsidR="00201F4C" w:rsidRPr="00CF565A">
        <w:rPr>
          <w:rFonts w:cs="Arial"/>
          <w:szCs w:val="20"/>
        </w:rPr>
        <w:t>adherence to the algorithm</w:t>
      </w:r>
      <w:r w:rsidR="00D533AC">
        <w:rPr>
          <w:rFonts w:cs="Arial"/>
          <w:szCs w:val="20"/>
        </w:rPr>
        <w:t xml:space="preserve"> </w:t>
      </w:r>
      <w:r w:rsidR="006121E0">
        <w:rPr>
          <w:rFonts w:cs="Arial"/>
          <w:szCs w:val="20"/>
        </w:rPr>
        <w:t>and proportion that knew their HIV status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898"/>
        <w:gridCol w:w="201"/>
        <w:gridCol w:w="971"/>
        <w:gridCol w:w="129"/>
        <w:gridCol w:w="1044"/>
        <w:gridCol w:w="55"/>
        <w:gridCol w:w="1117"/>
        <w:gridCol w:w="1172"/>
        <w:gridCol w:w="1172"/>
      </w:tblGrid>
      <w:tr w:rsidR="00170844" w:rsidRPr="000660BF" w14:paraId="6981E2C9" w14:textId="77777777" w:rsidTr="009F6BC9">
        <w:trPr>
          <w:trHeight w:val="285"/>
          <w:jc w:val="center"/>
        </w:trPr>
        <w:tc>
          <w:tcPr>
            <w:tcW w:w="2320" w:type="dxa"/>
            <w:vMerge w:val="restart"/>
            <w:shd w:val="clear" w:color="auto" w:fill="auto"/>
            <w:noWrap/>
            <w:vAlign w:val="center"/>
            <w:hideMark/>
          </w:tcPr>
          <w:p w14:paraId="029FE7CE" w14:textId="77777777" w:rsidR="00170844" w:rsidRPr="000660BF" w:rsidRDefault="00170844" w:rsidP="00BA5952">
            <w:pPr>
              <w:spacing w:after="0" w:line="240" w:lineRule="auto"/>
              <w:jc w:val="center"/>
              <w:rPr>
                <w:rFonts w:eastAsia="Times New Roman" w:cs="Arial"/>
                <w:color w:val="000000"/>
                <w:sz w:val="18"/>
                <w:szCs w:val="18"/>
                <w:lang w:eastAsia="en-ZA"/>
              </w:rPr>
            </w:pPr>
          </w:p>
        </w:tc>
        <w:tc>
          <w:tcPr>
            <w:tcW w:w="6922" w:type="dxa"/>
            <w:gridSpan w:val="9"/>
            <w:shd w:val="clear" w:color="auto" w:fill="auto"/>
            <w:noWrap/>
            <w:vAlign w:val="bottom"/>
            <w:hideMark/>
          </w:tcPr>
          <w:p w14:paraId="4B8C8973" w14:textId="77777777" w:rsidR="00170844" w:rsidRPr="000660BF" w:rsidRDefault="00170844" w:rsidP="009F6BC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A</w:t>
            </w:r>
            <w:r w:rsidR="007F7DF0">
              <w:rPr>
                <w:rFonts w:eastAsia="Times New Roman" w:cs="Arial"/>
                <w:color w:val="000000"/>
                <w:sz w:val="18"/>
                <w:szCs w:val="18"/>
                <w:lang w:eastAsia="en-ZA"/>
              </w:rPr>
              <w:t xml:space="preserve">dherence to </w:t>
            </w:r>
            <w:r w:rsidR="004625E3">
              <w:rPr>
                <w:rFonts w:eastAsia="Times New Roman" w:cs="Arial"/>
                <w:color w:val="000000"/>
                <w:sz w:val="18"/>
                <w:szCs w:val="18"/>
                <w:lang w:eastAsia="en-ZA"/>
              </w:rPr>
              <w:t xml:space="preserve">the </w:t>
            </w:r>
            <w:r w:rsidR="009F6BC9">
              <w:rPr>
                <w:rFonts w:eastAsia="Times New Roman" w:cs="Arial"/>
                <w:color w:val="000000"/>
                <w:sz w:val="18"/>
                <w:szCs w:val="18"/>
                <w:lang w:eastAsia="en-ZA"/>
              </w:rPr>
              <w:t>Xpert-based</w:t>
            </w:r>
            <w:r w:rsidR="007F7DF0">
              <w:rPr>
                <w:rFonts w:eastAsia="Times New Roman" w:cs="Arial"/>
                <w:color w:val="000000"/>
                <w:sz w:val="18"/>
                <w:szCs w:val="18"/>
                <w:lang w:eastAsia="en-ZA"/>
              </w:rPr>
              <w:t xml:space="preserve"> algorithm</w:t>
            </w:r>
          </w:p>
        </w:tc>
      </w:tr>
      <w:tr w:rsidR="00170844" w:rsidRPr="000660BF" w14:paraId="5F72C925" w14:textId="77777777" w:rsidTr="009F6BC9">
        <w:trPr>
          <w:trHeight w:val="293"/>
          <w:jc w:val="center"/>
        </w:trPr>
        <w:tc>
          <w:tcPr>
            <w:tcW w:w="2320" w:type="dxa"/>
            <w:vMerge/>
            <w:shd w:val="clear" w:color="auto" w:fill="auto"/>
            <w:noWrap/>
            <w:vAlign w:val="bottom"/>
            <w:hideMark/>
          </w:tcPr>
          <w:p w14:paraId="36E619FA" w14:textId="77777777" w:rsidR="00170844" w:rsidRPr="000660BF" w:rsidRDefault="00170844" w:rsidP="00BA5952">
            <w:pPr>
              <w:spacing w:after="0" w:line="240" w:lineRule="auto"/>
              <w:rPr>
                <w:rFonts w:eastAsia="Times New Roman" w:cs="Arial"/>
                <w:color w:val="000000"/>
                <w:sz w:val="18"/>
                <w:szCs w:val="18"/>
                <w:lang w:eastAsia="en-ZA"/>
              </w:rPr>
            </w:pPr>
          </w:p>
        </w:tc>
        <w:tc>
          <w:tcPr>
            <w:tcW w:w="1125" w:type="dxa"/>
            <w:gridSpan w:val="2"/>
            <w:shd w:val="clear" w:color="auto" w:fill="auto"/>
            <w:noWrap/>
            <w:vAlign w:val="center"/>
            <w:hideMark/>
          </w:tcPr>
          <w:p w14:paraId="347F674F" w14:textId="77777777" w:rsidR="00170844" w:rsidRPr="000660BF" w:rsidRDefault="00170844" w:rsidP="00E914F8">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50</w:t>
            </w:r>
            <w:r w:rsidR="007F7DF0">
              <w:rPr>
                <w:rFonts w:eastAsia="Times New Roman" w:cs="Arial"/>
                <w:color w:val="000000"/>
                <w:sz w:val="18"/>
                <w:szCs w:val="18"/>
                <w:lang w:eastAsia="en-ZA"/>
              </w:rPr>
              <w:t>%</w:t>
            </w:r>
          </w:p>
        </w:tc>
        <w:tc>
          <w:tcPr>
            <w:tcW w:w="1126" w:type="dxa"/>
            <w:gridSpan w:val="2"/>
            <w:shd w:val="clear" w:color="auto" w:fill="auto"/>
            <w:noWrap/>
            <w:vAlign w:val="center"/>
            <w:hideMark/>
          </w:tcPr>
          <w:p w14:paraId="16AB1339" w14:textId="77777777" w:rsidR="00170844" w:rsidRPr="000660BF" w:rsidRDefault="00170844" w:rsidP="00E914F8">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60</w:t>
            </w:r>
            <w:r w:rsidR="007F7DF0">
              <w:rPr>
                <w:rFonts w:eastAsia="Times New Roman" w:cs="Arial"/>
                <w:color w:val="000000"/>
                <w:sz w:val="18"/>
                <w:szCs w:val="18"/>
                <w:lang w:eastAsia="en-ZA"/>
              </w:rPr>
              <w:t>%</w:t>
            </w:r>
          </w:p>
        </w:tc>
        <w:tc>
          <w:tcPr>
            <w:tcW w:w="1125" w:type="dxa"/>
            <w:gridSpan w:val="2"/>
            <w:shd w:val="clear" w:color="auto" w:fill="auto"/>
            <w:noWrap/>
            <w:vAlign w:val="center"/>
            <w:hideMark/>
          </w:tcPr>
          <w:p w14:paraId="3C0D3D29" w14:textId="77777777" w:rsidR="00170844" w:rsidRPr="000660BF" w:rsidRDefault="00170844" w:rsidP="00E914F8">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70</w:t>
            </w:r>
            <w:r w:rsidR="007F7DF0">
              <w:rPr>
                <w:rFonts w:eastAsia="Times New Roman" w:cs="Arial"/>
                <w:color w:val="000000"/>
                <w:sz w:val="18"/>
                <w:szCs w:val="18"/>
                <w:lang w:eastAsia="en-ZA"/>
              </w:rPr>
              <w:t>%</w:t>
            </w:r>
          </w:p>
        </w:tc>
        <w:tc>
          <w:tcPr>
            <w:tcW w:w="1144" w:type="dxa"/>
            <w:shd w:val="clear" w:color="auto" w:fill="auto"/>
            <w:noWrap/>
            <w:vAlign w:val="center"/>
            <w:hideMark/>
          </w:tcPr>
          <w:p w14:paraId="62F0245C" w14:textId="77777777" w:rsidR="00170844" w:rsidRPr="000660BF" w:rsidRDefault="00170844" w:rsidP="00E914F8">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80</w:t>
            </w:r>
            <w:r w:rsidR="007F7DF0">
              <w:rPr>
                <w:rFonts w:eastAsia="Times New Roman" w:cs="Arial"/>
                <w:color w:val="000000"/>
                <w:sz w:val="18"/>
                <w:szCs w:val="18"/>
                <w:lang w:eastAsia="en-ZA"/>
              </w:rPr>
              <w:t>%</w:t>
            </w:r>
          </w:p>
        </w:tc>
        <w:tc>
          <w:tcPr>
            <w:tcW w:w="1201" w:type="dxa"/>
            <w:shd w:val="clear" w:color="auto" w:fill="auto"/>
            <w:noWrap/>
            <w:vAlign w:val="center"/>
            <w:hideMark/>
          </w:tcPr>
          <w:p w14:paraId="31AFCECA" w14:textId="77777777" w:rsidR="00170844" w:rsidRPr="000660BF" w:rsidRDefault="00170844" w:rsidP="00E914F8">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90</w:t>
            </w:r>
            <w:r w:rsidR="007F7DF0">
              <w:rPr>
                <w:rFonts w:eastAsia="Times New Roman" w:cs="Arial"/>
                <w:color w:val="000000"/>
                <w:sz w:val="18"/>
                <w:szCs w:val="18"/>
                <w:lang w:eastAsia="en-ZA"/>
              </w:rPr>
              <w:t>%</w:t>
            </w:r>
          </w:p>
        </w:tc>
        <w:tc>
          <w:tcPr>
            <w:tcW w:w="1201" w:type="dxa"/>
            <w:shd w:val="clear" w:color="auto" w:fill="auto"/>
            <w:noWrap/>
            <w:vAlign w:val="center"/>
            <w:hideMark/>
          </w:tcPr>
          <w:p w14:paraId="409CEE67" w14:textId="77777777" w:rsidR="00170844" w:rsidRPr="000660BF" w:rsidRDefault="00170844" w:rsidP="00E914F8">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100</w:t>
            </w:r>
            <w:r w:rsidR="007F7DF0">
              <w:rPr>
                <w:rFonts w:eastAsia="Times New Roman" w:cs="Arial"/>
                <w:color w:val="000000"/>
                <w:sz w:val="18"/>
                <w:szCs w:val="18"/>
                <w:lang w:eastAsia="en-ZA"/>
              </w:rPr>
              <w:t>%</w:t>
            </w:r>
          </w:p>
        </w:tc>
      </w:tr>
      <w:tr w:rsidR="000660BF" w:rsidRPr="000660BF" w14:paraId="56AD0B43" w14:textId="77777777" w:rsidTr="008B5E2B">
        <w:trPr>
          <w:trHeight w:val="285"/>
          <w:jc w:val="center"/>
        </w:trPr>
        <w:tc>
          <w:tcPr>
            <w:tcW w:w="9242" w:type="dxa"/>
            <w:gridSpan w:val="10"/>
            <w:shd w:val="clear" w:color="auto" w:fill="auto"/>
            <w:noWrap/>
            <w:vAlign w:val="center"/>
          </w:tcPr>
          <w:p w14:paraId="519B8794" w14:textId="77777777" w:rsidR="000660BF" w:rsidRPr="000660BF" w:rsidRDefault="000660BF" w:rsidP="009F6BC9">
            <w:pPr>
              <w:spacing w:after="0" w:line="240" w:lineRule="auto"/>
              <w:rPr>
                <w:rFonts w:eastAsia="Times New Roman" w:cs="Arial"/>
                <w:color w:val="000000"/>
                <w:sz w:val="18"/>
                <w:szCs w:val="18"/>
                <w:lang w:eastAsia="en-ZA"/>
              </w:rPr>
            </w:pPr>
            <w:r w:rsidRPr="000660BF">
              <w:rPr>
                <w:rFonts w:eastAsia="Times New Roman" w:cs="Arial"/>
                <w:color w:val="000000"/>
                <w:sz w:val="18"/>
                <w:szCs w:val="18"/>
                <w:lang w:eastAsia="en-ZA"/>
              </w:rPr>
              <w:t xml:space="preserve">TB </w:t>
            </w:r>
            <w:r w:rsidR="009F6BC9">
              <w:rPr>
                <w:rFonts w:eastAsia="Times New Roman" w:cs="Arial"/>
                <w:color w:val="000000"/>
                <w:sz w:val="18"/>
                <w:szCs w:val="18"/>
                <w:lang w:eastAsia="en-ZA"/>
              </w:rPr>
              <w:t>cases identified</w:t>
            </w:r>
          </w:p>
        </w:tc>
      </w:tr>
      <w:tr w:rsidR="000660BF" w:rsidRPr="000660BF" w14:paraId="4F8F24D1" w14:textId="77777777" w:rsidTr="008B5E2B">
        <w:trPr>
          <w:trHeight w:val="285"/>
          <w:jc w:val="center"/>
        </w:trPr>
        <w:tc>
          <w:tcPr>
            <w:tcW w:w="2320" w:type="dxa"/>
            <w:shd w:val="clear" w:color="auto" w:fill="auto"/>
            <w:noWrap/>
            <w:vAlign w:val="center"/>
            <w:hideMark/>
          </w:tcPr>
          <w:p w14:paraId="4795E2A7" w14:textId="77777777" w:rsidR="000660BF" w:rsidRPr="000660BF" w:rsidRDefault="000660BF" w:rsidP="009F6BC9">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 xml:space="preserve">60% </w:t>
            </w:r>
            <w:r w:rsidR="009F6BC9" w:rsidRPr="009F6BC9">
              <w:rPr>
                <w:rFonts w:eastAsia="Times New Roman" w:cs="Arial"/>
                <w:color w:val="000000"/>
                <w:sz w:val="18"/>
                <w:szCs w:val="18"/>
                <w:lang w:eastAsia="en-ZA"/>
              </w:rPr>
              <w:t>knew their HIV status</w:t>
            </w:r>
          </w:p>
        </w:tc>
        <w:tc>
          <w:tcPr>
            <w:tcW w:w="1125" w:type="dxa"/>
            <w:gridSpan w:val="2"/>
            <w:shd w:val="clear" w:color="auto" w:fill="auto"/>
            <w:noWrap/>
            <w:vAlign w:val="bottom"/>
            <w:hideMark/>
          </w:tcPr>
          <w:p w14:paraId="5C250E49"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w:t>
            </w:r>
            <w:r w:rsidR="00ED37BB">
              <w:rPr>
                <w:rFonts w:eastAsia="Times New Roman" w:cs="Arial"/>
                <w:color w:val="000000"/>
                <w:sz w:val="18"/>
                <w:szCs w:val="18"/>
                <w:lang w:eastAsia="en-ZA"/>
              </w:rPr>
              <w:t>398</w:t>
            </w:r>
          </w:p>
          <w:p w14:paraId="14A1FCC2"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(15.4)</w:t>
            </w:r>
          </w:p>
        </w:tc>
        <w:tc>
          <w:tcPr>
            <w:tcW w:w="1126" w:type="dxa"/>
            <w:gridSpan w:val="2"/>
            <w:shd w:val="clear" w:color="auto" w:fill="auto"/>
            <w:noWrap/>
            <w:vAlign w:val="bottom"/>
            <w:hideMark/>
          </w:tcPr>
          <w:p w14:paraId="256A6A15"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w:t>
            </w:r>
            <w:r w:rsidR="00ED37BB">
              <w:rPr>
                <w:rFonts w:eastAsia="Times New Roman" w:cs="Arial"/>
                <w:color w:val="000000"/>
                <w:sz w:val="18"/>
                <w:szCs w:val="18"/>
                <w:lang w:eastAsia="en-ZA"/>
              </w:rPr>
              <w:t>610</w:t>
            </w:r>
          </w:p>
          <w:p w14:paraId="7E7465AB"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(15.6)</w:t>
            </w:r>
          </w:p>
        </w:tc>
        <w:tc>
          <w:tcPr>
            <w:tcW w:w="1125" w:type="dxa"/>
            <w:gridSpan w:val="2"/>
            <w:shd w:val="clear" w:color="auto" w:fill="auto"/>
            <w:noWrap/>
            <w:vAlign w:val="bottom"/>
            <w:hideMark/>
          </w:tcPr>
          <w:p w14:paraId="526D3A3F"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w:t>
            </w:r>
            <w:r w:rsidR="00ED37BB">
              <w:rPr>
                <w:rFonts w:eastAsia="Times New Roman" w:cs="Arial"/>
                <w:color w:val="000000"/>
                <w:sz w:val="18"/>
                <w:szCs w:val="18"/>
                <w:lang w:eastAsia="en-ZA"/>
              </w:rPr>
              <w:t>926</w:t>
            </w:r>
          </w:p>
          <w:p w14:paraId="436056BB"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(15.9)</w:t>
            </w:r>
          </w:p>
        </w:tc>
        <w:tc>
          <w:tcPr>
            <w:tcW w:w="1144" w:type="dxa"/>
            <w:shd w:val="clear" w:color="auto" w:fill="auto"/>
            <w:noWrap/>
            <w:vAlign w:val="bottom"/>
            <w:hideMark/>
          </w:tcPr>
          <w:p w14:paraId="61EC2796"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ED37BB">
              <w:rPr>
                <w:rFonts w:eastAsia="Times New Roman" w:cs="Arial"/>
                <w:color w:val="000000"/>
                <w:sz w:val="18"/>
                <w:szCs w:val="18"/>
                <w:lang w:eastAsia="en-ZA"/>
              </w:rPr>
              <w:t>116</w:t>
            </w:r>
          </w:p>
          <w:p w14:paraId="3BB795A9"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(16.1)</w:t>
            </w:r>
          </w:p>
        </w:tc>
        <w:tc>
          <w:tcPr>
            <w:tcW w:w="1201" w:type="dxa"/>
            <w:shd w:val="clear" w:color="auto" w:fill="auto"/>
            <w:noWrap/>
            <w:vAlign w:val="bottom"/>
            <w:hideMark/>
          </w:tcPr>
          <w:p w14:paraId="0CF54B04"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ED37BB">
              <w:rPr>
                <w:rFonts w:eastAsia="Times New Roman" w:cs="Arial"/>
                <w:color w:val="000000"/>
                <w:sz w:val="18"/>
                <w:szCs w:val="18"/>
                <w:lang w:eastAsia="en-ZA"/>
              </w:rPr>
              <w:t>243</w:t>
            </w:r>
          </w:p>
          <w:p w14:paraId="394B8B08"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(16.2)</w:t>
            </w:r>
          </w:p>
        </w:tc>
        <w:tc>
          <w:tcPr>
            <w:tcW w:w="1201" w:type="dxa"/>
            <w:shd w:val="clear" w:color="auto" w:fill="auto"/>
            <w:noWrap/>
            <w:vAlign w:val="bottom"/>
            <w:hideMark/>
          </w:tcPr>
          <w:p w14:paraId="22217CB0"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ED37BB">
              <w:rPr>
                <w:rFonts w:eastAsia="Times New Roman" w:cs="Arial"/>
                <w:color w:val="000000"/>
                <w:sz w:val="18"/>
                <w:szCs w:val="18"/>
                <w:lang w:eastAsia="en-ZA"/>
              </w:rPr>
              <w:t>332</w:t>
            </w:r>
          </w:p>
          <w:p w14:paraId="79B92A0D"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(16.3)</w:t>
            </w:r>
          </w:p>
        </w:tc>
      </w:tr>
      <w:tr w:rsidR="000660BF" w:rsidRPr="000660BF" w14:paraId="70F5E54C" w14:textId="77777777" w:rsidTr="008B5E2B">
        <w:trPr>
          <w:trHeight w:val="285"/>
          <w:jc w:val="center"/>
        </w:trPr>
        <w:tc>
          <w:tcPr>
            <w:tcW w:w="2320" w:type="dxa"/>
            <w:shd w:val="clear" w:color="auto" w:fill="auto"/>
            <w:vAlign w:val="center"/>
            <w:hideMark/>
          </w:tcPr>
          <w:p w14:paraId="41843593" w14:textId="77777777" w:rsidR="000660BF" w:rsidRPr="000660BF" w:rsidRDefault="000660BF" w:rsidP="000660BF">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 xml:space="preserve">80% </w:t>
            </w:r>
            <w:r w:rsidR="009F6BC9" w:rsidRPr="00732D2D">
              <w:rPr>
                <w:rFonts w:eastAsia="Times New Roman" w:cs="Arial"/>
                <w:color w:val="000000"/>
                <w:sz w:val="18"/>
                <w:szCs w:val="18"/>
                <w:lang w:eastAsia="en-ZA"/>
              </w:rPr>
              <w:t>knew their HIV status</w:t>
            </w:r>
          </w:p>
        </w:tc>
        <w:tc>
          <w:tcPr>
            <w:tcW w:w="1125" w:type="dxa"/>
            <w:gridSpan w:val="2"/>
            <w:shd w:val="clear" w:color="auto" w:fill="auto"/>
            <w:noWrap/>
            <w:vAlign w:val="bottom"/>
            <w:hideMark/>
          </w:tcPr>
          <w:p w14:paraId="08082578"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w:t>
            </w:r>
            <w:r w:rsidR="00B260F8">
              <w:rPr>
                <w:rFonts w:eastAsia="Times New Roman" w:cs="Arial"/>
                <w:color w:val="000000"/>
                <w:sz w:val="18"/>
                <w:szCs w:val="18"/>
                <w:lang w:eastAsia="en-ZA"/>
              </w:rPr>
              <w:t>659</w:t>
            </w:r>
          </w:p>
          <w:p w14:paraId="3B9210A3"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(15.7)</w:t>
            </w:r>
          </w:p>
        </w:tc>
        <w:tc>
          <w:tcPr>
            <w:tcW w:w="1126" w:type="dxa"/>
            <w:gridSpan w:val="2"/>
            <w:shd w:val="clear" w:color="auto" w:fill="auto"/>
            <w:noWrap/>
            <w:vAlign w:val="bottom"/>
            <w:hideMark/>
          </w:tcPr>
          <w:p w14:paraId="6D94FED9"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w:t>
            </w:r>
            <w:r w:rsidR="00B260F8">
              <w:rPr>
                <w:rFonts w:eastAsia="Times New Roman" w:cs="Arial"/>
                <w:color w:val="000000"/>
                <w:sz w:val="18"/>
                <w:szCs w:val="18"/>
                <w:lang w:eastAsia="en-ZA"/>
              </w:rPr>
              <w:t>916</w:t>
            </w:r>
          </w:p>
          <w:p w14:paraId="0801CF89"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(15.9)</w:t>
            </w:r>
          </w:p>
        </w:tc>
        <w:tc>
          <w:tcPr>
            <w:tcW w:w="1125" w:type="dxa"/>
            <w:gridSpan w:val="2"/>
            <w:shd w:val="clear" w:color="auto" w:fill="auto"/>
            <w:noWrap/>
            <w:vAlign w:val="bottom"/>
            <w:hideMark/>
          </w:tcPr>
          <w:p w14:paraId="48836242"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B260F8">
              <w:rPr>
                <w:rFonts w:eastAsia="Times New Roman" w:cs="Arial"/>
                <w:color w:val="000000"/>
                <w:sz w:val="18"/>
                <w:szCs w:val="18"/>
                <w:lang w:eastAsia="en-ZA"/>
              </w:rPr>
              <w:t>226</w:t>
            </w:r>
          </w:p>
          <w:p w14:paraId="735D4D3F"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(16.2)</w:t>
            </w:r>
          </w:p>
        </w:tc>
        <w:tc>
          <w:tcPr>
            <w:tcW w:w="1144" w:type="dxa"/>
            <w:shd w:val="clear" w:color="auto" w:fill="auto"/>
            <w:noWrap/>
            <w:vAlign w:val="bottom"/>
            <w:hideMark/>
          </w:tcPr>
          <w:p w14:paraId="5D6970D5"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B260F8">
              <w:rPr>
                <w:rFonts w:eastAsia="Times New Roman" w:cs="Arial"/>
                <w:color w:val="000000"/>
                <w:sz w:val="18"/>
                <w:szCs w:val="18"/>
                <w:lang w:eastAsia="en-ZA"/>
              </w:rPr>
              <w:t>415</w:t>
            </w:r>
          </w:p>
          <w:p w14:paraId="311A7A77"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(16.4)</w:t>
            </w:r>
          </w:p>
        </w:tc>
        <w:tc>
          <w:tcPr>
            <w:tcW w:w="1201" w:type="dxa"/>
            <w:shd w:val="clear" w:color="auto" w:fill="auto"/>
            <w:noWrap/>
            <w:vAlign w:val="bottom"/>
            <w:hideMark/>
          </w:tcPr>
          <w:p w14:paraId="5FD8EDF6"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B260F8">
              <w:rPr>
                <w:rFonts w:eastAsia="Times New Roman" w:cs="Arial"/>
                <w:color w:val="000000"/>
                <w:sz w:val="18"/>
                <w:szCs w:val="18"/>
                <w:lang w:eastAsia="en-ZA"/>
              </w:rPr>
              <w:t>568</w:t>
            </w:r>
          </w:p>
          <w:p w14:paraId="202DE231"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(16.6)</w:t>
            </w:r>
          </w:p>
        </w:tc>
        <w:tc>
          <w:tcPr>
            <w:tcW w:w="1201" w:type="dxa"/>
            <w:shd w:val="clear" w:color="auto" w:fill="auto"/>
            <w:noWrap/>
            <w:vAlign w:val="bottom"/>
            <w:hideMark/>
          </w:tcPr>
          <w:p w14:paraId="1B4B33E4"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B260F8">
              <w:rPr>
                <w:rFonts w:eastAsia="Times New Roman" w:cs="Arial"/>
                <w:color w:val="000000"/>
                <w:sz w:val="18"/>
                <w:szCs w:val="18"/>
                <w:lang w:eastAsia="en-ZA"/>
              </w:rPr>
              <w:t>670</w:t>
            </w:r>
          </w:p>
          <w:p w14:paraId="2F126D3F"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(16.7)</w:t>
            </w:r>
          </w:p>
        </w:tc>
      </w:tr>
      <w:tr w:rsidR="000660BF" w:rsidRPr="000660BF" w14:paraId="1E6024DD" w14:textId="77777777" w:rsidTr="000660BF">
        <w:trPr>
          <w:trHeight w:val="293"/>
          <w:jc w:val="center"/>
        </w:trPr>
        <w:tc>
          <w:tcPr>
            <w:tcW w:w="2263" w:type="dxa"/>
            <w:shd w:val="clear" w:color="auto" w:fill="auto"/>
            <w:vAlign w:val="center"/>
            <w:hideMark/>
          </w:tcPr>
          <w:p w14:paraId="246A8587" w14:textId="77777777" w:rsidR="000660BF" w:rsidRPr="000660BF" w:rsidRDefault="000660BF" w:rsidP="000660BF">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 xml:space="preserve">100% </w:t>
            </w:r>
            <w:r w:rsidR="009F6BC9" w:rsidRPr="00732D2D">
              <w:rPr>
                <w:rFonts w:eastAsia="Times New Roman" w:cs="Arial"/>
                <w:color w:val="000000"/>
                <w:sz w:val="18"/>
                <w:szCs w:val="18"/>
                <w:lang w:eastAsia="en-ZA"/>
              </w:rPr>
              <w:t>knew their HIV status</w:t>
            </w:r>
          </w:p>
        </w:tc>
        <w:tc>
          <w:tcPr>
            <w:tcW w:w="1125" w:type="dxa"/>
            <w:gridSpan w:val="2"/>
            <w:shd w:val="clear" w:color="auto" w:fill="auto"/>
            <w:noWrap/>
            <w:vAlign w:val="bottom"/>
            <w:hideMark/>
          </w:tcPr>
          <w:p w14:paraId="25915BB2"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w:t>
            </w:r>
            <w:r w:rsidR="00B260F8">
              <w:rPr>
                <w:rFonts w:eastAsia="Times New Roman" w:cs="Arial"/>
                <w:color w:val="000000"/>
                <w:sz w:val="18"/>
                <w:szCs w:val="18"/>
                <w:lang w:eastAsia="en-ZA"/>
              </w:rPr>
              <w:t>892</w:t>
            </w:r>
          </w:p>
          <w:p w14:paraId="5477725C"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(15.9)</w:t>
            </w:r>
          </w:p>
        </w:tc>
        <w:tc>
          <w:tcPr>
            <w:tcW w:w="1126" w:type="dxa"/>
            <w:gridSpan w:val="2"/>
            <w:shd w:val="clear" w:color="auto" w:fill="auto"/>
            <w:noWrap/>
            <w:vAlign w:val="bottom"/>
            <w:hideMark/>
          </w:tcPr>
          <w:p w14:paraId="056B2431"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0660BF" w:rsidRPr="000660BF">
              <w:rPr>
                <w:rFonts w:eastAsia="Times New Roman" w:cs="Arial"/>
                <w:color w:val="000000"/>
                <w:sz w:val="18"/>
                <w:szCs w:val="18"/>
                <w:lang w:eastAsia="en-ZA"/>
              </w:rPr>
              <w:t>213</w:t>
            </w:r>
          </w:p>
          <w:p w14:paraId="7A582D6F"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(16.2)</w:t>
            </w:r>
          </w:p>
        </w:tc>
        <w:tc>
          <w:tcPr>
            <w:tcW w:w="1125" w:type="dxa"/>
            <w:gridSpan w:val="2"/>
            <w:shd w:val="clear" w:color="auto" w:fill="auto"/>
            <w:noWrap/>
            <w:vAlign w:val="bottom"/>
            <w:hideMark/>
          </w:tcPr>
          <w:p w14:paraId="23D40006"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B260F8">
              <w:rPr>
                <w:rFonts w:eastAsia="Times New Roman" w:cs="Arial"/>
                <w:color w:val="000000"/>
                <w:sz w:val="18"/>
                <w:szCs w:val="18"/>
                <w:lang w:eastAsia="en-ZA"/>
              </w:rPr>
              <w:t>531</w:t>
            </w:r>
          </w:p>
          <w:p w14:paraId="1711B408"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(16.5)</w:t>
            </w:r>
          </w:p>
        </w:tc>
        <w:tc>
          <w:tcPr>
            <w:tcW w:w="1126" w:type="dxa"/>
            <w:shd w:val="clear" w:color="auto" w:fill="auto"/>
            <w:noWrap/>
            <w:vAlign w:val="bottom"/>
            <w:hideMark/>
          </w:tcPr>
          <w:p w14:paraId="1D34662F"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0660BF" w:rsidRPr="000660BF">
              <w:rPr>
                <w:rFonts w:eastAsia="Times New Roman" w:cs="Arial"/>
                <w:color w:val="000000"/>
                <w:sz w:val="18"/>
                <w:szCs w:val="18"/>
                <w:lang w:eastAsia="en-ZA"/>
              </w:rPr>
              <w:t>719</w:t>
            </w:r>
          </w:p>
          <w:p w14:paraId="7E40D34A"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(16.7)</w:t>
            </w:r>
          </w:p>
        </w:tc>
        <w:tc>
          <w:tcPr>
            <w:tcW w:w="1125" w:type="dxa"/>
            <w:shd w:val="clear" w:color="auto" w:fill="auto"/>
            <w:noWrap/>
            <w:vAlign w:val="bottom"/>
            <w:hideMark/>
          </w:tcPr>
          <w:p w14:paraId="17F6C342"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B260F8">
              <w:rPr>
                <w:rFonts w:eastAsia="Times New Roman" w:cs="Arial"/>
                <w:color w:val="000000"/>
                <w:sz w:val="18"/>
                <w:szCs w:val="18"/>
                <w:lang w:eastAsia="en-ZA"/>
              </w:rPr>
              <w:t>869</w:t>
            </w:r>
          </w:p>
          <w:p w14:paraId="70AD7ABD"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(16.9)</w:t>
            </w:r>
          </w:p>
        </w:tc>
        <w:tc>
          <w:tcPr>
            <w:tcW w:w="1126" w:type="dxa"/>
            <w:shd w:val="clear" w:color="auto" w:fill="auto"/>
            <w:noWrap/>
            <w:vAlign w:val="bottom"/>
            <w:hideMark/>
          </w:tcPr>
          <w:p w14:paraId="4A4A949A"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w:t>
            </w:r>
            <w:r w:rsidR="00B260F8">
              <w:rPr>
                <w:rFonts w:eastAsia="Times New Roman" w:cs="Arial"/>
                <w:color w:val="000000"/>
                <w:sz w:val="18"/>
                <w:szCs w:val="18"/>
                <w:lang w:eastAsia="en-ZA"/>
              </w:rPr>
              <w:t>968</w:t>
            </w:r>
          </w:p>
          <w:p w14:paraId="2A33C02C"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(17.0)</w:t>
            </w:r>
          </w:p>
        </w:tc>
      </w:tr>
      <w:tr w:rsidR="000660BF" w:rsidRPr="000660BF" w14:paraId="79FBE374" w14:textId="77777777" w:rsidTr="000660BF">
        <w:trPr>
          <w:trHeight w:val="293"/>
          <w:jc w:val="center"/>
        </w:trPr>
        <w:tc>
          <w:tcPr>
            <w:tcW w:w="9016" w:type="dxa"/>
            <w:gridSpan w:val="10"/>
            <w:shd w:val="clear" w:color="auto" w:fill="auto"/>
            <w:vAlign w:val="center"/>
          </w:tcPr>
          <w:p w14:paraId="6972F3B2" w14:textId="77777777" w:rsidR="000660BF" w:rsidRPr="000660BF" w:rsidRDefault="00D329B6" w:rsidP="009F6BC9">
            <w:pPr>
              <w:spacing w:after="0" w:line="240" w:lineRule="auto"/>
              <w:rPr>
                <w:rFonts w:eastAsia="Times New Roman" w:cs="Arial"/>
                <w:color w:val="000000"/>
                <w:sz w:val="18"/>
                <w:szCs w:val="18"/>
                <w:lang w:eastAsia="en-ZA"/>
              </w:rPr>
            </w:pPr>
            <w:r w:rsidRPr="00D329B6">
              <w:rPr>
                <w:rFonts w:eastAsia="Times New Roman" w:cs="Arial"/>
                <w:color w:val="000000"/>
                <w:sz w:val="18"/>
                <w:szCs w:val="18"/>
                <w:lang w:eastAsia="en-ZA"/>
              </w:rPr>
              <w:t xml:space="preserve">RMP-R </w:t>
            </w:r>
            <w:r w:rsidR="00280CC1">
              <w:rPr>
                <w:rFonts w:eastAsia="Times New Roman" w:cs="Arial"/>
                <w:color w:val="000000"/>
                <w:sz w:val="18"/>
                <w:szCs w:val="18"/>
                <w:lang w:eastAsia="en-ZA"/>
              </w:rPr>
              <w:t xml:space="preserve">TB </w:t>
            </w:r>
            <w:r w:rsidR="009F6BC9">
              <w:rPr>
                <w:rFonts w:eastAsia="Times New Roman" w:cs="Arial"/>
                <w:color w:val="000000"/>
                <w:sz w:val="18"/>
                <w:szCs w:val="18"/>
                <w:lang w:eastAsia="en-ZA"/>
              </w:rPr>
              <w:t>cases identified</w:t>
            </w:r>
          </w:p>
        </w:tc>
      </w:tr>
      <w:tr w:rsidR="000660BF" w:rsidRPr="000660BF" w14:paraId="65E4A7BD" w14:textId="77777777" w:rsidTr="000660BF">
        <w:trPr>
          <w:trHeight w:val="285"/>
          <w:jc w:val="center"/>
        </w:trPr>
        <w:tc>
          <w:tcPr>
            <w:tcW w:w="2263" w:type="dxa"/>
            <w:shd w:val="clear" w:color="auto" w:fill="auto"/>
            <w:noWrap/>
            <w:vAlign w:val="center"/>
            <w:hideMark/>
          </w:tcPr>
          <w:p w14:paraId="4F51D9A4" w14:textId="77777777" w:rsidR="000660BF" w:rsidRPr="000660BF" w:rsidRDefault="000660BF" w:rsidP="000660BF">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60%</w:t>
            </w:r>
            <w:r>
              <w:rPr>
                <w:rFonts w:eastAsia="Times New Roman" w:cs="Arial"/>
                <w:color w:val="000000"/>
                <w:sz w:val="18"/>
                <w:szCs w:val="18"/>
                <w:lang w:eastAsia="en-ZA"/>
              </w:rPr>
              <w:t xml:space="preserve"> </w:t>
            </w:r>
            <w:r w:rsidR="009F6BC9" w:rsidRPr="00732D2D">
              <w:rPr>
                <w:rFonts w:eastAsia="Times New Roman" w:cs="Arial"/>
                <w:color w:val="000000"/>
                <w:sz w:val="18"/>
                <w:szCs w:val="18"/>
                <w:lang w:eastAsia="en-ZA"/>
              </w:rPr>
              <w:t>knew their HIV status</w:t>
            </w:r>
          </w:p>
        </w:tc>
        <w:tc>
          <w:tcPr>
            <w:tcW w:w="1125" w:type="dxa"/>
            <w:gridSpan w:val="2"/>
            <w:shd w:val="clear" w:color="auto" w:fill="auto"/>
            <w:noWrap/>
            <w:vAlign w:val="bottom"/>
            <w:hideMark/>
          </w:tcPr>
          <w:p w14:paraId="12175634" w14:textId="77777777" w:rsidR="000660BF" w:rsidRPr="000660BF" w:rsidRDefault="00DC69EF"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721</w:t>
            </w:r>
          </w:p>
          <w:p w14:paraId="2452B267"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(4.7</w:t>
            </w:r>
            <w:r w:rsidR="000660BF" w:rsidRPr="000660BF">
              <w:rPr>
                <w:rFonts w:eastAsia="Times New Roman" w:cs="Arial"/>
                <w:color w:val="000000"/>
                <w:sz w:val="18"/>
                <w:szCs w:val="18"/>
                <w:lang w:eastAsia="en-ZA"/>
              </w:rPr>
              <w:t>)</w:t>
            </w:r>
          </w:p>
        </w:tc>
        <w:tc>
          <w:tcPr>
            <w:tcW w:w="1126" w:type="dxa"/>
            <w:gridSpan w:val="2"/>
            <w:shd w:val="clear" w:color="auto" w:fill="auto"/>
            <w:noWrap/>
            <w:vAlign w:val="bottom"/>
            <w:hideMark/>
          </w:tcPr>
          <w:p w14:paraId="1392E506" w14:textId="77777777" w:rsidR="000660BF" w:rsidRPr="000660BF" w:rsidRDefault="00DC69EF"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855</w:t>
            </w:r>
          </w:p>
          <w:p w14:paraId="0568D539"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w:t>
            </w:r>
            <w:r w:rsidR="000660BF" w:rsidRPr="000660BF">
              <w:rPr>
                <w:rFonts w:eastAsia="Times New Roman" w:cs="Arial"/>
                <w:color w:val="000000"/>
                <w:sz w:val="18"/>
                <w:szCs w:val="18"/>
                <w:lang w:eastAsia="en-ZA"/>
              </w:rPr>
              <w:t>)</w:t>
            </w:r>
          </w:p>
        </w:tc>
        <w:tc>
          <w:tcPr>
            <w:tcW w:w="1125" w:type="dxa"/>
            <w:gridSpan w:val="2"/>
            <w:shd w:val="clear" w:color="auto" w:fill="auto"/>
            <w:noWrap/>
            <w:vAlign w:val="bottom"/>
            <w:hideMark/>
          </w:tcPr>
          <w:p w14:paraId="21C8AE78" w14:textId="77777777" w:rsidR="000660BF" w:rsidRPr="000660BF" w:rsidRDefault="00DC69EF"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963</w:t>
            </w:r>
          </w:p>
          <w:p w14:paraId="2ADA055D"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(6.0</w:t>
            </w:r>
            <w:r w:rsidR="000660BF" w:rsidRPr="000660BF">
              <w:rPr>
                <w:rFonts w:eastAsia="Times New Roman" w:cs="Arial"/>
                <w:color w:val="000000"/>
                <w:sz w:val="18"/>
                <w:szCs w:val="18"/>
                <w:lang w:eastAsia="en-ZA"/>
              </w:rPr>
              <w:t>)</w:t>
            </w:r>
          </w:p>
        </w:tc>
        <w:tc>
          <w:tcPr>
            <w:tcW w:w="1126" w:type="dxa"/>
            <w:shd w:val="clear" w:color="auto" w:fill="auto"/>
            <w:noWrap/>
            <w:vAlign w:val="bottom"/>
            <w:hideMark/>
          </w:tcPr>
          <w:p w14:paraId="090C9D7A"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1</w:t>
            </w:r>
            <w:r w:rsidR="006A52D7">
              <w:rPr>
                <w:rFonts w:eastAsia="Times New Roman" w:cs="Arial"/>
                <w:color w:val="000000"/>
                <w:sz w:val="18"/>
                <w:szCs w:val="18"/>
                <w:lang w:eastAsia="en-ZA"/>
              </w:rPr>
              <w:t>,</w:t>
            </w:r>
            <w:r w:rsidR="00DC69EF">
              <w:rPr>
                <w:rFonts w:eastAsia="Times New Roman" w:cs="Arial"/>
                <w:color w:val="000000"/>
                <w:sz w:val="18"/>
                <w:szCs w:val="18"/>
                <w:lang w:eastAsia="en-ZA"/>
              </w:rPr>
              <w:t>034</w:t>
            </w:r>
          </w:p>
          <w:p w14:paraId="4401F8E2"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(6.4</w:t>
            </w:r>
            <w:r w:rsidR="000660BF" w:rsidRPr="000660BF">
              <w:rPr>
                <w:rFonts w:eastAsia="Times New Roman" w:cs="Arial"/>
                <w:color w:val="000000"/>
                <w:sz w:val="18"/>
                <w:szCs w:val="18"/>
                <w:lang w:eastAsia="en-ZA"/>
              </w:rPr>
              <w:t>)</w:t>
            </w:r>
          </w:p>
        </w:tc>
        <w:tc>
          <w:tcPr>
            <w:tcW w:w="1125" w:type="dxa"/>
            <w:shd w:val="clear" w:color="auto" w:fill="auto"/>
            <w:noWrap/>
            <w:vAlign w:val="bottom"/>
            <w:hideMark/>
          </w:tcPr>
          <w:p w14:paraId="1AB5CC59"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DC69EF">
              <w:rPr>
                <w:rFonts w:eastAsia="Times New Roman" w:cs="Arial"/>
                <w:color w:val="000000"/>
                <w:sz w:val="18"/>
                <w:szCs w:val="18"/>
                <w:lang w:eastAsia="en-ZA"/>
              </w:rPr>
              <w:t>122</w:t>
            </w:r>
          </w:p>
          <w:p w14:paraId="4B6D286E"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(6.9</w:t>
            </w:r>
            <w:r w:rsidR="000660BF" w:rsidRPr="000660BF">
              <w:rPr>
                <w:rFonts w:eastAsia="Times New Roman" w:cs="Arial"/>
                <w:color w:val="000000"/>
                <w:sz w:val="18"/>
                <w:szCs w:val="18"/>
                <w:lang w:eastAsia="en-ZA"/>
              </w:rPr>
              <w:t>)</w:t>
            </w:r>
          </w:p>
        </w:tc>
        <w:tc>
          <w:tcPr>
            <w:tcW w:w="1126" w:type="dxa"/>
            <w:shd w:val="clear" w:color="auto" w:fill="auto"/>
            <w:noWrap/>
            <w:vAlign w:val="bottom"/>
            <w:hideMark/>
          </w:tcPr>
          <w:p w14:paraId="35B4E358"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DC69EF">
              <w:rPr>
                <w:rFonts w:eastAsia="Times New Roman" w:cs="Arial"/>
                <w:color w:val="000000"/>
                <w:sz w:val="18"/>
                <w:szCs w:val="18"/>
                <w:lang w:eastAsia="en-ZA"/>
              </w:rPr>
              <w:t>178</w:t>
            </w:r>
          </w:p>
          <w:p w14:paraId="77828992"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(7.2</w:t>
            </w:r>
            <w:r w:rsidR="000660BF" w:rsidRPr="000660BF">
              <w:rPr>
                <w:rFonts w:eastAsia="Times New Roman" w:cs="Arial"/>
                <w:color w:val="000000"/>
                <w:sz w:val="18"/>
                <w:szCs w:val="18"/>
                <w:lang w:eastAsia="en-ZA"/>
              </w:rPr>
              <w:t>)</w:t>
            </w:r>
          </w:p>
        </w:tc>
      </w:tr>
      <w:tr w:rsidR="000660BF" w:rsidRPr="000660BF" w14:paraId="72FFA0F8" w14:textId="77777777" w:rsidTr="000660BF">
        <w:trPr>
          <w:trHeight w:val="285"/>
          <w:jc w:val="center"/>
        </w:trPr>
        <w:tc>
          <w:tcPr>
            <w:tcW w:w="2263" w:type="dxa"/>
            <w:shd w:val="clear" w:color="auto" w:fill="auto"/>
            <w:vAlign w:val="center"/>
            <w:hideMark/>
          </w:tcPr>
          <w:p w14:paraId="1003E7B0" w14:textId="77777777" w:rsidR="000660BF" w:rsidRPr="000660BF" w:rsidRDefault="000660BF" w:rsidP="000660BF">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80%</w:t>
            </w:r>
            <w:r>
              <w:rPr>
                <w:rFonts w:eastAsia="Times New Roman" w:cs="Arial"/>
                <w:color w:val="000000"/>
                <w:sz w:val="18"/>
                <w:szCs w:val="18"/>
                <w:lang w:eastAsia="en-ZA"/>
              </w:rPr>
              <w:t xml:space="preserve"> </w:t>
            </w:r>
            <w:r w:rsidR="009F6BC9" w:rsidRPr="00732D2D">
              <w:rPr>
                <w:rFonts w:eastAsia="Times New Roman" w:cs="Arial"/>
                <w:color w:val="000000"/>
                <w:sz w:val="18"/>
                <w:szCs w:val="18"/>
                <w:lang w:eastAsia="en-ZA"/>
              </w:rPr>
              <w:t>knew their HIV status</w:t>
            </w:r>
          </w:p>
        </w:tc>
        <w:tc>
          <w:tcPr>
            <w:tcW w:w="1125" w:type="dxa"/>
            <w:gridSpan w:val="2"/>
            <w:shd w:val="clear" w:color="auto" w:fill="auto"/>
            <w:noWrap/>
            <w:vAlign w:val="bottom"/>
            <w:hideMark/>
          </w:tcPr>
          <w:p w14:paraId="00DBFF3E" w14:textId="77777777" w:rsidR="000660BF" w:rsidRPr="000660BF" w:rsidRDefault="00DC69EF"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730</w:t>
            </w:r>
          </w:p>
          <w:p w14:paraId="12DB98C3"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(4.7</w:t>
            </w:r>
            <w:r w:rsidR="000660BF" w:rsidRPr="000660BF">
              <w:rPr>
                <w:rFonts w:eastAsia="Times New Roman" w:cs="Arial"/>
                <w:color w:val="000000"/>
                <w:sz w:val="18"/>
                <w:szCs w:val="18"/>
                <w:lang w:eastAsia="en-ZA"/>
              </w:rPr>
              <w:t>)</w:t>
            </w:r>
          </w:p>
        </w:tc>
        <w:tc>
          <w:tcPr>
            <w:tcW w:w="1126" w:type="dxa"/>
            <w:gridSpan w:val="2"/>
            <w:shd w:val="clear" w:color="auto" w:fill="auto"/>
            <w:noWrap/>
            <w:vAlign w:val="bottom"/>
            <w:hideMark/>
          </w:tcPr>
          <w:p w14:paraId="0D801CE7" w14:textId="77777777" w:rsidR="000660BF" w:rsidRPr="000660BF" w:rsidRDefault="00DC69EF"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869</w:t>
            </w:r>
          </w:p>
          <w:p w14:paraId="06E18168"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w:t>
            </w:r>
            <w:r w:rsidR="000660BF" w:rsidRPr="000660BF">
              <w:rPr>
                <w:rFonts w:eastAsia="Times New Roman" w:cs="Arial"/>
                <w:color w:val="000000"/>
                <w:sz w:val="18"/>
                <w:szCs w:val="18"/>
                <w:lang w:eastAsia="en-ZA"/>
              </w:rPr>
              <w:t>)</w:t>
            </w:r>
          </w:p>
        </w:tc>
        <w:tc>
          <w:tcPr>
            <w:tcW w:w="1125" w:type="dxa"/>
            <w:gridSpan w:val="2"/>
            <w:shd w:val="clear" w:color="auto" w:fill="auto"/>
            <w:noWrap/>
            <w:vAlign w:val="bottom"/>
            <w:hideMark/>
          </w:tcPr>
          <w:p w14:paraId="142E2673" w14:textId="77777777" w:rsidR="000660BF" w:rsidRPr="000660BF" w:rsidRDefault="00DC69EF"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979</w:t>
            </w:r>
          </w:p>
          <w:p w14:paraId="4985B353"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(6.0</w:t>
            </w:r>
            <w:r w:rsidR="000660BF" w:rsidRPr="000660BF">
              <w:rPr>
                <w:rFonts w:eastAsia="Times New Roman" w:cs="Arial"/>
                <w:color w:val="000000"/>
                <w:sz w:val="18"/>
                <w:szCs w:val="18"/>
                <w:lang w:eastAsia="en-ZA"/>
              </w:rPr>
              <w:t>)</w:t>
            </w:r>
          </w:p>
        </w:tc>
        <w:tc>
          <w:tcPr>
            <w:tcW w:w="1126" w:type="dxa"/>
            <w:shd w:val="clear" w:color="auto" w:fill="auto"/>
            <w:noWrap/>
            <w:vAlign w:val="bottom"/>
            <w:hideMark/>
          </w:tcPr>
          <w:p w14:paraId="293D596C"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DC69EF">
              <w:rPr>
                <w:rFonts w:eastAsia="Times New Roman" w:cs="Arial"/>
                <w:color w:val="000000"/>
                <w:sz w:val="18"/>
                <w:szCs w:val="18"/>
                <w:lang w:eastAsia="en-ZA"/>
              </w:rPr>
              <w:t>051</w:t>
            </w:r>
          </w:p>
          <w:p w14:paraId="319C535C"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(6.4</w:t>
            </w:r>
            <w:r w:rsidR="000660BF" w:rsidRPr="000660BF">
              <w:rPr>
                <w:rFonts w:eastAsia="Times New Roman" w:cs="Arial"/>
                <w:color w:val="000000"/>
                <w:sz w:val="18"/>
                <w:szCs w:val="18"/>
                <w:lang w:eastAsia="en-ZA"/>
              </w:rPr>
              <w:t>)</w:t>
            </w:r>
          </w:p>
        </w:tc>
        <w:tc>
          <w:tcPr>
            <w:tcW w:w="1125" w:type="dxa"/>
            <w:shd w:val="clear" w:color="auto" w:fill="auto"/>
            <w:noWrap/>
            <w:vAlign w:val="bottom"/>
            <w:hideMark/>
          </w:tcPr>
          <w:p w14:paraId="5536C311"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DC69EF">
              <w:rPr>
                <w:rFonts w:eastAsia="Times New Roman" w:cs="Arial"/>
                <w:color w:val="000000"/>
                <w:sz w:val="18"/>
                <w:szCs w:val="18"/>
                <w:lang w:eastAsia="en-ZA"/>
              </w:rPr>
              <w:t>146</w:t>
            </w:r>
          </w:p>
          <w:p w14:paraId="30E64A6E"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(6.9</w:t>
            </w:r>
            <w:r w:rsidR="000660BF" w:rsidRPr="000660BF">
              <w:rPr>
                <w:rFonts w:eastAsia="Times New Roman" w:cs="Arial"/>
                <w:color w:val="000000"/>
                <w:sz w:val="18"/>
                <w:szCs w:val="18"/>
                <w:lang w:eastAsia="en-ZA"/>
              </w:rPr>
              <w:t>)</w:t>
            </w:r>
          </w:p>
        </w:tc>
        <w:tc>
          <w:tcPr>
            <w:tcW w:w="1126" w:type="dxa"/>
            <w:shd w:val="clear" w:color="auto" w:fill="auto"/>
            <w:noWrap/>
            <w:vAlign w:val="bottom"/>
            <w:hideMark/>
          </w:tcPr>
          <w:p w14:paraId="0DC21CFB"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0660BF" w:rsidRPr="000660BF">
              <w:rPr>
                <w:rFonts w:eastAsia="Times New Roman" w:cs="Arial"/>
                <w:color w:val="000000"/>
                <w:sz w:val="18"/>
                <w:szCs w:val="18"/>
                <w:lang w:eastAsia="en-ZA"/>
              </w:rPr>
              <w:t>201</w:t>
            </w:r>
          </w:p>
          <w:p w14:paraId="6ADE7371"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(7.2</w:t>
            </w:r>
            <w:r w:rsidR="000660BF" w:rsidRPr="000660BF">
              <w:rPr>
                <w:rFonts w:eastAsia="Times New Roman" w:cs="Arial"/>
                <w:color w:val="000000"/>
                <w:sz w:val="18"/>
                <w:szCs w:val="18"/>
                <w:lang w:eastAsia="en-ZA"/>
              </w:rPr>
              <w:t>)</w:t>
            </w:r>
          </w:p>
        </w:tc>
      </w:tr>
      <w:tr w:rsidR="000660BF" w:rsidRPr="000660BF" w14:paraId="3DDA8984" w14:textId="77777777" w:rsidTr="000660BF">
        <w:trPr>
          <w:trHeight w:val="293"/>
          <w:jc w:val="center"/>
        </w:trPr>
        <w:tc>
          <w:tcPr>
            <w:tcW w:w="2263" w:type="dxa"/>
            <w:shd w:val="clear" w:color="auto" w:fill="auto"/>
            <w:vAlign w:val="center"/>
            <w:hideMark/>
          </w:tcPr>
          <w:p w14:paraId="53CF5216" w14:textId="77777777" w:rsidR="000660BF" w:rsidRPr="000660BF" w:rsidRDefault="000660BF" w:rsidP="000660BF">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100%</w:t>
            </w:r>
            <w:r>
              <w:rPr>
                <w:rFonts w:eastAsia="Times New Roman" w:cs="Arial"/>
                <w:color w:val="000000"/>
                <w:sz w:val="18"/>
                <w:szCs w:val="18"/>
                <w:lang w:eastAsia="en-ZA"/>
              </w:rPr>
              <w:t xml:space="preserve"> </w:t>
            </w:r>
            <w:r w:rsidR="009F6BC9" w:rsidRPr="00732D2D">
              <w:rPr>
                <w:rFonts w:eastAsia="Times New Roman" w:cs="Arial"/>
                <w:color w:val="000000"/>
                <w:sz w:val="18"/>
                <w:szCs w:val="18"/>
                <w:lang w:eastAsia="en-ZA"/>
              </w:rPr>
              <w:t>knew their HIV status</w:t>
            </w:r>
          </w:p>
        </w:tc>
        <w:tc>
          <w:tcPr>
            <w:tcW w:w="1125" w:type="dxa"/>
            <w:gridSpan w:val="2"/>
            <w:shd w:val="clear" w:color="auto" w:fill="auto"/>
            <w:noWrap/>
            <w:vAlign w:val="bottom"/>
            <w:hideMark/>
          </w:tcPr>
          <w:p w14:paraId="538D09E8"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742</w:t>
            </w:r>
          </w:p>
          <w:p w14:paraId="64C1E30B"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(4.7</w:t>
            </w:r>
            <w:r w:rsidR="000660BF" w:rsidRPr="000660BF">
              <w:rPr>
                <w:rFonts w:eastAsia="Times New Roman" w:cs="Arial"/>
                <w:color w:val="000000"/>
                <w:sz w:val="18"/>
                <w:szCs w:val="18"/>
                <w:lang w:eastAsia="en-ZA"/>
              </w:rPr>
              <w:t>)</w:t>
            </w:r>
          </w:p>
        </w:tc>
        <w:tc>
          <w:tcPr>
            <w:tcW w:w="1126" w:type="dxa"/>
            <w:gridSpan w:val="2"/>
            <w:shd w:val="clear" w:color="auto" w:fill="auto"/>
            <w:noWrap/>
            <w:vAlign w:val="bottom"/>
            <w:hideMark/>
          </w:tcPr>
          <w:p w14:paraId="7D300E0F" w14:textId="77777777" w:rsidR="000660BF" w:rsidRPr="000660BF" w:rsidRDefault="000660BF" w:rsidP="00BA5952">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884</w:t>
            </w:r>
          </w:p>
          <w:p w14:paraId="37985953"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w:t>
            </w:r>
            <w:r w:rsidR="000660BF" w:rsidRPr="000660BF">
              <w:rPr>
                <w:rFonts w:eastAsia="Times New Roman" w:cs="Arial"/>
                <w:color w:val="000000"/>
                <w:sz w:val="18"/>
                <w:szCs w:val="18"/>
                <w:lang w:eastAsia="en-ZA"/>
              </w:rPr>
              <w:t>)</w:t>
            </w:r>
          </w:p>
        </w:tc>
        <w:tc>
          <w:tcPr>
            <w:tcW w:w="1125" w:type="dxa"/>
            <w:gridSpan w:val="2"/>
            <w:shd w:val="clear" w:color="auto" w:fill="auto"/>
            <w:noWrap/>
            <w:vAlign w:val="bottom"/>
            <w:hideMark/>
          </w:tcPr>
          <w:p w14:paraId="6AA79300" w14:textId="77777777" w:rsidR="000660BF" w:rsidRPr="000660BF" w:rsidRDefault="00D8250E"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996</w:t>
            </w:r>
          </w:p>
          <w:p w14:paraId="39BF5CA3"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(6.0</w:t>
            </w:r>
            <w:r w:rsidR="000660BF" w:rsidRPr="000660BF">
              <w:rPr>
                <w:rFonts w:eastAsia="Times New Roman" w:cs="Arial"/>
                <w:color w:val="000000"/>
                <w:sz w:val="18"/>
                <w:szCs w:val="18"/>
                <w:lang w:eastAsia="en-ZA"/>
              </w:rPr>
              <w:t>)</w:t>
            </w:r>
          </w:p>
        </w:tc>
        <w:tc>
          <w:tcPr>
            <w:tcW w:w="1126" w:type="dxa"/>
            <w:shd w:val="clear" w:color="auto" w:fill="auto"/>
            <w:noWrap/>
            <w:vAlign w:val="bottom"/>
            <w:hideMark/>
          </w:tcPr>
          <w:p w14:paraId="7D51B9CB"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0660BF" w:rsidRPr="000660BF">
              <w:rPr>
                <w:rFonts w:eastAsia="Times New Roman" w:cs="Arial"/>
                <w:color w:val="000000"/>
                <w:sz w:val="18"/>
                <w:szCs w:val="18"/>
                <w:lang w:eastAsia="en-ZA"/>
              </w:rPr>
              <w:t>074</w:t>
            </w:r>
          </w:p>
          <w:p w14:paraId="4351A61E"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(6.4</w:t>
            </w:r>
            <w:r w:rsidR="000660BF" w:rsidRPr="000660BF">
              <w:rPr>
                <w:rFonts w:eastAsia="Times New Roman" w:cs="Arial"/>
                <w:color w:val="000000"/>
                <w:sz w:val="18"/>
                <w:szCs w:val="18"/>
                <w:lang w:eastAsia="en-ZA"/>
              </w:rPr>
              <w:t>)</w:t>
            </w:r>
          </w:p>
        </w:tc>
        <w:tc>
          <w:tcPr>
            <w:tcW w:w="1125" w:type="dxa"/>
            <w:shd w:val="clear" w:color="auto" w:fill="auto"/>
            <w:noWrap/>
            <w:vAlign w:val="bottom"/>
            <w:hideMark/>
          </w:tcPr>
          <w:p w14:paraId="2E5EB307"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D8250E">
              <w:rPr>
                <w:rFonts w:eastAsia="Times New Roman" w:cs="Arial"/>
                <w:color w:val="000000"/>
                <w:sz w:val="18"/>
                <w:szCs w:val="18"/>
                <w:lang w:eastAsia="en-ZA"/>
              </w:rPr>
              <w:t>166</w:t>
            </w:r>
          </w:p>
          <w:p w14:paraId="0206DD20"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(6.9</w:t>
            </w:r>
            <w:r w:rsidR="000660BF" w:rsidRPr="000660BF">
              <w:rPr>
                <w:rFonts w:eastAsia="Times New Roman" w:cs="Arial"/>
                <w:color w:val="000000"/>
                <w:sz w:val="18"/>
                <w:szCs w:val="18"/>
                <w:lang w:eastAsia="en-ZA"/>
              </w:rPr>
              <w:t>)</w:t>
            </w:r>
          </w:p>
        </w:tc>
        <w:tc>
          <w:tcPr>
            <w:tcW w:w="1126" w:type="dxa"/>
            <w:shd w:val="clear" w:color="auto" w:fill="auto"/>
            <w:noWrap/>
            <w:vAlign w:val="bottom"/>
            <w:hideMark/>
          </w:tcPr>
          <w:p w14:paraId="5C5DD656" w14:textId="77777777" w:rsidR="000660BF" w:rsidRPr="000660BF" w:rsidRDefault="006A52D7"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w:t>
            </w:r>
            <w:r w:rsidR="000660BF" w:rsidRPr="000660BF">
              <w:rPr>
                <w:rFonts w:eastAsia="Times New Roman" w:cs="Arial"/>
                <w:color w:val="000000"/>
                <w:sz w:val="18"/>
                <w:szCs w:val="18"/>
                <w:lang w:eastAsia="en-ZA"/>
              </w:rPr>
              <w:t>232</w:t>
            </w:r>
          </w:p>
          <w:p w14:paraId="16F4868D" w14:textId="77777777" w:rsidR="000660BF" w:rsidRPr="000660BF" w:rsidRDefault="009D1BD4" w:rsidP="00BA5952">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(7.3</w:t>
            </w:r>
            <w:r w:rsidR="000660BF" w:rsidRPr="000660BF">
              <w:rPr>
                <w:rFonts w:eastAsia="Times New Roman" w:cs="Arial"/>
                <w:color w:val="000000"/>
                <w:sz w:val="18"/>
                <w:szCs w:val="18"/>
                <w:lang w:eastAsia="en-ZA"/>
              </w:rPr>
              <w:t>)</w:t>
            </w:r>
          </w:p>
        </w:tc>
      </w:tr>
      <w:tr w:rsidR="009F6BC9" w:rsidRPr="000660BF" w14:paraId="6E77F677" w14:textId="77777777" w:rsidTr="00BA5952">
        <w:trPr>
          <w:trHeight w:val="285"/>
          <w:jc w:val="center"/>
        </w:trPr>
        <w:tc>
          <w:tcPr>
            <w:tcW w:w="9016" w:type="dxa"/>
            <w:gridSpan w:val="10"/>
            <w:shd w:val="clear" w:color="auto" w:fill="auto"/>
            <w:noWrap/>
            <w:vAlign w:val="center"/>
          </w:tcPr>
          <w:p w14:paraId="03DA72EF" w14:textId="77777777" w:rsidR="009F6BC9" w:rsidRPr="00103029" w:rsidRDefault="00D329B6" w:rsidP="009F6BC9">
            <w:pPr>
              <w:spacing w:after="0" w:line="240" w:lineRule="auto"/>
              <w:rPr>
                <w:rFonts w:eastAsia="Times New Roman" w:cs="Arial"/>
                <w:color w:val="000000"/>
                <w:sz w:val="18"/>
                <w:szCs w:val="18"/>
                <w:lang w:eastAsia="en-ZA"/>
              </w:rPr>
            </w:pPr>
            <w:r w:rsidRPr="00D329B6">
              <w:rPr>
                <w:rFonts w:eastAsia="Times New Roman" w:cs="Arial"/>
                <w:color w:val="000000"/>
                <w:sz w:val="18"/>
                <w:szCs w:val="18"/>
                <w:lang w:eastAsia="en-ZA"/>
              </w:rPr>
              <w:t xml:space="preserve">RMP-R </w:t>
            </w:r>
            <w:r w:rsidR="009F6BC9" w:rsidRPr="008E5236">
              <w:rPr>
                <w:rFonts w:eastAsia="Times New Roman" w:cs="Arial"/>
                <w:color w:val="000000"/>
                <w:sz w:val="18"/>
                <w:szCs w:val="18"/>
                <w:lang w:eastAsia="en-ZA"/>
              </w:rPr>
              <w:t>TB cases</w:t>
            </w:r>
            <w:r w:rsidR="009F6BC9">
              <w:rPr>
                <w:rFonts w:eastAsia="Times New Roman" w:cs="Arial"/>
                <w:color w:val="000000"/>
                <w:sz w:val="18"/>
                <w:szCs w:val="18"/>
                <w:lang w:eastAsia="en-ZA"/>
              </w:rPr>
              <w:t xml:space="preserve"> missed and the </w:t>
            </w:r>
            <w:r w:rsidR="009F6BC9" w:rsidRPr="008E5236">
              <w:rPr>
                <w:rFonts w:eastAsia="Times New Roman" w:cs="Arial"/>
                <w:color w:val="000000"/>
                <w:sz w:val="18"/>
                <w:szCs w:val="18"/>
                <w:lang w:eastAsia="en-ZA"/>
              </w:rPr>
              <w:t xml:space="preserve">reasons </w:t>
            </w:r>
            <w:r>
              <w:rPr>
                <w:rFonts w:eastAsia="Times New Roman" w:cs="Arial"/>
                <w:color w:val="000000"/>
                <w:sz w:val="18"/>
                <w:szCs w:val="18"/>
                <w:lang w:eastAsia="en-ZA"/>
              </w:rPr>
              <w:t xml:space="preserve">why </w:t>
            </w:r>
            <w:r w:rsidR="009F6BC9">
              <w:rPr>
                <w:rFonts w:eastAsia="Times New Roman" w:cs="Arial"/>
                <w:color w:val="000000"/>
                <w:sz w:val="18"/>
                <w:szCs w:val="18"/>
                <w:lang w:eastAsia="en-ZA"/>
              </w:rPr>
              <w:t>they were missed (</w:t>
            </w:r>
            <w:r w:rsidR="009F6BC9" w:rsidRPr="005B0E21">
              <w:rPr>
                <w:rFonts w:eastAsia="Times New Roman" w:cs="Arial"/>
                <w:color w:val="000000"/>
                <w:sz w:val="18"/>
                <w:szCs w:val="18"/>
                <w:lang w:eastAsia="en-ZA"/>
              </w:rPr>
              <w:t xml:space="preserve">% of total </w:t>
            </w:r>
            <w:r w:rsidRPr="00D329B6">
              <w:rPr>
                <w:rFonts w:eastAsia="Times New Roman" w:cs="Arial"/>
                <w:color w:val="000000"/>
                <w:sz w:val="18"/>
                <w:szCs w:val="18"/>
                <w:lang w:eastAsia="en-ZA"/>
              </w:rPr>
              <w:t xml:space="preserve">RMP-R </w:t>
            </w:r>
            <w:r w:rsidR="009F6BC9" w:rsidRPr="005B0E21">
              <w:rPr>
                <w:rFonts w:eastAsia="Times New Roman" w:cs="Arial"/>
                <w:color w:val="000000"/>
                <w:sz w:val="18"/>
                <w:szCs w:val="18"/>
                <w:lang w:eastAsia="en-ZA"/>
              </w:rPr>
              <w:t>TB cases</w:t>
            </w:r>
            <w:r w:rsidR="009F6BC9">
              <w:rPr>
                <w:rFonts w:eastAsia="Times New Roman" w:cs="Arial"/>
                <w:color w:val="000000"/>
                <w:sz w:val="18"/>
                <w:szCs w:val="18"/>
                <w:lang w:eastAsia="en-ZA"/>
              </w:rPr>
              <w:t>)</w:t>
            </w:r>
          </w:p>
        </w:tc>
      </w:tr>
      <w:tr w:rsidR="0019557B" w:rsidRPr="000660BF" w14:paraId="5D5B967D" w14:textId="77777777" w:rsidTr="009F6BC9">
        <w:trPr>
          <w:trHeight w:val="293"/>
          <w:jc w:val="center"/>
        </w:trPr>
        <w:tc>
          <w:tcPr>
            <w:tcW w:w="9242" w:type="dxa"/>
            <w:gridSpan w:val="10"/>
            <w:shd w:val="clear" w:color="auto" w:fill="auto"/>
            <w:vAlign w:val="center"/>
          </w:tcPr>
          <w:p w14:paraId="0B37238D" w14:textId="77777777" w:rsidR="0019557B" w:rsidRPr="000660BF" w:rsidRDefault="00981797" w:rsidP="0019557B">
            <w:pPr>
              <w:spacing w:after="0" w:line="240" w:lineRule="auto"/>
              <w:rPr>
                <w:rFonts w:eastAsia="Times New Roman" w:cs="Arial"/>
                <w:color w:val="000000"/>
                <w:sz w:val="18"/>
                <w:szCs w:val="18"/>
                <w:lang w:eastAsia="en-ZA"/>
              </w:rPr>
            </w:pPr>
            <w:r>
              <w:rPr>
                <w:rFonts w:eastAsia="Times New Roman" w:cs="Arial"/>
                <w:color w:val="000000"/>
                <w:sz w:val="18"/>
                <w:szCs w:val="18"/>
                <w:lang w:eastAsia="en-ZA"/>
              </w:rPr>
              <w:t>F</w:t>
            </w:r>
            <w:r w:rsidRPr="00981797">
              <w:rPr>
                <w:rFonts w:eastAsia="Times New Roman" w:cs="Arial"/>
                <w:color w:val="000000"/>
                <w:sz w:val="18"/>
                <w:szCs w:val="18"/>
                <w:lang w:eastAsia="en-ZA"/>
              </w:rPr>
              <w:t>alse negative TB test</w:t>
            </w:r>
          </w:p>
        </w:tc>
      </w:tr>
      <w:tr w:rsidR="0019557B" w:rsidRPr="000660BF" w14:paraId="58D75FAA" w14:textId="77777777" w:rsidTr="009F6BC9">
        <w:trPr>
          <w:trHeight w:val="285"/>
          <w:jc w:val="center"/>
        </w:trPr>
        <w:tc>
          <w:tcPr>
            <w:tcW w:w="2320" w:type="dxa"/>
            <w:shd w:val="clear" w:color="auto" w:fill="auto"/>
            <w:vAlign w:val="center"/>
            <w:hideMark/>
          </w:tcPr>
          <w:p w14:paraId="1DA91114" w14:textId="77777777" w:rsidR="0019557B" w:rsidRPr="000660BF" w:rsidRDefault="0019557B" w:rsidP="0019557B">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60%</w:t>
            </w:r>
            <w:r>
              <w:rPr>
                <w:rFonts w:eastAsia="Times New Roman" w:cs="Arial"/>
                <w:color w:val="000000"/>
                <w:sz w:val="18"/>
                <w:szCs w:val="18"/>
                <w:lang w:eastAsia="en-ZA"/>
              </w:rPr>
              <w:t xml:space="preserve"> </w:t>
            </w:r>
            <w:r w:rsidR="00C909C4"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7A00F3AB"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240</w:t>
            </w:r>
          </w:p>
          <w:p w14:paraId="1190EB4C"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(17.2</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7F9F85F7"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184</w:t>
            </w:r>
          </w:p>
          <w:p w14:paraId="25E36040"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(13.2</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1EF0331F"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174</w:t>
            </w:r>
          </w:p>
          <w:p w14:paraId="7FE5E4C1"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(12.4</w:t>
            </w:r>
            <w:r w:rsidR="0019557B"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3185BEAB"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165</w:t>
            </w:r>
          </w:p>
          <w:p w14:paraId="72F07804"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(11.8</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0E391FC0"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138</w:t>
            </w:r>
          </w:p>
          <w:p w14:paraId="4083CA9D"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(9.9</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1B00B5EA"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144</w:t>
            </w:r>
          </w:p>
          <w:p w14:paraId="054F936D" w14:textId="77777777" w:rsidR="0019557B" w:rsidRPr="000660BF" w:rsidRDefault="00EB328A"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(10.3</w:t>
            </w:r>
            <w:r w:rsidR="0019557B" w:rsidRPr="000660BF">
              <w:rPr>
                <w:rFonts w:eastAsia="Times New Roman" w:cs="Arial"/>
                <w:color w:val="000000"/>
                <w:sz w:val="18"/>
                <w:szCs w:val="18"/>
                <w:lang w:eastAsia="en-ZA"/>
              </w:rPr>
              <w:t>)</w:t>
            </w:r>
          </w:p>
        </w:tc>
      </w:tr>
      <w:tr w:rsidR="0019557B" w:rsidRPr="000660BF" w14:paraId="71BE3E41" w14:textId="77777777" w:rsidTr="009F6BC9">
        <w:trPr>
          <w:trHeight w:val="285"/>
          <w:jc w:val="center"/>
        </w:trPr>
        <w:tc>
          <w:tcPr>
            <w:tcW w:w="2320" w:type="dxa"/>
            <w:shd w:val="clear" w:color="auto" w:fill="auto"/>
            <w:vAlign w:val="center"/>
            <w:hideMark/>
          </w:tcPr>
          <w:p w14:paraId="597DD6E5" w14:textId="77777777" w:rsidR="0019557B" w:rsidRPr="000660BF" w:rsidRDefault="0019557B" w:rsidP="0019557B">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80%</w:t>
            </w:r>
            <w:r>
              <w:rPr>
                <w:rFonts w:eastAsia="Times New Roman" w:cs="Arial"/>
                <w:color w:val="000000"/>
                <w:sz w:val="18"/>
                <w:szCs w:val="18"/>
                <w:lang w:eastAsia="en-ZA"/>
              </w:rPr>
              <w:t xml:space="preserve"> </w:t>
            </w:r>
            <w:r w:rsidR="00C909C4"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4BA9FCBC"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228</w:t>
            </w:r>
          </w:p>
          <w:p w14:paraId="5351A791"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(16.3</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7E963565"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172</w:t>
            </w:r>
          </w:p>
          <w:p w14:paraId="638B6E15"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(12.3</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770B0859"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159</w:t>
            </w:r>
          </w:p>
          <w:p w14:paraId="7D4C2DAC"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(11.4</w:t>
            </w:r>
            <w:r w:rsidR="0019557B"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6E811CB0"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146</w:t>
            </w:r>
          </w:p>
          <w:p w14:paraId="6A3679DB"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(10.4</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46EDB261"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116</w:t>
            </w:r>
            <w:r>
              <w:rPr>
                <w:rFonts w:eastAsia="Times New Roman" w:cs="Arial"/>
                <w:color w:val="000000"/>
                <w:sz w:val="18"/>
                <w:szCs w:val="18"/>
                <w:lang w:eastAsia="en-ZA"/>
              </w:rPr>
              <w:br/>
              <w:t>(8.3</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27E11BB1"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120</w:t>
            </w:r>
          </w:p>
          <w:p w14:paraId="01F010B9" w14:textId="77777777" w:rsidR="0019557B" w:rsidRPr="000660BF" w:rsidRDefault="007A43BB"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(8.6</w:t>
            </w:r>
            <w:r w:rsidR="0019557B" w:rsidRPr="000660BF">
              <w:rPr>
                <w:rFonts w:eastAsia="Times New Roman" w:cs="Arial"/>
                <w:color w:val="000000"/>
                <w:sz w:val="18"/>
                <w:szCs w:val="18"/>
                <w:lang w:eastAsia="en-ZA"/>
              </w:rPr>
              <w:t>)</w:t>
            </w:r>
          </w:p>
        </w:tc>
      </w:tr>
      <w:tr w:rsidR="0019557B" w:rsidRPr="000660BF" w14:paraId="43395254" w14:textId="77777777" w:rsidTr="009F6BC9">
        <w:trPr>
          <w:trHeight w:val="293"/>
          <w:jc w:val="center"/>
        </w:trPr>
        <w:tc>
          <w:tcPr>
            <w:tcW w:w="2320" w:type="dxa"/>
            <w:shd w:val="clear" w:color="auto" w:fill="auto"/>
            <w:vAlign w:val="center"/>
            <w:hideMark/>
          </w:tcPr>
          <w:p w14:paraId="2A673489" w14:textId="77777777" w:rsidR="0019557B" w:rsidRPr="000660BF" w:rsidRDefault="0019557B" w:rsidP="0019557B">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100%</w:t>
            </w:r>
            <w:r>
              <w:rPr>
                <w:rFonts w:eastAsia="Times New Roman" w:cs="Arial"/>
                <w:color w:val="000000"/>
                <w:sz w:val="18"/>
                <w:szCs w:val="18"/>
                <w:lang w:eastAsia="en-ZA"/>
              </w:rPr>
              <w:t xml:space="preserve"> </w:t>
            </w:r>
            <w:r w:rsidR="00C909C4"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54572BFB"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217</w:t>
            </w:r>
          </w:p>
          <w:p w14:paraId="2F3F2F93"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(15.5</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2610E9C1"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156</w:t>
            </w:r>
          </w:p>
          <w:p w14:paraId="71E4524C"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(11.2</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5F362EDC"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141</w:t>
            </w:r>
          </w:p>
          <w:p w14:paraId="3CB09480"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(10.1</w:t>
            </w:r>
            <w:r w:rsidR="0019557B"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5D3DBF86"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122</w:t>
            </w:r>
          </w:p>
          <w:p w14:paraId="24E96D65"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(8.7</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2A167CE1"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97</w:t>
            </w:r>
          </w:p>
          <w:p w14:paraId="3BC19EA0"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(6.9</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0DEF46A1"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88</w:t>
            </w:r>
          </w:p>
          <w:p w14:paraId="2F75548C" w14:textId="77777777" w:rsidR="0019557B" w:rsidRPr="000660BF" w:rsidRDefault="00762C6D"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(6.3</w:t>
            </w:r>
            <w:r w:rsidR="0019557B" w:rsidRPr="000660BF">
              <w:rPr>
                <w:rFonts w:eastAsia="Times New Roman" w:cs="Arial"/>
                <w:color w:val="000000"/>
                <w:sz w:val="18"/>
                <w:szCs w:val="18"/>
                <w:lang w:eastAsia="en-ZA"/>
              </w:rPr>
              <w:t>)</w:t>
            </w:r>
          </w:p>
        </w:tc>
      </w:tr>
      <w:tr w:rsidR="008B5E2B" w:rsidRPr="000660BF" w14:paraId="03832FB7" w14:textId="77777777" w:rsidTr="004F5249">
        <w:trPr>
          <w:trHeight w:val="285"/>
          <w:jc w:val="center"/>
        </w:trPr>
        <w:tc>
          <w:tcPr>
            <w:tcW w:w="9242" w:type="dxa"/>
            <w:gridSpan w:val="10"/>
            <w:shd w:val="clear" w:color="auto" w:fill="auto"/>
            <w:noWrap/>
            <w:vAlign w:val="center"/>
          </w:tcPr>
          <w:p w14:paraId="091847B2" w14:textId="4B270438" w:rsidR="008B5E2B" w:rsidRPr="000660BF" w:rsidRDefault="00DD07C7" w:rsidP="00501DF3">
            <w:pPr>
              <w:spacing w:after="0" w:line="240" w:lineRule="auto"/>
              <w:rPr>
                <w:rFonts w:eastAsia="Times New Roman" w:cs="Arial"/>
                <w:color w:val="000000"/>
                <w:sz w:val="18"/>
                <w:szCs w:val="18"/>
                <w:lang w:eastAsia="en-ZA"/>
              </w:rPr>
            </w:pPr>
            <w:r>
              <w:rPr>
                <w:rFonts w:eastAsia="Times New Roman" w:cs="Arial"/>
                <w:color w:val="000000"/>
                <w:sz w:val="18"/>
                <w:szCs w:val="18"/>
                <w:lang w:eastAsia="en-ZA"/>
              </w:rPr>
              <w:t>F</w:t>
            </w:r>
            <w:r w:rsidRPr="00DD07C7">
              <w:rPr>
                <w:rFonts w:eastAsia="Times New Roman" w:cs="Arial"/>
                <w:color w:val="000000"/>
                <w:sz w:val="18"/>
                <w:szCs w:val="18"/>
                <w:lang w:eastAsia="en-ZA"/>
              </w:rPr>
              <w:t>alse negative RMP-R result</w:t>
            </w:r>
          </w:p>
        </w:tc>
      </w:tr>
      <w:tr w:rsidR="008B5E2B" w:rsidRPr="000660BF" w14:paraId="387CEC23" w14:textId="77777777" w:rsidTr="004F5249">
        <w:trPr>
          <w:trHeight w:val="285"/>
          <w:jc w:val="center"/>
        </w:trPr>
        <w:tc>
          <w:tcPr>
            <w:tcW w:w="2320" w:type="dxa"/>
            <w:shd w:val="clear" w:color="auto" w:fill="auto"/>
            <w:noWrap/>
            <w:vAlign w:val="center"/>
            <w:hideMark/>
          </w:tcPr>
          <w:p w14:paraId="5ACA2DDC" w14:textId="77777777" w:rsidR="008B5E2B" w:rsidRPr="000660BF" w:rsidRDefault="008B5E2B" w:rsidP="004F5249">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60%</w:t>
            </w:r>
            <w:r>
              <w:rPr>
                <w:rFonts w:eastAsia="Times New Roman" w:cs="Arial"/>
                <w:color w:val="000000"/>
                <w:sz w:val="18"/>
                <w:szCs w:val="18"/>
                <w:lang w:eastAsia="en-ZA"/>
              </w:rPr>
              <w:t xml:space="preserve"> </w:t>
            </w:r>
            <w:r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194E3B79"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40</w:t>
            </w:r>
          </w:p>
          <w:p w14:paraId="694C4FAB"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(2.9</w:t>
            </w:r>
            <w:r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2F995499"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52</w:t>
            </w:r>
          </w:p>
          <w:p w14:paraId="284F46A1"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(3.7</w:t>
            </w:r>
            <w:r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04554830"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59</w:t>
            </w:r>
          </w:p>
          <w:p w14:paraId="56BF07AB"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(4.2</w:t>
            </w:r>
            <w:r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799607BB"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65</w:t>
            </w:r>
          </w:p>
          <w:p w14:paraId="0BB37E42"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(4.6</w:t>
            </w:r>
            <w:r w:rsidRPr="000660BF">
              <w:rPr>
                <w:rFonts w:eastAsia="Times New Roman" w:cs="Arial"/>
                <w:color w:val="000000"/>
                <w:sz w:val="18"/>
                <w:szCs w:val="18"/>
                <w:lang w:eastAsia="en-ZA"/>
              </w:rPr>
              <w:t>)</w:t>
            </w:r>
          </w:p>
        </w:tc>
        <w:tc>
          <w:tcPr>
            <w:tcW w:w="1201" w:type="dxa"/>
            <w:shd w:val="clear" w:color="auto" w:fill="auto"/>
            <w:noWrap/>
            <w:vAlign w:val="center"/>
            <w:hideMark/>
          </w:tcPr>
          <w:p w14:paraId="7FFF5E0C"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76</w:t>
            </w:r>
          </w:p>
          <w:p w14:paraId="02C7FBC8"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(5.4</w:t>
            </w:r>
            <w:r w:rsidRPr="000660BF">
              <w:rPr>
                <w:rFonts w:eastAsia="Times New Roman" w:cs="Arial"/>
                <w:color w:val="000000"/>
                <w:sz w:val="18"/>
                <w:szCs w:val="18"/>
                <w:lang w:eastAsia="en-ZA"/>
              </w:rPr>
              <w:t>)</w:t>
            </w:r>
          </w:p>
        </w:tc>
        <w:tc>
          <w:tcPr>
            <w:tcW w:w="1201" w:type="dxa"/>
            <w:shd w:val="clear" w:color="auto" w:fill="auto"/>
            <w:noWrap/>
            <w:vAlign w:val="center"/>
            <w:hideMark/>
          </w:tcPr>
          <w:p w14:paraId="4D12E03A"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76</w:t>
            </w:r>
          </w:p>
          <w:p w14:paraId="6830F03B"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(5.4</w:t>
            </w:r>
            <w:r w:rsidRPr="000660BF">
              <w:rPr>
                <w:rFonts w:eastAsia="Times New Roman" w:cs="Arial"/>
                <w:color w:val="000000"/>
                <w:sz w:val="18"/>
                <w:szCs w:val="18"/>
                <w:lang w:eastAsia="en-ZA"/>
              </w:rPr>
              <w:t>)</w:t>
            </w:r>
          </w:p>
        </w:tc>
      </w:tr>
      <w:tr w:rsidR="008B5E2B" w:rsidRPr="000660BF" w14:paraId="28417A07" w14:textId="77777777" w:rsidTr="004F5249">
        <w:trPr>
          <w:trHeight w:val="285"/>
          <w:jc w:val="center"/>
        </w:trPr>
        <w:tc>
          <w:tcPr>
            <w:tcW w:w="2320" w:type="dxa"/>
            <w:shd w:val="clear" w:color="auto" w:fill="auto"/>
            <w:vAlign w:val="center"/>
            <w:hideMark/>
          </w:tcPr>
          <w:p w14:paraId="2B7BD95A" w14:textId="77777777" w:rsidR="008B5E2B" w:rsidRPr="000660BF" w:rsidRDefault="008B5E2B" w:rsidP="004F5249">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80%</w:t>
            </w:r>
            <w:r>
              <w:rPr>
                <w:rFonts w:eastAsia="Times New Roman" w:cs="Arial"/>
                <w:color w:val="000000"/>
                <w:sz w:val="18"/>
                <w:szCs w:val="18"/>
                <w:lang w:eastAsia="en-ZA"/>
              </w:rPr>
              <w:t xml:space="preserve"> </w:t>
            </w:r>
            <w:r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494E14FB"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43</w:t>
            </w:r>
          </w:p>
          <w:p w14:paraId="5387BF5E"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(3.1</w:t>
            </w:r>
            <w:r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19C55F5A"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50</w:t>
            </w:r>
          </w:p>
          <w:p w14:paraId="43E7D03E"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(3.6</w:t>
            </w:r>
            <w:r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2F2CBE7B"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58</w:t>
            </w:r>
          </w:p>
          <w:p w14:paraId="629433FF"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(4.1</w:t>
            </w:r>
            <w:r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6A9BAA21"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67</w:t>
            </w:r>
          </w:p>
          <w:p w14:paraId="70DAB4CA"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(4.8</w:t>
            </w:r>
            <w:r w:rsidRPr="000660BF">
              <w:rPr>
                <w:rFonts w:eastAsia="Times New Roman" w:cs="Arial"/>
                <w:color w:val="000000"/>
                <w:sz w:val="18"/>
                <w:szCs w:val="18"/>
                <w:lang w:eastAsia="en-ZA"/>
              </w:rPr>
              <w:t>)</w:t>
            </w:r>
          </w:p>
        </w:tc>
        <w:tc>
          <w:tcPr>
            <w:tcW w:w="1201" w:type="dxa"/>
            <w:shd w:val="clear" w:color="auto" w:fill="auto"/>
            <w:noWrap/>
            <w:vAlign w:val="center"/>
            <w:hideMark/>
          </w:tcPr>
          <w:p w14:paraId="11568C71" w14:textId="77777777" w:rsidR="008B5E2B" w:rsidRPr="000660BF" w:rsidRDefault="008B5E2B" w:rsidP="004F524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74</w:t>
            </w:r>
          </w:p>
          <w:p w14:paraId="4056839F" w14:textId="77777777" w:rsidR="008B5E2B" w:rsidRPr="000660BF" w:rsidRDefault="008B5E2B" w:rsidP="004F524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(5.3)</w:t>
            </w:r>
          </w:p>
        </w:tc>
        <w:tc>
          <w:tcPr>
            <w:tcW w:w="1201" w:type="dxa"/>
            <w:shd w:val="clear" w:color="auto" w:fill="auto"/>
            <w:noWrap/>
            <w:vAlign w:val="center"/>
            <w:hideMark/>
          </w:tcPr>
          <w:p w14:paraId="520449EB"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77</w:t>
            </w:r>
          </w:p>
          <w:p w14:paraId="0994B070"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(5.5</w:t>
            </w:r>
            <w:r w:rsidRPr="000660BF">
              <w:rPr>
                <w:rFonts w:eastAsia="Times New Roman" w:cs="Arial"/>
                <w:color w:val="000000"/>
                <w:sz w:val="18"/>
                <w:szCs w:val="18"/>
                <w:lang w:eastAsia="en-ZA"/>
              </w:rPr>
              <w:t>)</w:t>
            </w:r>
          </w:p>
        </w:tc>
      </w:tr>
      <w:tr w:rsidR="008B5E2B" w:rsidRPr="000660BF" w14:paraId="73A6FC7D" w14:textId="77777777" w:rsidTr="004F5249">
        <w:trPr>
          <w:trHeight w:val="293"/>
          <w:jc w:val="center"/>
        </w:trPr>
        <w:tc>
          <w:tcPr>
            <w:tcW w:w="2320" w:type="dxa"/>
            <w:shd w:val="clear" w:color="auto" w:fill="auto"/>
            <w:vAlign w:val="center"/>
            <w:hideMark/>
          </w:tcPr>
          <w:p w14:paraId="72F32100" w14:textId="77777777" w:rsidR="008B5E2B" w:rsidRPr="000660BF" w:rsidRDefault="008B5E2B" w:rsidP="004F5249">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100%</w:t>
            </w:r>
            <w:r>
              <w:rPr>
                <w:rFonts w:eastAsia="Times New Roman" w:cs="Arial"/>
                <w:color w:val="000000"/>
                <w:sz w:val="18"/>
                <w:szCs w:val="18"/>
                <w:lang w:eastAsia="en-ZA"/>
              </w:rPr>
              <w:t xml:space="preserve"> </w:t>
            </w:r>
            <w:r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7446019F" w14:textId="77777777" w:rsidR="008B5E2B" w:rsidRPr="000660BF" w:rsidRDefault="008B5E2B" w:rsidP="004F524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42</w:t>
            </w:r>
          </w:p>
          <w:p w14:paraId="3CB91E15" w14:textId="77777777" w:rsidR="008B5E2B" w:rsidRPr="000660BF" w:rsidRDefault="008B5E2B" w:rsidP="004F524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(3.0)</w:t>
            </w:r>
          </w:p>
        </w:tc>
        <w:tc>
          <w:tcPr>
            <w:tcW w:w="1201" w:type="dxa"/>
            <w:gridSpan w:val="2"/>
            <w:shd w:val="clear" w:color="auto" w:fill="auto"/>
            <w:noWrap/>
            <w:vAlign w:val="center"/>
            <w:hideMark/>
          </w:tcPr>
          <w:p w14:paraId="24C3E612"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51</w:t>
            </w:r>
          </w:p>
          <w:p w14:paraId="0A5DFD3C" w14:textId="77777777" w:rsidR="008B5E2B" w:rsidRPr="000660BF" w:rsidRDefault="008B5E2B" w:rsidP="004F524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(3.6)</w:t>
            </w:r>
          </w:p>
        </w:tc>
        <w:tc>
          <w:tcPr>
            <w:tcW w:w="1201" w:type="dxa"/>
            <w:gridSpan w:val="2"/>
            <w:shd w:val="clear" w:color="auto" w:fill="auto"/>
            <w:noWrap/>
            <w:vAlign w:val="center"/>
            <w:hideMark/>
          </w:tcPr>
          <w:p w14:paraId="52C89F38"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59</w:t>
            </w:r>
          </w:p>
          <w:p w14:paraId="7590F890"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(4.2</w:t>
            </w:r>
            <w:r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559CA89E" w14:textId="77777777" w:rsidR="008B5E2B" w:rsidRPr="000660BF" w:rsidRDefault="008B5E2B" w:rsidP="004F524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68</w:t>
            </w:r>
          </w:p>
          <w:p w14:paraId="75FD9C6C" w14:textId="77777777" w:rsidR="008B5E2B" w:rsidRPr="000660BF" w:rsidRDefault="008B5E2B" w:rsidP="004F5249">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(4.9)</w:t>
            </w:r>
          </w:p>
        </w:tc>
        <w:tc>
          <w:tcPr>
            <w:tcW w:w="1201" w:type="dxa"/>
            <w:shd w:val="clear" w:color="auto" w:fill="auto"/>
            <w:noWrap/>
            <w:vAlign w:val="center"/>
            <w:hideMark/>
          </w:tcPr>
          <w:p w14:paraId="1D66D213"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73</w:t>
            </w:r>
          </w:p>
          <w:p w14:paraId="0C95D9AE"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(5.2</w:t>
            </w:r>
            <w:r w:rsidRPr="000660BF">
              <w:rPr>
                <w:rFonts w:eastAsia="Times New Roman" w:cs="Arial"/>
                <w:color w:val="000000"/>
                <w:sz w:val="18"/>
                <w:szCs w:val="18"/>
                <w:lang w:eastAsia="en-ZA"/>
              </w:rPr>
              <w:t>)</w:t>
            </w:r>
          </w:p>
        </w:tc>
        <w:tc>
          <w:tcPr>
            <w:tcW w:w="1201" w:type="dxa"/>
            <w:shd w:val="clear" w:color="auto" w:fill="auto"/>
            <w:noWrap/>
            <w:vAlign w:val="center"/>
            <w:hideMark/>
          </w:tcPr>
          <w:p w14:paraId="6BCC9338"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78</w:t>
            </w:r>
          </w:p>
          <w:p w14:paraId="2238AF3A" w14:textId="77777777" w:rsidR="008B5E2B" w:rsidRPr="000660BF" w:rsidRDefault="008B5E2B" w:rsidP="004F524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(5.6</w:t>
            </w:r>
            <w:r w:rsidRPr="000660BF">
              <w:rPr>
                <w:rFonts w:eastAsia="Times New Roman" w:cs="Arial"/>
                <w:color w:val="000000"/>
                <w:sz w:val="18"/>
                <w:szCs w:val="18"/>
                <w:lang w:eastAsia="en-ZA"/>
              </w:rPr>
              <w:t>)</w:t>
            </w:r>
          </w:p>
        </w:tc>
      </w:tr>
      <w:tr w:rsidR="0019557B" w:rsidRPr="000660BF" w14:paraId="444A9294" w14:textId="77777777" w:rsidTr="009F6BC9">
        <w:trPr>
          <w:trHeight w:val="293"/>
          <w:jc w:val="center"/>
        </w:trPr>
        <w:tc>
          <w:tcPr>
            <w:tcW w:w="9242" w:type="dxa"/>
            <w:gridSpan w:val="10"/>
            <w:shd w:val="clear" w:color="auto" w:fill="auto"/>
            <w:vAlign w:val="center"/>
          </w:tcPr>
          <w:p w14:paraId="68313EFE" w14:textId="77777777" w:rsidR="0019557B" w:rsidRPr="000660BF" w:rsidRDefault="0019557B" w:rsidP="0019557B">
            <w:pPr>
              <w:spacing w:after="0" w:line="240" w:lineRule="auto"/>
              <w:rPr>
                <w:rFonts w:eastAsia="Times New Roman" w:cs="Arial"/>
                <w:color w:val="000000"/>
                <w:sz w:val="18"/>
                <w:szCs w:val="18"/>
                <w:lang w:eastAsia="en-ZA"/>
              </w:rPr>
            </w:pPr>
            <w:r w:rsidRPr="000660BF">
              <w:rPr>
                <w:rFonts w:eastAsia="Times New Roman" w:cs="Arial"/>
                <w:color w:val="000000"/>
                <w:sz w:val="18"/>
                <w:szCs w:val="18"/>
                <w:lang w:eastAsia="en-ZA"/>
              </w:rPr>
              <w:t>No DST done</w:t>
            </w:r>
          </w:p>
        </w:tc>
      </w:tr>
      <w:tr w:rsidR="0019557B" w:rsidRPr="000660BF" w14:paraId="6BE84144" w14:textId="77777777" w:rsidTr="009F6BC9">
        <w:trPr>
          <w:trHeight w:val="205"/>
          <w:jc w:val="center"/>
        </w:trPr>
        <w:tc>
          <w:tcPr>
            <w:tcW w:w="2320" w:type="dxa"/>
            <w:shd w:val="clear" w:color="auto" w:fill="auto"/>
            <w:noWrap/>
            <w:vAlign w:val="center"/>
            <w:hideMark/>
          </w:tcPr>
          <w:p w14:paraId="7BE61EB7" w14:textId="77777777" w:rsidR="0019557B" w:rsidRPr="000660BF" w:rsidRDefault="0019557B" w:rsidP="0019557B">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60%</w:t>
            </w:r>
            <w:r>
              <w:rPr>
                <w:rFonts w:eastAsia="Times New Roman" w:cs="Arial"/>
                <w:color w:val="000000"/>
                <w:sz w:val="18"/>
                <w:szCs w:val="18"/>
                <w:lang w:eastAsia="en-ZA"/>
              </w:rPr>
              <w:t xml:space="preserve"> </w:t>
            </w:r>
            <w:r w:rsidR="00C909C4"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46354259"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397</w:t>
            </w:r>
          </w:p>
          <w:p w14:paraId="043F3185"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(28.4</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075B5EFC"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307</w:t>
            </w:r>
          </w:p>
          <w:p w14:paraId="5757AEB4"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(22.0</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59D62254"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202</w:t>
            </w:r>
          </w:p>
          <w:p w14:paraId="06EFE2C9"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(14.4</w:t>
            </w:r>
            <w:r w:rsidR="0019557B"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3BDBEC92"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134</w:t>
            </w:r>
          </w:p>
          <w:p w14:paraId="7F0F75AD"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(9.6</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0F22697C"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62</w:t>
            </w:r>
          </w:p>
          <w:p w14:paraId="3635626F"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(4.4</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390E127E" w14:textId="77777777" w:rsidR="0019557B" w:rsidRPr="000660BF" w:rsidRDefault="0019557B" w:rsidP="0019557B">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0</w:t>
            </w:r>
          </w:p>
        </w:tc>
      </w:tr>
      <w:tr w:rsidR="0019557B" w:rsidRPr="000660BF" w14:paraId="0E292A5B" w14:textId="77777777" w:rsidTr="009F6BC9">
        <w:trPr>
          <w:trHeight w:val="285"/>
          <w:jc w:val="center"/>
        </w:trPr>
        <w:tc>
          <w:tcPr>
            <w:tcW w:w="2320" w:type="dxa"/>
            <w:shd w:val="clear" w:color="auto" w:fill="auto"/>
            <w:vAlign w:val="center"/>
            <w:hideMark/>
          </w:tcPr>
          <w:p w14:paraId="481CB135" w14:textId="77777777" w:rsidR="0019557B" w:rsidRPr="000660BF" w:rsidRDefault="0019557B" w:rsidP="0019557B">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80%</w:t>
            </w:r>
            <w:r>
              <w:rPr>
                <w:rFonts w:eastAsia="Times New Roman" w:cs="Arial"/>
                <w:color w:val="000000"/>
                <w:sz w:val="18"/>
                <w:szCs w:val="18"/>
                <w:lang w:eastAsia="en-ZA"/>
              </w:rPr>
              <w:t xml:space="preserve"> </w:t>
            </w:r>
            <w:r w:rsidR="00C909C4"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0FC7207D"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397</w:t>
            </w:r>
          </w:p>
          <w:p w14:paraId="653613E7"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(28.4</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66A68378"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307</w:t>
            </w:r>
          </w:p>
          <w:p w14:paraId="1D0E8AC8"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(22.0</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51EEDB9E"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202</w:t>
            </w:r>
          </w:p>
          <w:p w14:paraId="536C28BE"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(14.4</w:t>
            </w:r>
            <w:r w:rsidR="0019557B"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7763F3E3"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134</w:t>
            </w:r>
          </w:p>
          <w:p w14:paraId="509036C3" w14:textId="77777777" w:rsidR="0019557B" w:rsidRPr="000660BF" w:rsidRDefault="00917B19" w:rsidP="00917B19">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(9.6)</w:t>
            </w:r>
          </w:p>
        </w:tc>
        <w:tc>
          <w:tcPr>
            <w:tcW w:w="1201" w:type="dxa"/>
            <w:shd w:val="clear" w:color="auto" w:fill="auto"/>
            <w:noWrap/>
            <w:vAlign w:val="center"/>
            <w:hideMark/>
          </w:tcPr>
          <w:p w14:paraId="4791B4E0"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62</w:t>
            </w:r>
          </w:p>
          <w:p w14:paraId="3BD4CDA4" w14:textId="77777777" w:rsidR="0019557B" w:rsidRPr="000660BF" w:rsidRDefault="00917B19"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(4.4</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6DE1E55E" w14:textId="77777777" w:rsidR="0019557B" w:rsidRPr="000660BF" w:rsidRDefault="0019557B" w:rsidP="0019557B">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0</w:t>
            </w:r>
          </w:p>
        </w:tc>
      </w:tr>
      <w:tr w:rsidR="0019557B" w:rsidRPr="000660BF" w14:paraId="7C4A7C44" w14:textId="77777777" w:rsidTr="009F6BC9">
        <w:trPr>
          <w:trHeight w:val="293"/>
          <w:jc w:val="center"/>
        </w:trPr>
        <w:tc>
          <w:tcPr>
            <w:tcW w:w="2320" w:type="dxa"/>
            <w:shd w:val="clear" w:color="auto" w:fill="auto"/>
            <w:vAlign w:val="center"/>
            <w:hideMark/>
          </w:tcPr>
          <w:p w14:paraId="5C4AAB6A" w14:textId="77777777" w:rsidR="0019557B" w:rsidRPr="000660BF" w:rsidRDefault="0019557B" w:rsidP="0019557B">
            <w:pPr>
              <w:spacing w:after="0" w:line="240" w:lineRule="auto"/>
              <w:jc w:val="right"/>
              <w:rPr>
                <w:rFonts w:eastAsia="Times New Roman" w:cs="Arial"/>
                <w:color w:val="000000"/>
                <w:sz w:val="18"/>
                <w:szCs w:val="18"/>
                <w:lang w:eastAsia="en-ZA"/>
              </w:rPr>
            </w:pPr>
            <w:r w:rsidRPr="000660BF">
              <w:rPr>
                <w:rFonts w:eastAsia="Times New Roman" w:cs="Arial"/>
                <w:color w:val="000000"/>
                <w:sz w:val="18"/>
                <w:szCs w:val="18"/>
                <w:lang w:eastAsia="en-ZA"/>
              </w:rPr>
              <w:t>100%</w:t>
            </w:r>
            <w:r>
              <w:rPr>
                <w:rFonts w:eastAsia="Times New Roman" w:cs="Arial"/>
                <w:color w:val="000000"/>
                <w:sz w:val="18"/>
                <w:szCs w:val="18"/>
                <w:lang w:eastAsia="en-ZA"/>
              </w:rPr>
              <w:t xml:space="preserve"> </w:t>
            </w:r>
            <w:r w:rsidR="00C909C4" w:rsidRPr="00732D2D">
              <w:rPr>
                <w:rFonts w:eastAsia="Times New Roman" w:cs="Arial"/>
                <w:color w:val="000000"/>
                <w:sz w:val="18"/>
                <w:szCs w:val="18"/>
                <w:lang w:eastAsia="en-ZA"/>
              </w:rPr>
              <w:t>knew their HIV status</w:t>
            </w:r>
          </w:p>
        </w:tc>
        <w:tc>
          <w:tcPr>
            <w:tcW w:w="918" w:type="dxa"/>
            <w:shd w:val="clear" w:color="auto" w:fill="auto"/>
            <w:noWrap/>
            <w:vAlign w:val="center"/>
            <w:hideMark/>
          </w:tcPr>
          <w:p w14:paraId="379EF0DA"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397</w:t>
            </w:r>
          </w:p>
          <w:p w14:paraId="678AB1E3"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(28.4</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4ED7315F"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307</w:t>
            </w:r>
          </w:p>
          <w:p w14:paraId="308DF689"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(22.0</w:t>
            </w:r>
            <w:r w:rsidR="0019557B" w:rsidRPr="000660BF">
              <w:rPr>
                <w:rFonts w:eastAsia="Times New Roman" w:cs="Arial"/>
                <w:color w:val="000000"/>
                <w:sz w:val="18"/>
                <w:szCs w:val="18"/>
                <w:lang w:eastAsia="en-ZA"/>
              </w:rPr>
              <w:t>)</w:t>
            </w:r>
          </w:p>
        </w:tc>
        <w:tc>
          <w:tcPr>
            <w:tcW w:w="1201" w:type="dxa"/>
            <w:gridSpan w:val="2"/>
            <w:shd w:val="clear" w:color="auto" w:fill="auto"/>
            <w:noWrap/>
            <w:vAlign w:val="center"/>
            <w:hideMark/>
          </w:tcPr>
          <w:p w14:paraId="5137A442"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202</w:t>
            </w:r>
          </w:p>
          <w:p w14:paraId="5EA5648C"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(14.4</w:t>
            </w:r>
            <w:r w:rsidR="0019557B" w:rsidRPr="000660BF">
              <w:rPr>
                <w:rFonts w:eastAsia="Times New Roman" w:cs="Arial"/>
                <w:color w:val="000000"/>
                <w:sz w:val="18"/>
                <w:szCs w:val="18"/>
                <w:lang w:eastAsia="en-ZA"/>
              </w:rPr>
              <w:t>)</w:t>
            </w:r>
          </w:p>
        </w:tc>
        <w:tc>
          <w:tcPr>
            <w:tcW w:w="1200" w:type="dxa"/>
            <w:gridSpan w:val="2"/>
            <w:shd w:val="clear" w:color="auto" w:fill="auto"/>
            <w:noWrap/>
            <w:vAlign w:val="center"/>
            <w:hideMark/>
          </w:tcPr>
          <w:p w14:paraId="0A0F3045"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134</w:t>
            </w:r>
          </w:p>
          <w:p w14:paraId="03BB7FA4"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(9.6</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4B1C6F60"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62</w:t>
            </w:r>
          </w:p>
          <w:p w14:paraId="1CE98394" w14:textId="77777777" w:rsidR="0019557B" w:rsidRPr="000660BF" w:rsidRDefault="003C2A4C" w:rsidP="0019557B">
            <w:pPr>
              <w:spacing w:after="0" w:line="240" w:lineRule="auto"/>
              <w:jc w:val="center"/>
              <w:rPr>
                <w:rFonts w:eastAsia="Times New Roman" w:cs="Arial"/>
                <w:color w:val="000000"/>
                <w:sz w:val="18"/>
                <w:szCs w:val="18"/>
                <w:lang w:eastAsia="en-ZA"/>
              </w:rPr>
            </w:pPr>
            <w:r>
              <w:rPr>
                <w:rFonts w:eastAsia="Times New Roman" w:cs="Arial"/>
                <w:color w:val="000000"/>
                <w:sz w:val="18"/>
                <w:szCs w:val="18"/>
                <w:lang w:eastAsia="en-ZA"/>
              </w:rPr>
              <w:t>(4.4</w:t>
            </w:r>
            <w:r w:rsidR="0019557B" w:rsidRPr="000660BF">
              <w:rPr>
                <w:rFonts w:eastAsia="Times New Roman" w:cs="Arial"/>
                <w:color w:val="000000"/>
                <w:sz w:val="18"/>
                <w:szCs w:val="18"/>
                <w:lang w:eastAsia="en-ZA"/>
              </w:rPr>
              <w:t>)</w:t>
            </w:r>
          </w:p>
        </w:tc>
        <w:tc>
          <w:tcPr>
            <w:tcW w:w="1201" w:type="dxa"/>
            <w:shd w:val="clear" w:color="auto" w:fill="auto"/>
            <w:noWrap/>
            <w:vAlign w:val="center"/>
            <w:hideMark/>
          </w:tcPr>
          <w:p w14:paraId="4569861A" w14:textId="77777777" w:rsidR="0019557B" w:rsidRPr="000660BF" w:rsidRDefault="0019557B" w:rsidP="0019557B">
            <w:pPr>
              <w:spacing w:after="0" w:line="240" w:lineRule="auto"/>
              <w:jc w:val="center"/>
              <w:rPr>
                <w:rFonts w:eastAsia="Times New Roman" w:cs="Arial"/>
                <w:color w:val="000000"/>
                <w:sz w:val="18"/>
                <w:szCs w:val="18"/>
                <w:lang w:eastAsia="en-ZA"/>
              </w:rPr>
            </w:pPr>
            <w:r w:rsidRPr="000660BF">
              <w:rPr>
                <w:rFonts w:eastAsia="Times New Roman" w:cs="Arial"/>
                <w:color w:val="000000"/>
                <w:sz w:val="18"/>
                <w:szCs w:val="18"/>
                <w:lang w:eastAsia="en-ZA"/>
              </w:rPr>
              <w:t>0</w:t>
            </w:r>
          </w:p>
        </w:tc>
      </w:tr>
    </w:tbl>
    <w:p w14:paraId="508E4153" w14:textId="78E2EE7E" w:rsidR="00223323" w:rsidRPr="00F00107" w:rsidRDefault="00857D53" w:rsidP="00223323">
      <w:pPr>
        <w:tabs>
          <w:tab w:val="left" w:pos="3833"/>
        </w:tabs>
        <w:rPr>
          <w:rFonts w:cs="Arial"/>
          <w:sz w:val="20"/>
          <w:szCs w:val="20"/>
        </w:rPr>
      </w:pPr>
      <w:r>
        <w:rPr>
          <w:rFonts w:cs="Arial"/>
          <w:sz w:val="20"/>
          <w:szCs w:val="20"/>
        </w:rPr>
        <w:t xml:space="preserve">Amongst the population of 100,000 presumptive TB cases there were </w:t>
      </w:r>
      <w:r w:rsidRPr="00CF565A">
        <w:rPr>
          <w:rFonts w:eastAsia="Times New Roman" w:cs="Arial"/>
          <w:color w:val="000000"/>
          <w:sz w:val="20"/>
          <w:szCs w:val="20"/>
          <w:lang w:eastAsia="en-ZA"/>
        </w:rPr>
        <w:t>18</w:t>
      </w:r>
      <w:r>
        <w:rPr>
          <w:rFonts w:eastAsia="Times New Roman" w:cs="Arial"/>
          <w:color w:val="000000"/>
          <w:sz w:val="20"/>
          <w:szCs w:val="20"/>
          <w:lang w:eastAsia="en-ZA"/>
        </w:rPr>
        <w:t>,</w:t>
      </w:r>
      <w:r w:rsidRPr="00CF565A">
        <w:rPr>
          <w:rFonts w:eastAsia="Times New Roman" w:cs="Arial"/>
          <w:color w:val="000000"/>
          <w:sz w:val="20"/>
          <w:szCs w:val="20"/>
          <w:lang w:eastAsia="en-ZA"/>
        </w:rPr>
        <w:t>155</w:t>
      </w:r>
      <w:r>
        <w:rPr>
          <w:rFonts w:eastAsia="Times New Roman" w:cs="Arial"/>
          <w:color w:val="000000"/>
          <w:sz w:val="20"/>
          <w:szCs w:val="20"/>
          <w:lang w:eastAsia="en-ZA"/>
        </w:rPr>
        <w:t xml:space="preserve"> true TB cases and </w:t>
      </w:r>
      <w:r w:rsidRPr="00CF565A">
        <w:rPr>
          <w:rFonts w:eastAsia="Times New Roman" w:cs="Arial"/>
          <w:color w:val="000000"/>
          <w:sz w:val="20"/>
          <w:szCs w:val="20"/>
          <w:lang w:eastAsia="en-ZA"/>
        </w:rPr>
        <w:t>1</w:t>
      </w:r>
      <w:r>
        <w:rPr>
          <w:rFonts w:eastAsia="Times New Roman" w:cs="Arial"/>
          <w:color w:val="000000"/>
          <w:sz w:val="20"/>
          <w:szCs w:val="20"/>
          <w:lang w:eastAsia="en-ZA"/>
        </w:rPr>
        <w:t>,</w:t>
      </w:r>
      <w:r w:rsidRPr="00CF565A">
        <w:rPr>
          <w:rFonts w:eastAsia="Times New Roman" w:cs="Arial"/>
          <w:color w:val="000000"/>
          <w:sz w:val="20"/>
          <w:szCs w:val="20"/>
          <w:lang w:eastAsia="en-ZA"/>
        </w:rPr>
        <w:t>398</w:t>
      </w:r>
      <w:r w:rsidR="0077759A">
        <w:rPr>
          <w:rFonts w:eastAsia="Times New Roman" w:cs="Arial"/>
          <w:color w:val="000000"/>
          <w:sz w:val="20"/>
          <w:szCs w:val="20"/>
          <w:lang w:eastAsia="en-ZA"/>
        </w:rPr>
        <w:t xml:space="preserve"> true </w:t>
      </w:r>
      <w:r w:rsidR="002C5EF3" w:rsidRPr="001500E1">
        <w:rPr>
          <w:rFonts w:cs="Arial"/>
          <w:sz w:val="20"/>
          <w:szCs w:val="20"/>
        </w:rPr>
        <w:t>RMP-R</w:t>
      </w:r>
      <w:r w:rsidR="002C5EF3">
        <w:rPr>
          <w:rFonts w:eastAsia="Times New Roman" w:cs="Arial"/>
          <w:color w:val="000000"/>
          <w:sz w:val="20"/>
          <w:szCs w:val="20"/>
          <w:lang w:eastAsia="en-ZA"/>
        </w:rPr>
        <w:t xml:space="preserve"> </w:t>
      </w:r>
      <w:r>
        <w:rPr>
          <w:rFonts w:eastAsia="Times New Roman" w:cs="Arial"/>
          <w:color w:val="000000"/>
          <w:sz w:val="20"/>
          <w:szCs w:val="20"/>
          <w:lang w:eastAsia="en-ZA"/>
        </w:rPr>
        <w:t>TB cases</w:t>
      </w:r>
      <w:r w:rsidR="00103029">
        <w:rPr>
          <w:rFonts w:eastAsia="Times New Roman" w:cs="Arial"/>
          <w:color w:val="000000"/>
          <w:sz w:val="20"/>
          <w:szCs w:val="20"/>
          <w:lang w:eastAsia="en-ZA"/>
        </w:rPr>
        <w:t>.</w:t>
      </w:r>
      <w:r w:rsidR="00223323">
        <w:rPr>
          <w:rFonts w:eastAsia="Times New Roman" w:cs="Arial"/>
          <w:color w:val="000000"/>
          <w:sz w:val="20"/>
          <w:szCs w:val="20"/>
          <w:lang w:eastAsia="en-ZA"/>
        </w:rPr>
        <w:br/>
      </w:r>
    </w:p>
    <w:p w14:paraId="7C6CFA78" w14:textId="77777777" w:rsidR="00C66CC8" w:rsidRDefault="00C66CC8" w:rsidP="00201F4C">
      <w:pPr>
        <w:tabs>
          <w:tab w:val="left" w:pos="3833"/>
        </w:tabs>
        <w:rPr>
          <w:rFonts w:cs="Arial"/>
          <w:sz w:val="20"/>
          <w:szCs w:val="20"/>
        </w:rPr>
      </w:pPr>
    </w:p>
    <w:p w14:paraId="7BD1CE51" w14:textId="77777777" w:rsidR="00302935" w:rsidRDefault="00302935">
      <w:pPr>
        <w:rPr>
          <w:rFonts w:cs="Arial"/>
          <w:sz w:val="20"/>
          <w:szCs w:val="20"/>
        </w:rPr>
      </w:pPr>
    </w:p>
    <w:p w14:paraId="3AE4FC07" w14:textId="77777777" w:rsidR="00302935" w:rsidRDefault="00302935">
      <w:pPr>
        <w:rPr>
          <w:rFonts w:cs="Arial"/>
          <w:sz w:val="20"/>
          <w:szCs w:val="20"/>
        </w:rPr>
        <w:sectPr w:rsidR="00302935" w:rsidSect="00422B84">
          <w:footerReference w:type="default" r:id="rId9"/>
          <w:pgSz w:w="11906" w:h="16838"/>
          <w:pgMar w:top="1440" w:right="1440" w:bottom="1440" w:left="1440" w:header="708" w:footer="708" w:gutter="0"/>
          <w:lnNumType w:countBy="1" w:restart="continuous"/>
          <w:cols w:space="708"/>
          <w:docGrid w:linePitch="360"/>
        </w:sectPr>
      </w:pPr>
    </w:p>
    <w:p w14:paraId="7DA56318" w14:textId="1CF4669D" w:rsidR="00140CC0" w:rsidRDefault="00B40407" w:rsidP="00140CC0">
      <w:pPr>
        <w:keepNext/>
      </w:pPr>
      <w:r>
        <w:rPr>
          <w:rFonts w:asciiTheme="minorHAnsi" w:hAnsiTheme="minorHAnsi"/>
        </w:rPr>
        <w:object w:dxaOrig="9023" w:dyaOrig="4635" w14:anchorId="1DE95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31.75pt" o:ole="">
            <v:imagedata r:id="rId10" o:title=""/>
          </v:shape>
          <o:OLEObject Type="Embed" ProgID="Visio.Drawing.15" ShapeID="_x0000_i1025" DrawAspect="Content" ObjectID="_1583240268" r:id="rId11"/>
        </w:object>
      </w:r>
    </w:p>
    <w:p w14:paraId="70D134C7" w14:textId="37BFF37D" w:rsidR="002D12E2" w:rsidRDefault="00140CC0" w:rsidP="002D12E2">
      <w:pPr>
        <w:pStyle w:val="Caption"/>
        <w:spacing w:after="0"/>
      </w:pPr>
      <w:r>
        <w:t xml:space="preserve">Figure </w:t>
      </w:r>
      <w:r w:rsidR="00C47B7A">
        <w:fldChar w:fldCharType="begin"/>
      </w:r>
      <w:r w:rsidR="00C47B7A">
        <w:instrText xml:space="preserve"> SEQ Figure \* ARABIC </w:instrText>
      </w:r>
      <w:r w:rsidR="00C47B7A">
        <w:fldChar w:fldCharType="separate"/>
      </w:r>
      <w:r w:rsidR="009D4E65">
        <w:rPr>
          <w:noProof/>
        </w:rPr>
        <w:t>1</w:t>
      </w:r>
      <w:r w:rsidR="00C47B7A">
        <w:rPr>
          <w:noProof/>
        </w:rPr>
        <w:fldChar w:fldCharType="end"/>
      </w:r>
      <w:r>
        <w:t>: TB diagnostic algorithms as stipulated by the South African National TB program.</w:t>
      </w:r>
      <w:r>
        <w:fldChar w:fldCharType="begin" w:fldLock="1"/>
      </w:r>
      <w:r w:rsidR="006A5DC1">
        <w:instrText>ADDIN CSL_CITATION { "citationItems" : [ { "id" : "ITEM-1", "itemData" : { "ISBN" : "9781920031824", "abstract" : "Tuberculosis and HIV/ AIDS are the drivers of morbidity and mortality in the country. Therefore more effort must be put into strategies that help us to: 1) reduce transmission of infection in the communities, 2) diagnose DS-TB and DR-TB early, 3) initiate treatment in all patients diagnosed with TB early, 4) retain patients in treatment and care until completion of treatment and 5) prevent TB in people lining with HIV by initiating all eligible HIV positive people on ART and Isoniazid preventive therapy. Implementing all these strategies in combination will help us as a country to attain the Millennium Development Goals. To this end, we have introduced new rapid diagnostic tests for drug susceptible and drug resistant TB, additional and new medicines for treating MDR and XDR-TB and are scaling up ward based outreach teams as part of PHC re engineering to provide care and support for patients at home and promote healthy lifestyle. Health care professionals play a pivotal role in the management of TB patients and we remain grateful for their dedication and hard work.", "author" : [ { "dropping-particle" : "", "family" : "Department of Health", "given" : "", "non-dropping-particle" : "", "parse-names" : false, "suffix" : "" } ], "id" : "ITEM-1", "issued" : { "date-parts" : [ [ "2014" ] ] }, "number-of-pages" : "19-28", "publisher-place" : "Pretoria, South Africa", "title" : "National Tuberculosis Management Guidelines 2014", "type" : "report" }, "uris" : [ "http://www.mendeley.com/documents/?uuid=451de89a-ef92-4293-9e5b-4c35009ba28c"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0050723B" w:rsidRPr="0050723B">
        <w:rPr>
          <w:i w:val="0"/>
          <w:noProof/>
          <w:vertAlign w:val="superscript"/>
        </w:rPr>
        <w:t>8</w:t>
      </w:r>
      <w:r>
        <w:fldChar w:fldCharType="end"/>
      </w:r>
      <w:r>
        <w:t xml:space="preserve"> The simplified sequence of diagnostic tests in each algorithm and the action</w:t>
      </w:r>
      <w:r w:rsidR="002D12E2">
        <w:t xml:space="preserve"> taken based on test results are</w:t>
      </w:r>
      <w:r w:rsidR="003C47B2">
        <w:t xml:space="preserve"> </w:t>
      </w:r>
      <w:r>
        <w:t xml:space="preserve">shown. </w:t>
      </w:r>
      <w:r w:rsidR="00F307B1">
        <w:br/>
      </w:r>
      <w:r w:rsidR="002D12E2">
        <w:t>With the Xpert-based algorithm, two spot specimens were collected and the first was tested with Xpert. If TB was detected, the second specimen underwent smear and if RMP-R was detected, a culture and LPA test was undertaken. The second specimen underwent culture and LPA if the Xpert test was negative and the individual was HIV-infected.</w:t>
      </w:r>
    </w:p>
    <w:p w14:paraId="6FB624C0" w14:textId="77777777" w:rsidR="00B40407" w:rsidRDefault="002D12E2" w:rsidP="00B40407">
      <w:pPr>
        <w:pStyle w:val="Caption"/>
        <w:spacing w:after="0"/>
        <w:rPr>
          <w:color w:val="FF0000"/>
        </w:rPr>
      </w:pPr>
      <w:r>
        <w:t>With the smear/culture-based algorithm, all presumptive TB cases were required to submit two spot sputum specimens an hour apart to be tested with fluorescence smear microscopy. The second specimen underwent culture testing (BACTEC™ MGIT™ 960; BD, Spark, MD, USA) if the individual had a history of previous TB treatment, was from a congregate setting or had an MDR-TB contact. If culture-positive, a DST using GenoType® MTBDRplus LPA was undertaken. All new, smear-negative HIV-infected individuals required a culture test</w:t>
      </w:r>
      <w:r w:rsidR="00FC5E5C">
        <w:t xml:space="preserve"> </w:t>
      </w:r>
      <w:r w:rsidR="00B40407">
        <w:rPr>
          <w:color w:val="FF0000"/>
        </w:rPr>
        <w:t>with no DST required</w:t>
      </w:r>
      <w:r w:rsidR="00B40407">
        <w:t xml:space="preserve">. </w:t>
      </w:r>
      <w:r w:rsidR="00B40407">
        <w:rPr>
          <w:color w:val="FF0000"/>
        </w:rPr>
        <w:t xml:space="preserve">New smear-positive individuals do not receive DST at diagnosis. </w:t>
      </w:r>
    </w:p>
    <w:p w14:paraId="4CD785A8" w14:textId="7D3717AB" w:rsidR="00F307B1" w:rsidRPr="00F307B1" w:rsidRDefault="00B40407" w:rsidP="00FC5E5C">
      <w:pPr>
        <w:pStyle w:val="Caption"/>
        <w:spacing w:after="0"/>
      </w:pPr>
      <w:r>
        <w:rPr>
          <w:color w:val="FF0000"/>
        </w:rPr>
        <w:t>In both algorithms, new and previously treated cases in which first line TB treatment regimens failed had specimens submitted for culture and LPA during the course of treatment.</w:t>
      </w:r>
    </w:p>
    <w:p w14:paraId="032F5447" w14:textId="25AA2F24" w:rsidR="00140CC0" w:rsidRDefault="00140CC0" w:rsidP="00140CC0">
      <w:pPr>
        <w:pStyle w:val="Caption"/>
        <w:spacing w:after="0"/>
      </w:pPr>
      <w:r>
        <w:t>Abbreviations: TB - tuberculosis; HIV – human immunodeficiency virus; MTB – mycobacterium tuberculosis</w:t>
      </w:r>
      <w:r w:rsidR="00872AD1">
        <w:t xml:space="preserve">; </w:t>
      </w:r>
      <w:r w:rsidR="00DB32EF">
        <w:t xml:space="preserve">RIF – rifampicin; </w:t>
      </w:r>
      <w:r w:rsidR="00250BFB">
        <w:t>DST</w:t>
      </w:r>
      <w:r w:rsidR="00387F49">
        <w:t xml:space="preserve"> - </w:t>
      </w:r>
      <w:r w:rsidR="00387F49">
        <w:rPr>
          <w:rFonts w:cs="Arial"/>
          <w:szCs w:val="20"/>
        </w:rPr>
        <w:t>drug susceptibility test</w:t>
      </w:r>
      <w:r w:rsidR="00387F49">
        <w:t xml:space="preserve">; </w:t>
      </w:r>
      <w:r w:rsidR="00872AD1">
        <w:t xml:space="preserve">LPA - </w:t>
      </w:r>
      <w:r w:rsidR="00872AD1" w:rsidRPr="006D1E88">
        <w:rPr>
          <w:rFonts w:cs="Arial"/>
          <w:szCs w:val="20"/>
        </w:rPr>
        <w:t>line-probe assay</w:t>
      </w:r>
      <w:r>
        <w:t>.</w:t>
      </w:r>
    </w:p>
    <w:p w14:paraId="49C0DDE4" w14:textId="77777777" w:rsidR="004150A4" w:rsidRDefault="004150A4">
      <w:pPr>
        <w:rPr>
          <w:rFonts w:eastAsia="Calibri" w:cs="Arial"/>
          <w:sz w:val="20"/>
          <w:szCs w:val="20"/>
          <w:lang w:val="en-GB" w:eastAsia="en-GB"/>
        </w:rPr>
      </w:pPr>
      <w:r>
        <w:rPr>
          <w:rFonts w:cs="Arial"/>
          <w:sz w:val="20"/>
          <w:szCs w:val="20"/>
        </w:rPr>
        <w:br w:type="page"/>
      </w:r>
    </w:p>
    <w:p w14:paraId="070D5338" w14:textId="77777777" w:rsidR="009248BE" w:rsidRDefault="000053BB" w:rsidP="009248BE">
      <w:pPr>
        <w:pStyle w:val="Default"/>
        <w:keepNext/>
        <w:jc w:val="both"/>
      </w:pPr>
      <w:r>
        <w:rPr>
          <w:noProof/>
          <w:lang w:val="en-ZA" w:eastAsia="en-ZA"/>
        </w:rPr>
        <w:lastRenderedPageBreak/>
        <w:drawing>
          <wp:inline distT="0" distB="0" distL="0" distR="0" wp14:anchorId="0DE9BD2A" wp14:editId="5B0AB166">
            <wp:extent cx="5756988" cy="3862873"/>
            <wp:effectExtent l="0" t="0" r="1524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3E383A" w14:textId="77777777" w:rsidR="00E837E7" w:rsidRPr="00140CC0" w:rsidRDefault="009248BE" w:rsidP="00E837E7">
      <w:pPr>
        <w:pStyle w:val="Caption"/>
        <w:jc w:val="both"/>
        <w:rPr>
          <w:rFonts w:cs="Arial"/>
          <w:szCs w:val="20"/>
        </w:rPr>
      </w:pPr>
      <w:r>
        <w:t xml:space="preserve">Figure </w:t>
      </w:r>
      <w:r w:rsidR="00C47B7A">
        <w:fldChar w:fldCharType="begin"/>
      </w:r>
      <w:r w:rsidR="00C47B7A">
        <w:instrText xml:space="preserve"> SEQ Figure \* ARABIC </w:instrText>
      </w:r>
      <w:r w:rsidR="00C47B7A">
        <w:fldChar w:fldCharType="separate"/>
      </w:r>
      <w:r w:rsidR="009D4E65">
        <w:rPr>
          <w:noProof/>
        </w:rPr>
        <w:t>2</w:t>
      </w:r>
      <w:r w:rsidR="00C47B7A">
        <w:rPr>
          <w:noProof/>
        </w:rPr>
        <w:fldChar w:fldCharType="end"/>
      </w:r>
      <w:r>
        <w:t xml:space="preserve">: </w:t>
      </w:r>
      <w:r w:rsidR="005A1E3F">
        <w:t xml:space="preserve">The number of </w:t>
      </w:r>
      <w:r>
        <w:t xml:space="preserve">TB </w:t>
      </w:r>
      <w:r w:rsidR="005A1E3F">
        <w:t>cases identified in an Xpert-based algorithm</w:t>
      </w:r>
      <w:r>
        <w:t xml:space="preserve"> </w:t>
      </w:r>
      <w:r w:rsidR="005A1E3F" w:rsidRPr="005A1E3F">
        <w:t>with varying adherence to the algorithm and proportion that knew their HIV status</w:t>
      </w:r>
      <w:r w:rsidR="00CA63AC">
        <w:t>.</w:t>
      </w:r>
      <w:r w:rsidR="00427971">
        <w:t xml:space="preserve"> TB = tuberculosis</w:t>
      </w:r>
      <w:r w:rsidR="003D200E">
        <w:t xml:space="preserve">; </w:t>
      </w:r>
      <w:r w:rsidR="00E837E7">
        <w:t xml:space="preserve">HIV = </w:t>
      </w:r>
      <w:r w:rsidR="00E837E7" w:rsidRPr="00863587">
        <w:t>human immunodeficiency virus</w:t>
      </w:r>
      <w:r w:rsidR="00E837E7">
        <w:t>.</w:t>
      </w:r>
    </w:p>
    <w:p w14:paraId="5EFFDB57" w14:textId="77777777" w:rsidR="00140CC0" w:rsidRDefault="00140CC0" w:rsidP="009248BE">
      <w:pPr>
        <w:pStyle w:val="Caption"/>
        <w:jc w:val="both"/>
        <w:rPr>
          <w:rFonts w:cs="Arial"/>
          <w:szCs w:val="20"/>
        </w:rPr>
      </w:pPr>
    </w:p>
    <w:p w14:paraId="188E8362" w14:textId="77777777" w:rsidR="004150A4" w:rsidRDefault="004150A4">
      <w:pPr>
        <w:rPr>
          <w:rFonts w:eastAsia="Calibri" w:cs="Arial"/>
          <w:sz w:val="20"/>
          <w:szCs w:val="20"/>
          <w:lang w:val="en-GB" w:eastAsia="en-GB"/>
        </w:rPr>
      </w:pPr>
      <w:r>
        <w:rPr>
          <w:rFonts w:cs="Arial"/>
          <w:sz w:val="20"/>
          <w:szCs w:val="20"/>
        </w:rPr>
        <w:br w:type="page"/>
      </w:r>
    </w:p>
    <w:p w14:paraId="2E52F3DC" w14:textId="77777777" w:rsidR="009D4E65" w:rsidRDefault="004A5B78" w:rsidP="009D4E65">
      <w:pPr>
        <w:pStyle w:val="Default"/>
        <w:keepNext/>
        <w:jc w:val="both"/>
      </w:pPr>
      <w:r>
        <w:rPr>
          <w:noProof/>
          <w:lang w:val="en-ZA" w:eastAsia="en-ZA"/>
        </w:rPr>
        <w:lastRenderedPageBreak/>
        <w:drawing>
          <wp:inline distT="0" distB="0" distL="0" distR="0" wp14:anchorId="44447849" wp14:editId="11C76762">
            <wp:extent cx="5840963" cy="438914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3307" cy="4398419"/>
                    </a:xfrm>
                    <a:prstGeom prst="rect">
                      <a:avLst/>
                    </a:prstGeom>
                    <a:noFill/>
                  </pic:spPr>
                </pic:pic>
              </a:graphicData>
            </a:graphic>
          </wp:inline>
        </w:drawing>
      </w:r>
    </w:p>
    <w:p w14:paraId="3F620DAC" w14:textId="77777777" w:rsidR="004150A4" w:rsidRPr="00140CC0" w:rsidRDefault="009D4E65" w:rsidP="009D4E65">
      <w:pPr>
        <w:pStyle w:val="Caption"/>
        <w:jc w:val="both"/>
        <w:rPr>
          <w:rFonts w:cs="Arial"/>
          <w:szCs w:val="20"/>
        </w:rPr>
      </w:pPr>
      <w:r>
        <w:t xml:space="preserve">Figure </w:t>
      </w:r>
      <w:r w:rsidR="00C47B7A">
        <w:fldChar w:fldCharType="begin"/>
      </w:r>
      <w:r w:rsidR="00C47B7A">
        <w:instrText xml:space="preserve"> SEQ Figure \* ARABIC </w:instrText>
      </w:r>
      <w:r w:rsidR="00C47B7A">
        <w:fldChar w:fldCharType="separate"/>
      </w:r>
      <w:r>
        <w:rPr>
          <w:noProof/>
        </w:rPr>
        <w:t>3</w:t>
      </w:r>
      <w:r w:rsidR="00C47B7A">
        <w:rPr>
          <w:noProof/>
        </w:rPr>
        <w:fldChar w:fldCharType="end"/>
      </w:r>
      <w:r>
        <w:t xml:space="preserve">: </w:t>
      </w:r>
      <w:r w:rsidR="00612B46">
        <w:t xml:space="preserve">Number of </w:t>
      </w:r>
      <w:r w:rsidR="00237BA1" w:rsidRPr="001500E1">
        <w:rPr>
          <w:rFonts w:cs="Arial"/>
          <w:szCs w:val="20"/>
        </w:rPr>
        <w:t>RMP-R</w:t>
      </w:r>
      <w:r w:rsidR="00237BA1">
        <w:t xml:space="preserve"> </w:t>
      </w:r>
      <w:r>
        <w:t xml:space="preserve">TB cases </w:t>
      </w:r>
      <w:r w:rsidR="00612B46">
        <w:t>identified</w:t>
      </w:r>
      <w:r>
        <w:t xml:space="preserve"> and missed</w:t>
      </w:r>
      <w:r w:rsidR="009F7263">
        <w:t xml:space="preserve"> </w:t>
      </w:r>
      <w:r w:rsidR="00612B46">
        <w:t xml:space="preserve">in an Xpert-based algorithm </w:t>
      </w:r>
      <w:r w:rsidR="00612B46" w:rsidRPr="005A1E3F">
        <w:t>with varying adherence to the algorithm and proportion that knew their HIV status</w:t>
      </w:r>
      <w:r w:rsidR="00612B46">
        <w:t>.</w:t>
      </w:r>
      <w:r w:rsidR="005806A7">
        <w:t xml:space="preserve"> </w:t>
      </w:r>
      <w:r w:rsidR="0084392D" w:rsidRPr="001500E1">
        <w:rPr>
          <w:rFonts w:cs="Arial"/>
          <w:szCs w:val="20"/>
        </w:rPr>
        <w:t>RMP-R</w:t>
      </w:r>
      <w:r w:rsidR="0084392D">
        <w:t xml:space="preserve"> </w:t>
      </w:r>
      <w:r w:rsidR="005806A7">
        <w:t xml:space="preserve">TB = rifampicin resistant tuberculosis; </w:t>
      </w:r>
      <w:r w:rsidR="00863587">
        <w:t xml:space="preserve">HIV = </w:t>
      </w:r>
      <w:r w:rsidR="00863587" w:rsidRPr="00863587">
        <w:t>human immunodeficiency virus</w:t>
      </w:r>
    </w:p>
    <w:sectPr w:rsidR="004150A4" w:rsidRPr="00140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EFE3" w14:textId="77777777" w:rsidR="00D917E5" w:rsidRDefault="00D917E5" w:rsidP="0007292E">
      <w:pPr>
        <w:spacing w:after="0" w:line="240" w:lineRule="auto"/>
      </w:pPr>
      <w:r>
        <w:separator/>
      </w:r>
    </w:p>
  </w:endnote>
  <w:endnote w:type="continuationSeparator" w:id="0">
    <w:p w14:paraId="2C767C04" w14:textId="77777777" w:rsidR="00D917E5" w:rsidRDefault="00D917E5" w:rsidP="0007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824713"/>
      <w:docPartObj>
        <w:docPartGallery w:val="Page Numbers (Bottom of Page)"/>
        <w:docPartUnique/>
      </w:docPartObj>
    </w:sdtPr>
    <w:sdtEndPr>
      <w:rPr>
        <w:noProof/>
      </w:rPr>
    </w:sdtEndPr>
    <w:sdtContent>
      <w:p w14:paraId="231EF009" w14:textId="38D6CE3F" w:rsidR="00812911" w:rsidRDefault="00812911">
        <w:pPr>
          <w:pStyle w:val="Footer"/>
          <w:jc w:val="right"/>
        </w:pPr>
        <w:r>
          <w:fldChar w:fldCharType="begin"/>
        </w:r>
        <w:r>
          <w:instrText xml:space="preserve"> PAGE   \* MERGEFORMAT </w:instrText>
        </w:r>
        <w:r>
          <w:fldChar w:fldCharType="separate"/>
        </w:r>
        <w:r w:rsidR="00C47B7A">
          <w:rPr>
            <w:noProof/>
          </w:rPr>
          <w:t>2</w:t>
        </w:r>
        <w:r>
          <w:rPr>
            <w:noProof/>
          </w:rPr>
          <w:fldChar w:fldCharType="end"/>
        </w:r>
      </w:p>
    </w:sdtContent>
  </w:sdt>
  <w:p w14:paraId="74EB42D0" w14:textId="77777777" w:rsidR="00812911" w:rsidRDefault="00812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C7885" w14:textId="77777777" w:rsidR="00D917E5" w:rsidRDefault="00D917E5" w:rsidP="0007292E">
      <w:pPr>
        <w:spacing w:after="0" w:line="240" w:lineRule="auto"/>
      </w:pPr>
      <w:r>
        <w:separator/>
      </w:r>
    </w:p>
  </w:footnote>
  <w:footnote w:type="continuationSeparator" w:id="0">
    <w:p w14:paraId="3A47CF5B" w14:textId="77777777" w:rsidR="00D917E5" w:rsidRDefault="00D917E5" w:rsidP="00072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D3660"/>
    <w:multiLevelType w:val="hybridMultilevel"/>
    <w:tmpl w:val="9604B1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788555E"/>
    <w:multiLevelType w:val="hybridMultilevel"/>
    <w:tmpl w:val="DA0241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7264DF7"/>
    <w:multiLevelType w:val="hybridMultilevel"/>
    <w:tmpl w:val="863E8CCC"/>
    <w:lvl w:ilvl="0" w:tplc="769EEAF0">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A0D1FC2"/>
    <w:multiLevelType w:val="hybridMultilevel"/>
    <w:tmpl w:val="B1185142"/>
    <w:lvl w:ilvl="0" w:tplc="5812FCB0">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93"/>
    <w:rsid w:val="00000557"/>
    <w:rsid w:val="000053BB"/>
    <w:rsid w:val="00010AA1"/>
    <w:rsid w:val="00010F15"/>
    <w:rsid w:val="0001196B"/>
    <w:rsid w:val="0001260C"/>
    <w:rsid w:val="00016228"/>
    <w:rsid w:val="0002298D"/>
    <w:rsid w:val="00024F80"/>
    <w:rsid w:val="00025BC1"/>
    <w:rsid w:val="00025D67"/>
    <w:rsid w:val="0002693C"/>
    <w:rsid w:val="00026989"/>
    <w:rsid w:val="00026D83"/>
    <w:rsid w:val="00026EBE"/>
    <w:rsid w:val="00026F4A"/>
    <w:rsid w:val="00027FBA"/>
    <w:rsid w:val="000315B2"/>
    <w:rsid w:val="00033086"/>
    <w:rsid w:val="0003471D"/>
    <w:rsid w:val="00035F10"/>
    <w:rsid w:val="00037122"/>
    <w:rsid w:val="00041F5C"/>
    <w:rsid w:val="00042FA9"/>
    <w:rsid w:val="00043A18"/>
    <w:rsid w:val="00043EF9"/>
    <w:rsid w:val="0004774B"/>
    <w:rsid w:val="0005178D"/>
    <w:rsid w:val="00056DB3"/>
    <w:rsid w:val="00056FD3"/>
    <w:rsid w:val="00060FFC"/>
    <w:rsid w:val="00061B8F"/>
    <w:rsid w:val="00063D75"/>
    <w:rsid w:val="00065804"/>
    <w:rsid w:val="00065C96"/>
    <w:rsid w:val="000660BF"/>
    <w:rsid w:val="00066BB2"/>
    <w:rsid w:val="00066EC3"/>
    <w:rsid w:val="000708CE"/>
    <w:rsid w:val="000713B3"/>
    <w:rsid w:val="000713F0"/>
    <w:rsid w:val="0007292E"/>
    <w:rsid w:val="00072A53"/>
    <w:rsid w:val="00072DF7"/>
    <w:rsid w:val="00072EEB"/>
    <w:rsid w:val="000739A2"/>
    <w:rsid w:val="0007409E"/>
    <w:rsid w:val="000759D4"/>
    <w:rsid w:val="00076B21"/>
    <w:rsid w:val="00077B68"/>
    <w:rsid w:val="0008101B"/>
    <w:rsid w:val="00081885"/>
    <w:rsid w:val="00081B46"/>
    <w:rsid w:val="000843A4"/>
    <w:rsid w:val="0008483A"/>
    <w:rsid w:val="00084D40"/>
    <w:rsid w:val="00084F6A"/>
    <w:rsid w:val="000853F8"/>
    <w:rsid w:val="0008649D"/>
    <w:rsid w:val="000869A9"/>
    <w:rsid w:val="00091E84"/>
    <w:rsid w:val="0009342D"/>
    <w:rsid w:val="00094136"/>
    <w:rsid w:val="000949CE"/>
    <w:rsid w:val="000A131C"/>
    <w:rsid w:val="000A1A0F"/>
    <w:rsid w:val="000A20EF"/>
    <w:rsid w:val="000A3B7B"/>
    <w:rsid w:val="000A404D"/>
    <w:rsid w:val="000A4BEE"/>
    <w:rsid w:val="000A791B"/>
    <w:rsid w:val="000A7959"/>
    <w:rsid w:val="000B0B57"/>
    <w:rsid w:val="000B2A7B"/>
    <w:rsid w:val="000B46C0"/>
    <w:rsid w:val="000B5270"/>
    <w:rsid w:val="000B683A"/>
    <w:rsid w:val="000B70E9"/>
    <w:rsid w:val="000B7F93"/>
    <w:rsid w:val="000C10C4"/>
    <w:rsid w:val="000C130F"/>
    <w:rsid w:val="000C15C2"/>
    <w:rsid w:val="000C1836"/>
    <w:rsid w:val="000C1EC4"/>
    <w:rsid w:val="000C1F5A"/>
    <w:rsid w:val="000C2F0B"/>
    <w:rsid w:val="000C43D9"/>
    <w:rsid w:val="000C6AD3"/>
    <w:rsid w:val="000C6CD5"/>
    <w:rsid w:val="000D08E9"/>
    <w:rsid w:val="000D526B"/>
    <w:rsid w:val="000D54F7"/>
    <w:rsid w:val="000D57A5"/>
    <w:rsid w:val="000D636A"/>
    <w:rsid w:val="000D6931"/>
    <w:rsid w:val="000D6F8D"/>
    <w:rsid w:val="000D7A7C"/>
    <w:rsid w:val="000E3C49"/>
    <w:rsid w:val="000E6E35"/>
    <w:rsid w:val="000E6ECE"/>
    <w:rsid w:val="000F0546"/>
    <w:rsid w:val="000F1A1A"/>
    <w:rsid w:val="000F1B55"/>
    <w:rsid w:val="000F21C2"/>
    <w:rsid w:val="000F2D8E"/>
    <w:rsid w:val="000F350F"/>
    <w:rsid w:val="000F49C5"/>
    <w:rsid w:val="000F690E"/>
    <w:rsid w:val="000F7299"/>
    <w:rsid w:val="000F761A"/>
    <w:rsid w:val="00102C8E"/>
    <w:rsid w:val="00103029"/>
    <w:rsid w:val="001030EC"/>
    <w:rsid w:val="00103A9A"/>
    <w:rsid w:val="00103D79"/>
    <w:rsid w:val="00104569"/>
    <w:rsid w:val="001048BC"/>
    <w:rsid w:val="00106C6A"/>
    <w:rsid w:val="0011081E"/>
    <w:rsid w:val="00110C96"/>
    <w:rsid w:val="001117BA"/>
    <w:rsid w:val="00112371"/>
    <w:rsid w:val="00113315"/>
    <w:rsid w:val="00113A39"/>
    <w:rsid w:val="00116CFB"/>
    <w:rsid w:val="00117130"/>
    <w:rsid w:val="0012275F"/>
    <w:rsid w:val="001248E7"/>
    <w:rsid w:val="00127D9F"/>
    <w:rsid w:val="00127E75"/>
    <w:rsid w:val="00130FB7"/>
    <w:rsid w:val="00131CA0"/>
    <w:rsid w:val="00131F72"/>
    <w:rsid w:val="00133A74"/>
    <w:rsid w:val="001348C3"/>
    <w:rsid w:val="001351D1"/>
    <w:rsid w:val="001358BA"/>
    <w:rsid w:val="00135B00"/>
    <w:rsid w:val="00136075"/>
    <w:rsid w:val="00140CC0"/>
    <w:rsid w:val="00141966"/>
    <w:rsid w:val="00143BA6"/>
    <w:rsid w:val="0014436C"/>
    <w:rsid w:val="00146230"/>
    <w:rsid w:val="00146F24"/>
    <w:rsid w:val="001500E1"/>
    <w:rsid w:val="00150B86"/>
    <w:rsid w:val="0015163A"/>
    <w:rsid w:val="00152CF0"/>
    <w:rsid w:val="00152F17"/>
    <w:rsid w:val="00153097"/>
    <w:rsid w:val="00155C06"/>
    <w:rsid w:val="0015621D"/>
    <w:rsid w:val="0015713D"/>
    <w:rsid w:val="001573EF"/>
    <w:rsid w:val="0015766F"/>
    <w:rsid w:val="00157CDD"/>
    <w:rsid w:val="00160570"/>
    <w:rsid w:val="00161780"/>
    <w:rsid w:val="00161AD3"/>
    <w:rsid w:val="00161F34"/>
    <w:rsid w:val="001638EF"/>
    <w:rsid w:val="00165C5B"/>
    <w:rsid w:val="00167083"/>
    <w:rsid w:val="001678EC"/>
    <w:rsid w:val="00170844"/>
    <w:rsid w:val="001713C0"/>
    <w:rsid w:val="00174B60"/>
    <w:rsid w:val="00175317"/>
    <w:rsid w:val="00175540"/>
    <w:rsid w:val="0017604B"/>
    <w:rsid w:val="00176DD0"/>
    <w:rsid w:val="00184C02"/>
    <w:rsid w:val="00185D29"/>
    <w:rsid w:val="0018638D"/>
    <w:rsid w:val="00190C89"/>
    <w:rsid w:val="001929CF"/>
    <w:rsid w:val="00192AD8"/>
    <w:rsid w:val="0019543C"/>
    <w:rsid w:val="0019557B"/>
    <w:rsid w:val="00195F31"/>
    <w:rsid w:val="0019745D"/>
    <w:rsid w:val="00197DC6"/>
    <w:rsid w:val="001A0092"/>
    <w:rsid w:val="001A0099"/>
    <w:rsid w:val="001A2D9D"/>
    <w:rsid w:val="001A335B"/>
    <w:rsid w:val="001A33B4"/>
    <w:rsid w:val="001A5663"/>
    <w:rsid w:val="001A6B20"/>
    <w:rsid w:val="001A6D85"/>
    <w:rsid w:val="001A7714"/>
    <w:rsid w:val="001A7E0C"/>
    <w:rsid w:val="001B00FF"/>
    <w:rsid w:val="001B1E3A"/>
    <w:rsid w:val="001B57A6"/>
    <w:rsid w:val="001B63C0"/>
    <w:rsid w:val="001B63F3"/>
    <w:rsid w:val="001B766C"/>
    <w:rsid w:val="001C0954"/>
    <w:rsid w:val="001C18B0"/>
    <w:rsid w:val="001C23C0"/>
    <w:rsid w:val="001C24DF"/>
    <w:rsid w:val="001C2DA0"/>
    <w:rsid w:val="001C308F"/>
    <w:rsid w:val="001C38AA"/>
    <w:rsid w:val="001C5746"/>
    <w:rsid w:val="001C6C16"/>
    <w:rsid w:val="001D208E"/>
    <w:rsid w:val="001D21EA"/>
    <w:rsid w:val="001D396A"/>
    <w:rsid w:val="001D3FC9"/>
    <w:rsid w:val="001D5894"/>
    <w:rsid w:val="001D642F"/>
    <w:rsid w:val="001D71DA"/>
    <w:rsid w:val="001D7AAC"/>
    <w:rsid w:val="001E2205"/>
    <w:rsid w:val="001E2466"/>
    <w:rsid w:val="001E420C"/>
    <w:rsid w:val="001E52BA"/>
    <w:rsid w:val="001E69BB"/>
    <w:rsid w:val="001E77FF"/>
    <w:rsid w:val="001F1C76"/>
    <w:rsid w:val="001F26E0"/>
    <w:rsid w:val="001F3858"/>
    <w:rsid w:val="001F3A97"/>
    <w:rsid w:val="001F4165"/>
    <w:rsid w:val="001F4385"/>
    <w:rsid w:val="001F4E92"/>
    <w:rsid w:val="001F5877"/>
    <w:rsid w:val="001F5F42"/>
    <w:rsid w:val="00200A29"/>
    <w:rsid w:val="00201248"/>
    <w:rsid w:val="00201F4C"/>
    <w:rsid w:val="00202940"/>
    <w:rsid w:val="00205683"/>
    <w:rsid w:val="00206C64"/>
    <w:rsid w:val="00211094"/>
    <w:rsid w:val="0021167A"/>
    <w:rsid w:val="0021352D"/>
    <w:rsid w:val="00213CE7"/>
    <w:rsid w:val="002155E8"/>
    <w:rsid w:val="002163D7"/>
    <w:rsid w:val="0022163F"/>
    <w:rsid w:val="00222400"/>
    <w:rsid w:val="00222961"/>
    <w:rsid w:val="00223274"/>
    <w:rsid w:val="00223323"/>
    <w:rsid w:val="00224D49"/>
    <w:rsid w:val="00230BA8"/>
    <w:rsid w:val="002317B4"/>
    <w:rsid w:val="00231940"/>
    <w:rsid w:val="00232989"/>
    <w:rsid w:val="00232FB9"/>
    <w:rsid w:val="00234144"/>
    <w:rsid w:val="00237BA1"/>
    <w:rsid w:val="0024046D"/>
    <w:rsid w:val="00240A51"/>
    <w:rsid w:val="00241303"/>
    <w:rsid w:val="002419DE"/>
    <w:rsid w:val="00241B49"/>
    <w:rsid w:val="00245639"/>
    <w:rsid w:val="00246380"/>
    <w:rsid w:val="00247088"/>
    <w:rsid w:val="00250BFB"/>
    <w:rsid w:val="002512D0"/>
    <w:rsid w:val="0025171B"/>
    <w:rsid w:val="00251E0A"/>
    <w:rsid w:val="002520AD"/>
    <w:rsid w:val="002522A0"/>
    <w:rsid w:val="00252783"/>
    <w:rsid w:val="00253852"/>
    <w:rsid w:val="002544F1"/>
    <w:rsid w:val="002546A1"/>
    <w:rsid w:val="00254EF9"/>
    <w:rsid w:val="00255B8F"/>
    <w:rsid w:val="00256A9B"/>
    <w:rsid w:val="002607A1"/>
    <w:rsid w:val="002625EA"/>
    <w:rsid w:val="00263516"/>
    <w:rsid w:val="00263871"/>
    <w:rsid w:val="00264001"/>
    <w:rsid w:val="00264AB4"/>
    <w:rsid w:val="002655A8"/>
    <w:rsid w:val="002673A0"/>
    <w:rsid w:val="002675BE"/>
    <w:rsid w:val="0027248B"/>
    <w:rsid w:val="00274F99"/>
    <w:rsid w:val="002769ED"/>
    <w:rsid w:val="00276C85"/>
    <w:rsid w:val="00277820"/>
    <w:rsid w:val="00280CC1"/>
    <w:rsid w:val="002814D8"/>
    <w:rsid w:val="0028175B"/>
    <w:rsid w:val="00282707"/>
    <w:rsid w:val="00282F7C"/>
    <w:rsid w:val="00283C8F"/>
    <w:rsid w:val="00283FFB"/>
    <w:rsid w:val="00285D4E"/>
    <w:rsid w:val="00285E57"/>
    <w:rsid w:val="00285F28"/>
    <w:rsid w:val="002869D3"/>
    <w:rsid w:val="002874C7"/>
    <w:rsid w:val="0028754E"/>
    <w:rsid w:val="00287EED"/>
    <w:rsid w:val="002908AC"/>
    <w:rsid w:val="00292920"/>
    <w:rsid w:val="00293296"/>
    <w:rsid w:val="00293963"/>
    <w:rsid w:val="00293E18"/>
    <w:rsid w:val="00296F5B"/>
    <w:rsid w:val="00297CB5"/>
    <w:rsid w:val="002A0EC1"/>
    <w:rsid w:val="002A1855"/>
    <w:rsid w:val="002A1C87"/>
    <w:rsid w:val="002A1DF7"/>
    <w:rsid w:val="002A1FE5"/>
    <w:rsid w:val="002A22C2"/>
    <w:rsid w:val="002A3111"/>
    <w:rsid w:val="002A5C71"/>
    <w:rsid w:val="002A7908"/>
    <w:rsid w:val="002B1028"/>
    <w:rsid w:val="002B1FC9"/>
    <w:rsid w:val="002B2871"/>
    <w:rsid w:val="002B46C8"/>
    <w:rsid w:val="002B4A17"/>
    <w:rsid w:val="002B6FB9"/>
    <w:rsid w:val="002B75A1"/>
    <w:rsid w:val="002B7BC9"/>
    <w:rsid w:val="002C242E"/>
    <w:rsid w:val="002C2471"/>
    <w:rsid w:val="002C3D16"/>
    <w:rsid w:val="002C5A56"/>
    <w:rsid w:val="002C5EF3"/>
    <w:rsid w:val="002C6AFF"/>
    <w:rsid w:val="002C7207"/>
    <w:rsid w:val="002C728E"/>
    <w:rsid w:val="002D0C54"/>
    <w:rsid w:val="002D12E2"/>
    <w:rsid w:val="002D33B4"/>
    <w:rsid w:val="002D4C82"/>
    <w:rsid w:val="002D6626"/>
    <w:rsid w:val="002D6949"/>
    <w:rsid w:val="002D6DCE"/>
    <w:rsid w:val="002E0220"/>
    <w:rsid w:val="002E39AA"/>
    <w:rsid w:val="002E41B4"/>
    <w:rsid w:val="002E4719"/>
    <w:rsid w:val="002E5D97"/>
    <w:rsid w:val="002F3D96"/>
    <w:rsid w:val="002F3E9D"/>
    <w:rsid w:val="002F49D9"/>
    <w:rsid w:val="002F5312"/>
    <w:rsid w:val="002F7C9C"/>
    <w:rsid w:val="00302732"/>
    <w:rsid w:val="00302935"/>
    <w:rsid w:val="00303F2A"/>
    <w:rsid w:val="003042CE"/>
    <w:rsid w:val="003064AE"/>
    <w:rsid w:val="00307BC0"/>
    <w:rsid w:val="00307F5E"/>
    <w:rsid w:val="00310838"/>
    <w:rsid w:val="003109F3"/>
    <w:rsid w:val="0031170B"/>
    <w:rsid w:val="00311A11"/>
    <w:rsid w:val="00311ACF"/>
    <w:rsid w:val="00312447"/>
    <w:rsid w:val="00312C45"/>
    <w:rsid w:val="00312E7B"/>
    <w:rsid w:val="0031414B"/>
    <w:rsid w:val="003147E8"/>
    <w:rsid w:val="00316EDB"/>
    <w:rsid w:val="00321383"/>
    <w:rsid w:val="00321CD2"/>
    <w:rsid w:val="00322FD2"/>
    <w:rsid w:val="00323683"/>
    <w:rsid w:val="00325107"/>
    <w:rsid w:val="0032718E"/>
    <w:rsid w:val="00327756"/>
    <w:rsid w:val="003312F9"/>
    <w:rsid w:val="003316A5"/>
    <w:rsid w:val="0033186F"/>
    <w:rsid w:val="00333577"/>
    <w:rsid w:val="00333A70"/>
    <w:rsid w:val="0033571E"/>
    <w:rsid w:val="00335F13"/>
    <w:rsid w:val="00337E55"/>
    <w:rsid w:val="00340B5A"/>
    <w:rsid w:val="00343D64"/>
    <w:rsid w:val="00343DBC"/>
    <w:rsid w:val="003469C1"/>
    <w:rsid w:val="00351B75"/>
    <w:rsid w:val="00360799"/>
    <w:rsid w:val="00360878"/>
    <w:rsid w:val="00361310"/>
    <w:rsid w:val="00362FE3"/>
    <w:rsid w:val="00363BDF"/>
    <w:rsid w:val="00364004"/>
    <w:rsid w:val="00367921"/>
    <w:rsid w:val="00370C5A"/>
    <w:rsid w:val="00371425"/>
    <w:rsid w:val="003725D2"/>
    <w:rsid w:val="003730C4"/>
    <w:rsid w:val="003732CD"/>
    <w:rsid w:val="00373B0C"/>
    <w:rsid w:val="00374D0C"/>
    <w:rsid w:val="00380AEE"/>
    <w:rsid w:val="00380C38"/>
    <w:rsid w:val="003818D5"/>
    <w:rsid w:val="0038235D"/>
    <w:rsid w:val="003824BC"/>
    <w:rsid w:val="003830D9"/>
    <w:rsid w:val="00383C13"/>
    <w:rsid w:val="0038550B"/>
    <w:rsid w:val="00386746"/>
    <w:rsid w:val="00386C4F"/>
    <w:rsid w:val="00386C57"/>
    <w:rsid w:val="00387F49"/>
    <w:rsid w:val="00392308"/>
    <w:rsid w:val="00394C3A"/>
    <w:rsid w:val="00397F7A"/>
    <w:rsid w:val="003A0C2E"/>
    <w:rsid w:val="003A17F0"/>
    <w:rsid w:val="003A5175"/>
    <w:rsid w:val="003A5F26"/>
    <w:rsid w:val="003A6ABB"/>
    <w:rsid w:val="003A72FD"/>
    <w:rsid w:val="003B44B4"/>
    <w:rsid w:val="003B577D"/>
    <w:rsid w:val="003B57CC"/>
    <w:rsid w:val="003B58F5"/>
    <w:rsid w:val="003B5B71"/>
    <w:rsid w:val="003B6219"/>
    <w:rsid w:val="003B64E4"/>
    <w:rsid w:val="003B7018"/>
    <w:rsid w:val="003B7FC4"/>
    <w:rsid w:val="003C0811"/>
    <w:rsid w:val="003C1716"/>
    <w:rsid w:val="003C1EA7"/>
    <w:rsid w:val="003C2923"/>
    <w:rsid w:val="003C2A4C"/>
    <w:rsid w:val="003C47B2"/>
    <w:rsid w:val="003C5A08"/>
    <w:rsid w:val="003C650D"/>
    <w:rsid w:val="003D07F0"/>
    <w:rsid w:val="003D0FD9"/>
    <w:rsid w:val="003D200E"/>
    <w:rsid w:val="003D2083"/>
    <w:rsid w:val="003D23B2"/>
    <w:rsid w:val="003D3124"/>
    <w:rsid w:val="003D339E"/>
    <w:rsid w:val="003D3EDB"/>
    <w:rsid w:val="003D4466"/>
    <w:rsid w:val="003D532B"/>
    <w:rsid w:val="003D5A23"/>
    <w:rsid w:val="003E2D7D"/>
    <w:rsid w:val="003E3902"/>
    <w:rsid w:val="003E4530"/>
    <w:rsid w:val="003E4C79"/>
    <w:rsid w:val="003E5261"/>
    <w:rsid w:val="003E5CF8"/>
    <w:rsid w:val="003E60A5"/>
    <w:rsid w:val="003E741D"/>
    <w:rsid w:val="003F10EC"/>
    <w:rsid w:val="003F1158"/>
    <w:rsid w:val="003F12FA"/>
    <w:rsid w:val="003F20A7"/>
    <w:rsid w:val="003F373B"/>
    <w:rsid w:val="003F49D3"/>
    <w:rsid w:val="003F639B"/>
    <w:rsid w:val="003F64BB"/>
    <w:rsid w:val="003F7809"/>
    <w:rsid w:val="00400566"/>
    <w:rsid w:val="00401361"/>
    <w:rsid w:val="00401B68"/>
    <w:rsid w:val="00402B8C"/>
    <w:rsid w:val="00402D6E"/>
    <w:rsid w:val="00410E83"/>
    <w:rsid w:val="00411C6B"/>
    <w:rsid w:val="004127EA"/>
    <w:rsid w:val="00412EB0"/>
    <w:rsid w:val="004130B7"/>
    <w:rsid w:val="0041395F"/>
    <w:rsid w:val="004150A4"/>
    <w:rsid w:val="00416036"/>
    <w:rsid w:val="004160AD"/>
    <w:rsid w:val="0041628E"/>
    <w:rsid w:val="00416A83"/>
    <w:rsid w:val="00417C98"/>
    <w:rsid w:val="004203EA"/>
    <w:rsid w:val="004206C3"/>
    <w:rsid w:val="004213C2"/>
    <w:rsid w:val="00421962"/>
    <w:rsid w:val="00421AC0"/>
    <w:rsid w:val="00421FE8"/>
    <w:rsid w:val="00422B84"/>
    <w:rsid w:val="004243C1"/>
    <w:rsid w:val="00425C41"/>
    <w:rsid w:val="0042619D"/>
    <w:rsid w:val="004262D7"/>
    <w:rsid w:val="00426E51"/>
    <w:rsid w:val="00427971"/>
    <w:rsid w:val="00430911"/>
    <w:rsid w:val="00431154"/>
    <w:rsid w:val="004321C9"/>
    <w:rsid w:val="004359A4"/>
    <w:rsid w:val="00436031"/>
    <w:rsid w:val="004378CB"/>
    <w:rsid w:val="00441FAC"/>
    <w:rsid w:val="00442829"/>
    <w:rsid w:val="004448E2"/>
    <w:rsid w:val="00444EB2"/>
    <w:rsid w:val="00445A5A"/>
    <w:rsid w:val="00446180"/>
    <w:rsid w:val="0044644E"/>
    <w:rsid w:val="004475A3"/>
    <w:rsid w:val="004518A3"/>
    <w:rsid w:val="00451A92"/>
    <w:rsid w:val="00453116"/>
    <w:rsid w:val="00453447"/>
    <w:rsid w:val="00454E63"/>
    <w:rsid w:val="00455F98"/>
    <w:rsid w:val="00456CA7"/>
    <w:rsid w:val="00457333"/>
    <w:rsid w:val="00457DE6"/>
    <w:rsid w:val="00461D11"/>
    <w:rsid w:val="004625E3"/>
    <w:rsid w:val="00462978"/>
    <w:rsid w:val="00462CE6"/>
    <w:rsid w:val="004645EA"/>
    <w:rsid w:val="004664A0"/>
    <w:rsid w:val="00474055"/>
    <w:rsid w:val="0047500A"/>
    <w:rsid w:val="00475ACD"/>
    <w:rsid w:val="00475B54"/>
    <w:rsid w:val="004764E3"/>
    <w:rsid w:val="00476562"/>
    <w:rsid w:val="004774B9"/>
    <w:rsid w:val="00477B0F"/>
    <w:rsid w:val="00482FB9"/>
    <w:rsid w:val="0048549C"/>
    <w:rsid w:val="00485DBC"/>
    <w:rsid w:val="0048721B"/>
    <w:rsid w:val="004906D6"/>
    <w:rsid w:val="00492484"/>
    <w:rsid w:val="00493AA9"/>
    <w:rsid w:val="00493C59"/>
    <w:rsid w:val="00494EBD"/>
    <w:rsid w:val="00495351"/>
    <w:rsid w:val="00495A75"/>
    <w:rsid w:val="00495CB7"/>
    <w:rsid w:val="00495E16"/>
    <w:rsid w:val="004971CB"/>
    <w:rsid w:val="004976DF"/>
    <w:rsid w:val="004A01A6"/>
    <w:rsid w:val="004A052F"/>
    <w:rsid w:val="004A1727"/>
    <w:rsid w:val="004A2CD4"/>
    <w:rsid w:val="004A40AB"/>
    <w:rsid w:val="004A52C9"/>
    <w:rsid w:val="004A5B78"/>
    <w:rsid w:val="004A6546"/>
    <w:rsid w:val="004A6F2D"/>
    <w:rsid w:val="004A758E"/>
    <w:rsid w:val="004B0D91"/>
    <w:rsid w:val="004B1859"/>
    <w:rsid w:val="004B2E05"/>
    <w:rsid w:val="004B4D28"/>
    <w:rsid w:val="004B4EA7"/>
    <w:rsid w:val="004B579F"/>
    <w:rsid w:val="004B59A4"/>
    <w:rsid w:val="004C0890"/>
    <w:rsid w:val="004C1083"/>
    <w:rsid w:val="004C117D"/>
    <w:rsid w:val="004C3A68"/>
    <w:rsid w:val="004C3E86"/>
    <w:rsid w:val="004D0BBD"/>
    <w:rsid w:val="004D0EDE"/>
    <w:rsid w:val="004D1098"/>
    <w:rsid w:val="004D20C1"/>
    <w:rsid w:val="004D2510"/>
    <w:rsid w:val="004D413C"/>
    <w:rsid w:val="004D60ED"/>
    <w:rsid w:val="004D64B3"/>
    <w:rsid w:val="004D7CF5"/>
    <w:rsid w:val="004E0794"/>
    <w:rsid w:val="004E1785"/>
    <w:rsid w:val="004E1E5B"/>
    <w:rsid w:val="004E1F0F"/>
    <w:rsid w:val="004E1F92"/>
    <w:rsid w:val="004E2B71"/>
    <w:rsid w:val="004E2D9C"/>
    <w:rsid w:val="004E7161"/>
    <w:rsid w:val="004E78A1"/>
    <w:rsid w:val="004F213A"/>
    <w:rsid w:val="004F32B2"/>
    <w:rsid w:val="004F5249"/>
    <w:rsid w:val="004F6198"/>
    <w:rsid w:val="004F6249"/>
    <w:rsid w:val="004F7065"/>
    <w:rsid w:val="004F74D3"/>
    <w:rsid w:val="004F7837"/>
    <w:rsid w:val="00500598"/>
    <w:rsid w:val="0050177B"/>
    <w:rsid w:val="00501DF3"/>
    <w:rsid w:val="00501E86"/>
    <w:rsid w:val="005035FC"/>
    <w:rsid w:val="005046FE"/>
    <w:rsid w:val="00505126"/>
    <w:rsid w:val="00505818"/>
    <w:rsid w:val="00506039"/>
    <w:rsid w:val="0050723B"/>
    <w:rsid w:val="0050738C"/>
    <w:rsid w:val="00510EED"/>
    <w:rsid w:val="00511BB7"/>
    <w:rsid w:val="005121B0"/>
    <w:rsid w:val="00512347"/>
    <w:rsid w:val="00512FF2"/>
    <w:rsid w:val="00514E75"/>
    <w:rsid w:val="00516C84"/>
    <w:rsid w:val="00517A6D"/>
    <w:rsid w:val="00517C82"/>
    <w:rsid w:val="005206AD"/>
    <w:rsid w:val="00521761"/>
    <w:rsid w:val="00521A29"/>
    <w:rsid w:val="00521FF7"/>
    <w:rsid w:val="0052404C"/>
    <w:rsid w:val="00525CC4"/>
    <w:rsid w:val="00530FB0"/>
    <w:rsid w:val="0053168C"/>
    <w:rsid w:val="00531DA9"/>
    <w:rsid w:val="005328DC"/>
    <w:rsid w:val="005329FC"/>
    <w:rsid w:val="00533E40"/>
    <w:rsid w:val="00534A0C"/>
    <w:rsid w:val="00534C8F"/>
    <w:rsid w:val="005372CA"/>
    <w:rsid w:val="00537947"/>
    <w:rsid w:val="00537BDA"/>
    <w:rsid w:val="00537E26"/>
    <w:rsid w:val="00540B82"/>
    <w:rsid w:val="00540B95"/>
    <w:rsid w:val="005411D0"/>
    <w:rsid w:val="005418C7"/>
    <w:rsid w:val="00545260"/>
    <w:rsid w:val="005509CD"/>
    <w:rsid w:val="00550B3B"/>
    <w:rsid w:val="005513BD"/>
    <w:rsid w:val="00552518"/>
    <w:rsid w:val="00553143"/>
    <w:rsid w:val="0055425B"/>
    <w:rsid w:val="00554969"/>
    <w:rsid w:val="005549FA"/>
    <w:rsid w:val="00554BF2"/>
    <w:rsid w:val="00555501"/>
    <w:rsid w:val="00555D6F"/>
    <w:rsid w:val="00556627"/>
    <w:rsid w:val="005568F8"/>
    <w:rsid w:val="0055750E"/>
    <w:rsid w:val="005601D6"/>
    <w:rsid w:val="00561362"/>
    <w:rsid w:val="005615CB"/>
    <w:rsid w:val="00561FE1"/>
    <w:rsid w:val="005641DA"/>
    <w:rsid w:val="00564B52"/>
    <w:rsid w:val="00564FF2"/>
    <w:rsid w:val="0056506F"/>
    <w:rsid w:val="00566B4C"/>
    <w:rsid w:val="005700B7"/>
    <w:rsid w:val="00570F16"/>
    <w:rsid w:val="00571222"/>
    <w:rsid w:val="00575818"/>
    <w:rsid w:val="0057689A"/>
    <w:rsid w:val="005769C4"/>
    <w:rsid w:val="00576DDD"/>
    <w:rsid w:val="005772FF"/>
    <w:rsid w:val="005806A7"/>
    <w:rsid w:val="00580E4C"/>
    <w:rsid w:val="005817A0"/>
    <w:rsid w:val="00581801"/>
    <w:rsid w:val="00581ABE"/>
    <w:rsid w:val="00581B89"/>
    <w:rsid w:val="00581E68"/>
    <w:rsid w:val="005841C9"/>
    <w:rsid w:val="00584E55"/>
    <w:rsid w:val="00585491"/>
    <w:rsid w:val="0059159A"/>
    <w:rsid w:val="005971F7"/>
    <w:rsid w:val="00597398"/>
    <w:rsid w:val="00597A72"/>
    <w:rsid w:val="005A1E3F"/>
    <w:rsid w:val="005A2226"/>
    <w:rsid w:val="005A35C8"/>
    <w:rsid w:val="005A4A80"/>
    <w:rsid w:val="005A4ED8"/>
    <w:rsid w:val="005A6682"/>
    <w:rsid w:val="005A6D3D"/>
    <w:rsid w:val="005A72BE"/>
    <w:rsid w:val="005B0E21"/>
    <w:rsid w:val="005B1329"/>
    <w:rsid w:val="005B212C"/>
    <w:rsid w:val="005B2CE3"/>
    <w:rsid w:val="005B3508"/>
    <w:rsid w:val="005B4245"/>
    <w:rsid w:val="005B45AF"/>
    <w:rsid w:val="005B4781"/>
    <w:rsid w:val="005B5A79"/>
    <w:rsid w:val="005B5EA4"/>
    <w:rsid w:val="005B63C0"/>
    <w:rsid w:val="005C40EA"/>
    <w:rsid w:val="005C4DC2"/>
    <w:rsid w:val="005C4EFF"/>
    <w:rsid w:val="005C5E6A"/>
    <w:rsid w:val="005C6352"/>
    <w:rsid w:val="005C6B6F"/>
    <w:rsid w:val="005C6BF4"/>
    <w:rsid w:val="005D0B83"/>
    <w:rsid w:val="005D10E3"/>
    <w:rsid w:val="005D26DE"/>
    <w:rsid w:val="005D54BD"/>
    <w:rsid w:val="005D6621"/>
    <w:rsid w:val="005D677E"/>
    <w:rsid w:val="005D7F10"/>
    <w:rsid w:val="005E0188"/>
    <w:rsid w:val="005E428A"/>
    <w:rsid w:val="005F03FE"/>
    <w:rsid w:val="005F1A80"/>
    <w:rsid w:val="005F4740"/>
    <w:rsid w:val="00603E56"/>
    <w:rsid w:val="00605170"/>
    <w:rsid w:val="00605380"/>
    <w:rsid w:val="006121E0"/>
    <w:rsid w:val="006129B0"/>
    <w:rsid w:val="00612B46"/>
    <w:rsid w:val="00614B21"/>
    <w:rsid w:val="006169B6"/>
    <w:rsid w:val="00621007"/>
    <w:rsid w:val="006226CE"/>
    <w:rsid w:val="0062419D"/>
    <w:rsid w:val="00624EED"/>
    <w:rsid w:val="00625BC3"/>
    <w:rsid w:val="00627AD5"/>
    <w:rsid w:val="00632285"/>
    <w:rsid w:val="00632868"/>
    <w:rsid w:val="00633E36"/>
    <w:rsid w:val="0063433E"/>
    <w:rsid w:val="0063519E"/>
    <w:rsid w:val="0063636B"/>
    <w:rsid w:val="00636EE0"/>
    <w:rsid w:val="00640AA8"/>
    <w:rsid w:val="00646398"/>
    <w:rsid w:val="00647C42"/>
    <w:rsid w:val="0065197F"/>
    <w:rsid w:val="00655EDD"/>
    <w:rsid w:val="006565CB"/>
    <w:rsid w:val="00657262"/>
    <w:rsid w:val="00661C84"/>
    <w:rsid w:val="00663BA6"/>
    <w:rsid w:val="006644A0"/>
    <w:rsid w:val="00664F8B"/>
    <w:rsid w:val="0066521E"/>
    <w:rsid w:val="0066568C"/>
    <w:rsid w:val="0066710F"/>
    <w:rsid w:val="006671E3"/>
    <w:rsid w:val="006700FD"/>
    <w:rsid w:val="006702D9"/>
    <w:rsid w:val="00670492"/>
    <w:rsid w:val="00673922"/>
    <w:rsid w:val="00673AC5"/>
    <w:rsid w:val="00673DB2"/>
    <w:rsid w:val="006741B7"/>
    <w:rsid w:val="00675CB4"/>
    <w:rsid w:val="006810BB"/>
    <w:rsid w:val="00682041"/>
    <w:rsid w:val="00685914"/>
    <w:rsid w:val="006869D6"/>
    <w:rsid w:val="00687095"/>
    <w:rsid w:val="00687A3D"/>
    <w:rsid w:val="00687D4F"/>
    <w:rsid w:val="00693CBC"/>
    <w:rsid w:val="00693E27"/>
    <w:rsid w:val="00694718"/>
    <w:rsid w:val="0069642C"/>
    <w:rsid w:val="00696549"/>
    <w:rsid w:val="00697AFC"/>
    <w:rsid w:val="006A056A"/>
    <w:rsid w:val="006A0824"/>
    <w:rsid w:val="006A1126"/>
    <w:rsid w:val="006A270B"/>
    <w:rsid w:val="006A41F6"/>
    <w:rsid w:val="006A41FC"/>
    <w:rsid w:val="006A51A1"/>
    <w:rsid w:val="006A52D7"/>
    <w:rsid w:val="006A5DC1"/>
    <w:rsid w:val="006A5FB4"/>
    <w:rsid w:val="006A761B"/>
    <w:rsid w:val="006A7A1A"/>
    <w:rsid w:val="006A7FC5"/>
    <w:rsid w:val="006B0D1F"/>
    <w:rsid w:val="006B67D3"/>
    <w:rsid w:val="006B781E"/>
    <w:rsid w:val="006C14EA"/>
    <w:rsid w:val="006C2024"/>
    <w:rsid w:val="006C2C37"/>
    <w:rsid w:val="006C4C89"/>
    <w:rsid w:val="006C63C8"/>
    <w:rsid w:val="006C6D78"/>
    <w:rsid w:val="006C7CE6"/>
    <w:rsid w:val="006D1588"/>
    <w:rsid w:val="006D1E68"/>
    <w:rsid w:val="006D1E88"/>
    <w:rsid w:val="006D379A"/>
    <w:rsid w:val="006D5ECF"/>
    <w:rsid w:val="006D6A48"/>
    <w:rsid w:val="006D762A"/>
    <w:rsid w:val="006D7DA0"/>
    <w:rsid w:val="006E0ADE"/>
    <w:rsid w:val="006E0EE5"/>
    <w:rsid w:val="006E2482"/>
    <w:rsid w:val="006E3080"/>
    <w:rsid w:val="006E37EB"/>
    <w:rsid w:val="006E655B"/>
    <w:rsid w:val="006F06CA"/>
    <w:rsid w:val="006F1631"/>
    <w:rsid w:val="006F1B50"/>
    <w:rsid w:val="006F1E8F"/>
    <w:rsid w:val="006F1F36"/>
    <w:rsid w:val="006F25B6"/>
    <w:rsid w:val="006F4F09"/>
    <w:rsid w:val="006F59E2"/>
    <w:rsid w:val="006F6603"/>
    <w:rsid w:val="00700E39"/>
    <w:rsid w:val="007014DE"/>
    <w:rsid w:val="00701A89"/>
    <w:rsid w:val="00701C93"/>
    <w:rsid w:val="0070267E"/>
    <w:rsid w:val="00702AC4"/>
    <w:rsid w:val="007044D7"/>
    <w:rsid w:val="00706A01"/>
    <w:rsid w:val="00706F36"/>
    <w:rsid w:val="00707194"/>
    <w:rsid w:val="00707E7F"/>
    <w:rsid w:val="00710023"/>
    <w:rsid w:val="00713348"/>
    <w:rsid w:val="00713A6B"/>
    <w:rsid w:val="00715678"/>
    <w:rsid w:val="007205A8"/>
    <w:rsid w:val="00721CD2"/>
    <w:rsid w:val="007237DD"/>
    <w:rsid w:val="00724253"/>
    <w:rsid w:val="00724BF5"/>
    <w:rsid w:val="007272F8"/>
    <w:rsid w:val="0072740C"/>
    <w:rsid w:val="007303D7"/>
    <w:rsid w:val="00732D2D"/>
    <w:rsid w:val="007334D5"/>
    <w:rsid w:val="007336B0"/>
    <w:rsid w:val="00736DE5"/>
    <w:rsid w:val="00741907"/>
    <w:rsid w:val="00741A15"/>
    <w:rsid w:val="007424D4"/>
    <w:rsid w:val="00744703"/>
    <w:rsid w:val="00744A69"/>
    <w:rsid w:val="00750743"/>
    <w:rsid w:val="00751730"/>
    <w:rsid w:val="00753884"/>
    <w:rsid w:val="007541E0"/>
    <w:rsid w:val="007541E3"/>
    <w:rsid w:val="00754BF5"/>
    <w:rsid w:val="00755B10"/>
    <w:rsid w:val="0076004D"/>
    <w:rsid w:val="00760FF3"/>
    <w:rsid w:val="00762C6D"/>
    <w:rsid w:val="0076795F"/>
    <w:rsid w:val="00770989"/>
    <w:rsid w:val="00770DC4"/>
    <w:rsid w:val="00772931"/>
    <w:rsid w:val="00773425"/>
    <w:rsid w:val="007749A0"/>
    <w:rsid w:val="007751E3"/>
    <w:rsid w:val="007755FB"/>
    <w:rsid w:val="00776023"/>
    <w:rsid w:val="00777270"/>
    <w:rsid w:val="0077759A"/>
    <w:rsid w:val="00783588"/>
    <w:rsid w:val="00783E66"/>
    <w:rsid w:val="007845D8"/>
    <w:rsid w:val="00784A93"/>
    <w:rsid w:val="007931C1"/>
    <w:rsid w:val="0079462C"/>
    <w:rsid w:val="007949D1"/>
    <w:rsid w:val="00795B2F"/>
    <w:rsid w:val="007A1441"/>
    <w:rsid w:val="007A1D6D"/>
    <w:rsid w:val="007A2610"/>
    <w:rsid w:val="007A43BB"/>
    <w:rsid w:val="007A5254"/>
    <w:rsid w:val="007A5DE8"/>
    <w:rsid w:val="007B0041"/>
    <w:rsid w:val="007B01C5"/>
    <w:rsid w:val="007B0954"/>
    <w:rsid w:val="007B1926"/>
    <w:rsid w:val="007B2FDE"/>
    <w:rsid w:val="007B3A62"/>
    <w:rsid w:val="007B4EDD"/>
    <w:rsid w:val="007B734D"/>
    <w:rsid w:val="007C1352"/>
    <w:rsid w:val="007C150B"/>
    <w:rsid w:val="007C279F"/>
    <w:rsid w:val="007C2C60"/>
    <w:rsid w:val="007C2EC7"/>
    <w:rsid w:val="007C48C6"/>
    <w:rsid w:val="007C5836"/>
    <w:rsid w:val="007C5A91"/>
    <w:rsid w:val="007C68A4"/>
    <w:rsid w:val="007C7069"/>
    <w:rsid w:val="007C7E08"/>
    <w:rsid w:val="007D0ACA"/>
    <w:rsid w:val="007D2428"/>
    <w:rsid w:val="007D3BAD"/>
    <w:rsid w:val="007D73CB"/>
    <w:rsid w:val="007E1037"/>
    <w:rsid w:val="007E6D28"/>
    <w:rsid w:val="007E73A0"/>
    <w:rsid w:val="007F096B"/>
    <w:rsid w:val="007F16FA"/>
    <w:rsid w:val="007F172A"/>
    <w:rsid w:val="007F2476"/>
    <w:rsid w:val="007F3718"/>
    <w:rsid w:val="007F3E9A"/>
    <w:rsid w:val="007F586E"/>
    <w:rsid w:val="007F6F09"/>
    <w:rsid w:val="007F7DF0"/>
    <w:rsid w:val="00800328"/>
    <w:rsid w:val="008010FB"/>
    <w:rsid w:val="0080190F"/>
    <w:rsid w:val="008023A5"/>
    <w:rsid w:val="00803ACB"/>
    <w:rsid w:val="008048BF"/>
    <w:rsid w:val="0080537D"/>
    <w:rsid w:val="00806C50"/>
    <w:rsid w:val="00806FB1"/>
    <w:rsid w:val="00807179"/>
    <w:rsid w:val="008073A0"/>
    <w:rsid w:val="00810D21"/>
    <w:rsid w:val="00810D58"/>
    <w:rsid w:val="008114CB"/>
    <w:rsid w:val="008117E8"/>
    <w:rsid w:val="00812911"/>
    <w:rsid w:val="00813590"/>
    <w:rsid w:val="00813B20"/>
    <w:rsid w:val="00814257"/>
    <w:rsid w:val="00814BE6"/>
    <w:rsid w:val="00815B33"/>
    <w:rsid w:val="008175D5"/>
    <w:rsid w:val="00817C5C"/>
    <w:rsid w:val="00821E6C"/>
    <w:rsid w:val="00821E9D"/>
    <w:rsid w:val="00822E22"/>
    <w:rsid w:val="00824F9F"/>
    <w:rsid w:val="00825623"/>
    <w:rsid w:val="00826B9C"/>
    <w:rsid w:val="00827502"/>
    <w:rsid w:val="00832476"/>
    <w:rsid w:val="00833478"/>
    <w:rsid w:val="00833541"/>
    <w:rsid w:val="00835AB7"/>
    <w:rsid w:val="00837410"/>
    <w:rsid w:val="00837BAF"/>
    <w:rsid w:val="0084042B"/>
    <w:rsid w:val="00840CD0"/>
    <w:rsid w:val="00843165"/>
    <w:rsid w:val="0084392D"/>
    <w:rsid w:val="00843FD2"/>
    <w:rsid w:val="008456E3"/>
    <w:rsid w:val="008468FE"/>
    <w:rsid w:val="00852525"/>
    <w:rsid w:val="00853D22"/>
    <w:rsid w:val="0085424F"/>
    <w:rsid w:val="00855F23"/>
    <w:rsid w:val="00857792"/>
    <w:rsid w:val="00857D01"/>
    <w:rsid w:val="00857D53"/>
    <w:rsid w:val="00857DDB"/>
    <w:rsid w:val="0086163E"/>
    <w:rsid w:val="008616E7"/>
    <w:rsid w:val="0086249E"/>
    <w:rsid w:val="00863587"/>
    <w:rsid w:val="008651F3"/>
    <w:rsid w:val="008664F2"/>
    <w:rsid w:val="00867FA6"/>
    <w:rsid w:val="00872AD1"/>
    <w:rsid w:val="00873940"/>
    <w:rsid w:val="00874924"/>
    <w:rsid w:val="00875EA5"/>
    <w:rsid w:val="008765DD"/>
    <w:rsid w:val="00876EC7"/>
    <w:rsid w:val="0088011F"/>
    <w:rsid w:val="0088366F"/>
    <w:rsid w:val="0088662C"/>
    <w:rsid w:val="00887937"/>
    <w:rsid w:val="0088798F"/>
    <w:rsid w:val="008912ED"/>
    <w:rsid w:val="00891318"/>
    <w:rsid w:val="00891498"/>
    <w:rsid w:val="008920FC"/>
    <w:rsid w:val="00892504"/>
    <w:rsid w:val="008928FE"/>
    <w:rsid w:val="008936F8"/>
    <w:rsid w:val="00893BE2"/>
    <w:rsid w:val="008946F3"/>
    <w:rsid w:val="00895BF4"/>
    <w:rsid w:val="00895D1F"/>
    <w:rsid w:val="008975DF"/>
    <w:rsid w:val="008A0DAA"/>
    <w:rsid w:val="008A169F"/>
    <w:rsid w:val="008A16E0"/>
    <w:rsid w:val="008A1BFA"/>
    <w:rsid w:val="008A2350"/>
    <w:rsid w:val="008A2DB6"/>
    <w:rsid w:val="008A37C0"/>
    <w:rsid w:val="008A4EEA"/>
    <w:rsid w:val="008A55C3"/>
    <w:rsid w:val="008B0035"/>
    <w:rsid w:val="008B1BF0"/>
    <w:rsid w:val="008B50E8"/>
    <w:rsid w:val="008B53B0"/>
    <w:rsid w:val="008B5E2B"/>
    <w:rsid w:val="008B613E"/>
    <w:rsid w:val="008B690A"/>
    <w:rsid w:val="008B76A5"/>
    <w:rsid w:val="008B77E0"/>
    <w:rsid w:val="008C10C5"/>
    <w:rsid w:val="008C121D"/>
    <w:rsid w:val="008C1EB4"/>
    <w:rsid w:val="008C314E"/>
    <w:rsid w:val="008C334F"/>
    <w:rsid w:val="008C3497"/>
    <w:rsid w:val="008C3A65"/>
    <w:rsid w:val="008C7931"/>
    <w:rsid w:val="008C7C8D"/>
    <w:rsid w:val="008D0BE2"/>
    <w:rsid w:val="008D15B3"/>
    <w:rsid w:val="008D206F"/>
    <w:rsid w:val="008D3027"/>
    <w:rsid w:val="008D39F6"/>
    <w:rsid w:val="008D4C7F"/>
    <w:rsid w:val="008D7422"/>
    <w:rsid w:val="008D7F0E"/>
    <w:rsid w:val="008E05BD"/>
    <w:rsid w:val="008E2D98"/>
    <w:rsid w:val="008E461E"/>
    <w:rsid w:val="008E5136"/>
    <w:rsid w:val="008E5236"/>
    <w:rsid w:val="008E763E"/>
    <w:rsid w:val="008E765C"/>
    <w:rsid w:val="008F0156"/>
    <w:rsid w:val="008F02B3"/>
    <w:rsid w:val="008F0430"/>
    <w:rsid w:val="008F0C09"/>
    <w:rsid w:val="008F2B37"/>
    <w:rsid w:val="008F2D18"/>
    <w:rsid w:val="008F40DD"/>
    <w:rsid w:val="008F6A63"/>
    <w:rsid w:val="008F6C8D"/>
    <w:rsid w:val="008F7B49"/>
    <w:rsid w:val="00900D47"/>
    <w:rsid w:val="00901C9F"/>
    <w:rsid w:val="009054C3"/>
    <w:rsid w:val="00905E24"/>
    <w:rsid w:val="00906DF4"/>
    <w:rsid w:val="009072CC"/>
    <w:rsid w:val="00911038"/>
    <w:rsid w:val="009121F9"/>
    <w:rsid w:val="00913064"/>
    <w:rsid w:val="009132CE"/>
    <w:rsid w:val="0091386C"/>
    <w:rsid w:val="00914DBC"/>
    <w:rsid w:val="00917746"/>
    <w:rsid w:val="00917B19"/>
    <w:rsid w:val="00917DFE"/>
    <w:rsid w:val="00920F4B"/>
    <w:rsid w:val="009210EE"/>
    <w:rsid w:val="009221CA"/>
    <w:rsid w:val="0092356A"/>
    <w:rsid w:val="009248BE"/>
    <w:rsid w:val="009258FC"/>
    <w:rsid w:val="00925DC5"/>
    <w:rsid w:val="00925E0D"/>
    <w:rsid w:val="0093024E"/>
    <w:rsid w:val="00931973"/>
    <w:rsid w:val="009325C2"/>
    <w:rsid w:val="00932AEB"/>
    <w:rsid w:val="00932F4A"/>
    <w:rsid w:val="00933135"/>
    <w:rsid w:val="00933159"/>
    <w:rsid w:val="0093446A"/>
    <w:rsid w:val="00934D29"/>
    <w:rsid w:val="00935374"/>
    <w:rsid w:val="00935EBC"/>
    <w:rsid w:val="00937ACB"/>
    <w:rsid w:val="00937BDE"/>
    <w:rsid w:val="009427CD"/>
    <w:rsid w:val="00943EAB"/>
    <w:rsid w:val="00944ADF"/>
    <w:rsid w:val="00945C83"/>
    <w:rsid w:val="00950A30"/>
    <w:rsid w:val="00951830"/>
    <w:rsid w:val="0095330D"/>
    <w:rsid w:val="009546EC"/>
    <w:rsid w:val="00955E97"/>
    <w:rsid w:val="00955FBA"/>
    <w:rsid w:val="009562F0"/>
    <w:rsid w:val="00956B4C"/>
    <w:rsid w:val="00956BE3"/>
    <w:rsid w:val="00957354"/>
    <w:rsid w:val="00957DF3"/>
    <w:rsid w:val="00960358"/>
    <w:rsid w:val="009606B3"/>
    <w:rsid w:val="00961F36"/>
    <w:rsid w:val="00962169"/>
    <w:rsid w:val="00962C07"/>
    <w:rsid w:val="00965C6B"/>
    <w:rsid w:val="009669E0"/>
    <w:rsid w:val="00966C69"/>
    <w:rsid w:val="00971AF4"/>
    <w:rsid w:val="00973602"/>
    <w:rsid w:val="00975C80"/>
    <w:rsid w:val="00980E28"/>
    <w:rsid w:val="00981797"/>
    <w:rsid w:val="00981F8A"/>
    <w:rsid w:val="00982756"/>
    <w:rsid w:val="009827BA"/>
    <w:rsid w:val="00983462"/>
    <w:rsid w:val="00983AFE"/>
    <w:rsid w:val="00985558"/>
    <w:rsid w:val="00986899"/>
    <w:rsid w:val="009908AC"/>
    <w:rsid w:val="00993352"/>
    <w:rsid w:val="0099343C"/>
    <w:rsid w:val="00994C88"/>
    <w:rsid w:val="009954C7"/>
    <w:rsid w:val="00995785"/>
    <w:rsid w:val="00995E13"/>
    <w:rsid w:val="009967BD"/>
    <w:rsid w:val="00996D0F"/>
    <w:rsid w:val="009A0E6C"/>
    <w:rsid w:val="009A5A54"/>
    <w:rsid w:val="009B0C52"/>
    <w:rsid w:val="009B11A4"/>
    <w:rsid w:val="009B1B42"/>
    <w:rsid w:val="009B1F3E"/>
    <w:rsid w:val="009B4453"/>
    <w:rsid w:val="009B5B31"/>
    <w:rsid w:val="009B6353"/>
    <w:rsid w:val="009B6769"/>
    <w:rsid w:val="009C09D9"/>
    <w:rsid w:val="009C31A2"/>
    <w:rsid w:val="009C42D2"/>
    <w:rsid w:val="009C4B4F"/>
    <w:rsid w:val="009C4B90"/>
    <w:rsid w:val="009D034D"/>
    <w:rsid w:val="009D0D18"/>
    <w:rsid w:val="009D121E"/>
    <w:rsid w:val="009D1609"/>
    <w:rsid w:val="009D1BD4"/>
    <w:rsid w:val="009D21C7"/>
    <w:rsid w:val="009D3EAB"/>
    <w:rsid w:val="009D4C19"/>
    <w:rsid w:val="009D4E65"/>
    <w:rsid w:val="009D6ABC"/>
    <w:rsid w:val="009D7056"/>
    <w:rsid w:val="009D7363"/>
    <w:rsid w:val="009D7ACC"/>
    <w:rsid w:val="009E025C"/>
    <w:rsid w:val="009E1A77"/>
    <w:rsid w:val="009E2D72"/>
    <w:rsid w:val="009E320C"/>
    <w:rsid w:val="009E32DF"/>
    <w:rsid w:val="009E48D6"/>
    <w:rsid w:val="009E56B8"/>
    <w:rsid w:val="009E58E8"/>
    <w:rsid w:val="009E7FC6"/>
    <w:rsid w:val="009F06EA"/>
    <w:rsid w:val="009F1BEC"/>
    <w:rsid w:val="009F4095"/>
    <w:rsid w:val="009F5B58"/>
    <w:rsid w:val="009F6212"/>
    <w:rsid w:val="009F6BC9"/>
    <w:rsid w:val="009F7263"/>
    <w:rsid w:val="00A01DC8"/>
    <w:rsid w:val="00A03CF8"/>
    <w:rsid w:val="00A043BE"/>
    <w:rsid w:val="00A05F09"/>
    <w:rsid w:val="00A0625A"/>
    <w:rsid w:val="00A0644B"/>
    <w:rsid w:val="00A106D2"/>
    <w:rsid w:val="00A12098"/>
    <w:rsid w:val="00A12C6A"/>
    <w:rsid w:val="00A135FF"/>
    <w:rsid w:val="00A15490"/>
    <w:rsid w:val="00A15719"/>
    <w:rsid w:val="00A15C4B"/>
    <w:rsid w:val="00A15FA6"/>
    <w:rsid w:val="00A20C05"/>
    <w:rsid w:val="00A22138"/>
    <w:rsid w:val="00A22406"/>
    <w:rsid w:val="00A23468"/>
    <w:rsid w:val="00A236C7"/>
    <w:rsid w:val="00A25751"/>
    <w:rsid w:val="00A26D52"/>
    <w:rsid w:val="00A27C02"/>
    <w:rsid w:val="00A27FDD"/>
    <w:rsid w:val="00A30D37"/>
    <w:rsid w:val="00A32B50"/>
    <w:rsid w:val="00A33A92"/>
    <w:rsid w:val="00A33ABF"/>
    <w:rsid w:val="00A33F85"/>
    <w:rsid w:val="00A35B93"/>
    <w:rsid w:val="00A41C53"/>
    <w:rsid w:val="00A420B1"/>
    <w:rsid w:val="00A421D7"/>
    <w:rsid w:val="00A43BBB"/>
    <w:rsid w:val="00A43D58"/>
    <w:rsid w:val="00A44FFF"/>
    <w:rsid w:val="00A462B7"/>
    <w:rsid w:val="00A520DC"/>
    <w:rsid w:val="00A5373C"/>
    <w:rsid w:val="00A55C2F"/>
    <w:rsid w:val="00A576E0"/>
    <w:rsid w:val="00A57976"/>
    <w:rsid w:val="00A57AB0"/>
    <w:rsid w:val="00A60109"/>
    <w:rsid w:val="00A60A74"/>
    <w:rsid w:val="00A62347"/>
    <w:rsid w:val="00A63BF5"/>
    <w:rsid w:val="00A6442E"/>
    <w:rsid w:val="00A64A6C"/>
    <w:rsid w:val="00A65E32"/>
    <w:rsid w:val="00A665B1"/>
    <w:rsid w:val="00A700DC"/>
    <w:rsid w:val="00A70342"/>
    <w:rsid w:val="00A7090A"/>
    <w:rsid w:val="00A71ACD"/>
    <w:rsid w:val="00A72DCF"/>
    <w:rsid w:val="00A73B44"/>
    <w:rsid w:val="00A76F0B"/>
    <w:rsid w:val="00A80F95"/>
    <w:rsid w:val="00A813FB"/>
    <w:rsid w:val="00A818FF"/>
    <w:rsid w:val="00A842C7"/>
    <w:rsid w:val="00A846ED"/>
    <w:rsid w:val="00A914BB"/>
    <w:rsid w:val="00A927FE"/>
    <w:rsid w:val="00A92CA0"/>
    <w:rsid w:val="00A934D2"/>
    <w:rsid w:val="00A9391A"/>
    <w:rsid w:val="00A939A8"/>
    <w:rsid w:val="00A948CD"/>
    <w:rsid w:val="00A949D9"/>
    <w:rsid w:val="00A94C19"/>
    <w:rsid w:val="00A9719B"/>
    <w:rsid w:val="00AA0416"/>
    <w:rsid w:val="00AA0CDC"/>
    <w:rsid w:val="00AA1235"/>
    <w:rsid w:val="00AA29F3"/>
    <w:rsid w:val="00AA398A"/>
    <w:rsid w:val="00AA62A0"/>
    <w:rsid w:val="00AA6366"/>
    <w:rsid w:val="00AB0DE8"/>
    <w:rsid w:val="00AB1791"/>
    <w:rsid w:val="00AB300F"/>
    <w:rsid w:val="00AB36BF"/>
    <w:rsid w:val="00AB3E68"/>
    <w:rsid w:val="00AB6D49"/>
    <w:rsid w:val="00AB7D60"/>
    <w:rsid w:val="00AC0B01"/>
    <w:rsid w:val="00AC128C"/>
    <w:rsid w:val="00AC26BC"/>
    <w:rsid w:val="00AC30D4"/>
    <w:rsid w:val="00AC3EFE"/>
    <w:rsid w:val="00AC3FCB"/>
    <w:rsid w:val="00AC5CD0"/>
    <w:rsid w:val="00AC679B"/>
    <w:rsid w:val="00AC719E"/>
    <w:rsid w:val="00AD0753"/>
    <w:rsid w:val="00AD0CFD"/>
    <w:rsid w:val="00AD2DFF"/>
    <w:rsid w:val="00AD2F5D"/>
    <w:rsid w:val="00AD516F"/>
    <w:rsid w:val="00AD53CB"/>
    <w:rsid w:val="00AD7116"/>
    <w:rsid w:val="00AD716C"/>
    <w:rsid w:val="00AD783C"/>
    <w:rsid w:val="00AE1081"/>
    <w:rsid w:val="00AE1F87"/>
    <w:rsid w:val="00AE23C9"/>
    <w:rsid w:val="00AE3649"/>
    <w:rsid w:val="00AE49E4"/>
    <w:rsid w:val="00AE4A3E"/>
    <w:rsid w:val="00AE581E"/>
    <w:rsid w:val="00AE5947"/>
    <w:rsid w:val="00AE64B4"/>
    <w:rsid w:val="00AF0EB4"/>
    <w:rsid w:val="00AF106E"/>
    <w:rsid w:val="00AF1171"/>
    <w:rsid w:val="00AF203B"/>
    <w:rsid w:val="00AF2253"/>
    <w:rsid w:val="00AF3715"/>
    <w:rsid w:val="00AF4044"/>
    <w:rsid w:val="00AF4463"/>
    <w:rsid w:val="00AF44F4"/>
    <w:rsid w:val="00AF4B06"/>
    <w:rsid w:val="00AF515D"/>
    <w:rsid w:val="00AF51CE"/>
    <w:rsid w:val="00AF6839"/>
    <w:rsid w:val="00AF6D31"/>
    <w:rsid w:val="00AF733F"/>
    <w:rsid w:val="00B00B55"/>
    <w:rsid w:val="00B01CDD"/>
    <w:rsid w:val="00B05E06"/>
    <w:rsid w:val="00B07725"/>
    <w:rsid w:val="00B07E10"/>
    <w:rsid w:val="00B11C1D"/>
    <w:rsid w:val="00B1219A"/>
    <w:rsid w:val="00B12A7B"/>
    <w:rsid w:val="00B1358E"/>
    <w:rsid w:val="00B13E09"/>
    <w:rsid w:val="00B14DB2"/>
    <w:rsid w:val="00B15FA5"/>
    <w:rsid w:val="00B16C6A"/>
    <w:rsid w:val="00B17D69"/>
    <w:rsid w:val="00B203C6"/>
    <w:rsid w:val="00B20451"/>
    <w:rsid w:val="00B208E7"/>
    <w:rsid w:val="00B210A8"/>
    <w:rsid w:val="00B22901"/>
    <w:rsid w:val="00B260F8"/>
    <w:rsid w:val="00B30543"/>
    <w:rsid w:val="00B30F3E"/>
    <w:rsid w:val="00B31CEE"/>
    <w:rsid w:val="00B3213C"/>
    <w:rsid w:val="00B332A9"/>
    <w:rsid w:val="00B34CA6"/>
    <w:rsid w:val="00B356C9"/>
    <w:rsid w:val="00B35E2B"/>
    <w:rsid w:val="00B37725"/>
    <w:rsid w:val="00B40407"/>
    <w:rsid w:val="00B4115A"/>
    <w:rsid w:val="00B41D0E"/>
    <w:rsid w:val="00B4228E"/>
    <w:rsid w:val="00B42337"/>
    <w:rsid w:val="00B42AFE"/>
    <w:rsid w:val="00B42F35"/>
    <w:rsid w:val="00B43E20"/>
    <w:rsid w:val="00B44003"/>
    <w:rsid w:val="00B450FB"/>
    <w:rsid w:val="00B45946"/>
    <w:rsid w:val="00B46144"/>
    <w:rsid w:val="00B50AC8"/>
    <w:rsid w:val="00B52B35"/>
    <w:rsid w:val="00B53DF4"/>
    <w:rsid w:val="00B54D0C"/>
    <w:rsid w:val="00B54F05"/>
    <w:rsid w:val="00B56371"/>
    <w:rsid w:val="00B56EA7"/>
    <w:rsid w:val="00B57931"/>
    <w:rsid w:val="00B57937"/>
    <w:rsid w:val="00B600DD"/>
    <w:rsid w:val="00B62565"/>
    <w:rsid w:val="00B6394A"/>
    <w:rsid w:val="00B6479B"/>
    <w:rsid w:val="00B65012"/>
    <w:rsid w:val="00B6517F"/>
    <w:rsid w:val="00B65425"/>
    <w:rsid w:val="00B66C81"/>
    <w:rsid w:val="00B66CD5"/>
    <w:rsid w:val="00B66DCB"/>
    <w:rsid w:val="00B702C7"/>
    <w:rsid w:val="00B709DB"/>
    <w:rsid w:val="00B70A0E"/>
    <w:rsid w:val="00B7206A"/>
    <w:rsid w:val="00B733F3"/>
    <w:rsid w:val="00B74AB0"/>
    <w:rsid w:val="00B75791"/>
    <w:rsid w:val="00B76370"/>
    <w:rsid w:val="00B8121C"/>
    <w:rsid w:val="00B8296C"/>
    <w:rsid w:val="00B82AF6"/>
    <w:rsid w:val="00B84A3C"/>
    <w:rsid w:val="00B852A9"/>
    <w:rsid w:val="00B856D6"/>
    <w:rsid w:val="00B85B52"/>
    <w:rsid w:val="00B87A67"/>
    <w:rsid w:val="00B91685"/>
    <w:rsid w:val="00B93BC2"/>
    <w:rsid w:val="00BA0F38"/>
    <w:rsid w:val="00BA170F"/>
    <w:rsid w:val="00BA26D4"/>
    <w:rsid w:val="00BA29F5"/>
    <w:rsid w:val="00BA5952"/>
    <w:rsid w:val="00BA5F29"/>
    <w:rsid w:val="00BA6753"/>
    <w:rsid w:val="00BB0A9F"/>
    <w:rsid w:val="00BB1748"/>
    <w:rsid w:val="00BB1939"/>
    <w:rsid w:val="00BB3D90"/>
    <w:rsid w:val="00BB5A11"/>
    <w:rsid w:val="00BB6333"/>
    <w:rsid w:val="00BB735E"/>
    <w:rsid w:val="00BB78F2"/>
    <w:rsid w:val="00BC100D"/>
    <w:rsid w:val="00BC1FA9"/>
    <w:rsid w:val="00BC2333"/>
    <w:rsid w:val="00BC41F6"/>
    <w:rsid w:val="00BC6723"/>
    <w:rsid w:val="00BD3D7C"/>
    <w:rsid w:val="00BD41E8"/>
    <w:rsid w:val="00BD4415"/>
    <w:rsid w:val="00BD5213"/>
    <w:rsid w:val="00BD6A28"/>
    <w:rsid w:val="00BD7070"/>
    <w:rsid w:val="00BD76A0"/>
    <w:rsid w:val="00BD7CFF"/>
    <w:rsid w:val="00BE0C88"/>
    <w:rsid w:val="00BE0CB2"/>
    <w:rsid w:val="00BE153C"/>
    <w:rsid w:val="00BE52C9"/>
    <w:rsid w:val="00BE5ACF"/>
    <w:rsid w:val="00BE692E"/>
    <w:rsid w:val="00BE6B6F"/>
    <w:rsid w:val="00BE6F6F"/>
    <w:rsid w:val="00BE7AFA"/>
    <w:rsid w:val="00BF046C"/>
    <w:rsid w:val="00BF2686"/>
    <w:rsid w:val="00BF31C4"/>
    <w:rsid w:val="00BF36B9"/>
    <w:rsid w:val="00BF3C7E"/>
    <w:rsid w:val="00BF468D"/>
    <w:rsid w:val="00BF5E53"/>
    <w:rsid w:val="00C010C8"/>
    <w:rsid w:val="00C01DB0"/>
    <w:rsid w:val="00C028CC"/>
    <w:rsid w:val="00C02A79"/>
    <w:rsid w:val="00C02DB2"/>
    <w:rsid w:val="00C03679"/>
    <w:rsid w:val="00C03B24"/>
    <w:rsid w:val="00C05E58"/>
    <w:rsid w:val="00C0604D"/>
    <w:rsid w:val="00C0635A"/>
    <w:rsid w:val="00C110D5"/>
    <w:rsid w:val="00C1253D"/>
    <w:rsid w:val="00C17B30"/>
    <w:rsid w:val="00C2020A"/>
    <w:rsid w:val="00C21785"/>
    <w:rsid w:val="00C221D3"/>
    <w:rsid w:val="00C22D1B"/>
    <w:rsid w:val="00C2334F"/>
    <w:rsid w:val="00C24DE1"/>
    <w:rsid w:val="00C25363"/>
    <w:rsid w:val="00C25367"/>
    <w:rsid w:val="00C2539A"/>
    <w:rsid w:val="00C26500"/>
    <w:rsid w:val="00C26B24"/>
    <w:rsid w:val="00C27439"/>
    <w:rsid w:val="00C27B49"/>
    <w:rsid w:val="00C32FE5"/>
    <w:rsid w:val="00C33039"/>
    <w:rsid w:val="00C338F9"/>
    <w:rsid w:val="00C33F96"/>
    <w:rsid w:val="00C35985"/>
    <w:rsid w:val="00C35C3C"/>
    <w:rsid w:val="00C36961"/>
    <w:rsid w:val="00C37C8F"/>
    <w:rsid w:val="00C41056"/>
    <w:rsid w:val="00C41963"/>
    <w:rsid w:val="00C43449"/>
    <w:rsid w:val="00C44FDD"/>
    <w:rsid w:val="00C451A2"/>
    <w:rsid w:val="00C455A4"/>
    <w:rsid w:val="00C45AFC"/>
    <w:rsid w:val="00C46388"/>
    <w:rsid w:val="00C47B30"/>
    <w:rsid w:val="00C47B7A"/>
    <w:rsid w:val="00C51563"/>
    <w:rsid w:val="00C51839"/>
    <w:rsid w:val="00C53751"/>
    <w:rsid w:val="00C53A36"/>
    <w:rsid w:val="00C53AC9"/>
    <w:rsid w:val="00C5519B"/>
    <w:rsid w:val="00C56CCA"/>
    <w:rsid w:val="00C605A4"/>
    <w:rsid w:val="00C61263"/>
    <w:rsid w:val="00C63F2F"/>
    <w:rsid w:val="00C64316"/>
    <w:rsid w:val="00C6433B"/>
    <w:rsid w:val="00C646A3"/>
    <w:rsid w:val="00C64E49"/>
    <w:rsid w:val="00C656DE"/>
    <w:rsid w:val="00C657EE"/>
    <w:rsid w:val="00C6690C"/>
    <w:rsid w:val="00C66CC8"/>
    <w:rsid w:val="00C672BE"/>
    <w:rsid w:val="00C71315"/>
    <w:rsid w:val="00C726C7"/>
    <w:rsid w:val="00C72DA1"/>
    <w:rsid w:val="00C7352D"/>
    <w:rsid w:val="00C7354A"/>
    <w:rsid w:val="00C73A05"/>
    <w:rsid w:val="00C74984"/>
    <w:rsid w:val="00C7689F"/>
    <w:rsid w:val="00C76E64"/>
    <w:rsid w:val="00C77D1D"/>
    <w:rsid w:val="00C80C7F"/>
    <w:rsid w:val="00C80FF1"/>
    <w:rsid w:val="00C82F66"/>
    <w:rsid w:val="00C85457"/>
    <w:rsid w:val="00C85C7A"/>
    <w:rsid w:val="00C87543"/>
    <w:rsid w:val="00C879C0"/>
    <w:rsid w:val="00C909C4"/>
    <w:rsid w:val="00C91C63"/>
    <w:rsid w:val="00C92386"/>
    <w:rsid w:val="00C92A41"/>
    <w:rsid w:val="00C9589B"/>
    <w:rsid w:val="00C96761"/>
    <w:rsid w:val="00C9730F"/>
    <w:rsid w:val="00CA07B4"/>
    <w:rsid w:val="00CA244B"/>
    <w:rsid w:val="00CA31DE"/>
    <w:rsid w:val="00CA41F7"/>
    <w:rsid w:val="00CA604C"/>
    <w:rsid w:val="00CA61FD"/>
    <w:rsid w:val="00CA63AC"/>
    <w:rsid w:val="00CA646E"/>
    <w:rsid w:val="00CA7145"/>
    <w:rsid w:val="00CB0471"/>
    <w:rsid w:val="00CB0625"/>
    <w:rsid w:val="00CB0EC3"/>
    <w:rsid w:val="00CB1596"/>
    <w:rsid w:val="00CB19F5"/>
    <w:rsid w:val="00CB1E03"/>
    <w:rsid w:val="00CB2728"/>
    <w:rsid w:val="00CB275F"/>
    <w:rsid w:val="00CB387D"/>
    <w:rsid w:val="00CB4AD0"/>
    <w:rsid w:val="00CB4DD2"/>
    <w:rsid w:val="00CB6AF9"/>
    <w:rsid w:val="00CB7B66"/>
    <w:rsid w:val="00CC051E"/>
    <w:rsid w:val="00CC281D"/>
    <w:rsid w:val="00CC2CDD"/>
    <w:rsid w:val="00CC3055"/>
    <w:rsid w:val="00CC3DEE"/>
    <w:rsid w:val="00CC4C7F"/>
    <w:rsid w:val="00CC518A"/>
    <w:rsid w:val="00CC5263"/>
    <w:rsid w:val="00CC53AA"/>
    <w:rsid w:val="00CC707A"/>
    <w:rsid w:val="00CC7DE5"/>
    <w:rsid w:val="00CD2F92"/>
    <w:rsid w:val="00CD4F31"/>
    <w:rsid w:val="00CD5669"/>
    <w:rsid w:val="00CD601F"/>
    <w:rsid w:val="00CD6711"/>
    <w:rsid w:val="00CD783D"/>
    <w:rsid w:val="00CE0E82"/>
    <w:rsid w:val="00CE1FB9"/>
    <w:rsid w:val="00CE360A"/>
    <w:rsid w:val="00CE3EDB"/>
    <w:rsid w:val="00CE56CE"/>
    <w:rsid w:val="00CE7AC3"/>
    <w:rsid w:val="00CF0341"/>
    <w:rsid w:val="00CF09AD"/>
    <w:rsid w:val="00CF0D83"/>
    <w:rsid w:val="00CF288C"/>
    <w:rsid w:val="00CF2D70"/>
    <w:rsid w:val="00CF3B37"/>
    <w:rsid w:val="00CF43FD"/>
    <w:rsid w:val="00CF45E4"/>
    <w:rsid w:val="00CF53AA"/>
    <w:rsid w:val="00CF58B0"/>
    <w:rsid w:val="00CF6B0A"/>
    <w:rsid w:val="00CF781F"/>
    <w:rsid w:val="00D0014A"/>
    <w:rsid w:val="00D0140D"/>
    <w:rsid w:val="00D0156E"/>
    <w:rsid w:val="00D01ACC"/>
    <w:rsid w:val="00D04664"/>
    <w:rsid w:val="00D04AC3"/>
    <w:rsid w:val="00D060CF"/>
    <w:rsid w:val="00D06B7D"/>
    <w:rsid w:val="00D06FA0"/>
    <w:rsid w:val="00D121D5"/>
    <w:rsid w:val="00D13E72"/>
    <w:rsid w:val="00D14E01"/>
    <w:rsid w:val="00D14FE1"/>
    <w:rsid w:val="00D1508A"/>
    <w:rsid w:val="00D165A4"/>
    <w:rsid w:val="00D17F2A"/>
    <w:rsid w:val="00D2091E"/>
    <w:rsid w:val="00D21964"/>
    <w:rsid w:val="00D22C06"/>
    <w:rsid w:val="00D22D65"/>
    <w:rsid w:val="00D2344C"/>
    <w:rsid w:val="00D258D9"/>
    <w:rsid w:val="00D30AA3"/>
    <w:rsid w:val="00D329B6"/>
    <w:rsid w:val="00D32E84"/>
    <w:rsid w:val="00D3639F"/>
    <w:rsid w:val="00D367D2"/>
    <w:rsid w:val="00D40D81"/>
    <w:rsid w:val="00D41709"/>
    <w:rsid w:val="00D4215C"/>
    <w:rsid w:val="00D434CF"/>
    <w:rsid w:val="00D4350B"/>
    <w:rsid w:val="00D448CE"/>
    <w:rsid w:val="00D46E8F"/>
    <w:rsid w:val="00D4765E"/>
    <w:rsid w:val="00D51815"/>
    <w:rsid w:val="00D533AC"/>
    <w:rsid w:val="00D53F15"/>
    <w:rsid w:val="00D5626D"/>
    <w:rsid w:val="00D60F16"/>
    <w:rsid w:val="00D62DC1"/>
    <w:rsid w:val="00D6423F"/>
    <w:rsid w:val="00D6623B"/>
    <w:rsid w:val="00D66A95"/>
    <w:rsid w:val="00D70BF5"/>
    <w:rsid w:val="00D71349"/>
    <w:rsid w:val="00D72342"/>
    <w:rsid w:val="00D73096"/>
    <w:rsid w:val="00D7390E"/>
    <w:rsid w:val="00D741FF"/>
    <w:rsid w:val="00D74582"/>
    <w:rsid w:val="00D75AA9"/>
    <w:rsid w:val="00D81112"/>
    <w:rsid w:val="00D8250E"/>
    <w:rsid w:val="00D854DD"/>
    <w:rsid w:val="00D85623"/>
    <w:rsid w:val="00D86C84"/>
    <w:rsid w:val="00D87F4C"/>
    <w:rsid w:val="00D917E5"/>
    <w:rsid w:val="00D91DCF"/>
    <w:rsid w:val="00D9217D"/>
    <w:rsid w:val="00D9236B"/>
    <w:rsid w:val="00D93356"/>
    <w:rsid w:val="00D953E7"/>
    <w:rsid w:val="00D95CBB"/>
    <w:rsid w:val="00D95E53"/>
    <w:rsid w:val="00D9798B"/>
    <w:rsid w:val="00DA1932"/>
    <w:rsid w:val="00DA1D67"/>
    <w:rsid w:val="00DA1F93"/>
    <w:rsid w:val="00DA3470"/>
    <w:rsid w:val="00DA3D89"/>
    <w:rsid w:val="00DA3DD1"/>
    <w:rsid w:val="00DA5F03"/>
    <w:rsid w:val="00DA6B9E"/>
    <w:rsid w:val="00DA6E0C"/>
    <w:rsid w:val="00DA74C3"/>
    <w:rsid w:val="00DB051F"/>
    <w:rsid w:val="00DB32EF"/>
    <w:rsid w:val="00DB3631"/>
    <w:rsid w:val="00DB476C"/>
    <w:rsid w:val="00DB5205"/>
    <w:rsid w:val="00DB553B"/>
    <w:rsid w:val="00DB5F66"/>
    <w:rsid w:val="00DB7871"/>
    <w:rsid w:val="00DC092C"/>
    <w:rsid w:val="00DC1E50"/>
    <w:rsid w:val="00DC24BB"/>
    <w:rsid w:val="00DC2CB3"/>
    <w:rsid w:val="00DC5CA9"/>
    <w:rsid w:val="00DC5F31"/>
    <w:rsid w:val="00DC69EF"/>
    <w:rsid w:val="00DD07C7"/>
    <w:rsid w:val="00DD2304"/>
    <w:rsid w:val="00DD3EA5"/>
    <w:rsid w:val="00DD414B"/>
    <w:rsid w:val="00DD47B8"/>
    <w:rsid w:val="00DD6181"/>
    <w:rsid w:val="00DE15D4"/>
    <w:rsid w:val="00DE1941"/>
    <w:rsid w:val="00DE303C"/>
    <w:rsid w:val="00DF05CB"/>
    <w:rsid w:val="00DF27E8"/>
    <w:rsid w:val="00DF5755"/>
    <w:rsid w:val="00DF58AC"/>
    <w:rsid w:val="00DF5991"/>
    <w:rsid w:val="00DF78B5"/>
    <w:rsid w:val="00E016CA"/>
    <w:rsid w:val="00E01978"/>
    <w:rsid w:val="00E025F6"/>
    <w:rsid w:val="00E055DE"/>
    <w:rsid w:val="00E075D8"/>
    <w:rsid w:val="00E10C60"/>
    <w:rsid w:val="00E10E17"/>
    <w:rsid w:val="00E121E0"/>
    <w:rsid w:val="00E123F3"/>
    <w:rsid w:val="00E12F6F"/>
    <w:rsid w:val="00E1320F"/>
    <w:rsid w:val="00E134A6"/>
    <w:rsid w:val="00E14097"/>
    <w:rsid w:val="00E14560"/>
    <w:rsid w:val="00E1506A"/>
    <w:rsid w:val="00E15882"/>
    <w:rsid w:val="00E20144"/>
    <w:rsid w:val="00E204CF"/>
    <w:rsid w:val="00E21E2E"/>
    <w:rsid w:val="00E23A76"/>
    <w:rsid w:val="00E242D8"/>
    <w:rsid w:val="00E24966"/>
    <w:rsid w:val="00E25407"/>
    <w:rsid w:val="00E276D9"/>
    <w:rsid w:val="00E27943"/>
    <w:rsid w:val="00E27FB1"/>
    <w:rsid w:val="00E31BBB"/>
    <w:rsid w:val="00E31CA0"/>
    <w:rsid w:val="00E35978"/>
    <w:rsid w:val="00E364B7"/>
    <w:rsid w:val="00E36595"/>
    <w:rsid w:val="00E36BB7"/>
    <w:rsid w:val="00E3719D"/>
    <w:rsid w:val="00E37883"/>
    <w:rsid w:val="00E40E16"/>
    <w:rsid w:val="00E4237B"/>
    <w:rsid w:val="00E42B53"/>
    <w:rsid w:val="00E42B98"/>
    <w:rsid w:val="00E43D7C"/>
    <w:rsid w:val="00E43DF3"/>
    <w:rsid w:val="00E43ECC"/>
    <w:rsid w:val="00E443DF"/>
    <w:rsid w:val="00E47E77"/>
    <w:rsid w:val="00E50DA3"/>
    <w:rsid w:val="00E50FF8"/>
    <w:rsid w:val="00E53BBA"/>
    <w:rsid w:val="00E56B4F"/>
    <w:rsid w:val="00E56FC4"/>
    <w:rsid w:val="00E57EA4"/>
    <w:rsid w:val="00E610FF"/>
    <w:rsid w:val="00E6220F"/>
    <w:rsid w:val="00E62D45"/>
    <w:rsid w:val="00E63EBB"/>
    <w:rsid w:val="00E6405D"/>
    <w:rsid w:val="00E640BC"/>
    <w:rsid w:val="00E65681"/>
    <w:rsid w:val="00E6598F"/>
    <w:rsid w:val="00E65D5D"/>
    <w:rsid w:val="00E670B4"/>
    <w:rsid w:val="00E67B09"/>
    <w:rsid w:val="00E67ED2"/>
    <w:rsid w:val="00E700B4"/>
    <w:rsid w:val="00E70B8D"/>
    <w:rsid w:val="00E70DF5"/>
    <w:rsid w:val="00E737B0"/>
    <w:rsid w:val="00E73835"/>
    <w:rsid w:val="00E74268"/>
    <w:rsid w:val="00E758A3"/>
    <w:rsid w:val="00E8039A"/>
    <w:rsid w:val="00E804D7"/>
    <w:rsid w:val="00E80962"/>
    <w:rsid w:val="00E809D2"/>
    <w:rsid w:val="00E821A6"/>
    <w:rsid w:val="00E837E7"/>
    <w:rsid w:val="00E84FB9"/>
    <w:rsid w:val="00E85BFC"/>
    <w:rsid w:val="00E8648F"/>
    <w:rsid w:val="00E87D3A"/>
    <w:rsid w:val="00E914F8"/>
    <w:rsid w:val="00E92AB6"/>
    <w:rsid w:val="00E9348C"/>
    <w:rsid w:val="00E97CC2"/>
    <w:rsid w:val="00EA0113"/>
    <w:rsid w:val="00EA2E2A"/>
    <w:rsid w:val="00EA399B"/>
    <w:rsid w:val="00EA4342"/>
    <w:rsid w:val="00EA4A77"/>
    <w:rsid w:val="00EA60A0"/>
    <w:rsid w:val="00EB0446"/>
    <w:rsid w:val="00EB1C6D"/>
    <w:rsid w:val="00EB22F3"/>
    <w:rsid w:val="00EB2866"/>
    <w:rsid w:val="00EB328A"/>
    <w:rsid w:val="00EB54F1"/>
    <w:rsid w:val="00EB6C65"/>
    <w:rsid w:val="00EB70FC"/>
    <w:rsid w:val="00EB7889"/>
    <w:rsid w:val="00EC0C3F"/>
    <w:rsid w:val="00EC133D"/>
    <w:rsid w:val="00EC1ABB"/>
    <w:rsid w:val="00EC4478"/>
    <w:rsid w:val="00EC64DF"/>
    <w:rsid w:val="00EC7D1A"/>
    <w:rsid w:val="00ED05D9"/>
    <w:rsid w:val="00ED14A2"/>
    <w:rsid w:val="00ED275C"/>
    <w:rsid w:val="00ED279F"/>
    <w:rsid w:val="00ED37BB"/>
    <w:rsid w:val="00ED3EDE"/>
    <w:rsid w:val="00ED4E0B"/>
    <w:rsid w:val="00ED580F"/>
    <w:rsid w:val="00ED5945"/>
    <w:rsid w:val="00ED7711"/>
    <w:rsid w:val="00EE061D"/>
    <w:rsid w:val="00EE14AC"/>
    <w:rsid w:val="00EE218D"/>
    <w:rsid w:val="00EE3960"/>
    <w:rsid w:val="00EE3F8C"/>
    <w:rsid w:val="00EE5426"/>
    <w:rsid w:val="00EE56AE"/>
    <w:rsid w:val="00EE59F8"/>
    <w:rsid w:val="00EE5EC8"/>
    <w:rsid w:val="00EE6291"/>
    <w:rsid w:val="00EE6C80"/>
    <w:rsid w:val="00EF0FA0"/>
    <w:rsid w:val="00EF0FAD"/>
    <w:rsid w:val="00EF1438"/>
    <w:rsid w:val="00EF1A97"/>
    <w:rsid w:val="00EF2526"/>
    <w:rsid w:val="00EF26AB"/>
    <w:rsid w:val="00EF2AC6"/>
    <w:rsid w:val="00EF3AEF"/>
    <w:rsid w:val="00EF67A3"/>
    <w:rsid w:val="00EF7039"/>
    <w:rsid w:val="00EF795C"/>
    <w:rsid w:val="00F00107"/>
    <w:rsid w:val="00F03CAD"/>
    <w:rsid w:val="00F03FCF"/>
    <w:rsid w:val="00F052C4"/>
    <w:rsid w:val="00F05E0C"/>
    <w:rsid w:val="00F06DF4"/>
    <w:rsid w:val="00F07154"/>
    <w:rsid w:val="00F10A2C"/>
    <w:rsid w:val="00F10CC8"/>
    <w:rsid w:val="00F12BC8"/>
    <w:rsid w:val="00F13078"/>
    <w:rsid w:val="00F13439"/>
    <w:rsid w:val="00F14A12"/>
    <w:rsid w:val="00F14A5E"/>
    <w:rsid w:val="00F2039C"/>
    <w:rsid w:val="00F207E2"/>
    <w:rsid w:val="00F218AE"/>
    <w:rsid w:val="00F22323"/>
    <w:rsid w:val="00F233A8"/>
    <w:rsid w:val="00F23A82"/>
    <w:rsid w:val="00F23B95"/>
    <w:rsid w:val="00F247D4"/>
    <w:rsid w:val="00F2726C"/>
    <w:rsid w:val="00F27AAC"/>
    <w:rsid w:val="00F30306"/>
    <w:rsid w:val="00F30672"/>
    <w:rsid w:val="00F307B1"/>
    <w:rsid w:val="00F31E66"/>
    <w:rsid w:val="00F33819"/>
    <w:rsid w:val="00F34275"/>
    <w:rsid w:val="00F34F27"/>
    <w:rsid w:val="00F350CF"/>
    <w:rsid w:val="00F36B3F"/>
    <w:rsid w:val="00F42CEF"/>
    <w:rsid w:val="00F45BDE"/>
    <w:rsid w:val="00F46736"/>
    <w:rsid w:val="00F46EB2"/>
    <w:rsid w:val="00F4714D"/>
    <w:rsid w:val="00F472D4"/>
    <w:rsid w:val="00F47468"/>
    <w:rsid w:val="00F50B95"/>
    <w:rsid w:val="00F5152E"/>
    <w:rsid w:val="00F51638"/>
    <w:rsid w:val="00F525DA"/>
    <w:rsid w:val="00F5364E"/>
    <w:rsid w:val="00F53EA7"/>
    <w:rsid w:val="00F55BEB"/>
    <w:rsid w:val="00F55CF4"/>
    <w:rsid w:val="00F56B7D"/>
    <w:rsid w:val="00F571D9"/>
    <w:rsid w:val="00F60B0E"/>
    <w:rsid w:val="00F61EE2"/>
    <w:rsid w:val="00F6397B"/>
    <w:rsid w:val="00F64C29"/>
    <w:rsid w:val="00F64C82"/>
    <w:rsid w:val="00F64F29"/>
    <w:rsid w:val="00F662C4"/>
    <w:rsid w:val="00F6632B"/>
    <w:rsid w:val="00F676CF"/>
    <w:rsid w:val="00F67A1F"/>
    <w:rsid w:val="00F700D7"/>
    <w:rsid w:val="00F7057E"/>
    <w:rsid w:val="00F72A4D"/>
    <w:rsid w:val="00F73CEB"/>
    <w:rsid w:val="00F73D15"/>
    <w:rsid w:val="00F740A5"/>
    <w:rsid w:val="00F755E3"/>
    <w:rsid w:val="00F77D2E"/>
    <w:rsid w:val="00F82B07"/>
    <w:rsid w:val="00F82C6E"/>
    <w:rsid w:val="00F83527"/>
    <w:rsid w:val="00F83A31"/>
    <w:rsid w:val="00F84726"/>
    <w:rsid w:val="00F84FEE"/>
    <w:rsid w:val="00F85B5C"/>
    <w:rsid w:val="00F91592"/>
    <w:rsid w:val="00F9193F"/>
    <w:rsid w:val="00F9210D"/>
    <w:rsid w:val="00F92783"/>
    <w:rsid w:val="00F92C6C"/>
    <w:rsid w:val="00F93090"/>
    <w:rsid w:val="00F93529"/>
    <w:rsid w:val="00F945AB"/>
    <w:rsid w:val="00F97895"/>
    <w:rsid w:val="00FA0266"/>
    <w:rsid w:val="00FA11B1"/>
    <w:rsid w:val="00FA2E1E"/>
    <w:rsid w:val="00FA35BC"/>
    <w:rsid w:val="00FA557A"/>
    <w:rsid w:val="00FA6336"/>
    <w:rsid w:val="00FA6436"/>
    <w:rsid w:val="00FA6AD2"/>
    <w:rsid w:val="00FB07FB"/>
    <w:rsid w:val="00FB2F78"/>
    <w:rsid w:val="00FB338D"/>
    <w:rsid w:val="00FB4640"/>
    <w:rsid w:val="00FB5222"/>
    <w:rsid w:val="00FB524F"/>
    <w:rsid w:val="00FB5C3A"/>
    <w:rsid w:val="00FC1AAF"/>
    <w:rsid w:val="00FC2373"/>
    <w:rsid w:val="00FC2F2D"/>
    <w:rsid w:val="00FC36C1"/>
    <w:rsid w:val="00FC4B6C"/>
    <w:rsid w:val="00FC5E5C"/>
    <w:rsid w:val="00FC623E"/>
    <w:rsid w:val="00FC68CF"/>
    <w:rsid w:val="00FC6A2E"/>
    <w:rsid w:val="00FC7186"/>
    <w:rsid w:val="00FC7E69"/>
    <w:rsid w:val="00FD037C"/>
    <w:rsid w:val="00FD1859"/>
    <w:rsid w:val="00FD2C25"/>
    <w:rsid w:val="00FD31B3"/>
    <w:rsid w:val="00FD3217"/>
    <w:rsid w:val="00FD404E"/>
    <w:rsid w:val="00FD6BA6"/>
    <w:rsid w:val="00FD7114"/>
    <w:rsid w:val="00FE0025"/>
    <w:rsid w:val="00FE02D8"/>
    <w:rsid w:val="00FE06D9"/>
    <w:rsid w:val="00FE0868"/>
    <w:rsid w:val="00FE1660"/>
    <w:rsid w:val="00FE1C67"/>
    <w:rsid w:val="00FE3504"/>
    <w:rsid w:val="00FE4A7F"/>
    <w:rsid w:val="00FE5385"/>
    <w:rsid w:val="00FE6DA8"/>
    <w:rsid w:val="00FF0017"/>
    <w:rsid w:val="00FF0A2F"/>
    <w:rsid w:val="00FF1023"/>
    <w:rsid w:val="00FF17E3"/>
    <w:rsid w:val="00FF2002"/>
    <w:rsid w:val="00FF3715"/>
    <w:rsid w:val="00FF4E22"/>
    <w:rsid w:val="00FF64DA"/>
    <w:rsid w:val="00FF7571"/>
    <w:rsid w:val="00FF78A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D6EE2F"/>
  <w15:docId w15:val="{5A324AC3-CED6-4D21-93C4-78F8318B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8B0"/>
    <w:pPr>
      <w:spacing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60A74"/>
    <w:pPr>
      <w:autoSpaceDE w:val="0"/>
      <w:autoSpaceDN w:val="0"/>
      <w:adjustRightInd w:val="0"/>
      <w:spacing w:after="0" w:line="240" w:lineRule="auto"/>
    </w:pPr>
    <w:rPr>
      <w:rFonts w:ascii="Calibri" w:eastAsia="Calibri" w:hAnsi="Calibri" w:cs="Calibri"/>
      <w:color w:val="000000"/>
      <w:sz w:val="24"/>
      <w:szCs w:val="24"/>
      <w:lang w:val="en-GB" w:eastAsia="en-GB"/>
    </w:rPr>
  </w:style>
  <w:style w:type="character" w:styleId="Hyperlink">
    <w:name w:val="Hyperlink"/>
    <w:uiPriority w:val="99"/>
    <w:unhideWhenUsed/>
    <w:rsid w:val="008A16E0"/>
    <w:rPr>
      <w:color w:val="0000FF"/>
      <w:u w:val="single"/>
    </w:rPr>
  </w:style>
  <w:style w:type="paragraph" w:styleId="Header">
    <w:name w:val="header"/>
    <w:basedOn w:val="Normal"/>
    <w:link w:val="HeaderChar"/>
    <w:uiPriority w:val="99"/>
    <w:unhideWhenUsed/>
    <w:rsid w:val="00072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92E"/>
  </w:style>
  <w:style w:type="paragraph" w:styleId="Footer">
    <w:name w:val="footer"/>
    <w:basedOn w:val="Normal"/>
    <w:link w:val="FooterChar"/>
    <w:uiPriority w:val="99"/>
    <w:unhideWhenUsed/>
    <w:rsid w:val="00072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92E"/>
  </w:style>
  <w:style w:type="paragraph" w:styleId="Caption">
    <w:name w:val="caption"/>
    <w:basedOn w:val="Normal"/>
    <w:next w:val="Normal"/>
    <w:uiPriority w:val="35"/>
    <w:qFormat/>
    <w:rsid w:val="00DF05CB"/>
    <w:pPr>
      <w:keepNext/>
      <w:spacing w:after="200" w:line="240" w:lineRule="auto"/>
    </w:pPr>
    <w:rPr>
      <w:rFonts w:eastAsia="Calibri" w:cs="Times New Roman"/>
      <w:i/>
      <w:iCs/>
      <w:sz w:val="20"/>
      <w:szCs w:val="18"/>
    </w:rPr>
  </w:style>
  <w:style w:type="table" w:styleId="TableGrid">
    <w:name w:val="Table Grid"/>
    <w:basedOn w:val="TableNormal"/>
    <w:uiPriority w:val="39"/>
    <w:rsid w:val="006C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0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C96"/>
    <w:rPr>
      <w:rFonts w:ascii="Tahoma" w:hAnsi="Tahoma" w:cs="Tahoma"/>
      <w:sz w:val="16"/>
      <w:szCs w:val="16"/>
    </w:rPr>
  </w:style>
  <w:style w:type="character" w:styleId="CommentReference">
    <w:name w:val="annotation reference"/>
    <w:basedOn w:val="DefaultParagraphFont"/>
    <w:uiPriority w:val="99"/>
    <w:semiHidden/>
    <w:unhideWhenUsed/>
    <w:rsid w:val="004A01A6"/>
    <w:rPr>
      <w:sz w:val="16"/>
      <w:szCs w:val="16"/>
    </w:rPr>
  </w:style>
  <w:style w:type="paragraph" w:styleId="CommentText">
    <w:name w:val="annotation text"/>
    <w:basedOn w:val="Normal"/>
    <w:link w:val="CommentTextChar"/>
    <w:uiPriority w:val="99"/>
    <w:unhideWhenUsed/>
    <w:rsid w:val="004A01A6"/>
    <w:pPr>
      <w:spacing w:line="240" w:lineRule="auto"/>
    </w:pPr>
    <w:rPr>
      <w:sz w:val="20"/>
      <w:szCs w:val="20"/>
    </w:rPr>
  </w:style>
  <w:style w:type="character" w:customStyle="1" w:styleId="CommentTextChar">
    <w:name w:val="Comment Text Char"/>
    <w:basedOn w:val="DefaultParagraphFont"/>
    <w:link w:val="CommentText"/>
    <w:uiPriority w:val="99"/>
    <w:rsid w:val="004A01A6"/>
    <w:rPr>
      <w:sz w:val="20"/>
      <w:szCs w:val="20"/>
    </w:rPr>
  </w:style>
  <w:style w:type="paragraph" w:styleId="CommentSubject">
    <w:name w:val="annotation subject"/>
    <w:basedOn w:val="CommentText"/>
    <w:next w:val="CommentText"/>
    <w:link w:val="CommentSubjectChar"/>
    <w:uiPriority w:val="99"/>
    <w:semiHidden/>
    <w:unhideWhenUsed/>
    <w:rsid w:val="004A01A6"/>
    <w:rPr>
      <w:b/>
      <w:bCs/>
    </w:rPr>
  </w:style>
  <w:style w:type="character" w:customStyle="1" w:styleId="CommentSubjectChar">
    <w:name w:val="Comment Subject Char"/>
    <w:basedOn w:val="CommentTextChar"/>
    <w:link w:val="CommentSubject"/>
    <w:uiPriority w:val="99"/>
    <w:semiHidden/>
    <w:rsid w:val="004A01A6"/>
    <w:rPr>
      <w:b/>
      <w:bCs/>
      <w:sz w:val="20"/>
      <w:szCs w:val="20"/>
    </w:rPr>
  </w:style>
  <w:style w:type="character" w:styleId="LineNumber">
    <w:name w:val="line number"/>
    <w:basedOn w:val="DefaultParagraphFont"/>
    <w:uiPriority w:val="99"/>
    <w:semiHidden/>
    <w:unhideWhenUsed/>
    <w:rsid w:val="0042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315">
      <w:bodyDiv w:val="1"/>
      <w:marLeft w:val="0"/>
      <w:marRight w:val="0"/>
      <w:marTop w:val="0"/>
      <w:marBottom w:val="0"/>
      <w:divBdr>
        <w:top w:val="none" w:sz="0" w:space="0" w:color="auto"/>
        <w:left w:val="none" w:sz="0" w:space="0" w:color="auto"/>
        <w:bottom w:val="none" w:sz="0" w:space="0" w:color="auto"/>
        <w:right w:val="none" w:sz="0" w:space="0" w:color="auto"/>
      </w:divBdr>
    </w:div>
    <w:div w:id="169180515">
      <w:bodyDiv w:val="1"/>
      <w:marLeft w:val="0"/>
      <w:marRight w:val="0"/>
      <w:marTop w:val="0"/>
      <w:marBottom w:val="0"/>
      <w:divBdr>
        <w:top w:val="none" w:sz="0" w:space="0" w:color="auto"/>
        <w:left w:val="none" w:sz="0" w:space="0" w:color="auto"/>
        <w:bottom w:val="none" w:sz="0" w:space="0" w:color="auto"/>
        <w:right w:val="none" w:sz="0" w:space="0" w:color="auto"/>
      </w:divBdr>
    </w:div>
    <w:div w:id="364871427">
      <w:bodyDiv w:val="1"/>
      <w:marLeft w:val="0"/>
      <w:marRight w:val="0"/>
      <w:marTop w:val="0"/>
      <w:marBottom w:val="0"/>
      <w:divBdr>
        <w:top w:val="none" w:sz="0" w:space="0" w:color="auto"/>
        <w:left w:val="none" w:sz="0" w:space="0" w:color="auto"/>
        <w:bottom w:val="none" w:sz="0" w:space="0" w:color="auto"/>
        <w:right w:val="none" w:sz="0" w:space="0" w:color="auto"/>
      </w:divBdr>
    </w:div>
    <w:div w:id="409931780">
      <w:bodyDiv w:val="1"/>
      <w:marLeft w:val="0"/>
      <w:marRight w:val="0"/>
      <w:marTop w:val="0"/>
      <w:marBottom w:val="0"/>
      <w:divBdr>
        <w:top w:val="none" w:sz="0" w:space="0" w:color="auto"/>
        <w:left w:val="none" w:sz="0" w:space="0" w:color="auto"/>
        <w:bottom w:val="none" w:sz="0" w:space="0" w:color="auto"/>
        <w:right w:val="none" w:sz="0" w:space="0" w:color="auto"/>
      </w:divBdr>
    </w:div>
    <w:div w:id="758789494">
      <w:bodyDiv w:val="1"/>
      <w:marLeft w:val="0"/>
      <w:marRight w:val="0"/>
      <w:marTop w:val="0"/>
      <w:marBottom w:val="0"/>
      <w:divBdr>
        <w:top w:val="none" w:sz="0" w:space="0" w:color="auto"/>
        <w:left w:val="none" w:sz="0" w:space="0" w:color="auto"/>
        <w:bottom w:val="none" w:sz="0" w:space="0" w:color="auto"/>
        <w:right w:val="none" w:sz="0" w:space="0" w:color="auto"/>
      </w:divBdr>
    </w:div>
    <w:div w:id="874195642">
      <w:bodyDiv w:val="1"/>
      <w:marLeft w:val="0"/>
      <w:marRight w:val="0"/>
      <w:marTop w:val="0"/>
      <w:marBottom w:val="0"/>
      <w:divBdr>
        <w:top w:val="none" w:sz="0" w:space="0" w:color="auto"/>
        <w:left w:val="none" w:sz="0" w:space="0" w:color="auto"/>
        <w:bottom w:val="none" w:sz="0" w:space="0" w:color="auto"/>
        <w:right w:val="none" w:sz="0" w:space="0" w:color="auto"/>
      </w:divBdr>
    </w:div>
    <w:div w:id="1177771364">
      <w:bodyDiv w:val="1"/>
      <w:marLeft w:val="0"/>
      <w:marRight w:val="0"/>
      <w:marTop w:val="0"/>
      <w:marBottom w:val="0"/>
      <w:divBdr>
        <w:top w:val="none" w:sz="0" w:space="0" w:color="auto"/>
        <w:left w:val="none" w:sz="0" w:space="0" w:color="auto"/>
        <w:bottom w:val="none" w:sz="0" w:space="0" w:color="auto"/>
        <w:right w:val="none" w:sz="0" w:space="0" w:color="auto"/>
      </w:divBdr>
    </w:div>
    <w:div w:id="1429546336">
      <w:bodyDiv w:val="1"/>
      <w:marLeft w:val="0"/>
      <w:marRight w:val="0"/>
      <w:marTop w:val="0"/>
      <w:marBottom w:val="0"/>
      <w:divBdr>
        <w:top w:val="none" w:sz="0" w:space="0" w:color="auto"/>
        <w:left w:val="none" w:sz="0" w:space="0" w:color="auto"/>
        <w:bottom w:val="none" w:sz="0" w:space="0" w:color="auto"/>
        <w:right w:val="none" w:sz="0" w:space="0" w:color="auto"/>
      </w:divBdr>
    </w:div>
    <w:div w:id="1454864210">
      <w:bodyDiv w:val="1"/>
      <w:marLeft w:val="0"/>
      <w:marRight w:val="0"/>
      <w:marTop w:val="0"/>
      <w:marBottom w:val="0"/>
      <w:divBdr>
        <w:top w:val="none" w:sz="0" w:space="0" w:color="auto"/>
        <w:left w:val="none" w:sz="0" w:space="0" w:color="auto"/>
        <w:bottom w:val="none" w:sz="0" w:space="0" w:color="auto"/>
        <w:right w:val="none" w:sz="0" w:space="0" w:color="auto"/>
      </w:divBdr>
    </w:div>
    <w:div w:id="1497574383">
      <w:bodyDiv w:val="1"/>
      <w:marLeft w:val="0"/>
      <w:marRight w:val="0"/>
      <w:marTop w:val="0"/>
      <w:marBottom w:val="0"/>
      <w:divBdr>
        <w:top w:val="none" w:sz="0" w:space="0" w:color="auto"/>
        <w:left w:val="none" w:sz="0" w:space="0" w:color="auto"/>
        <w:bottom w:val="none" w:sz="0" w:space="0" w:color="auto"/>
        <w:right w:val="none" w:sz="0" w:space="0" w:color="auto"/>
      </w:divBdr>
    </w:div>
    <w:div w:id="1519271118">
      <w:bodyDiv w:val="1"/>
      <w:marLeft w:val="0"/>
      <w:marRight w:val="0"/>
      <w:marTop w:val="0"/>
      <w:marBottom w:val="0"/>
      <w:divBdr>
        <w:top w:val="none" w:sz="0" w:space="0" w:color="auto"/>
        <w:left w:val="none" w:sz="0" w:space="0" w:color="auto"/>
        <w:bottom w:val="none" w:sz="0" w:space="0" w:color="auto"/>
        <w:right w:val="none" w:sz="0" w:space="0" w:color="auto"/>
      </w:divBdr>
    </w:div>
    <w:div w:id="1818642880">
      <w:bodyDiv w:val="1"/>
      <w:marLeft w:val="0"/>
      <w:marRight w:val="0"/>
      <w:marTop w:val="0"/>
      <w:marBottom w:val="0"/>
      <w:divBdr>
        <w:top w:val="none" w:sz="0" w:space="0" w:color="auto"/>
        <w:left w:val="none" w:sz="0" w:space="0" w:color="auto"/>
        <w:bottom w:val="none" w:sz="0" w:space="0" w:color="auto"/>
        <w:right w:val="none" w:sz="0" w:space="0" w:color="auto"/>
      </w:divBdr>
    </w:div>
    <w:div w:id="1943343492">
      <w:bodyDiv w:val="1"/>
      <w:marLeft w:val="0"/>
      <w:marRight w:val="0"/>
      <w:marTop w:val="0"/>
      <w:marBottom w:val="0"/>
      <w:divBdr>
        <w:top w:val="none" w:sz="0" w:space="0" w:color="auto"/>
        <w:left w:val="none" w:sz="0" w:space="0" w:color="auto"/>
        <w:bottom w:val="none" w:sz="0" w:space="0" w:color="auto"/>
        <w:right w:val="none" w:sz="0" w:space="0" w:color="auto"/>
      </w:divBdr>
    </w:div>
    <w:div w:id="20929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un@sun.ac.z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dun\Documents\my%20research\PhD%20modeling\MDR%20Yield%20Paper%203\data\paper%203%20tables%2020170726_xpe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graphs!$B$2</c:f>
              <c:strCache>
                <c:ptCount val="1"/>
                <c:pt idx="0">
                  <c:v>60% knew HIV status</c:v>
                </c:pt>
              </c:strCache>
            </c:strRef>
          </c:tx>
          <c:spPr>
            <a:ln w="15875" cap="rnd">
              <a:solidFill>
                <a:schemeClr val="accent1"/>
              </a:solidFill>
              <a:round/>
            </a:ln>
            <a:effectLst/>
          </c:spPr>
          <c:marker>
            <c:symbol val="circle"/>
            <c:size val="3"/>
            <c:spPr>
              <a:solidFill>
                <a:schemeClr val="accent1"/>
              </a:solidFill>
              <a:ln w="9525">
                <a:solidFill>
                  <a:schemeClr val="accent1"/>
                </a:solidFill>
              </a:ln>
              <a:effectLst/>
            </c:spPr>
          </c:marker>
          <c:cat>
            <c:numRef>
              <c:f>graphs!$A$3:$A$8</c:f>
              <c:numCache>
                <c:formatCode>0%</c:formatCode>
                <c:ptCount val="6"/>
                <c:pt idx="0">
                  <c:v>0.5</c:v>
                </c:pt>
                <c:pt idx="1">
                  <c:v>0.6</c:v>
                </c:pt>
                <c:pt idx="2">
                  <c:v>0.7</c:v>
                </c:pt>
                <c:pt idx="3">
                  <c:v>0.8</c:v>
                </c:pt>
                <c:pt idx="4">
                  <c:v>0.9</c:v>
                </c:pt>
                <c:pt idx="5">
                  <c:v>1</c:v>
                </c:pt>
              </c:numCache>
            </c:numRef>
          </c:cat>
          <c:val>
            <c:numRef>
              <c:f>graphs!$B$3:$B$8</c:f>
              <c:numCache>
                <c:formatCode>0</c:formatCode>
                <c:ptCount val="6"/>
                <c:pt idx="0">
                  <c:v>15398</c:v>
                </c:pt>
                <c:pt idx="1">
                  <c:v>15610</c:v>
                </c:pt>
                <c:pt idx="2">
                  <c:v>15926</c:v>
                </c:pt>
                <c:pt idx="3">
                  <c:v>16116</c:v>
                </c:pt>
                <c:pt idx="4">
                  <c:v>16243</c:v>
                </c:pt>
                <c:pt idx="5">
                  <c:v>16332</c:v>
                </c:pt>
              </c:numCache>
            </c:numRef>
          </c:val>
          <c:smooth val="0"/>
          <c:extLst>
            <c:ext xmlns:c16="http://schemas.microsoft.com/office/drawing/2014/chart" uri="{C3380CC4-5D6E-409C-BE32-E72D297353CC}">
              <c16:uniqueId val="{00000000-A0F3-456D-B96F-ADBEB62865EF}"/>
            </c:ext>
          </c:extLst>
        </c:ser>
        <c:ser>
          <c:idx val="1"/>
          <c:order val="1"/>
          <c:tx>
            <c:strRef>
              <c:f>graphs!$C$2</c:f>
              <c:strCache>
                <c:ptCount val="1"/>
                <c:pt idx="0">
                  <c:v>80% knew HIV status</c:v>
                </c:pt>
              </c:strCache>
            </c:strRef>
          </c:tx>
          <c:spPr>
            <a:ln w="15875" cap="rnd">
              <a:solidFill>
                <a:schemeClr val="accent2"/>
              </a:solidFill>
              <a:round/>
            </a:ln>
            <a:effectLst/>
          </c:spPr>
          <c:marker>
            <c:symbol val="circle"/>
            <c:size val="3"/>
            <c:spPr>
              <a:solidFill>
                <a:schemeClr val="accent2"/>
              </a:solidFill>
              <a:ln w="9525">
                <a:solidFill>
                  <a:schemeClr val="accent2"/>
                </a:solidFill>
              </a:ln>
              <a:effectLst/>
            </c:spPr>
          </c:marker>
          <c:cat>
            <c:numRef>
              <c:f>graphs!$A$3:$A$8</c:f>
              <c:numCache>
                <c:formatCode>0%</c:formatCode>
                <c:ptCount val="6"/>
                <c:pt idx="0">
                  <c:v>0.5</c:v>
                </c:pt>
                <c:pt idx="1">
                  <c:v>0.6</c:v>
                </c:pt>
                <c:pt idx="2">
                  <c:v>0.7</c:v>
                </c:pt>
                <c:pt idx="3">
                  <c:v>0.8</c:v>
                </c:pt>
                <c:pt idx="4">
                  <c:v>0.9</c:v>
                </c:pt>
                <c:pt idx="5">
                  <c:v>1</c:v>
                </c:pt>
              </c:numCache>
            </c:numRef>
          </c:cat>
          <c:val>
            <c:numRef>
              <c:f>graphs!$C$3:$C$8</c:f>
              <c:numCache>
                <c:formatCode>0</c:formatCode>
                <c:ptCount val="6"/>
                <c:pt idx="0">
                  <c:v>15659</c:v>
                </c:pt>
                <c:pt idx="1">
                  <c:v>15916</c:v>
                </c:pt>
                <c:pt idx="2">
                  <c:v>16226</c:v>
                </c:pt>
                <c:pt idx="3">
                  <c:v>16415</c:v>
                </c:pt>
                <c:pt idx="4">
                  <c:v>16568</c:v>
                </c:pt>
                <c:pt idx="5">
                  <c:v>16670</c:v>
                </c:pt>
              </c:numCache>
            </c:numRef>
          </c:val>
          <c:smooth val="0"/>
          <c:extLst>
            <c:ext xmlns:c16="http://schemas.microsoft.com/office/drawing/2014/chart" uri="{C3380CC4-5D6E-409C-BE32-E72D297353CC}">
              <c16:uniqueId val="{00000001-A0F3-456D-B96F-ADBEB62865EF}"/>
            </c:ext>
          </c:extLst>
        </c:ser>
        <c:ser>
          <c:idx val="2"/>
          <c:order val="2"/>
          <c:tx>
            <c:strRef>
              <c:f>graphs!$D$2</c:f>
              <c:strCache>
                <c:ptCount val="1"/>
                <c:pt idx="0">
                  <c:v>100% knew HIV status</c:v>
                </c:pt>
              </c:strCache>
            </c:strRef>
          </c:tx>
          <c:spPr>
            <a:ln w="15875" cap="rnd">
              <a:solidFill>
                <a:schemeClr val="accent3"/>
              </a:solidFill>
              <a:round/>
            </a:ln>
            <a:effectLst/>
          </c:spPr>
          <c:marker>
            <c:symbol val="circle"/>
            <c:size val="3"/>
            <c:spPr>
              <a:solidFill>
                <a:schemeClr val="accent3"/>
              </a:solidFill>
              <a:ln w="9525">
                <a:solidFill>
                  <a:schemeClr val="accent3"/>
                </a:solidFill>
              </a:ln>
              <a:effectLst/>
            </c:spPr>
          </c:marker>
          <c:cat>
            <c:numRef>
              <c:f>graphs!$A$3:$A$8</c:f>
              <c:numCache>
                <c:formatCode>0%</c:formatCode>
                <c:ptCount val="6"/>
                <c:pt idx="0">
                  <c:v>0.5</c:v>
                </c:pt>
                <c:pt idx="1">
                  <c:v>0.6</c:v>
                </c:pt>
                <c:pt idx="2">
                  <c:v>0.7</c:v>
                </c:pt>
                <c:pt idx="3">
                  <c:v>0.8</c:v>
                </c:pt>
                <c:pt idx="4">
                  <c:v>0.9</c:v>
                </c:pt>
                <c:pt idx="5">
                  <c:v>1</c:v>
                </c:pt>
              </c:numCache>
            </c:numRef>
          </c:cat>
          <c:val>
            <c:numRef>
              <c:f>graphs!$D$3:$D$8</c:f>
              <c:numCache>
                <c:formatCode>0</c:formatCode>
                <c:ptCount val="6"/>
                <c:pt idx="0">
                  <c:v>15892</c:v>
                </c:pt>
                <c:pt idx="1">
                  <c:v>16213</c:v>
                </c:pt>
                <c:pt idx="2">
                  <c:v>16531</c:v>
                </c:pt>
                <c:pt idx="3">
                  <c:v>16719</c:v>
                </c:pt>
                <c:pt idx="4">
                  <c:v>16869</c:v>
                </c:pt>
                <c:pt idx="5">
                  <c:v>16968</c:v>
                </c:pt>
              </c:numCache>
            </c:numRef>
          </c:val>
          <c:smooth val="0"/>
          <c:extLst>
            <c:ext xmlns:c16="http://schemas.microsoft.com/office/drawing/2014/chart" uri="{C3380CC4-5D6E-409C-BE32-E72D297353CC}">
              <c16:uniqueId val="{00000002-A0F3-456D-B96F-ADBEB62865EF}"/>
            </c:ext>
          </c:extLst>
        </c:ser>
        <c:dLbls>
          <c:showLegendKey val="0"/>
          <c:showVal val="0"/>
          <c:showCatName val="0"/>
          <c:showSerName val="0"/>
          <c:showPercent val="0"/>
          <c:showBubbleSize val="0"/>
        </c:dLbls>
        <c:marker val="1"/>
        <c:smooth val="0"/>
        <c:axId val="137033216"/>
        <c:axId val="137035136"/>
      </c:lineChart>
      <c:catAx>
        <c:axId val="137033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Adherence to Xpert-based</a:t>
                </a:r>
                <a:r>
                  <a:rPr lang="en-ZA" baseline="0"/>
                  <a:t> algorithm</a:t>
                </a:r>
                <a:endParaRPr lang="en-ZA"/>
              </a:p>
            </c:rich>
          </c:tx>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35136"/>
        <c:crosses val="autoZero"/>
        <c:auto val="1"/>
        <c:lblAlgn val="ctr"/>
        <c:lblOffset val="100"/>
        <c:noMultiLvlLbl val="0"/>
      </c:catAx>
      <c:valAx>
        <c:axId val="13703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TB cases</a:t>
                </a:r>
                <a:r>
                  <a:rPr lang="en-ZA" baseline="0"/>
                  <a:t> identified</a:t>
                </a:r>
                <a:r>
                  <a:rPr lang="en-ZA"/>
                  <a:t> (n)</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3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18C5C-F8FD-47FE-9A0E-EF02A8C7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21014</Words>
  <Characters>119786</Characters>
  <Application>Microsoft Office Word</Application>
  <DocSecurity>4</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Dunbar</dc:creator>
  <cp:lastModifiedBy>Kelly Smyth</cp:lastModifiedBy>
  <cp:revision>2</cp:revision>
  <dcterms:created xsi:type="dcterms:W3CDTF">2018-03-22T16:11:00Z</dcterms:created>
  <dcterms:modified xsi:type="dcterms:W3CDTF">2018-03-22T16:11:00Z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http://csl.mendeley.com/styles/27696171/vancouver-superscript</vt:lpwstr>
  </property>
  <property fmtid="{D5CDD505-2E9C-101B-9397-08002B2CF9AE}" pid="21" name="Mendeley Recent Style Name 9_1">
    <vt:lpwstr>Vancouver (superscript) - RORY DUNBAR</vt:lpwstr>
  </property>
  <property fmtid="{D5CDD505-2E9C-101B-9397-08002B2CF9AE}" pid="22" name="Mendeley Document_1">
    <vt:lpwstr>True</vt:lpwstr>
  </property>
  <property fmtid="{D5CDD505-2E9C-101B-9397-08002B2CF9AE}" pid="23" name="Mendeley Unique User Id_1">
    <vt:lpwstr>bb004c63-6ead-39b8-bd7d-6fddd73d344d</vt:lpwstr>
  </property>
  <property fmtid="{D5CDD505-2E9C-101B-9397-08002B2CF9AE}" pid="24" name="Mendeley Citation Style_1">
    <vt:lpwstr>http://csl.mendeley.com/styles/27696171/vancouver-superscript</vt:lpwstr>
  </property>
</Properties>
</file>