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8D1E" w14:textId="4DE2DBED" w:rsidR="00513D77" w:rsidRDefault="005079DD">
      <w:pPr>
        <w:rPr>
          <w:b/>
        </w:rPr>
      </w:pPr>
      <w:bookmarkStart w:id="0" w:name="_GoBack"/>
      <w:bookmarkEnd w:id="0"/>
      <w:r>
        <w:rPr>
          <w:b/>
        </w:rPr>
        <w:t>Leav</w:t>
      </w:r>
      <w:r w:rsidR="000B19C1">
        <w:rPr>
          <w:b/>
        </w:rPr>
        <w:t>e</w:t>
      </w:r>
      <w:r>
        <w:rPr>
          <w:b/>
        </w:rPr>
        <w:t xml:space="preserve"> no</w:t>
      </w:r>
      <w:r w:rsidR="000B19C1">
        <w:rPr>
          <w:b/>
        </w:rPr>
        <w:t>-</w:t>
      </w:r>
      <w:r>
        <w:rPr>
          <w:b/>
        </w:rPr>
        <w:t>one behind</w:t>
      </w:r>
      <w:r w:rsidR="001F6ED7">
        <w:rPr>
          <w:b/>
        </w:rPr>
        <w:t xml:space="preserve">: </w:t>
      </w:r>
      <w:r w:rsidR="0011279E">
        <w:rPr>
          <w:b/>
        </w:rPr>
        <w:t xml:space="preserve">Responding to new evidence and guidelines for the management of </w:t>
      </w:r>
      <w:r w:rsidR="001F6ED7">
        <w:rPr>
          <w:b/>
        </w:rPr>
        <w:t>cryptococcal meningitis</w:t>
      </w:r>
      <w:r>
        <w:rPr>
          <w:b/>
        </w:rPr>
        <w:t xml:space="preserve"> in low- and middle-income countries</w:t>
      </w:r>
    </w:p>
    <w:p w14:paraId="4DC613E6" w14:textId="794BDE77" w:rsidR="00513D77" w:rsidRDefault="00513D77">
      <w:pPr>
        <w:rPr>
          <w:b/>
        </w:rPr>
      </w:pPr>
      <w:r>
        <w:rPr>
          <w:b/>
        </w:rPr>
        <w:t>Summary (200 words)</w:t>
      </w:r>
    </w:p>
    <w:p w14:paraId="42F62DE7" w14:textId="7C6B9D45" w:rsidR="00513D77" w:rsidRPr="00DF039B" w:rsidRDefault="001231DC">
      <w:r w:rsidRPr="00DF039B">
        <w:t>In 2018, t</w:t>
      </w:r>
      <w:r w:rsidR="000014C5" w:rsidRPr="00DF039B">
        <w:t xml:space="preserve">he WHO </w:t>
      </w:r>
      <w:r w:rsidR="001A760C" w:rsidRPr="00DF039B">
        <w:t>issued g</w:t>
      </w:r>
      <w:r w:rsidR="0081544E" w:rsidRPr="00DF039B">
        <w:t>uidelines</w:t>
      </w:r>
      <w:r w:rsidRPr="00DF039B">
        <w:t xml:space="preserve"> </w:t>
      </w:r>
      <w:r w:rsidR="0081544E" w:rsidRPr="00DF039B">
        <w:t xml:space="preserve">for the diagnosis, prevention and management of </w:t>
      </w:r>
      <w:r w:rsidR="005E40A5" w:rsidRPr="00DF039B">
        <w:t xml:space="preserve">HIV-related </w:t>
      </w:r>
      <w:r w:rsidR="0081544E" w:rsidRPr="00DF039B">
        <w:t>cryptoc</w:t>
      </w:r>
      <w:r w:rsidR="005E40A5" w:rsidRPr="00DF039B">
        <w:t>occal disease</w:t>
      </w:r>
      <w:r w:rsidR="0081544E" w:rsidRPr="00DF039B">
        <w:t xml:space="preserve">.  Two strategies </w:t>
      </w:r>
      <w:r w:rsidR="0004341E" w:rsidRPr="00DF039B">
        <w:t xml:space="preserve">are recommended </w:t>
      </w:r>
      <w:r w:rsidR="0081544E" w:rsidRPr="00DF039B">
        <w:t>to reduce the unacceptably high mortality associated with HIV-related cryptococcal meningitis in</w:t>
      </w:r>
      <w:r w:rsidR="00D808F2" w:rsidRPr="00DF039B">
        <w:t xml:space="preserve"> low- and middle-income countries (LMICs)</w:t>
      </w:r>
      <w:r w:rsidR="0081544E" w:rsidRPr="00DF039B">
        <w:t xml:space="preserve">: 1) Optimised combination therapies </w:t>
      </w:r>
      <w:r w:rsidR="00D808F2" w:rsidRPr="00DF039B">
        <w:t xml:space="preserve">for confirmed </w:t>
      </w:r>
      <w:r w:rsidR="0004341E" w:rsidRPr="00DF039B">
        <w:t xml:space="preserve">meningitis </w:t>
      </w:r>
      <w:r w:rsidR="00D808F2" w:rsidRPr="00DF039B">
        <w:t>cases and 2) Cryptococcal antigen (CrAg) screening programs for ambulatory people living</w:t>
      </w:r>
      <w:r w:rsidR="007B1019" w:rsidRPr="00DF039B">
        <w:t xml:space="preserve"> with HIV (PLHIV) accessing </w:t>
      </w:r>
      <w:r w:rsidR="00D808F2" w:rsidRPr="00DF039B">
        <w:t xml:space="preserve">care.  The WHO </w:t>
      </w:r>
      <w:r w:rsidRPr="00DF039B">
        <w:t>preferred</w:t>
      </w:r>
      <w:r w:rsidR="00D808F2" w:rsidRPr="00DF039B">
        <w:t xml:space="preserve"> therapy for the treatment of HIV-related cryptococcal meningitis in LMICs </w:t>
      </w:r>
      <w:r w:rsidR="00706ED0" w:rsidRPr="00DF039B">
        <w:t xml:space="preserve">is one week </w:t>
      </w:r>
      <w:r w:rsidR="00D808F2" w:rsidRPr="00DF039B">
        <w:t>amph</w:t>
      </w:r>
      <w:r w:rsidR="00706ED0" w:rsidRPr="00DF039B">
        <w:t xml:space="preserve">otericin B deoxycholate (AmB) plus </w:t>
      </w:r>
      <w:r w:rsidR="005E40A5" w:rsidRPr="00DF039B">
        <w:t xml:space="preserve">flucytosine (5FC) </w:t>
      </w:r>
      <w:r w:rsidR="00702BDE">
        <w:t>and</w:t>
      </w:r>
      <w:r w:rsidR="005E40A5" w:rsidRPr="00DF039B">
        <w:t xml:space="preserve"> </w:t>
      </w:r>
      <w:r w:rsidRPr="00DF039B">
        <w:t xml:space="preserve">alternative </w:t>
      </w:r>
      <w:r w:rsidR="00706ED0" w:rsidRPr="00DF039B">
        <w:t xml:space="preserve">therapy </w:t>
      </w:r>
      <w:r w:rsidR="00702BDE">
        <w:t>is</w:t>
      </w:r>
      <w:r w:rsidRPr="00DF039B">
        <w:t xml:space="preserve"> </w:t>
      </w:r>
      <w:r w:rsidR="00F410D6" w:rsidRPr="00DF039B">
        <w:t>two weeks of flucon</w:t>
      </w:r>
      <w:r w:rsidR="00706ED0" w:rsidRPr="00DF039B">
        <w:t xml:space="preserve">azole plus </w:t>
      </w:r>
      <w:r w:rsidR="00F410D6" w:rsidRPr="00DF039B">
        <w:t xml:space="preserve">5FC.  </w:t>
      </w:r>
      <w:r w:rsidR="00706ED0" w:rsidRPr="00DF039B">
        <w:t>In the ACTA</w:t>
      </w:r>
      <w:r w:rsidR="00F410D6" w:rsidRPr="00DF039B">
        <w:t xml:space="preserve"> trial,</w:t>
      </w:r>
      <w:r w:rsidR="00706ED0" w:rsidRPr="00DF039B">
        <w:t xml:space="preserve"> short course AmB plus </w:t>
      </w:r>
      <w:r w:rsidR="00F410D6" w:rsidRPr="00DF039B">
        <w:t>5FC resulted</w:t>
      </w:r>
      <w:r w:rsidR="00706ED0" w:rsidRPr="00DF039B">
        <w:t xml:space="preserve"> in a 10</w:t>
      </w:r>
      <w:r w:rsidR="00F410D6" w:rsidRPr="00DF039B">
        <w:t xml:space="preserve"> week mortality of 24% [CI 16-32] and two weeks</w:t>
      </w:r>
      <w:r w:rsidR="007B1019" w:rsidRPr="00DF039B">
        <w:t xml:space="preserve"> of </w:t>
      </w:r>
      <w:r w:rsidR="00F410D6" w:rsidRPr="00DF039B">
        <w:t xml:space="preserve">fluconazole and 5FC </w:t>
      </w:r>
      <w:r w:rsidRPr="00DF039B">
        <w:t xml:space="preserve">resulted in </w:t>
      </w:r>
      <w:r w:rsidR="00F410D6" w:rsidRPr="00DF039B">
        <w:t>35% [CI</w:t>
      </w:r>
      <w:r w:rsidR="005E40A5" w:rsidRPr="00DF039B">
        <w:t xml:space="preserve"> 29-41]</w:t>
      </w:r>
      <w:r w:rsidR="00706ED0" w:rsidRPr="00DF039B">
        <w:t xml:space="preserve"> mortality at 10 weeks</w:t>
      </w:r>
      <w:r w:rsidR="0021259F" w:rsidRPr="00DF039B">
        <w:t xml:space="preserve">.  </w:t>
      </w:r>
      <w:r w:rsidRPr="00DF039B">
        <w:t>However,</w:t>
      </w:r>
      <w:r w:rsidR="0004341E" w:rsidRPr="00DF039B">
        <w:t xml:space="preserve"> w</w:t>
      </w:r>
      <w:r w:rsidR="0021259F" w:rsidRPr="00DF039B">
        <w:t>ith widely used fluconazole monotherapy</w:t>
      </w:r>
      <w:r w:rsidRPr="00DF039B">
        <w:t>,</w:t>
      </w:r>
      <w:r w:rsidR="0021259F" w:rsidRPr="00DF039B">
        <w:t xml:space="preserve"> HIV-related cryptoco</w:t>
      </w:r>
      <w:r w:rsidRPr="00DF039B">
        <w:t>c</w:t>
      </w:r>
      <w:r w:rsidR="0021259F" w:rsidRPr="00DF039B">
        <w:t>cal meningitis mortality is currently approximately 70% in many African LMIC settings</w:t>
      </w:r>
      <w:r w:rsidR="0004341E" w:rsidRPr="00DF039B">
        <w:t xml:space="preserve">.  Therefore the </w:t>
      </w:r>
      <w:r w:rsidR="005E40A5" w:rsidRPr="00DF039B">
        <w:t>potential to transform the management of HIV-related cryptococcal meningitis in res</w:t>
      </w:r>
      <w:r w:rsidR="0021259F" w:rsidRPr="00DF039B">
        <w:t>ource limited settings</w:t>
      </w:r>
      <w:r w:rsidR="0004341E" w:rsidRPr="00DF039B">
        <w:t xml:space="preserve"> is significant</w:t>
      </w:r>
      <w:r w:rsidR="0021259F" w:rsidRPr="00DF039B">
        <w:t>.  Sustainable a</w:t>
      </w:r>
      <w:r w:rsidR="00706ED0" w:rsidRPr="00DF039B">
        <w:t>ccess to essential medicines</w:t>
      </w:r>
      <w:r w:rsidR="0004341E" w:rsidRPr="00DF039B">
        <w:t xml:space="preserve"> including 5FC and AmB</w:t>
      </w:r>
      <w:r w:rsidR="00706ED0" w:rsidRPr="00DF039B">
        <w:t xml:space="preserve"> in LMICs </w:t>
      </w:r>
      <w:r w:rsidR="0004341E" w:rsidRPr="00DF039B">
        <w:t xml:space="preserve">is however </w:t>
      </w:r>
      <w:r w:rsidR="001A760C" w:rsidRPr="00DF039B">
        <w:t>paramount</w:t>
      </w:r>
      <w:r w:rsidR="0004341E" w:rsidRPr="00DF039B">
        <w:t xml:space="preserve"> and </w:t>
      </w:r>
      <w:r w:rsidR="0021259F" w:rsidRPr="00DF039B">
        <w:t xml:space="preserve">the focus of </w:t>
      </w:r>
      <w:r w:rsidR="0004341E" w:rsidRPr="00DF039B">
        <w:t xml:space="preserve">this personal </w:t>
      </w:r>
      <w:r w:rsidR="00706ED0" w:rsidRPr="00DF039B">
        <w:t xml:space="preserve">view.  </w:t>
      </w:r>
    </w:p>
    <w:p w14:paraId="1919D156" w14:textId="0E808346" w:rsidR="00513D77" w:rsidRDefault="00513D77">
      <w:pPr>
        <w:rPr>
          <w:b/>
        </w:rPr>
      </w:pPr>
      <w:r>
        <w:rPr>
          <w:b/>
        </w:rPr>
        <w:t>Introduction</w:t>
      </w:r>
    </w:p>
    <w:p w14:paraId="1D1656F8" w14:textId="06C98CE1" w:rsidR="00454AD2" w:rsidRDefault="00665423">
      <w:r>
        <w:t xml:space="preserve">Recent evidence from randomized controlled trials clearly supports the urgent need for the addition of flucytosine (5FC) to regimens for safe and effective treatment of cryptococcal meningitis for people living with advanced HIV disease [1].  </w:t>
      </w:r>
      <w:r w:rsidR="00D85401">
        <w:t>HIV-related cryptococcal meningitis</w:t>
      </w:r>
      <w:r>
        <w:t xml:space="preserve"> remains </w:t>
      </w:r>
      <w:r w:rsidR="00D85401">
        <w:t>the commone</w:t>
      </w:r>
      <w:r w:rsidR="007A68E6">
        <w:t>st cause of meningitis</w:t>
      </w:r>
      <w:r w:rsidR="00D85401">
        <w:t xml:space="preserve"> in many low-income and middle-income countries (LMICs)</w:t>
      </w:r>
      <w:r w:rsidR="007E2E1A">
        <w:t xml:space="preserve"> [1,2,3]</w:t>
      </w:r>
      <w:r w:rsidR="00D85401">
        <w:t>.</w:t>
      </w:r>
      <w:r w:rsidR="00420775">
        <w:t xml:space="preserve">  Effective treatments for HIV-related cryptococcal meningitis in </w:t>
      </w:r>
      <w:r w:rsidR="00021DAD">
        <w:t>resource-</w:t>
      </w:r>
      <w:r w:rsidR="00420775">
        <w:t>limited settings consist of 5FC in combination with either fluconazole or conventional deoxycholate or liposomal formulations of</w:t>
      </w:r>
      <w:r w:rsidR="0046538B">
        <w:t xml:space="preserve"> </w:t>
      </w:r>
      <w:r w:rsidR="008B64D8">
        <w:t>amphotericin B (</w:t>
      </w:r>
      <w:r w:rsidR="00420775">
        <w:t>AmB</w:t>
      </w:r>
      <w:r w:rsidR="008B64D8">
        <w:t>)</w:t>
      </w:r>
      <w:r w:rsidR="00420775">
        <w:t xml:space="preserve">.  </w:t>
      </w:r>
      <w:r w:rsidR="00C10E0C">
        <w:t xml:space="preserve">However, 5FC is currently unavailable </w:t>
      </w:r>
      <w:r w:rsidR="007A68E6">
        <w:t>in LMICs</w:t>
      </w:r>
      <w:r w:rsidR="00E81AF5">
        <w:t xml:space="preserve"> and currently unregistered in any African country</w:t>
      </w:r>
      <w:r w:rsidR="00E603C5">
        <w:t>.  This is</w:t>
      </w:r>
      <w:r w:rsidR="00C10E0C">
        <w:t xml:space="preserve"> despite </w:t>
      </w:r>
      <w:r w:rsidR="00E603C5">
        <w:t xml:space="preserve">5FC </w:t>
      </w:r>
      <w:r w:rsidR="00C10E0C">
        <w:t>being an old, off-patent and easy to manufacture medicine</w:t>
      </w:r>
      <w:r w:rsidR="00EF0341">
        <w:t xml:space="preserve"> [2,3]</w:t>
      </w:r>
      <w:r w:rsidR="00C10E0C">
        <w:t>.</w:t>
      </w:r>
      <w:r w:rsidR="00420775">
        <w:t xml:space="preserve">  </w:t>
      </w:r>
      <w:r w:rsidR="002E38F4">
        <w:t xml:space="preserve">Herein we </w:t>
      </w:r>
      <w:r w:rsidR="0029576F">
        <w:t>present</w:t>
      </w:r>
      <w:r w:rsidR="00C51626">
        <w:t xml:space="preserve"> the latest burden</w:t>
      </w:r>
      <w:r w:rsidR="00551662">
        <w:t xml:space="preserve"> of disease</w:t>
      </w:r>
      <w:r w:rsidR="00C51626">
        <w:t xml:space="preserve"> and </w:t>
      </w:r>
      <w:r w:rsidR="00551662">
        <w:t xml:space="preserve">clinical </w:t>
      </w:r>
      <w:r w:rsidR="00C51626">
        <w:t>trial data</w:t>
      </w:r>
      <w:r w:rsidR="00F8409C">
        <w:t xml:space="preserve"> </w:t>
      </w:r>
      <w:r w:rsidR="0029576F">
        <w:t xml:space="preserve">that </w:t>
      </w:r>
      <w:r w:rsidR="00F8409C">
        <w:t xml:space="preserve">underline the need for urgent action to ensure access to 5FC </w:t>
      </w:r>
      <w:r w:rsidR="00420775">
        <w:t xml:space="preserve">and AmB </w:t>
      </w:r>
      <w:r w:rsidR="00F8409C">
        <w:t>in LMICs</w:t>
      </w:r>
      <w:r w:rsidR="00C51626">
        <w:t xml:space="preserve"> and </w:t>
      </w:r>
      <w:r w:rsidR="00C54A2E">
        <w:t xml:space="preserve">highlight the publication of </w:t>
      </w:r>
      <w:r w:rsidR="007A68E6">
        <w:t xml:space="preserve">new </w:t>
      </w:r>
      <w:r w:rsidR="00C51626">
        <w:t xml:space="preserve">WHO guidelines on </w:t>
      </w:r>
      <w:r w:rsidR="008B64D8">
        <w:t xml:space="preserve">HIV-related </w:t>
      </w:r>
      <w:r w:rsidR="00C51626">
        <w:t xml:space="preserve">cryptococcal </w:t>
      </w:r>
      <w:r w:rsidR="00551662">
        <w:t>disease</w:t>
      </w:r>
      <w:r w:rsidR="00755E01">
        <w:t xml:space="preserve"> [4]</w:t>
      </w:r>
      <w:r w:rsidR="005513CC">
        <w:t xml:space="preserve">.  We </w:t>
      </w:r>
      <w:r w:rsidR="00713C99">
        <w:t xml:space="preserve">review </w:t>
      </w:r>
      <w:r w:rsidR="00C10E0C">
        <w:t>the good safety profile of 5FC for the treatment of HIV-relate</w:t>
      </w:r>
      <w:r w:rsidR="00713C99">
        <w:t>d cryptococcal meningitis, outline the</w:t>
      </w:r>
      <w:r w:rsidR="005513CC">
        <w:t xml:space="preserve"> barriers around access to standard formulations of 5FC,</w:t>
      </w:r>
      <w:r w:rsidR="00420775">
        <w:t xml:space="preserve"> and standard and liposomal formulations of AmB</w:t>
      </w:r>
      <w:r>
        <w:t>,</w:t>
      </w:r>
      <w:r w:rsidR="00420775">
        <w:t xml:space="preserve"> </w:t>
      </w:r>
      <w:r w:rsidR="00713C99">
        <w:t xml:space="preserve">and highlight the need for </w:t>
      </w:r>
      <w:r w:rsidR="00BD1EA2">
        <w:t>better adapted, modified</w:t>
      </w:r>
      <w:r w:rsidR="00713C99">
        <w:t>-release formulati</w:t>
      </w:r>
      <w:r w:rsidR="005513CC">
        <w:t>ons</w:t>
      </w:r>
      <w:r w:rsidR="00420775">
        <w:t xml:space="preserve"> of 5FC</w:t>
      </w:r>
      <w:r w:rsidR="00713C99">
        <w:t>.</w:t>
      </w:r>
    </w:p>
    <w:p w14:paraId="7D131C77" w14:textId="7A465B5F" w:rsidR="00713C99" w:rsidRPr="00E603C5" w:rsidRDefault="007664B4">
      <w:pPr>
        <w:rPr>
          <w:b/>
        </w:rPr>
      </w:pPr>
      <w:r>
        <w:rPr>
          <w:b/>
        </w:rPr>
        <w:t>B</w:t>
      </w:r>
      <w:r w:rsidR="00713C99" w:rsidRPr="00E603C5">
        <w:rPr>
          <w:b/>
        </w:rPr>
        <w:t xml:space="preserve">urden of </w:t>
      </w:r>
      <w:r>
        <w:rPr>
          <w:b/>
        </w:rPr>
        <w:t xml:space="preserve">cryptococcal meningitis </w:t>
      </w:r>
      <w:r w:rsidR="00C60E60">
        <w:rPr>
          <w:b/>
        </w:rPr>
        <w:t>and factors associated with ongoing high mortality</w:t>
      </w:r>
    </w:p>
    <w:p w14:paraId="61380028" w14:textId="670FFC6D" w:rsidR="00713C99" w:rsidRDefault="00275C58">
      <w:r>
        <w:t>R</w:t>
      </w:r>
      <w:r w:rsidR="00E603C5">
        <w:t xml:space="preserve">ecently published data </w:t>
      </w:r>
      <w:r w:rsidR="007A68E6">
        <w:t xml:space="preserve">has shown that cryptococcal meningitis </w:t>
      </w:r>
      <w:r w:rsidR="007664B4">
        <w:t xml:space="preserve">causes </w:t>
      </w:r>
      <w:r w:rsidR="007A68E6">
        <w:t>15</w:t>
      </w:r>
      <w:r w:rsidR="000B19C1">
        <w:t>%</w:t>
      </w:r>
      <w:r w:rsidR="007A68E6">
        <w:t xml:space="preserve">-20% </w:t>
      </w:r>
      <w:r w:rsidR="00551662">
        <w:t>AIDS</w:t>
      </w:r>
      <w:r w:rsidR="007A68E6">
        <w:t>-related mortality</w:t>
      </w:r>
      <w:r w:rsidR="007E2E1A">
        <w:t xml:space="preserve"> [</w:t>
      </w:r>
      <w:r w:rsidR="00755E01">
        <w:t>5</w:t>
      </w:r>
      <w:r w:rsidR="007E2E1A">
        <w:t>]</w:t>
      </w:r>
      <w:r w:rsidR="007A68E6">
        <w:t xml:space="preserve">.  </w:t>
      </w:r>
      <w:r w:rsidR="00B4119C">
        <w:t xml:space="preserve">Cryptococcal meningitis is caused by the fungus </w:t>
      </w:r>
      <w:r w:rsidR="00B4119C" w:rsidRPr="00B4119C">
        <w:rPr>
          <w:i/>
        </w:rPr>
        <w:t>Cryptococcus neoformans</w:t>
      </w:r>
      <w:r w:rsidR="00B4119C">
        <w:t xml:space="preserve">.  </w:t>
      </w:r>
      <w:r w:rsidR="007A68E6">
        <w:t>Mortality</w:t>
      </w:r>
      <w:r w:rsidR="00551662">
        <w:t xml:space="preserve"> for cryptococcal meningitis</w:t>
      </w:r>
      <w:r w:rsidR="007A68E6">
        <w:t xml:space="preserve"> in </w:t>
      </w:r>
      <w:r w:rsidR="00021DAD">
        <w:t>resource-</w:t>
      </w:r>
      <w:r w:rsidR="007A68E6">
        <w:t xml:space="preserve">limited settings is </w:t>
      </w:r>
      <w:r w:rsidR="00C74DD5">
        <w:t>approximately</w:t>
      </w:r>
      <w:r w:rsidR="007A68E6">
        <w:t xml:space="preserve"> 70%, with most centres in LMICs having no access to </w:t>
      </w:r>
      <w:r w:rsidR="001F689D">
        <w:t>cryptococcal antige</w:t>
      </w:r>
      <w:r w:rsidR="008C036C">
        <w:t>n lateral flow assay (CrAg LFA</w:t>
      </w:r>
      <w:r w:rsidR="001F689D">
        <w:t>)</w:t>
      </w:r>
      <w:r w:rsidR="00B4119C">
        <w:t xml:space="preserve"> </w:t>
      </w:r>
      <w:r w:rsidR="008C036C">
        <w:t>tests</w:t>
      </w:r>
      <w:r w:rsidR="007A68E6">
        <w:t xml:space="preserve"> and essential medicines</w:t>
      </w:r>
      <w:r w:rsidR="00E4381B">
        <w:t xml:space="preserve"> including 5FC</w:t>
      </w:r>
      <w:r w:rsidR="001F689D">
        <w:t xml:space="preserve"> [5]</w:t>
      </w:r>
      <w:r w:rsidR="007A68E6">
        <w:t>.</w:t>
      </w:r>
      <w:r w:rsidR="001F689D">
        <w:t xml:space="preserve">  CrAg LFAs </w:t>
      </w:r>
      <w:r w:rsidR="00246FC8">
        <w:t xml:space="preserve">have revolutionised the diagnosis of cryptococcal disease providing highly sensitive and specific testing of blood and cerebrospinal fluid (CSF) samples.  </w:t>
      </w:r>
      <w:r w:rsidR="007A68E6">
        <w:t xml:space="preserve">There are an estimated 223,100 cases </w:t>
      </w:r>
      <w:r w:rsidR="00E4381B">
        <w:t xml:space="preserve">of cryptococcal meningitis </w:t>
      </w:r>
      <w:r w:rsidR="007A68E6">
        <w:t>annually, with close to three quarters of</w:t>
      </w:r>
      <w:r w:rsidR="00E95FD0">
        <w:t xml:space="preserve"> these</w:t>
      </w:r>
      <w:r w:rsidR="007A68E6">
        <w:t xml:space="preserve"> cases occurring in Africa</w:t>
      </w:r>
      <w:r w:rsidR="007E2E1A">
        <w:t xml:space="preserve"> [</w:t>
      </w:r>
      <w:r w:rsidR="00755E01">
        <w:t>5</w:t>
      </w:r>
      <w:r w:rsidR="007E2E1A">
        <w:t>]</w:t>
      </w:r>
      <w:r w:rsidR="007A68E6">
        <w:t>.</w:t>
      </w:r>
      <w:r w:rsidR="00E4381B">
        <w:t xml:space="preserve">  In </w:t>
      </w:r>
      <w:r w:rsidR="008B64D8">
        <w:t xml:space="preserve">sub-Saharan </w:t>
      </w:r>
      <w:r w:rsidR="00E4381B">
        <w:t xml:space="preserve">Africa alone there are an estimated 135,900 deaths annually, with the vast majority of </w:t>
      </w:r>
      <w:r w:rsidR="00357CBA">
        <w:t>people living with HIV (</w:t>
      </w:r>
      <w:r w:rsidR="00E4381B">
        <w:t>PLHIV</w:t>
      </w:r>
      <w:r w:rsidR="00357CBA">
        <w:t>)</w:t>
      </w:r>
      <w:r w:rsidR="00E4381B">
        <w:t xml:space="preserve"> receiving </w:t>
      </w:r>
      <w:r w:rsidR="00E95FD0">
        <w:t xml:space="preserve">suboptimal </w:t>
      </w:r>
      <w:r w:rsidR="00E4381B">
        <w:t>fluconazole monotherapy, if they are diagnosed</w:t>
      </w:r>
      <w:r w:rsidR="007E2E1A">
        <w:t xml:space="preserve"> [</w:t>
      </w:r>
      <w:r w:rsidR="00755E01">
        <w:t>5</w:t>
      </w:r>
      <w:r w:rsidR="007E2E1A">
        <w:t>]</w:t>
      </w:r>
      <w:r w:rsidR="00E4381B">
        <w:t>.</w:t>
      </w:r>
      <w:r w:rsidR="002279E4">
        <w:t xml:space="preserve">  Importantly, and unlike in</w:t>
      </w:r>
      <w:r w:rsidR="00666A75">
        <w:t xml:space="preserve"> </w:t>
      </w:r>
      <w:r w:rsidR="00551662">
        <w:t>high-income countries</w:t>
      </w:r>
      <w:r w:rsidR="00666A75">
        <w:t>, there is no sign of a decline in numbers of cases of cryptococcal meningitis</w:t>
      </w:r>
      <w:r w:rsidR="00551662">
        <w:t xml:space="preserve"> in most LMICs</w:t>
      </w:r>
      <w:r w:rsidR="00666A75">
        <w:t xml:space="preserve">, </w:t>
      </w:r>
      <w:r w:rsidR="00666A75">
        <w:lastRenderedPageBreak/>
        <w:t>despite the roll</w:t>
      </w:r>
      <w:r w:rsidR="00551662">
        <w:t>-</w:t>
      </w:r>
      <w:r w:rsidR="00666A75">
        <w:t>out of ART</w:t>
      </w:r>
      <w:r w:rsidR="007E2E1A">
        <w:t xml:space="preserve"> </w:t>
      </w:r>
      <w:r w:rsidR="00E95FD0">
        <w:t xml:space="preserve">and </w:t>
      </w:r>
      <w:r w:rsidR="00E95FD0" w:rsidRPr="007471C2">
        <w:t>the</w:t>
      </w:r>
      <w:r w:rsidR="00E95FD0" w:rsidRPr="007471C2">
        <w:rPr>
          <w:bCs/>
        </w:rPr>
        <w:t xml:space="preserve"> Joint United Nations Programme on HIV/AIDS (UNAIDS)/World Health Organization (WHO) 90-90-90 continuum of HIV care targets</w:t>
      </w:r>
      <w:r w:rsidR="00E95FD0">
        <w:t xml:space="preserve"> </w:t>
      </w:r>
      <w:r w:rsidR="007E2E1A">
        <w:t>[1</w:t>
      </w:r>
      <w:r w:rsidR="00E179B2">
        <w:t>,6,7</w:t>
      </w:r>
      <w:r w:rsidR="00E95FD0">
        <w:t>,8</w:t>
      </w:r>
      <w:r w:rsidR="00755E01">
        <w:t>,9</w:t>
      </w:r>
      <w:r w:rsidR="00E179B2">
        <w:t>]</w:t>
      </w:r>
      <w:r w:rsidR="00666A75">
        <w:t xml:space="preserve">.  In </w:t>
      </w:r>
      <w:proofErr w:type="gramStart"/>
      <w:r w:rsidR="00666A75">
        <w:t>fact</w:t>
      </w:r>
      <w:proofErr w:type="gramEnd"/>
      <w:r w:rsidR="00666A75">
        <w:t xml:space="preserve"> half to three quarters of patients presenting with cryptococcal meningitis in LMICs are </w:t>
      </w:r>
      <w:r w:rsidR="00293E2A">
        <w:t xml:space="preserve">now </w:t>
      </w:r>
      <w:r w:rsidR="00666A75">
        <w:t>ART</w:t>
      </w:r>
      <w:r w:rsidR="00551662">
        <w:t>-</w:t>
      </w:r>
      <w:r w:rsidR="00666A75">
        <w:t>experienced</w:t>
      </w:r>
      <w:r w:rsidR="00E179B2">
        <w:t xml:space="preserve"> [1,</w:t>
      </w:r>
      <w:r w:rsidR="00755E01">
        <w:t>6</w:t>
      </w:r>
      <w:r w:rsidR="00E179B2">
        <w:t>,</w:t>
      </w:r>
      <w:r w:rsidR="00755E01">
        <w:t>8</w:t>
      </w:r>
      <w:r w:rsidR="00E01028">
        <w:t>,10</w:t>
      </w:r>
      <w:r w:rsidR="00E179B2">
        <w:t>]</w:t>
      </w:r>
      <w:r w:rsidR="00666A75">
        <w:t>.</w:t>
      </w:r>
      <w:r w:rsidR="002A78C8">
        <w:t xml:space="preserve">  </w:t>
      </w:r>
      <w:r w:rsidR="00E4381B">
        <w:t xml:space="preserve"> </w:t>
      </w:r>
      <w:r w:rsidR="007A68E6">
        <w:t xml:space="preserve">      </w:t>
      </w:r>
    </w:p>
    <w:p w14:paraId="3C6AF358" w14:textId="77777777" w:rsidR="00713C99" w:rsidRPr="00E603C5" w:rsidRDefault="00713C99">
      <w:pPr>
        <w:rPr>
          <w:b/>
        </w:rPr>
      </w:pPr>
      <w:r w:rsidRPr="00E603C5">
        <w:rPr>
          <w:b/>
        </w:rPr>
        <w:t>Trial data</w:t>
      </w:r>
      <w:r w:rsidR="007664B4">
        <w:rPr>
          <w:b/>
        </w:rPr>
        <w:t>: Treatment and prevention of cryptococcal meningitis</w:t>
      </w:r>
      <w:r w:rsidRPr="00E603C5">
        <w:rPr>
          <w:b/>
        </w:rPr>
        <w:t xml:space="preserve"> </w:t>
      </w:r>
    </w:p>
    <w:p w14:paraId="6E0657A0" w14:textId="5D73C722" w:rsidR="00B239F2" w:rsidRDefault="00E4381B">
      <w:r>
        <w:t>In order to reduce the unacceptably high mortality associated with cryptococcal meningitis two strategies have emerged</w:t>
      </w:r>
      <w:r w:rsidR="00907FD1">
        <w:t xml:space="preserve">: </w:t>
      </w:r>
      <w:r w:rsidR="00B239F2">
        <w:t xml:space="preserve">1) </w:t>
      </w:r>
      <w:r>
        <w:t>New combi</w:t>
      </w:r>
      <w:r w:rsidR="00B239F2">
        <w:t xml:space="preserve">nation treatments that are </w:t>
      </w:r>
      <w:r w:rsidR="003C5237">
        <w:t xml:space="preserve">more </w:t>
      </w:r>
      <w:r>
        <w:t xml:space="preserve">effective and safe to administer in </w:t>
      </w:r>
      <w:r w:rsidR="00021DAD">
        <w:t>resource-</w:t>
      </w:r>
      <w:r>
        <w:t>limited settings</w:t>
      </w:r>
      <w:r w:rsidR="00E179B2">
        <w:t xml:space="preserve"> [1,</w:t>
      </w:r>
      <w:r w:rsidR="00470117">
        <w:t>1</w:t>
      </w:r>
      <w:r w:rsidR="0029363F">
        <w:t>1</w:t>
      </w:r>
      <w:r w:rsidR="00E179B2">
        <w:t>]</w:t>
      </w:r>
      <w:r>
        <w:t xml:space="preserve"> and 2) </w:t>
      </w:r>
      <w:r w:rsidR="00B239F2">
        <w:t xml:space="preserve">Cryptococcal antigen (CrAg) screening programs that can </w:t>
      </w:r>
      <w:r w:rsidR="003C5237">
        <w:t xml:space="preserve">detect cases earlier or </w:t>
      </w:r>
      <w:r w:rsidR="00B239F2">
        <w:t>prevent the development of cryptococcal meningitis</w:t>
      </w:r>
      <w:r w:rsidR="003C5237">
        <w:t xml:space="preserve"> </w:t>
      </w:r>
      <w:r w:rsidR="00B239F2">
        <w:t xml:space="preserve">through pre-emptive </w:t>
      </w:r>
      <w:r w:rsidR="00551662">
        <w:t xml:space="preserve">antifungal </w:t>
      </w:r>
      <w:r w:rsidR="00B239F2">
        <w:t xml:space="preserve">treatment of PLHIV with </w:t>
      </w:r>
      <w:r w:rsidR="00790E85">
        <w:t xml:space="preserve">advanced disease (CD4 cell count ≤200 cells/µL) </w:t>
      </w:r>
      <w:r w:rsidR="00B239F2">
        <w:t>who screen CrAg positive</w:t>
      </w:r>
      <w:r w:rsidR="00E179B2">
        <w:t xml:space="preserve"> [</w:t>
      </w:r>
      <w:r w:rsidR="009C5663">
        <w:t>4,</w:t>
      </w:r>
      <w:r w:rsidR="00470117">
        <w:t>1</w:t>
      </w:r>
      <w:r w:rsidR="0029363F">
        <w:t>2</w:t>
      </w:r>
      <w:r w:rsidR="00E179B2">
        <w:t>,1</w:t>
      </w:r>
      <w:r w:rsidR="0029363F">
        <w:t>3</w:t>
      </w:r>
      <w:r w:rsidR="00E179B2">
        <w:t>]</w:t>
      </w:r>
      <w:r w:rsidR="00F75F63">
        <w:t xml:space="preserve"> [Figure 1]</w:t>
      </w:r>
      <w:r w:rsidR="00B239F2">
        <w:t>.</w:t>
      </w:r>
    </w:p>
    <w:p w14:paraId="0D4BA723" w14:textId="5CF129B8" w:rsidR="00F75F63" w:rsidRDefault="00B239F2" w:rsidP="007E5DC0">
      <w:r>
        <w:t xml:space="preserve">In the acute </w:t>
      </w:r>
      <w:r w:rsidR="00551662">
        <w:t xml:space="preserve">care </w:t>
      </w:r>
      <w:r>
        <w:t>setting, for cases of confirmed cryptococcal meningitis</w:t>
      </w:r>
      <w:r w:rsidR="005B6DB4">
        <w:t>,</w:t>
      </w:r>
      <w:r>
        <w:t xml:space="preserve"> the focus of recent research has been on finding alternative treatments to the </w:t>
      </w:r>
      <w:r w:rsidR="007C3239">
        <w:t xml:space="preserve">previous </w:t>
      </w:r>
      <w:r>
        <w:t>gold standard of two weeks</w:t>
      </w:r>
      <w:r w:rsidR="00551662">
        <w:t>’ conventional</w:t>
      </w:r>
      <w:r>
        <w:t xml:space="preserve"> amphotericin B (AmB) and 5FC, which is either unavailable in the case of 5FC, or </w:t>
      </w:r>
      <w:r w:rsidR="00551662">
        <w:t xml:space="preserve">relatively </w:t>
      </w:r>
      <w:r>
        <w:t xml:space="preserve">unsafe to </w:t>
      </w:r>
      <w:r w:rsidR="007C3239">
        <w:t xml:space="preserve">use </w:t>
      </w:r>
      <w:r>
        <w:t>in resource</w:t>
      </w:r>
      <w:r w:rsidR="00021DAD">
        <w:t>-</w:t>
      </w:r>
      <w:r>
        <w:t>limited settings</w:t>
      </w:r>
      <w:r w:rsidR="008C036C">
        <w:t xml:space="preserve"> without intensive monitoring that can be difficult to obtain</w:t>
      </w:r>
      <w:r>
        <w:t>.</w:t>
      </w:r>
      <w:r w:rsidR="00530055">
        <w:t xml:space="preserve">  AmB administration is intravenous and requires hospitalisation and careful laboratory monitoring and management.  </w:t>
      </w:r>
      <w:r w:rsidR="000C7070">
        <w:t>On the other hand, t</w:t>
      </w:r>
      <w:r w:rsidR="0046538B">
        <w:t xml:space="preserve">he mortality observed in routine care </w:t>
      </w:r>
      <w:r w:rsidR="00021DAD">
        <w:t>resource-</w:t>
      </w:r>
      <w:r w:rsidR="00775728">
        <w:t xml:space="preserve">limited settings </w:t>
      </w:r>
      <w:r w:rsidR="0046538B">
        <w:t xml:space="preserve">with more easily available and commonly prescribed </w:t>
      </w:r>
      <w:r w:rsidR="00775728">
        <w:t>fluconazole monot</w:t>
      </w:r>
      <w:r w:rsidR="0046538B">
        <w:t>herapy</w:t>
      </w:r>
      <w:r w:rsidR="00471567">
        <w:t xml:space="preserve"> for HIV-related cryptococcal meningitis</w:t>
      </w:r>
      <w:r w:rsidR="0046538B">
        <w:t xml:space="preserve"> is </w:t>
      </w:r>
      <w:r w:rsidR="002A78C8">
        <w:t xml:space="preserve">approximately </w:t>
      </w:r>
      <w:r w:rsidR="0046538B">
        <w:t>70%</w:t>
      </w:r>
      <w:r w:rsidR="008C036C">
        <w:t xml:space="preserve"> [5]</w:t>
      </w:r>
      <w:r w:rsidR="0046538B">
        <w:t xml:space="preserve">.  </w:t>
      </w:r>
      <w:r w:rsidR="007E5DC0">
        <w:t>The results of the ACTA trial demonstrated firstly that short course</w:t>
      </w:r>
      <w:r w:rsidR="00551662">
        <w:t xml:space="preserve"> (1 week)</w:t>
      </w:r>
      <w:r w:rsidR="007E5DC0">
        <w:t xml:space="preserve"> AmB and 5FC could cut </w:t>
      </w:r>
      <w:r w:rsidR="00F8409C">
        <w:t xml:space="preserve">10 week </w:t>
      </w:r>
      <w:r w:rsidR="007E5DC0">
        <w:t xml:space="preserve">mortality </w:t>
      </w:r>
      <w:r w:rsidR="000C306C">
        <w:t>to 24%</w:t>
      </w:r>
      <w:r w:rsidR="00F326BE">
        <w:t xml:space="preserve"> [95% CI 16-32]</w:t>
      </w:r>
      <w:r w:rsidR="00E179B2">
        <w:t xml:space="preserve"> [1]</w:t>
      </w:r>
      <w:r w:rsidR="007E5DC0">
        <w:t>.</w:t>
      </w:r>
      <w:r w:rsidR="0046538B">
        <w:t xml:space="preserve">  </w:t>
      </w:r>
      <w:r w:rsidR="007E5DC0">
        <w:t xml:space="preserve">Secondly, two weeks’ </w:t>
      </w:r>
      <w:r w:rsidR="007C3239">
        <w:t xml:space="preserve">of </w:t>
      </w:r>
      <w:r w:rsidR="007E5DC0">
        <w:t xml:space="preserve">5FC and fluconazole performed well and </w:t>
      </w:r>
      <w:r w:rsidR="0046538B">
        <w:t>reduce</w:t>
      </w:r>
      <w:r w:rsidR="000C7070">
        <w:t>d</w:t>
      </w:r>
      <w:r w:rsidR="007E5DC0">
        <w:t xml:space="preserve"> mortality to 3</w:t>
      </w:r>
      <w:r w:rsidR="00F326BE">
        <w:t>5</w:t>
      </w:r>
      <w:r w:rsidR="007E5DC0">
        <w:t>%</w:t>
      </w:r>
      <w:r w:rsidR="00F326BE">
        <w:t xml:space="preserve"> [95% CI 2</w:t>
      </w:r>
      <w:r w:rsidR="003B32A8">
        <w:t>9</w:t>
      </w:r>
      <w:r w:rsidR="00F326BE">
        <w:t>-41]</w:t>
      </w:r>
      <w:r w:rsidR="005E2A81">
        <w:t xml:space="preserve"> [Figure </w:t>
      </w:r>
      <w:r w:rsidR="00313379">
        <w:t>2</w:t>
      </w:r>
      <w:r w:rsidR="005E2A81">
        <w:t>]</w:t>
      </w:r>
      <w:r w:rsidR="007E5DC0">
        <w:t xml:space="preserve">.  </w:t>
      </w:r>
      <w:r w:rsidR="00DD0719">
        <w:t xml:space="preserve">Mortality in the 2 week amphotericin B comparator groups at ten weeks was 39.7% at 10 weeks [1].  </w:t>
      </w:r>
      <w:r w:rsidR="002424EB">
        <w:t>Two alternative combination induction therapy options for the management of HIV-related cryptococcal meningitis in resource limited settings have thus emerged: 1) short course (1 week) AmB and 5FC and 2) an easily implementable oral combination therapy of two weeks</w:t>
      </w:r>
      <w:r w:rsidR="0081544E">
        <w:t xml:space="preserve"> of </w:t>
      </w:r>
      <w:r w:rsidR="002424EB">
        <w:t xml:space="preserve">5FC and fluconazole.   </w:t>
      </w:r>
      <w:r w:rsidR="00EF0341">
        <w:t>Both combination treatment strategies can enable PLHIV to be discharged</w:t>
      </w:r>
      <w:r w:rsidR="00D8387B">
        <w:t xml:space="preserve"> from hospital</w:t>
      </w:r>
      <w:r w:rsidR="00EF0341">
        <w:t xml:space="preserve"> </w:t>
      </w:r>
      <w:r w:rsidR="008C036C">
        <w:t>before the end of the two week induction treatment period</w:t>
      </w:r>
      <w:r w:rsidR="00EF0341">
        <w:t xml:space="preserve">, reducing hospital care costs significantly.  </w:t>
      </w:r>
      <w:r w:rsidR="007E5DC0">
        <w:t>Lastly, the ACTA trial showed that</w:t>
      </w:r>
      <w:r w:rsidR="004B5178">
        <w:t xml:space="preserve"> compared to fluconazole,</w:t>
      </w:r>
      <w:r w:rsidR="007E5DC0">
        <w:t xml:space="preserve"> 5FC is</w:t>
      </w:r>
      <w:r w:rsidR="004B5178">
        <w:t xml:space="preserve"> a</w:t>
      </w:r>
      <w:r w:rsidR="007E5DC0">
        <w:t xml:space="preserve"> </w:t>
      </w:r>
      <w:r w:rsidR="004B5178">
        <w:t xml:space="preserve">more </w:t>
      </w:r>
      <w:r w:rsidR="00746B6B">
        <w:t xml:space="preserve">effective </w:t>
      </w:r>
      <w:r w:rsidR="004B5178">
        <w:t>companion drug for AmB-based induction therapy</w:t>
      </w:r>
      <w:r w:rsidR="00E179B2">
        <w:t xml:space="preserve"> [1]</w:t>
      </w:r>
      <w:r w:rsidR="005E2A81">
        <w:t xml:space="preserve"> [Figure </w:t>
      </w:r>
      <w:r w:rsidR="00313379">
        <w:t>3</w:t>
      </w:r>
      <w:r w:rsidR="005E2A81">
        <w:t>]</w:t>
      </w:r>
      <w:r w:rsidR="007E5DC0">
        <w:t>.</w:t>
      </w:r>
      <w:r w:rsidR="005B4148">
        <w:t xml:space="preserve">  This is important as in many </w:t>
      </w:r>
      <w:r w:rsidR="008357F9">
        <w:t xml:space="preserve">LMIC </w:t>
      </w:r>
      <w:r w:rsidR="005B4148">
        <w:t>settings where 5FC is unavailable</w:t>
      </w:r>
      <w:r w:rsidR="008357F9">
        <w:t xml:space="preserve"> but AmB can be administered safely</w:t>
      </w:r>
      <w:r w:rsidR="005B4148">
        <w:t>,</w:t>
      </w:r>
      <w:r w:rsidR="00370535">
        <w:t xml:space="preserve"> </w:t>
      </w:r>
      <w:r w:rsidR="005B4148">
        <w:t xml:space="preserve">AmB is </w:t>
      </w:r>
      <w:r w:rsidR="00370535">
        <w:t xml:space="preserve">currently </w:t>
      </w:r>
      <w:r w:rsidR="005B4148">
        <w:t>given in combination with fluconazole for the treatment of HIV-related cryptococcal meningitis</w:t>
      </w:r>
      <w:r w:rsidR="00E179B2">
        <w:t xml:space="preserve"> [1]</w:t>
      </w:r>
      <w:r w:rsidR="005B4148">
        <w:t>.</w:t>
      </w:r>
    </w:p>
    <w:p w14:paraId="045C7B1B" w14:textId="7D503CD1" w:rsidR="005B4148" w:rsidRDefault="005B4148" w:rsidP="007E5DC0">
      <w:r>
        <w:t xml:space="preserve">  </w:t>
      </w:r>
      <w:r w:rsidR="00F75F63" w:rsidRPr="00B52EEF">
        <w:rPr>
          <w:noProof/>
          <w:lang w:eastAsia="en-GB"/>
        </w:rPr>
        <w:drawing>
          <wp:inline distT="0" distB="0" distL="0" distR="0" wp14:anchorId="0A3A0E19" wp14:editId="703B8568">
            <wp:extent cx="3318761" cy="2074806"/>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5"/>
                    <a:srcRect/>
                    <a:stretch>
                      <a:fillRect/>
                    </a:stretch>
                  </pic:blipFill>
                  <pic:spPr bwMode="auto">
                    <a:xfrm>
                      <a:off x="0" y="0"/>
                      <a:ext cx="3340148" cy="2088177"/>
                    </a:xfrm>
                    <a:prstGeom prst="rect">
                      <a:avLst/>
                    </a:prstGeom>
                    <a:noFill/>
                    <a:ln w="9525">
                      <a:noFill/>
                      <a:miter lim="800000"/>
                      <a:headEnd/>
                      <a:tailEnd/>
                    </a:ln>
                  </pic:spPr>
                </pic:pic>
              </a:graphicData>
            </a:graphic>
          </wp:inline>
        </w:drawing>
      </w:r>
    </w:p>
    <w:p w14:paraId="5FF18813" w14:textId="263949F3" w:rsidR="00F75F63" w:rsidRPr="00F75F63" w:rsidRDefault="00F75F63" w:rsidP="00F75F63">
      <w:r>
        <w:t>Figure 1</w:t>
      </w:r>
      <w:r w:rsidR="00313379">
        <w:t xml:space="preserve">.  </w:t>
      </w:r>
      <w:r w:rsidRPr="00F75F63">
        <w:rPr>
          <w:lang w:val="en-US"/>
        </w:rPr>
        <w:t>All-cause mortality according to Clinical plus Community Support- CCS (the CrAg screening and pre-emptive Fluconazole) and Standard of Care groups</w:t>
      </w:r>
      <w:r>
        <w:rPr>
          <w:lang w:val="en-US"/>
        </w:rPr>
        <w:t>.  From the REMSTART trial [1</w:t>
      </w:r>
      <w:r w:rsidR="0015240F">
        <w:rPr>
          <w:lang w:val="en-US"/>
        </w:rPr>
        <w:t>3</w:t>
      </w:r>
      <w:r>
        <w:rPr>
          <w:lang w:val="en-US"/>
        </w:rPr>
        <w:t>].</w:t>
      </w:r>
      <w:r w:rsidRPr="00F75F63">
        <w:rPr>
          <w:lang w:val="en-US"/>
        </w:rPr>
        <w:t xml:space="preserve">  </w:t>
      </w:r>
    </w:p>
    <w:p w14:paraId="4FFE1F29" w14:textId="77777777" w:rsidR="00F75F63" w:rsidRPr="00F75F63" w:rsidRDefault="00F75F63" w:rsidP="00F75F63"/>
    <w:p w14:paraId="3679ED0E" w14:textId="5FDCFF18" w:rsidR="00F75F63" w:rsidRDefault="00F75F63" w:rsidP="007E5DC0"/>
    <w:p w14:paraId="5BD90D42" w14:textId="094B529D" w:rsidR="005E2A81" w:rsidRDefault="004835D3" w:rsidP="007E5DC0">
      <w:r w:rsidRPr="004835D3">
        <w:rPr>
          <w:noProof/>
          <w:lang w:eastAsia="en-GB"/>
        </w:rPr>
        <w:drawing>
          <wp:inline distT="0" distB="0" distL="0" distR="0" wp14:anchorId="2D5E9D88" wp14:editId="6718C9F0">
            <wp:extent cx="4829175" cy="2970944"/>
            <wp:effectExtent l="19050" t="19050" r="95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117" t="16546" r="10758" b="4568"/>
                    <a:stretch/>
                  </pic:blipFill>
                  <pic:spPr bwMode="auto">
                    <a:xfrm>
                      <a:off x="0" y="0"/>
                      <a:ext cx="4831266" cy="2972230"/>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3C37225" w14:textId="5174B032" w:rsidR="005E2A81" w:rsidRDefault="005E2A81" w:rsidP="007E5DC0">
      <w:r>
        <w:t xml:space="preserve">Figure </w:t>
      </w:r>
      <w:r w:rsidR="00F75F63">
        <w:t>2</w:t>
      </w:r>
      <w:r w:rsidR="00313379">
        <w:t xml:space="preserve">.  </w:t>
      </w:r>
      <w:r>
        <w:t xml:space="preserve">Cumulative incidence of </w:t>
      </w:r>
      <w:r w:rsidR="003D0B0C">
        <w:t>all-</w:t>
      </w:r>
      <w:r>
        <w:t>cause mortality</w:t>
      </w:r>
      <w:r w:rsidR="003D0B0C">
        <w:t xml:space="preserve"> by week 10 according to the ACTA treatment strategies</w:t>
      </w:r>
      <w:r w:rsidR="00313379">
        <w:t xml:space="preserve"> [1].</w:t>
      </w:r>
    </w:p>
    <w:p w14:paraId="64DB28B5" w14:textId="77D06095" w:rsidR="005E2A81" w:rsidRDefault="003733C6" w:rsidP="007E5DC0">
      <w:r w:rsidRPr="003733C6">
        <w:rPr>
          <w:noProof/>
          <w:lang w:eastAsia="en-GB"/>
        </w:rPr>
        <w:drawing>
          <wp:inline distT="0" distB="0" distL="0" distR="0" wp14:anchorId="4163E101" wp14:editId="32D92157">
            <wp:extent cx="5000053" cy="2809875"/>
            <wp:effectExtent l="19050" t="19050" r="1016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303" t="9455" r="18568" b="21410"/>
                    <a:stretch/>
                  </pic:blipFill>
                  <pic:spPr bwMode="auto">
                    <a:xfrm>
                      <a:off x="0" y="0"/>
                      <a:ext cx="5009758" cy="2815329"/>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FF7C738" w14:textId="049854E5" w:rsidR="004835D3" w:rsidRDefault="005E2A81">
      <w:r>
        <w:t xml:space="preserve">Figure </w:t>
      </w:r>
      <w:r w:rsidR="00F75F63">
        <w:t>3</w:t>
      </w:r>
      <w:r w:rsidR="00313379">
        <w:t xml:space="preserve">.  </w:t>
      </w:r>
      <w:r w:rsidR="003D0B0C">
        <w:t xml:space="preserve">Cumulative incidence of all-cause mortality by week 10 according to amphotericin B partner treatment (fluconazole or 5FC) within the ACTA trial </w:t>
      </w:r>
      <w:r w:rsidR="00313379">
        <w:t>[1].</w:t>
      </w:r>
      <w:r>
        <w:t xml:space="preserve">  </w:t>
      </w:r>
    </w:p>
    <w:p w14:paraId="6AEB7686" w14:textId="15474F8E" w:rsidR="007664B4" w:rsidRDefault="005B6DB4">
      <w:r>
        <w:t xml:space="preserve">Programs to pre-emptively treat asymptomatic PLHIV with advanced disease </w:t>
      </w:r>
      <w:r w:rsidRPr="005B4148">
        <w:t xml:space="preserve">who </w:t>
      </w:r>
      <w:r w:rsidR="000C7070">
        <w:t>are</w:t>
      </w:r>
      <w:r>
        <w:t xml:space="preserve"> asymptomatic </w:t>
      </w:r>
      <w:r w:rsidR="000C7070">
        <w:t>but with detectable cryptococal atigen (CrAg) in blood</w:t>
      </w:r>
      <w:r>
        <w:t xml:space="preserve"> also offer the opportunity to reduce cryptococcal-related mortality. </w:t>
      </w:r>
      <w:r w:rsidR="005B4148">
        <w:t xml:space="preserve">The detection of CrAg weeks to months before the development of cryptococcal meningitis using CrAg lateral flow assays (LFAs) underlies </w:t>
      </w:r>
      <w:r w:rsidR="00370535">
        <w:t>the rational</w:t>
      </w:r>
      <w:r w:rsidR="002279E4">
        <w:t>e</w:t>
      </w:r>
      <w:r w:rsidR="00370535">
        <w:t xml:space="preserve"> behind </w:t>
      </w:r>
      <w:r w:rsidR="005B4148">
        <w:t>CrAg screen</w:t>
      </w:r>
      <w:r w:rsidR="00F8409C">
        <w:t>-and-treat</w:t>
      </w:r>
      <w:r w:rsidR="005B4148">
        <w:t xml:space="preserve"> programs</w:t>
      </w:r>
      <w:r w:rsidR="00370535">
        <w:t xml:space="preserve"> which are </w:t>
      </w:r>
      <w:r w:rsidR="00790E85">
        <w:t xml:space="preserve">now </w:t>
      </w:r>
      <w:r w:rsidR="00370535">
        <w:t xml:space="preserve">in the </w:t>
      </w:r>
      <w:r w:rsidR="00F8409C">
        <w:t>n</w:t>
      </w:r>
      <w:r w:rsidR="00370535">
        <w:t xml:space="preserve">ational </w:t>
      </w:r>
      <w:r w:rsidR="00F8409C">
        <w:t>g</w:t>
      </w:r>
      <w:r w:rsidR="00370535">
        <w:t>uidelines of 24 countries</w:t>
      </w:r>
      <w:r w:rsidR="00E179B2">
        <w:t xml:space="preserve"> [</w:t>
      </w:r>
      <w:r w:rsidR="00470117">
        <w:t>1</w:t>
      </w:r>
      <w:r w:rsidR="0029363F">
        <w:t>2</w:t>
      </w:r>
      <w:r w:rsidR="00E179B2">
        <w:t>]</w:t>
      </w:r>
      <w:r w:rsidR="005B4148">
        <w:t xml:space="preserve">.  </w:t>
      </w:r>
      <w:r w:rsidR="00370535">
        <w:t xml:space="preserve">The REMSTART trial, a multi-centre trial which took place in Zambia and Tanzania, was the first to </w:t>
      </w:r>
      <w:r w:rsidR="00370535">
        <w:lastRenderedPageBreak/>
        <w:t xml:space="preserve">demonstrate an almost 30% reduction in mortality </w:t>
      </w:r>
      <w:r w:rsidR="00DB1B31">
        <w:t xml:space="preserve">with </w:t>
      </w:r>
      <w:r w:rsidR="00370535">
        <w:t xml:space="preserve">CrAg screening </w:t>
      </w:r>
      <w:r w:rsidR="002279E4">
        <w:t xml:space="preserve">when </w:t>
      </w:r>
      <w:r w:rsidR="00370535">
        <w:t xml:space="preserve">combined with </w:t>
      </w:r>
      <w:r w:rsidR="00925B03">
        <w:t xml:space="preserve">enhanced adherence counselling </w:t>
      </w:r>
      <w:r w:rsidR="00370535">
        <w:t>compared to standard of care for PLHIV with</w:t>
      </w:r>
      <w:r w:rsidR="00790E85">
        <w:t xml:space="preserve"> advanced disease</w:t>
      </w:r>
      <w:r w:rsidR="00E179B2">
        <w:t xml:space="preserve"> [1</w:t>
      </w:r>
      <w:r w:rsidR="0029363F">
        <w:t>3</w:t>
      </w:r>
      <w:r w:rsidR="00E179B2">
        <w:t>]</w:t>
      </w:r>
      <w:r w:rsidR="00370535">
        <w:t>.</w:t>
      </w:r>
      <w:r w:rsidR="00ED745D">
        <w:t xml:space="preserve">  However, </w:t>
      </w:r>
      <w:r w:rsidR="002279E4">
        <w:t>despite pre-emptive therapy with two weeks</w:t>
      </w:r>
      <w:r w:rsidR="00F8409C">
        <w:t>’</w:t>
      </w:r>
      <w:r w:rsidR="002E258D">
        <w:t xml:space="preserve"> of</w:t>
      </w:r>
      <w:r w:rsidR="002279E4">
        <w:t xml:space="preserve"> fluconazole</w:t>
      </w:r>
      <w:r w:rsidR="00ED745D">
        <w:t>,</w:t>
      </w:r>
      <w:r w:rsidR="002279E4">
        <w:t xml:space="preserve"> the mortality of CrAg positive PLHIV remains consistently higher (2-3 times</w:t>
      </w:r>
      <w:r w:rsidR="00666A75">
        <w:t xml:space="preserve"> greater</w:t>
      </w:r>
      <w:r w:rsidR="002279E4">
        <w:t>) than the mortality of</w:t>
      </w:r>
      <w:r w:rsidR="00666A75">
        <w:t xml:space="preserve"> PLHIV screening CrAg negative</w:t>
      </w:r>
      <w:r w:rsidR="00E179B2">
        <w:t xml:space="preserve"> [1</w:t>
      </w:r>
      <w:r w:rsidR="0029363F">
        <w:t>3</w:t>
      </w:r>
      <w:r w:rsidR="00E179B2">
        <w:t>]</w:t>
      </w:r>
      <w:r w:rsidR="00666A75">
        <w:t>.  In addition</w:t>
      </w:r>
      <w:r w:rsidR="00ED745D">
        <w:t>,</w:t>
      </w:r>
      <w:r w:rsidR="00666A75">
        <w:t xml:space="preserve"> there is consistent and increasing evidence that as many as 40% </w:t>
      </w:r>
      <w:r w:rsidR="005E49CE">
        <w:t xml:space="preserve">of </w:t>
      </w:r>
      <w:r w:rsidR="00666A75">
        <w:t>PLHIV with advanced disease who screen CrAg positive have sub-clinical meningitis</w:t>
      </w:r>
      <w:r w:rsidR="00293E2A">
        <w:t>, irrespective of symptoms</w:t>
      </w:r>
      <w:r w:rsidR="00805274">
        <w:t xml:space="preserve"> [1</w:t>
      </w:r>
      <w:r w:rsidR="0015240F">
        <w:t>4</w:t>
      </w:r>
      <w:r w:rsidR="00805274">
        <w:t>-1</w:t>
      </w:r>
      <w:r w:rsidR="0015240F">
        <w:t>7</w:t>
      </w:r>
      <w:r w:rsidR="005A6A91">
        <w:t>]</w:t>
      </w:r>
      <w:r w:rsidR="00666A75">
        <w:t xml:space="preserve">.  5FC </w:t>
      </w:r>
      <w:r w:rsidR="0015240F">
        <w:t>may</w:t>
      </w:r>
      <w:r w:rsidR="00666A75">
        <w:t xml:space="preserve"> therefore prove </w:t>
      </w:r>
      <w:r w:rsidR="0015240F">
        <w:t>important</w:t>
      </w:r>
      <w:r w:rsidR="00666A75">
        <w:t xml:space="preserve"> for the optimal treatment of </w:t>
      </w:r>
      <w:r w:rsidR="007664B4">
        <w:t>CrAg positive PLHIV who are likely to benefit from more aggressive pre-emptive treatment.  Two weeks</w:t>
      </w:r>
      <w:r w:rsidR="00D7313B">
        <w:t xml:space="preserve"> of</w:t>
      </w:r>
      <w:r w:rsidR="007664B4">
        <w:t xml:space="preserve"> fluconazole and 5FC is an easily implementable and safe</w:t>
      </w:r>
      <w:r w:rsidR="00DB1B31">
        <w:t xml:space="preserve"> oral</w:t>
      </w:r>
      <w:r w:rsidR="007664B4">
        <w:t xml:space="preserve"> </w:t>
      </w:r>
      <w:r w:rsidR="004A56AD">
        <w:t xml:space="preserve">induction </w:t>
      </w:r>
      <w:r w:rsidR="007664B4">
        <w:t xml:space="preserve">treatment option for </w:t>
      </w:r>
      <w:r w:rsidR="00550991">
        <w:t>high</w:t>
      </w:r>
      <w:r w:rsidR="000B19C1">
        <w:t>-</w:t>
      </w:r>
      <w:r w:rsidR="00550991">
        <w:t xml:space="preserve">titre </w:t>
      </w:r>
      <w:r w:rsidR="00ED745D">
        <w:t>CrAg</w:t>
      </w:r>
      <w:r w:rsidR="000B19C1">
        <w:t>-</w:t>
      </w:r>
      <w:r w:rsidR="00ED745D">
        <w:t xml:space="preserve">positive PLHIV presenting to </w:t>
      </w:r>
      <w:r w:rsidR="007664B4">
        <w:t>primary care centres where intravenous administration of medicines is not</w:t>
      </w:r>
      <w:r w:rsidR="00E136C1">
        <w:t xml:space="preserve"> generally</w:t>
      </w:r>
      <w:r w:rsidR="007664B4">
        <w:t xml:space="preserve"> feasible.</w:t>
      </w:r>
      <w:r w:rsidR="00B613DA">
        <w:t xml:space="preserve">  The presence of high CrAg titres correlates with the presence of</w:t>
      </w:r>
      <w:r w:rsidR="000B19C1">
        <w:t xml:space="preserve"> cryptoccocal</w:t>
      </w:r>
      <w:r w:rsidR="00B613DA">
        <w:t xml:space="preserve"> meningitis and can be detected with new, second</w:t>
      </w:r>
      <w:r w:rsidR="000B19C1">
        <w:t>-</w:t>
      </w:r>
      <w:r w:rsidR="00B613DA">
        <w:t>generation CrAg LFAs [1</w:t>
      </w:r>
      <w:r w:rsidR="0015240F">
        <w:t>4</w:t>
      </w:r>
      <w:r w:rsidR="00B613DA">
        <w:t>,1</w:t>
      </w:r>
      <w:r w:rsidR="0015240F">
        <w:t>8</w:t>
      </w:r>
      <w:r w:rsidR="002A780D">
        <w:t>].</w:t>
      </w:r>
      <w:r w:rsidR="007664B4">
        <w:t xml:space="preserve"> </w:t>
      </w:r>
    </w:p>
    <w:p w14:paraId="662EE9F7" w14:textId="77777777" w:rsidR="007664B4" w:rsidRPr="00E603C5" w:rsidRDefault="007664B4" w:rsidP="007664B4">
      <w:pPr>
        <w:rPr>
          <w:b/>
        </w:rPr>
      </w:pPr>
      <w:r>
        <w:rPr>
          <w:b/>
        </w:rPr>
        <w:t>5FC s</w:t>
      </w:r>
      <w:r w:rsidRPr="00E603C5">
        <w:rPr>
          <w:b/>
        </w:rPr>
        <w:t>afety profile</w:t>
      </w:r>
    </w:p>
    <w:p w14:paraId="277B132C" w14:textId="6CD5D6ED" w:rsidR="00313379" w:rsidRDefault="00293E2A" w:rsidP="007664B4">
      <w:r>
        <w:t>T</w:t>
      </w:r>
      <w:r w:rsidR="007664B4">
        <w:t xml:space="preserve">he evidence from </w:t>
      </w:r>
      <w:r w:rsidR="00790E85">
        <w:t xml:space="preserve">pooled </w:t>
      </w:r>
      <w:r w:rsidR="007664B4">
        <w:t xml:space="preserve">cohorts of </w:t>
      </w:r>
      <w:r w:rsidR="00003DF9">
        <w:t xml:space="preserve">over 1000 </w:t>
      </w:r>
      <w:r w:rsidR="007664B4">
        <w:t>patients treated in resource</w:t>
      </w:r>
      <w:r w:rsidR="009D780A">
        <w:t>-</w:t>
      </w:r>
      <w:r w:rsidR="007664B4">
        <w:t xml:space="preserve">limited settings in Africa and Asia </w:t>
      </w:r>
      <w:r>
        <w:t>i</w:t>
      </w:r>
      <w:r w:rsidR="00DF32E9">
        <w:t>ndicates</w:t>
      </w:r>
      <w:r>
        <w:t xml:space="preserve"> that, at current recommended doses (100mg/kg/day for 2 weeks), </w:t>
      </w:r>
      <w:r w:rsidR="002E258D">
        <w:t xml:space="preserve">oral </w:t>
      </w:r>
      <w:r>
        <w:t xml:space="preserve">5FC can be administered safely </w:t>
      </w:r>
      <w:r w:rsidR="004C618F">
        <w:t>with conventional amphotericin B or fluconazole to</w:t>
      </w:r>
      <w:r>
        <w:t xml:space="preserve"> HIV-infected </w:t>
      </w:r>
      <w:r w:rsidR="004C618F">
        <w:t xml:space="preserve">patients </w:t>
      </w:r>
      <w:r w:rsidR="005A6A91">
        <w:t>[2</w:t>
      </w:r>
      <w:r w:rsidR="00470117">
        <w:t>,1</w:t>
      </w:r>
      <w:r w:rsidR="0015240F">
        <w:t>9</w:t>
      </w:r>
      <w:r w:rsidR="005A6A91">
        <w:t>]</w:t>
      </w:r>
      <w:r>
        <w:t xml:space="preserve">.  Furthermore, in this patient population, 5FC </w:t>
      </w:r>
      <w:r w:rsidR="00550991">
        <w:t xml:space="preserve">drug level </w:t>
      </w:r>
      <w:r>
        <w:t>monitoring is not required</w:t>
      </w:r>
      <w:r w:rsidR="005A6A91">
        <w:t xml:space="preserve"> [1,2</w:t>
      </w:r>
      <w:r w:rsidR="00BC2E62">
        <w:t>,</w:t>
      </w:r>
      <w:r w:rsidR="0015240F">
        <w:t>20</w:t>
      </w:r>
      <w:r w:rsidR="005A6A91">
        <w:t>]</w:t>
      </w:r>
      <w:r>
        <w:t xml:space="preserve">.  Historically there have been </w:t>
      </w:r>
      <w:r w:rsidR="00B74AB0">
        <w:t>concerns</w:t>
      </w:r>
      <w:r w:rsidR="00790E85">
        <w:t xml:space="preserve"> </w:t>
      </w:r>
      <w:r>
        <w:t xml:space="preserve">about the safety of 5FC </w:t>
      </w:r>
      <w:r w:rsidR="002E258D">
        <w:t xml:space="preserve">relating </w:t>
      </w:r>
      <w:r>
        <w:t xml:space="preserve">to </w:t>
      </w:r>
      <w:r w:rsidR="003154AF">
        <w:t>early studies</w:t>
      </w:r>
      <w:r>
        <w:t xml:space="preserve"> </w:t>
      </w:r>
      <w:r w:rsidR="003154AF">
        <w:t xml:space="preserve">that used a high dose of </w:t>
      </w:r>
      <w:r>
        <w:t>5FC dose given for &gt;2 weeks</w:t>
      </w:r>
      <w:r w:rsidR="00BB1296">
        <w:t xml:space="preserve">, or in other </w:t>
      </w:r>
      <w:r w:rsidR="00DF32E9">
        <w:t xml:space="preserve">populations </w:t>
      </w:r>
      <w:r w:rsidR="00BB1296">
        <w:t xml:space="preserve">such as premature infants and </w:t>
      </w:r>
      <w:r w:rsidR="002E258D">
        <w:t xml:space="preserve">patients with </w:t>
      </w:r>
      <w:r w:rsidR="00BB1296">
        <w:t>renal failure in critical care</w:t>
      </w:r>
      <w:r>
        <w:t>.</w:t>
      </w:r>
      <w:r w:rsidR="001E4E2A">
        <w:t xml:space="preserve">  </w:t>
      </w:r>
      <w:r w:rsidR="008126C1">
        <w:t xml:space="preserve">While the safety profile is </w:t>
      </w:r>
      <w:r w:rsidR="00E3291F">
        <w:t xml:space="preserve">much </w:t>
      </w:r>
      <w:r w:rsidR="008126C1">
        <w:t xml:space="preserve">improved when used at </w:t>
      </w:r>
      <w:r w:rsidR="00D57803">
        <w:t xml:space="preserve">current recommended </w:t>
      </w:r>
      <w:r w:rsidR="008126C1">
        <w:t>doses and durations</w:t>
      </w:r>
      <w:r w:rsidR="00D57803">
        <w:t xml:space="preserve"> (100mg/kg/day for two weeks)</w:t>
      </w:r>
      <w:r w:rsidR="008126C1">
        <w:t xml:space="preserve">, </w:t>
      </w:r>
      <w:r w:rsidR="008102F0">
        <w:t>some</w:t>
      </w:r>
      <w:r w:rsidR="001E4E2A">
        <w:t xml:space="preserve"> routine laboratory monitoring</w:t>
      </w:r>
      <w:r w:rsidR="00E3291F">
        <w:t xml:space="preserve"> (ie baseline and day 7 full blood count and creatinine)</w:t>
      </w:r>
      <w:r w:rsidR="001E4E2A">
        <w:t xml:space="preserve"> </w:t>
      </w:r>
      <w:r w:rsidR="008126C1">
        <w:t xml:space="preserve">is still </w:t>
      </w:r>
      <w:r w:rsidR="000C7070">
        <w:t>advis</w:t>
      </w:r>
      <w:r w:rsidR="008102F0">
        <w:t>able</w:t>
      </w:r>
      <w:r w:rsidR="008126C1">
        <w:t xml:space="preserve">, </w:t>
      </w:r>
      <w:r w:rsidR="00E3291F">
        <w:t xml:space="preserve">if possible, </w:t>
      </w:r>
      <w:r w:rsidR="001E4E2A">
        <w:t xml:space="preserve">with </w:t>
      </w:r>
      <w:r w:rsidR="00B44622">
        <w:t xml:space="preserve">5FC </w:t>
      </w:r>
      <w:r w:rsidR="001E4E2A">
        <w:t>dose adjustments in case of neutropaenia and/or renal impairment.</w:t>
      </w:r>
    </w:p>
    <w:p w14:paraId="58DD6A4B" w14:textId="07675861" w:rsidR="007664B4" w:rsidRDefault="007664B4" w:rsidP="007664B4">
      <w:pPr>
        <w:rPr>
          <w:b/>
        </w:rPr>
      </w:pPr>
      <w:r w:rsidRPr="00E603C5">
        <w:rPr>
          <w:b/>
        </w:rPr>
        <w:t xml:space="preserve">Barriers to </w:t>
      </w:r>
      <w:r w:rsidR="00D870A6">
        <w:rPr>
          <w:b/>
        </w:rPr>
        <w:t xml:space="preserve">5FC </w:t>
      </w:r>
      <w:r w:rsidR="00B44622">
        <w:rPr>
          <w:b/>
        </w:rPr>
        <w:t xml:space="preserve">and AmB </w:t>
      </w:r>
      <w:r w:rsidRPr="00E603C5">
        <w:rPr>
          <w:b/>
        </w:rPr>
        <w:t>access</w:t>
      </w:r>
      <w:r w:rsidR="00D870A6">
        <w:rPr>
          <w:b/>
        </w:rPr>
        <w:t xml:space="preserve"> in LMICs</w:t>
      </w:r>
    </w:p>
    <w:p w14:paraId="22B6232F" w14:textId="6E6260C9" w:rsidR="00B44622" w:rsidRDefault="002E258D">
      <w:r>
        <w:t>The s</w:t>
      </w:r>
      <w:r w:rsidR="00ED745D">
        <w:t xml:space="preserve">tandard formulation of 5FC </w:t>
      </w:r>
      <w:r>
        <w:t xml:space="preserve">is a good example of a </w:t>
      </w:r>
      <w:r w:rsidR="00ED745D">
        <w:t xml:space="preserve">market failure in </w:t>
      </w:r>
      <w:r w:rsidR="00021DAD">
        <w:t>resource-</w:t>
      </w:r>
      <w:r w:rsidR="00ED745D">
        <w:t xml:space="preserve">limited settings where </w:t>
      </w:r>
      <w:r w:rsidR="00945BE6">
        <w:t xml:space="preserve">the </w:t>
      </w:r>
      <w:r w:rsidR="00ED745D">
        <w:t>need is greatest</w:t>
      </w:r>
      <w:r w:rsidR="005A6A91">
        <w:t xml:space="preserve"> [2,3]</w:t>
      </w:r>
      <w:r w:rsidR="00ED745D">
        <w:t xml:space="preserve">.  </w:t>
      </w:r>
      <w:r w:rsidR="00003DF9">
        <w:t>Current</w:t>
      </w:r>
      <w:r>
        <w:t>ly</w:t>
      </w:r>
      <w:r w:rsidR="00ED745D">
        <w:t>, specific</w:t>
      </w:r>
      <w:r w:rsidR="00003DF9">
        <w:t xml:space="preserve"> barriers to access include: 5FC not being listed in countr</w:t>
      </w:r>
      <w:r w:rsidR="00DB1B31">
        <w:t>ies’</w:t>
      </w:r>
      <w:r w:rsidR="00E95008">
        <w:t xml:space="preserve"> </w:t>
      </w:r>
      <w:r>
        <w:t xml:space="preserve">national </w:t>
      </w:r>
      <w:r w:rsidR="00003DF9">
        <w:t>essential medicine lists</w:t>
      </w:r>
      <w:r w:rsidR="00E5294F">
        <w:t xml:space="preserve"> (despite being on the WHO </w:t>
      </w:r>
      <w:r w:rsidR="00383154">
        <w:t>Essential Medicine List (</w:t>
      </w:r>
      <w:r w:rsidR="00E5294F">
        <w:t>EML</w:t>
      </w:r>
      <w:r w:rsidR="00383154">
        <w:t>)</w:t>
      </w:r>
      <w:r w:rsidR="00E5294F">
        <w:t xml:space="preserve"> since 2013)</w:t>
      </w:r>
      <w:r w:rsidR="00003DF9">
        <w:t>, lack of in-country registration</w:t>
      </w:r>
      <w:r w:rsidR="00ED745D">
        <w:t xml:space="preserve">, </w:t>
      </w:r>
      <w:r w:rsidR="00971458">
        <w:t xml:space="preserve">high </w:t>
      </w:r>
      <w:r w:rsidR="00ED745D">
        <w:t xml:space="preserve">cost and too few generic manufacturers interested in </w:t>
      </w:r>
      <w:r>
        <w:t>developing this product</w:t>
      </w:r>
      <w:r w:rsidR="00ED745D">
        <w:t>.</w:t>
      </w:r>
      <w:r w:rsidR="00D870A6">
        <w:t xml:space="preserve"> </w:t>
      </w:r>
      <w:r w:rsidR="00922FCB">
        <w:t xml:space="preserve">5FC is currently unregistered in any African country.  </w:t>
      </w:r>
      <w:r w:rsidR="00922FCB">
        <w:rPr>
          <w:rFonts w:ascii="Calibri" w:hAnsi="Calibri" w:cs="Helvetica"/>
        </w:rPr>
        <w:t xml:space="preserve">In South America, 5-FC is registered in Brazil, Argentina, Colombia and French Guiana, but only available in the last two nations.  </w:t>
      </w:r>
      <w:r>
        <w:t>While t</w:t>
      </w:r>
      <w:r w:rsidR="00D870A6">
        <w:t xml:space="preserve">here are currently </w:t>
      </w:r>
      <w:r>
        <w:t xml:space="preserve">several </w:t>
      </w:r>
      <w:r w:rsidR="00D870A6">
        <w:t>S</w:t>
      </w:r>
      <w:r w:rsidR="00DB1B31">
        <w:t xml:space="preserve">tringent </w:t>
      </w:r>
      <w:r w:rsidR="00D870A6">
        <w:t>R</w:t>
      </w:r>
      <w:r w:rsidR="00DB1B31">
        <w:t xml:space="preserve">egulatory </w:t>
      </w:r>
      <w:r w:rsidR="00D870A6">
        <w:t>A</w:t>
      </w:r>
      <w:r w:rsidR="00DB1B31">
        <w:t>uthority</w:t>
      </w:r>
      <w:r w:rsidR="00D870A6">
        <w:t>-approved generic 5-FC manufacturers</w:t>
      </w:r>
      <w:r w:rsidR="004A56AD">
        <w:t>,</w:t>
      </w:r>
      <w:r>
        <w:t xml:space="preserve"> none are supplying </w:t>
      </w:r>
      <w:r w:rsidR="004A56AD">
        <w:t xml:space="preserve">5FC </w:t>
      </w:r>
      <w:r>
        <w:t>in countries with the most need</w:t>
      </w:r>
      <w:r w:rsidR="00D870A6">
        <w:t xml:space="preserve">.  Ministries of Health (MOH), </w:t>
      </w:r>
      <w:r>
        <w:t xml:space="preserve">national drug regulatory authorities (NDRAs), international </w:t>
      </w:r>
      <w:r w:rsidR="00D870A6">
        <w:t>funders</w:t>
      </w:r>
      <w:r w:rsidR="003E7813">
        <w:t xml:space="preserve">, </w:t>
      </w:r>
      <w:r w:rsidR="00971458">
        <w:t xml:space="preserve">and </w:t>
      </w:r>
      <w:r w:rsidR="003E7813">
        <w:t>drug manufacturers</w:t>
      </w:r>
      <w:r w:rsidR="00327AF1">
        <w:t xml:space="preserve"> </w:t>
      </w:r>
      <w:r>
        <w:t xml:space="preserve">must collaborate </w:t>
      </w:r>
      <w:r w:rsidR="00D870A6">
        <w:t>to ensure 5FC</w:t>
      </w:r>
      <w:r w:rsidR="003E7813">
        <w:t xml:space="preserve"> </w:t>
      </w:r>
      <w:r w:rsidR="00D870A6">
        <w:t>is listed in national formularies</w:t>
      </w:r>
      <w:r w:rsidR="003E7813">
        <w:t xml:space="preserve">, </w:t>
      </w:r>
      <w:r>
        <w:t xml:space="preserve">registration is expedited (via the WHO Collaborative Registration mechanism where possible) </w:t>
      </w:r>
      <w:r w:rsidR="007F21E8">
        <w:t xml:space="preserve">and that the </w:t>
      </w:r>
      <w:r w:rsidR="003E7813">
        <w:t xml:space="preserve">5FC market failure </w:t>
      </w:r>
      <w:r w:rsidR="007F21E8">
        <w:t xml:space="preserve">is </w:t>
      </w:r>
      <w:r w:rsidR="003E7813">
        <w:t>addressed.</w:t>
      </w:r>
      <w:r w:rsidR="00D870A6">
        <w:t xml:space="preserve"> </w:t>
      </w:r>
      <w:r w:rsidR="005B6DB4">
        <w:t xml:space="preserve">In addition, there is low and unpredictable demand from countries and </w:t>
      </w:r>
      <w:r w:rsidR="007F21E8">
        <w:t>a lack of</w:t>
      </w:r>
      <w:r w:rsidR="005B6DB4">
        <w:t xml:space="preserve"> financing for </w:t>
      </w:r>
      <w:r w:rsidR="001E4E2A">
        <w:t xml:space="preserve">a </w:t>
      </w:r>
      <w:r w:rsidR="005B6DB4">
        <w:t>disease</w:t>
      </w:r>
      <w:r w:rsidR="001E4E2A">
        <w:t xml:space="preserve"> that causes up to 20% HIV-related mortality</w:t>
      </w:r>
      <w:r w:rsidR="005B6DB4">
        <w:t xml:space="preserve">. </w:t>
      </w:r>
      <w:r w:rsidR="00DF3089">
        <w:t xml:space="preserve">Increased awareness of the safety and efficacy </w:t>
      </w:r>
      <w:r w:rsidR="004A56AD">
        <w:t xml:space="preserve">of </w:t>
      </w:r>
      <w:r w:rsidR="00DF3089">
        <w:t>one-week intravenous-based therapy or a two-week oral course of fluconazole and 5FC</w:t>
      </w:r>
      <w:r w:rsidR="000C306C">
        <w:t>,</w:t>
      </w:r>
      <w:r w:rsidR="00DB1B31">
        <w:t xml:space="preserve"> </w:t>
      </w:r>
      <w:r w:rsidR="007F21E8">
        <w:t xml:space="preserve">will </w:t>
      </w:r>
      <w:r w:rsidR="00DF3089">
        <w:t>significantly increase demand and uptake</w:t>
      </w:r>
      <w:r w:rsidR="007F21E8">
        <w:t xml:space="preserve"> of 5FC</w:t>
      </w:r>
      <w:r w:rsidR="00DF3089">
        <w:t>.</w:t>
      </w:r>
    </w:p>
    <w:p w14:paraId="04DB019A" w14:textId="28B5AE6C" w:rsidR="00754236" w:rsidRPr="00754236" w:rsidRDefault="00754236">
      <w:r>
        <w:t xml:space="preserve">AmB is the most rapidly acting medicine against Cryptococcus </w:t>
      </w:r>
      <w:r w:rsidRPr="00754236">
        <w:rPr>
          <w:i/>
        </w:rPr>
        <w:t>neoformans</w:t>
      </w:r>
      <w:r>
        <w:t xml:space="preserve"> but requires intravenous administration and careful monitoring of blood count</w:t>
      </w:r>
      <w:r w:rsidR="004E6462">
        <w:t>s</w:t>
      </w:r>
      <w:r>
        <w:t xml:space="preserve"> and renal function</w:t>
      </w:r>
      <w:r w:rsidR="009F11F4">
        <w:t xml:space="preserve"> to manage common </w:t>
      </w:r>
      <w:r w:rsidR="008E543D">
        <w:t>side effects such as anaemia and renal impairment</w:t>
      </w:r>
      <w:r>
        <w:t xml:space="preserve"> [</w:t>
      </w:r>
      <w:r w:rsidR="008E543D">
        <w:t>3,1</w:t>
      </w:r>
      <w:r w:rsidR="00E75739">
        <w:t>9</w:t>
      </w:r>
      <w:r w:rsidR="008E543D">
        <w:t xml:space="preserve">].  </w:t>
      </w:r>
      <w:r w:rsidR="00CC33FB">
        <w:t xml:space="preserve">The WHO </w:t>
      </w:r>
      <w:r w:rsidR="007B1019">
        <w:t xml:space="preserve">clearly outlines a minimum package for the prevention, monitoring and management of </w:t>
      </w:r>
      <w:r w:rsidR="00DD0719">
        <w:t>toxicity to minimise serious AmB</w:t>
      </w:r>
      <w:r w:rsidR="007B1019">
        <w:t>-related side effects [</w:t>
      </w:r>
      <w:r w:rsidR="00CC33FB">
        <w:t xml:space="preserve">4].  </w:t>
      </w:r>
      <w:r w:rsidR="008E543D">
        <w:t>The short</w:t>
      </w:r>
      <w:r w:rsidR="00050788">
        <w:t>-</w:t>
      </w:r>
      <w:r w:rsidR="008E543D">
        <w:t xml:space="preserve">course AmB </w:t>
      </w:r>
      <w:r w:rsidR="009F11F4">
        <w:t xml:space="preserve">combination </w:t>
      </w:r>
      <w:r w:rsidR="008E543D">
        <w:t xml:space="preserve">strategy had the added benefit of a good safety profile with less laboratory monitoring required compared to a </w:t>
      </w:r>
      <w:proofErr w:type="gramStart"/>
      <w:r w:rsidR="008E543D">
        <w:t>two week</w:t>
      </w:r>
      <w:proofErr w:type="gramEnd"/>
      <w:r w:rsidR="008E543D">
        <w:t xml:space="preserve"> AmB course</w:t>
      </w:r>
      <w:r w:rsidR="009F11F4">
        <w:t xml:space="preserve"> [1,1</w:t>
      </w:r>
      <w:r w:rsidR="00E75739">
        <w:t>9</w:t>
      </w:r>
      <w:r w:rsidR="009F11F4">
        <w:t xml:space="preserve">].  </w:t>
      </w:r>
      <w:r w:rsidR="00B20FE0">
        <w:lastRenderedPageBreak/>
        <w:t>Indeed, a</w:t>
      </w:r>
      <w:r w:rsidR="008E543D">
        <w:t xml:space="preserve">naemia and renal impairment </w:t>
      </w:r>
      <w:r w:rsidR="009F11F4">
        <w:t xml:space="preserve">are </w:t>
      </w:r>
      <w:r w:rsidR="008E543D">
        <w:t>mo</w:t>
      </w:r>
      <w:r w:rsidR="009F11F4">
        <w:t xml:space="preserve">re common in the second week of AmB </w:t>
      </w:r>
      <w:r w:rsidR="008E543D">
        <w:t>therapy</w:t>
      </w:r>
      <w:r w:rsidR="009F11F4">
        <w:t xml:space="preserve"> [</w:t>
      </w:r>
      <w:r w:rsidR="008E543D">
        <w:t>1</w:t>
      </w:r>
      <w:r w:rsidR="00E75739">
        <w:t>9</w:t>
      </w:r>
      <w:r w:rsidR="008E543D">
        <w:t xml:space="preserve">].  </w:t>
      </w:r>
      <w:r w:rsidR="009F11F4">
        <w:t xml:space="preserve">Barriers </w:t>
      </w:r>
      <w:r w:rsidR="008E543D">
        <w:t>to AmB access in LMICs include:</w:t>
      </w:r>
      <w:r w:rsidR="009F11F4">
        <w:t xml:space="preserve"> high cost, lack of widely accessible training programs for safe AmB administration and uncoordinated funding, procurement and drug distribution [3].  Liposomal AmB</w:t>
      </w:r>
      <w:r w:rsidR="008B391C">
        <w:t xml:space="preserve"> (L-AmB)</w:t>
      </w:r>
      <w:r w:rsidR="009F11F4">
        <w:t xml:space="preserve"> </w:t>
      </w:r>
      <w:r w:rsidR="00AC1391">
        <w:t>has comparable efficacy and</w:t>
      </w:r>
      <w:r w:rsidR="008B391C">
        <w:t xml:space="preserve"> </w:t>
      </w:r>
      <w:r w:rsidR="00050788">
        <w:t xml:space="preserve">superior </w:t>
      </w:r>
      <w:r w:rsidR="008B391C">
        <w:t xml:space="preserve">tolerability </w:t>
      </w:r>
      <w:r w:rsidR="00AC1391">
        <w:t>compared to AmB and in combination with high-dose fluconazole ha</w:t>
      </w:r>
      <w:r w:rsidR="00B80C9D">
        <w:t>s</w:t>
      </w:r>
      <w:r w:rsidR="00AC1391">
        <w:t xml:space="preserve"> recently been shown to be effective for the treatment of cryptococcal meningitis </w:t>
      </w:r>
      <w:r w:rsidR="008B391C">
        <w:t>[2</w:t>
      </w:r>
      <w:r w:rsidR="00E75739">
        <w:t>1, 22,23</w:t>
      </w:r>
      <w:r w:rsidR="008B391C">
        <w:t>]</w:t>
      </w:r>
      <w:r w:rsidR="00AC1391">
        <w:t>.</w:t>
      </w:r>
      <w:r w:rsidR="00C0078E">
        <w:t xml:space="preserve">  </w:t>
      </w:r>
      <w:r w:rsidR="004E6462">
        <w:t>A s</w:t>
      </w:r>
      <w:r w:rsidR="008B391C">
        <w:t xml:space="preserve">ingle dose </w:t>
      </w:r>
      <w:r w:rsidR="004E6462">
        <w:t xml:space="preserve">of </w:t>
      </w:r>
      <w:r w:rsidR="008B391C">
        <w:t>L-AmB</w:t>
      </w:r>
      <w:r w:rsidR="00C1036D">
        <w:t xml:space="preserve"> (10mg/kg) </w:t>
      </w:r>
      <w:r w:rsidR="00CC33FB">
        <w:t>combined with</w:t>
      </w:r>
      <w:r w:rsidR="008B391C">
        <w:t xml:space="preserve"> fluconazole and 5FC is being </w:t>
      </w:r>
      <w:r w:rsidR="00CC33FB">
        <w:t>evaluated</w:t>
      </w:r>
      <w:r w:rsidR="008B391C">
        <w:t xml:space="preserve"> in an ongoing phase 3 clinical endpoint trial [isrctn 10248064].</w:t>
      </w:r>
      <w:r w:rsidR="00C0078E">
        <w:t xml:space="preserve">  High cost </w:t>
      </w:r>
      <w:r w:rsidR="00163DCD">
        <w:t xml:space="preserve">and lack of registration </w:t>
      </w:r>
      <w:r w:rsidR="00C0078E">
        <w:t>remain the biggest barrier</w:t>
      </w:r>
      <w:r w:rsidR="00163DCD">
        <w:t>s</w:t>
      </w:r>
      <w:r w:rsidR="00C0078E">
        <w:t xml:space="preserve"> to </w:t>
      </w:r>
      <w:r w:rsidR="008A6BBD">
        <w:t xml:space="preserve">less toxic </w:t>
      </w:r>
      <w:r w:rsidR="00C0078E">
        <w:t xml:space="preserve">L-AmB </w:t>
      </w:r>
      <w:r w:rsidR="008A6BBD">
        <w:t xml:space="preserve">formulations </w:t>
      </w:r>
      <w:r w:rsidR="00C0078E">
        <w:t xml:space="preserve">being used in </w:t>
      </w:r>
      <w:r w:rsidR="00021DAD">
        <w:t>resource-</w:t>
      </w:r>
      <w:r w:rsidR="00C0078E">
        <w:t>limited settings</w:t>
      </w:r>
      <w:r w:rsidR="008A6BBD">
        <w:t xml:space="preserve"> [3].</w:t>
      </w:r>
      <w:r w:rsidR="00C0078E">
        <w:t xml:space="preserve"> </w:t>
      </w:r>
    </w:p>
    <w:p w14:paraId="5C850DEF" w14:textId="5487D53B" w:rsidR="00053A1E" w:rsidRPr="00E603C5" w:rsidRDefault="002E258D" w:rsidP="00053A1E">
      <w:pPr>
        <w:rPr>
          <w:b/>
        </w:rPr>
      </w:pPr>
      <w:r>
        <w:rPr>
          <w:b/>
        </w:rPr>
        <w:t>Modified</w:t>
      </w:r>
      <w:r w:rsidR="00053A1E" w:rsidRPr="00E603C5">
        <w:rPr>
          <w:b/>
        </w:rPr>
        <w:t>-release formulations of 5FC</w:t>
      </w:r>
    </w:p>
    <w:p w14:paraId="6798B093" w14:textId="0C88B683" w:rsidR="002E258D" w:rsidRDefault="00053A1E">
      <w:r>
        <w:t>The current dosing schedule for 5FC (100</w:t>
      </w:r>
      <w:r w:rsidR="000B19C1">
        <w:t xml:space="preserve"> </w:t>
      </w:r>
      <w:r>
        <w:t>mg/kg/day in 4 divided doses) is problematic</w:t>
      </w:r>
      <w:r w:rsidR="00984462">
        <w:t>, particularly</w:t>
      </w:r>
      <w:r>
        <w:t xml:space="preserve"> for </w:t>
      </w:r>
      <w:r w:rsidR="00021DAD">
        <w:t>resource-</w:t>
      </w:r>
      <w:r>
        <w:t>limited settings where healthcare facilities are overcrowded and routine care staff ove</w:t>
      </w:r>
      <w:r w:rsidR="001E4E2A">
        <w:t>rburdened</w:t>
      </w:r>
      <w:r>
        <w:t xml:space="preserve">.  In addition, </w:t>
      </w:r>
      <w:r w:rsidR="009827F9">
        <w:t>most</w:t>
      </w:r>
      <w:r>
        <w:t xml:space="preserve"> cryptococcal meningitis patient</w:t>
      </w:r>
      <w:r w:rsidR="009827F9">
        <w:t>s</w:t>
      </w:r>
      <w:r>
        <w:t xml:space="preserve"> have a reduced level of conscious</w:t>
      </w:r>
      <w:r w:rsidR="00DB1B31">
        <w:t>ness</w:t>
      </w:r>
      <w:r>
        <w:t xml:space="preserve">, with current standard formulations </w:t>
      </w:r>
      <w:r w:rsidR="007F21E8">
        <w:t xml:space="preserve">being </w:t>
      </w:r>
      <w:r>
        <w:t xml:space="preserve">crushed and given </w:t>
      </w:r>
      <w:r w:rsidR="00DB1B31">
        <w:t>by</w:t>
      </w:r>
      <w:r w:rsidR="00B152B7">
        <w:t xml:space="preserve"> </w:t>
      </w:r>
      <w:r>
        <w:t>naso-gastric</w:t>
      </w:r>
      <w:r w:rsidR="00DF32E9">
        <w:t xml:space="preserve"> (NG)</w:t>
      </w:r>
      <w:r w:rsidR="00BB4C78">
        <w:t xml:space="preserve"> tube</w:t>
      </w:r>
      <w:r>
        <w:t xml:space="preserve">.  The development of </w:t>
      </w:r>
      <w:r w:rsidR="00264151">
        <w:t xml:space="preserve">once or </w:t>
      </w:r>
      <w:r>
        <w:t xml:space="preserve">twice daily administered </w:t>
      </w:r>
      <w:r w:rsidR="00BD1EA2">
        <w:t>modified</w:t>
      </w:r>
      <w:r>
        <w:t>-release formulations of 5FC</w:t>
      </w:r>
      <w:r w:rsidR="00550991">
        <w:t xml:space="preserve">, </w:t>
      </w:r>
      <w:r w:rsidR="001F793B">
        <w:t>better adapted to</w:t>
      </w:r>
      <w:r w:rsidR="00550991">
        <w:t xml:space="preserve"> effective administration via NG tube</w:t>
      </w:r>
      <w:r w:rsidR="001F793B">
        <w:t xml:space="preserve"> and dose adjustment</w:t>
      </w:r>
      <w:r w:rsidR="00550991">
        <w:t xml:space="preserve">, </w:t>
      </w:r>
      <w:r>
        <w:t xml:space="preserve">is a priority for such patients.  </w:t>
      </w:r>
      <w:r w:rsidR="00746B6B">
        <w:t>However</w:t>
      </w:r>
      <w:r w:rsidR="00984462">
        <w:t>,</w:t>
      </w:r>
      <w:r w:rsidR="00746B6B">
        <w:t xml:space="preserve"> t</w:t>
      </w:r>
      <w:r>
        <w:t>he development of</w:t>
      </w:r>
      <w:r w:rsidR="00BD1EA2">
        <w:t xml:space="preserve"> modified</w:t>
      </w:r>
      <w:r>
        <w:t xml:space="preserve"> release formulations </w:t>
      </w:r>
      <w:r w:rsidR="007F21E8">
        <w:t xml:space="preserve">must </w:t>
      </w:r>
      <w:r>
        <w:t>not detract from registration and increased access to available standard formulations of 5FC in LMICs.</w:t>
      </w:r>
    </w:p>
    <w:p w14:paraId="49E3629D" w14:textId="09B64FA1" w:rsidR="002279E4" w:rsidRDefault="007F21E8">
      <w:pPr>
        <w:rPr>
          <w:b/>
        </w:rPr>
      </w:pPr>
      <w:r>
        <w:rPr>
          <w:b/>
        </w:rPr>
        <w:t xml:space="preserve">New WHO </w:t>
      </w:r>
      <w:r w:rsidR="002279E4">
        <w:rPr>
          <w:b/>
        </w:rPr>
        <w:t>guidelines</w:t>
      </w:r>
      <w:r w:rsidR="00B96E82">
        <w:rPr>
          <w:b/>
        </w:rPr>
        <w:t xml:space="preserve"> for the management of </w:t>
      </w:r>
      <w:r w:rsidR="00034E46">
        <w:rPr>
          <w:b/>
        </w:rPr>
        <w:t xml:space="preserve">HIV-related </w:t>
      </w:r>
      <w:r w:rsidR="00B96E82">
        <w:rPr>
          <w:b/>
        </w:rPr>
        <w:t>cryptococcal disease</w:t>
      </w:r>
      <w:r w:rsidR="00666A75">
        <w:rPr>
          <w:b/>
        </w:rPr>
        <w:t xml:space="preserve"> </w:t>
      </w:r>
    </w:p>
    <w:p w14:paraId="2E633E94" w14:textId="1F9F05D0" w:rsidR="00357CBA" w:rsidRDefault="00034E46">
      <w:r>
        <w:t>New 2018 WHO guidelines recommend both s</w:t>
      </w:r>
      <w:r w:rsidR="00666A75">
        <w:t>hort course AmB with 5FC and two weeks</w:t>
      </w:r>
      <w:r w:rsidR="00D7313B">
        <w:t xml:space="preserve"> of</w:t>
      </w:r>
      <w:r w:rsidR="00666A75">
        <w:t xml:space="preserve"> 5FC + fluconazole</w:t>
      </w:r>
      <w:r>
        <w:t xml:space="preserve"> as induction regimens for cryptococal meningitis [4].  </w:t>
      </w:r>
      <w:r w:rsidR="00666A75">
        <w:t xml:space="preserve">CrAg screening </w:t>
      </w:r>
      <w:r>
        <w:t>for all adults and adolescents with advanced HIV disease, with pre-emptive therapy if CrAg</w:t>
      </w:r>
      <w:r w:rsidR="000B19C1">
        <w:t>-</w:t>
      </w:r>
      <w:r>
        <w:t xml:space="preserve">positive, is also recommended [4].  These recommendations </w:t>
      </w:r>
      <w:r w:rsidR="00666A75">
        <w:t xml:space="preserve">will become the new gold standard treatments and standard of care for </w:t>
      </w:r>
      <w:r w:rsidR="00021DAD">
        <w:t>resource-</w:t>
      </w:r>
      <w:r w:rsidR="005A6A91">
        <w:t>limited settings</w:t>
      </w:r>
      <w:r w:rsidR="00BC2E62">
        <w:t xml:space="preserve"> [4]</w:t>
      </w:r>
      <w:r w:rsidR="005A6A91">
        <w:t xml:space="preserve">.  </w:t>
      </w:r>
    </w:p>
    <w:p w14:paraId="1CD2C265" w14:textId="5C787063" w:rsidR="00357CBA" w:rsidRPr="00C1036D" w:rsidRDefault="00357CBA">
      <w:pPr>
        <w:rPr>
          <w:b/>
        </w:rPr>
      </w:pPr>
      <w:r w:rsidRPr="00C1036D">
        <w:rPr>
          <w:b/>
        </w:rPr>
        <w:t>Conclusion</w:t>
      </w:r>
    </w:p>
    <w:p w14:paraId="334B1074" w14:textId="30648F1B" w:rsidR="00713C99" w:rsidRDefault="005A6A91">
      <w:r>
        <w:t>R</w:t>
      </w:r>
      <w:r w:rsidR="00666A75">
        <w:t xml:space="preserve">educing the persistent mortality </w:t>
      </w:r>
      <w:r w:rsidR="003E7813">
        <w:t>of PLHIV with advanced disease</w:t>
      </w:r>
      <w:r w:rsidR="00553748">
        <w:t>,</w:t>
      </w:r>
      <w:r w:rsidR="003E7813">
        <w:t xml:space="preserve"> affecting </w:t>
      </w:r>
      <w:r w:rsidR="00666A75">
        <w:t>approximately one third</w:t>
      </w:r>
      <w:r w:rsidR="003E7813">
        <w:t xml:space="preserve"> of patients presenting to care in </w:t>
      </w:r>
      <w:r w:rsidR="00553748">
        <w:t>LMICs</w:t>
      </w:r>
      <w:r w:rsidR="00E907B2">
        <w:t>,</w:t>
      </w:r>
      <w:r>
        <w:t xml:space="preserve"> is </w:t>
      </w:r>
      <w:r w:rsidR="00E907B2">
        <w:t xml:space="preserve">now </w:t>
      </w:r>
      <w:r>
        <w:t>an important focus</w:t>
      </w:r>
      <w:r w:rsidR="00666A75">
        <w:t xml:space="preserve"> in keeping</w:t>
      </w:r>
      <w:r w:rsidR="00553748">
        <w:t xml:space="preserve"> with WHO’s 2017 guidelines on Managing A</w:t>
      </w:r>
      <w:r w:rsidR="00E907B2">
        <w:t>dvanced HIV disease</w:t>
      </w:r>
      <w:r w:rsidR="00BC2E62">
        <w:t xml:space="preserve"> [</w:t>
      </w:r>
      <w:r w:rsidR="002A780D">
        <w:t>2</w:t>
      </w:r>
      <w:r w:rsidR="00B80C9D">
        <w:t>4</w:t>
      </w:r>
      <w:r w:rsidR="00BC2E62">
        <w:t>]</w:t>
      </w:r>
      <w:r w:rsidR="00E907B2">
        <w:t xml:space="preserve">.  </w:t>
      </w:r>
      <w:r w:rsidR="000253AA">
        <w:t xml:space="preserve">Tackling the significant mortality of HIV-related cryptococcal meningitis in LMICs is paramount, and access to 5FC </w:t>
      </w:r>
      <w:r w:rsidR="00B96E82">
        <w:t>and AmB are critical (Panel).</w:t>
      </w:r>
    </w:p>
    <w:p w14:paraId="0E043F76" w14:textId="43359687" w:rsidR="00EC4F57" w:rsidRDefault="00B96E82">
      <w:pPr>
        <w:rPr>
          <w:b/>
        </w:rPr>
      </w:pPr>
      <w:r>
        <w:rPr>
          <w:b/>
        </w:rPr>
        <w:t>Panel</w:t>
      </w:r>
    </w:p>
    <w:p w14:paraId="2536B961" w14:textId="286C7E05" w:rsidR="00B96E82" w:rsidRPr="00EC4F57" w:rsidRDefault="00B96E82">
      <w:pPr>
        <w:rPr>
          <w:b/>
        </w:rPr>
      </w:pPr>
      <w:r>
        <w:rPr>
          <w:b/>
        </w:rPr>
        <w:t>Actions to increase access to safe, effective treatment for cryptococcal meningitis</w:t>
      </w:r>
    </w:p>
    <w:p w14:paraId="54DA9F9C" w14:textId="617F6808" w:rsidR="00B96E82" w:rsidRDefault="00B96E82" w:rsidP="00B96E82">
      <w:pPr>
        <w:pStyle w:val="ListParagraph"/>
        <w:numPr>
          <w:ilvl w:val="0"/>
          <w:numId w:val="3"/>
        </w:numPr>
      </w:pPr>
      <w:r>
        <w:t xml:space="preserve">Incorporate latest WHO guidance on </w:t>
      </w:r>
      <w:r w:rsidR="00034E46">
        <w:t xml:space="preserve">HIV-related </w:t>
      </w:r>
      <w:r>
        <w:t xml:space="preserve">cryptococcal </w:t>
      </w:r>
      <w:r w:rsidR="00034E46">
        <w:t>disease</w:t>
      </w:r>
      <w:r>
        <w:t xml:space="preserve"> and management of advanced HIV disease into countries’ national guidelines, supported by national dissemination and training.</w:t>
      </w:r>
    </w:p>
    <w:p w14:paraId="395A7093" w14:textId="32AEB177" w:rsidR="00EC4F57" w:rsidRDefault="00EC4F57" w:rsidP="00EC4F57">
      <w:pPr>
        <w:pStyle w:val="ListParagraph"/>
        <w:numPr>
          <w:ilvl w:val="0"/>
          <w:numId w:val="3"/>
        </w:numPr>
      </w:pPr>
      <w:r>
        <w:t xml:space="preserve">Expedite registration of </w:t>
      </w:r>
      <w:r w:rsidR="001F793B">
        <w:t>existing</w:t>
      </w:r>
      <w:r>
        <w:t xml:space="preserve"> 5FC formulations in high burden LMICs, including </w:t>
      </w:r>
      <w:r w:rsidR="00B96E82">
        <w:t xml:space="preserve">through the </w:t>
      </w:r>
      <w:r>
        <w:t xml:space="preserve">use of the WHO Collaborative Procedure for Accelerated Registration. </w:t>
      </w:r>
    </w:p>
    <w:p w14:paraId="0B5E0FD4" w14:textId="72DADED8" w:rsidR="00EC4F57" w:rsidRDefault="00EC4F57" w:rsidP="00EC4F57">
      <w:pPr>
        <w:pStyle w:val="ListParagraph"/>
        <w:numPr>
          <w:ilvl w:val="0"/>
          <w:numId w:val="3"/>
        </w:numPr>
      </w:pPr>
      <w:r>
        <w:t xml:space="preserve">Include 5FC, conventional </w:t>
      </w:r>
      <w:r w:rsidR="00056E61">
        <w:t xml:space="preserve">deoxycholate </w:t>
      </w:r>
      <w:r>
        <w:t xml:space="preserve">and liposomal formulations of amphotericin B in </w:t>
      </w:r>
      <w:r w:rsidR="00034E46">
        <w:t xml:space="preserve">the essential medicines lists (EMLs) of </w:t>
      </w:r>
      <w:r>
        <w:t>LMI</w:t>
      </w:r>
      <w:r w:rsidR="00034E46">
        <w:t>C</w:t>
      </w:r>
      <w:r>
        <w:t>s.</w:t>
      </w:r>
    </w:p>
    <w:p w14:paraId="3291E7E5" w14:textId="51A402A6" w:rsidR="00EC4F57" w:rsidRDefault="00EC4F57" w:rsidP="00264151">
      <w:pPr>
        <w:pStyle w:val="ListParagraph"/>
        <w:numPr>
          <w:ilvl w:val="0"/>
          <w:numId w:val="3"/>
        </w:numPr>
      </w:pPr>
      <w:r>
        <w:t xml:space="preserve">Ensure capacity for sustainable supply of </w:t>
      </w:r>
      <w:r w:rsidR="00863D50">
        <w:t xml:space="preserve">CrAg diagnostic tests, </w:t>
      </w:r>
      <w:r>
        <w:t>5FC</w:t>
      </w:r>
      <w:r w:rsidR="00EE0EAE">
        <w:t>,</w:t>
      </w:r>
      <w:r>
        <w:t xml:space="preserve"> </w:t>
      </w:r>
      <w:r w:rsidR="00B44622">
        <w:t xml:space="preserve">AmB </w:t>
      </w:r>
      <w:r w:rsidR="00EE0EAE">
        <w:t>and L-AmB</w:t>
      </w:r>
      <w:r w:rsidR="0018619B">
        <w:t xml:space="preserve"> </w:t>
      </w:r>
      <w:r>
        <w:t xml:space="preserve">to meet country demands </w:t>
      </w:r>
      <w:r w:rsidR="007F21E8">
        <w:t xml:space="preserve">as they </w:t>
      </w:r>
      <w:r>
        <w:t>implement</w:t>
      </w:r>
      <w:r w:rsidR="007F21E8">
        <w:t xml:space="preserve"> the</w:t>
      </w:r>
      <w:r>
        <w:t xml:space="preserve"> latest WHO guidelines and scale up</w:t>
      </w:r>
      <w:r w:rsidR="007F21E8">
        <w:t>.</w:t>
      </w:r>
    </w:p>
    <w:p w14:paraId="70C7D7DA" w14:textId="0D8748A4" w:rsidR="00250D88" w:rsidRDefault="00250D88" w:rsidP="00264151">
      <w:pPr>
        <w:pStyle w:val="ListParagraph"/>
        <w:numPr>
          <w:ilvl w:val="0"/>
          <w:numId w:val="3"/>
        </w:numPr>
      </w:pPr>
      <w:r>
        <w:t xml:space="preserve">LMICs to </w:t>
      </w:r>
      <w:r w:rsidR="00B76C4F">
        <w:t xml:space="preserve">work with partners to </w:t>
      </w:r>
      <w:r>
        <w:t xml:space="preserve">quantify </w:t>
      </w:r>
      <w:r w:rsidR="00B76C4F">
        <w:t>amounts of CrAg tests and essential medicines needed and include these estimates in Global Fund applications and/or CDC/PEPFAR agreements.</w:t>
      </w:r>
    </w:p>
    <w:p w14:paraId="330708E4" w14:textId="1C066FA7" w:rsidR="00513D77" w:rsidRDefault="00EC4F57" w:rsidP="00513D77">
      <w:pPr>
        <w:pStyle w:val="ListParagraph"/>
        <w:numPr>
          <w:ilvl w:val="0"/>
          <w:numId w:val="3"/>
        </w:numPr>
      </w:pPr>
      <w:r>
        <w:lastRenderedPageBreak/>
        <w:t xml:space="preserve">Prioritize the development of a </w:t>
      </w:r>
      <w:r w:rsidR="001F793B">
        <w:t>modified</w:t>
      </w:r>
      <w:r>
        <w:t>-release formulation of 5FC.</w:t>
      </w:r>
    </w:p>
    <w:p w14:paraId="7154657B" w14:textId="77777777" w:rsidR="00513D77" w:rsidRDefault="00513D77" w:rsidP="00513D77">
      <w:pPr>
        <w:pStyle w:val="ListParagraph"/>
      </w:pPr>
    </w:p>
    <w:p w14:paraId="78EC338C" w14:textId="156C865B" w:rsidR="00513D77" w:rsidRPr="00C1036D" w:rsidRDefault="00513D77" w:rsidP="00513D77">
      <w:pPr>
        <w:rPr>
          <w:b/>
        </w:rPr>
      </w:pPr>
      <w:r w:rsidRPr="00C1036D">
        <w:rPr>
          <w:b/>
        </w:rPr>
        <w:t xml:space="preserve">Contributions </w:t>
      </w:r>
    </w:p>
    <w:p w14:paraId="5D5F217D" w14:textId="386CDF03" w:rsidR="00513D77" w:rsidRDefault="00876C63" w:rsidP="00513D77">
      <w:r>
        <w:rPr>
          <w:rFonts w:ascii="Calibri" w:hAnsi="Calibri"/>
          <w:color w:val="000000"/>
        </w:rPr>
        <w:t>The concept of this personal view was conceived during a meeting of the cryptococcal meningitis action group (cryptoMAG).  AL wrote the first draft of the manuscript and then i</w:t>
      </w:r>
      <w:r w:rsidR="00C1036D">
        <w:rPr>
          <w:rFonts w:ascii="Calibri" w:hAnsi="Calibri"/>
          <w:color w:val="000000"/>
        </w:rPr>
        <w:t>ncorporated key input from all </w:t>
      </w:r>
      <w:r>
        <w:rPr>
          <w:rFonts w:ascii="Calibri" w:hAnsi="Calibri"/>
          <w:color w:val="000000"/>
        </w:rPr>
        <w:t>the authors.  All authors reviewed the manuscript.</w:t>
      </w:r>
    </w:p>
    <w:p w14:paraId="21449E22" w14:textId="7F6B1CA9" w:rsidR="00513D77" w:rsidRPr="00C1036D" w:rsidRDefault="00513D77" w:rsidP="00513D77">
      <w:pPr>
        <w:rPr>
          <w:b/>
        </w:rPr>
      </w:pPr>
      <w:r w:rsidRPr="00C1036D">
        <w:rPr>
          <w:b/>
        </w:rPr>
        <w:t xml:space="preserve">Conflicts of interest </w:t>
      </w:r>
    </w:p>
    <w:p w14:paraId="04A7E841" w14:textId="013CD2B8" w:rsidR="00B0699F" w:rsidRDefault="00C1036D">
      <w:r w:rsidRPr="00415DF0">
        <w:t>NG reports personal fees from Astellas, non-financial support from MSD, outside the submitted work.</w:t>
      </w:r>
      <w:r>
        <w:t xml:space="preserve">  </w:t>
      </w:r>
      <w:r w:rsidRPr="00415DF0">
        <w:t>JD reports personal fees from Viamet Pharmaceuticals, outside the submitted work.</w:t>
      </w:r>
      <w:r>
        <w:t xml:space="preserve">  </w:t>
      </w:r>
      <w:r w:rsidRPr="00415DF0">
        <w:t>JJ reports grants from Gilead Sciences Europe, outside the submitted work.</w:t>
      </w:r>
      <w:r>
        <w:t xml:space="preserve">  </w:t>
      </w:r>
      <w:r w:rsidRPr="00415DF0">
        <w:t>TB reports grants and personal fees from Gilead Sciences Inc, outside the submitted work.</w:t>
      </w:r>
      <w:r>
        <w:t xml:space="preserve">  </w:t>
      </w:r>
      <w:r w:rsidRPr="00415DF0">
        <w:t>RSH reports grants from Medical Research Council, grants from Wellcome Trust, during the conduct of the study.</w:t>
      </w:r>
      <w:r>
        <w:t xml:space="preserve">  </w:t>
      </w:r>
      <w:r w:rsidRPr="00415DF0">
        <w:t>TH reports grants from MRC (UK), grants from ANRS (France), other from Immunomycologics, personal fees from Viamet, grants from Gilead Sciences, personal fees from Gilead Sciences, personal fees from Pfizer, during the conduct of the study.</w:t>
      </w:r>
      <w:r>
        <w:t xml:space="preserve">  </w:t>
      </w:r>
      <w:r w:rsidRPr="00415DF0">
        <w:rPr>
          <w:rFonts w:cs="Myriad Pro"/>
        </w:rPr>
        <w:t xml:space="preserve">OL reports personal fees from MSD, Astellas, Pfizer, Gilead, </w:t>
      </w:r>
      <w:r>
        <w:rPr>
          <w:rFonts w:cs="Myriad Pro"/>
        </w:rPr>
        <w:t xml:space="preserve">outside the submitted work.  </w:t>
      </w:r>
      <w:r w:rsidRPr="00415DF0">
        <w:t>DD and family hold Founder shares in F2G Ltd, a University of Manchester spin-out antifungal discovery company. DD acts or has recently acted as a consultant to Scynexis, Cidara, Quintiles, Pulmatrix, Pulmocide, Zambon, Roivant and Fujifilm. In the last 3 years, he has been paid for talks on behalf of Astellas, Dynamiker, Gilead, Merck, Mylan and Pfizer. He is a longstanding member of the Infectious Disease Society of America Aspergillosis Guidelines group, the European Society for Clinical Microbiology and Infectious Diseases Aspergillosis Guidelines group and the British Society for Medical Mycology Standards of Care committee. DD has a patent Assays for Fungal Infection licensed.</w:t>
      </w:r>
      <w:r>
        <w:t xml:space="preserve">  </w:t>
      </w:r>
    </w:p>
    <w:p w14:paraId="61C30FCD" w14:textId="77777777" w:rsidR="00713C99" w:rsidRDefault="007E2E1A">
      <w:pPr>
        <w:rPr>
          <w:b/>
        </w:rPr>
      </w:pPr>
      <w:r w:rsidRPr="007E2E1A">
        <w:rPr>
          <w:b/>
        </w:rPr>
        <w:t>References</w:t>
      </w:r>
    </w:p>
    <w:p w14:paraId="13420743" w14:textId="110AD42F" w:rsidR="007E2E1A" w:rsidRDefault="00FB30B2" w:rsidP="007E2E1A">
      <w:pPr>
        <w:pStyle w:val="ListParagraph"/>
        <w:numPr>
          <w:ilvl w:val="0"/>
          <w:numId w:val="1"/>
        </w:numPr>
      </w:pPr>
      <w:r>
        <w:t xml:space="preserve">Molloy SF, Kanyama C, Heyderman RS </w:t>
      </w:r>
      <w:r w:rsidRPr="00C54A2E">
        <w:rPr>
          <w:i/>
        </w:rPr>
        <w:t>et al</w:t>
      </w:r>
      <w:r>
        <w:t>.  Antifungal combinations for the treatment of cryptococcal meningitis in Africa.  New England Journal of Medicine 2018; 378: 1004-17.  Doi 10.1056/NEJMoa</w:t>
      </w:r>
      <w:r w:rsidR="00C54A2E">
        <w:t xml:space="preserve">1710922.  </w:t>
      </w:r>
      <w:r w:rsidR="00C54A2E" w:rsidRPr="00C54A2E">
        <w:rPr>
          <w:i/>
        </w:rPr>
        <w:t>In press</w:t>
      </w:r>
      <w:r w:rsidR="00C54A2E">
        <w:t>.  Publication date 15</w:t>
      </w:r>
      <w:r w:rsidR="00C54A2E" w:rsidRPr="00C54A2E">
        <w:rPr>
          <w:vertAlign w:val="superscript"/>
        </w:rPr>
        <w:t>th</w:t>
      </w:r>
      <w:r w:rsidR="00C54A2E">
        <w:t xml:space="preserve"> March 2018.</w:t>
      </w:r>
    </w:p>
    <w:p w14:paraId="671D5C5F" w14:textId="77777777" w:rsidR="007E2E1A" w:rsidRPr="007E2E1A" w:rsidRDefault="007E2E1A" w:rsidP="007E2E1A">
      <w:pPr>
        <w:pStyle w:val="ListParagraph"/>
        <w:numPr>
          <w:ilvl w:val="0"/>
          <w:numId w:val="1"/>
        </w:numPr>
      </w:pPr>
      <w:r w:rsidRPr="007E2E1A">
        <w:t>Loyse, A, Dromer F, Day J, Lortholary O &amp; Harrison TS. Flucytosine and cryptococcosis: time to urgently address the worldwide accessibility of a 50 year old antifungal.  Journal of Antimicrobial Chemotherapy 2013; 68(11): 2435-2444.</w:t>
      </w:r>
    </w:p>
    <w:p w14:paraId="08601194" w14:textId="7CFED99A" w:rsidR="00755E01" w:rsidRDefault="007E2E1A" w:rsidP="00755E01">
      <w:pPr>
        <w:pStyle w:val="ListParagraph"/>
        <w:numPr>
          <w:ilvl w:val="0"/>
          <w:numId w:val="1"/>
        </w:numPr>
      </w:pPr>
      <w:r w:rsidRPr="007E2E1A">
        <w:t xml:space="preserve">Loyse A, Thangaraj H, Easterbrook P </w:t>
      </w:r>
      <w:r w:rsidRPr="00B152B7">
        <w:rPr>
          <w:i/>
        </w:rPr>
        <w:t>et al</w:t>
      </w:r>
      <w:r w:rsidRPr="007E2E1A">
        <w:t>. Cryptococcal meningitis: improving access to essential antifungal medicines in resource poor countries. La</w:t>
      </w:r>
      <w:r w:rsidR="00755E01" w:rsidRPr="007E2E1A">
        <w:t>ncet Infect Dis. 2013; 13(7): 629–637.</w:t>
      </w:r>
    </w:p>
    <w:p w14:paraId="4FE1BB72" w14:textId="7E126D76" w:rsidR="00755E01" w:rsidRPr="00FC799A" w:rsidRDefault="00BC2E62" w:rsidP="00755E01">
      <w:pPr>
        <w:pStyle w:val="ListParagraph"/>
        <w:numPr>
          <w:ilvl w:val="0"/>
          <w:numId w:val="1"/>
        </w:numPr>
      </w:pPr>
      <w:r>
        <w:rPr>
          <w:bCs/>
        </w:rPr>
        <w:t>WHO g</w:t>
      </w:r>
      <w:r w:rsidR="00755E01" w:rsidRPr="00755E01">
        <w:rPr>
          <w:bCs/>
        </w:rPr>
        <w:t>uidelines for the diagnosis, prevention and management of cryptococcal disease in HIV-infected adults, adolescents and children.  Supplement to the 2016 consolidated guidelines on the use of antiretroviral drugs for treating and preventing HIV infection. WHO. Geneva. Published March 2018</w:t>
      </w:r>
      <w:r w:rsidR="00755E01">
        <w:rPr>
          <w:bCs/>
        </w:rPr>
        <w:t>.</w:t>
      </w:r>
    </w:p>
    <w:p w14:paraId="01386CEC" w14:textId="3BACC02A" w:rsidR="00FC799A" w:rsidRPr="00FC799A" w:rsidRDefault="00B76303" w:rsidP="00FC799A">
      <w:pPr>
        <w:pStyle w:val="ListParagraph"/>
      </w:pPr>
      <w:hyperlink r:id="rId8" w:history="1">
        <w:r w:rsidR="00FC799A" w:rsidRPr="00212A5E">
          <w:rPr>
            <w:rStyle w:val="Hyperlink"/>
          </w:rPr>
          <w:t>http://www.who.int/hiv/pub/guidelines/cryptococcal-disease/en/</w:t>
        </w:r>
      </w:hyperlink>
      <w:r w:rsidR="00FC799A">
        <w:rPr>
          <w:rStyle w:val="HTMLCite"/>
          <w:i w:val="0"/>
        </w:rPr>
        <w:t xml:space="preserve"> (accessed 16</w:t>
      </w:r>
      <w:r w:rsidR="00FC799A" w:rsidRPr="00FC799A">
        <w:rPr>
          <w:rStyle w:val="HTMLCite"/>
          <w:i w:val="0"/>
          <w:vertAlign w:val="superscript"/>
        </w:rPr>
        <w:t>th</w:t>
      </w:r>
      <w:r w:rsidR="00FC799A">
        <w:rPr>
          <w:rStyle w:val="HTMLCite"/>
          <w:i w:val="0"/>
        </w:rPr>
        <w:t xml:space="preserve"> March 2018)</w:t>
      </w:r>
    </w:p>
    <w:p w14:paraId="414DFB6F" w14:textId="68275CD4" w:rsidR="007E2E1A" w:rsidRPr="007E2E1A" w:rsidRDefault="007E2E1A" w:rsidP="007E2E1A">
      <w:pPr>
        <w:pStyle w:val="ListParagraph"/>
        <w:numPr>
          <w:ilvl w:val="0"/>
          <w:numId w:val="1"/>
        </w:numPr>
      </w:pPr>
      <w:r w:rsidRPr="00991BEA">
        <w:rPr>
          <w:rFonts w:cs="Times"/>
          <w:lang w:val="en-US"/>
        </w:rPr>
        <w:t>Rajasingham R, Smith RM, Park BJ, Jarvis JN, Govender NP, Chiller TM, Denning DW, Loyse A, Boulware DR. Global Burden of Disease of HIV-Associated Cryptococcal Meningitis: an Updated Analysis.</w:t>
      </w:r>
      <w:r w:rsidRPr="00991BEA">
        <w:t xml:space="preserve"> Lancet </w:t>
      </w:r>
      <w:r w:rsidR="001F6ED7">
        <w:t>Infectious Diseases 2017; 17(8): 873-881.</w:t>
      </w:r>
    </w:p>
    <w:p w14:paraId="67B3B4C1" w14:textId="6D2D5976" w:rsidR="007E2E1A" w:rsidRPr="007E2E1A" w:rsidRDefault="007E2E1A" w:rsidP="007E2E1A">
      <w:pPr>
        <w:pStyle w:val="ListParagraph"/>
        <w:numPr>
          <w:ilvl w:val="0"/>
          <w:numId w:val="1"/>
        </w:numPr>
      </w:pPr>
      <w:r w:rsidRPr="007E2E1A">
        <w:lastRenderedPageBreak/>
        <w:t xml:space="preserve">Rhein J, Morawski BM, Hullsiek KH </w:t>
      </w:r>
      <w:r w:rsidRPr="00B152B7">
        <w:rPr>
          <w:i/>
        </w:rPr>
        <w:t>et al.</w:t>
      </w:r>
      <w:r w:rsidRPr="007E2E1A">
        <w:t xml:space="preserve"> Efficacy of adjunctive sertraline for the treatment of HIV-associated cryptococcal meningitis: An open-label dose-ranging study. Lancet Infect Dis 2016; 16 (7)809–818.</w:t>
      </w:r>
    </w:p>
    <w:p w14:paraId="4D7CF564" w14:textId="4DDEDE36" w:rsidR="00B80C9D" w:rsidRPr="00B80C9D" w:rsidRDefault="00E179B2" w:rsidP="00B80C9D">
      <w:pPr>
        <w:pStyle w:val="ListParagraph"/>
        <w:numPr>
          <w:ilvl w:val="0"/>
          <w:numId w:val="1"/>
        </w:numPr>
        <w:rPr>
          <w:bCs/>
        </w:rPr>
      </w:pPr>
      <w:r w:rsidRPr="007036F4">
        <w:rPr>
          <w:lang w:val="fr-BE"/>
        </w:rPr>
        <w:t xml:space="preserve">Tenforde M, Mokomane </w:t>
      </w:r>
      <w:proofErr w:type="gramStart"/>
      <w:r w:rsidRPr="007036F4">
        <w:rPr>
          <w:lang w:val="fr-BE"/>
        </w:rPr>
        <w:t>M ,</w:t>
      </w:r>
      <w:proofErr w:type="gramEnd"/>
      <w:r w:rsidRPr="007036F4">
        <w:rPr>
          <w:lang w:val="fr-BE"/>
        </w:rPr>
        <w:t xml:space="preserve"> Leeme T, </w:t>
      </w:r>
      <w:r w:rsidRPr="004E019E">
        <w:rPr>
          <w:i/>
          <w:lang w:val="fr-BE"/>
        </w:rPr>
        <w:t>et al</w:t>
      </w:r>
      <w:r w:rsidRPr="008D6DEB">
        <w:rPr>
          <w:lang w:val="fr-BE"/>
        </w:rPr>
        <w:t xml:space="preserve">. </w:t>
      </w:r>
      <w:r w:rsidR="00B80C9D" w:rsidRPr="00B80C9D">
        <w:rPr>
          <w:bCs/>
        </w:rPr>
        <w:t>Advanced Human Immunodeficiency Virus Disease in Botswana Following Successful Antiretroviral Therapy Rollout: Incidence of and Temporal Trends in Cryptococcal Meningitis.</w:t>
      </w:r>
      <w:r w:rsidR="00B80C9D" w:rsidRPr="00B80C9D">
        <w:t xml:space="preserve"> </w:t>
      </w:r>
      <w:hyperlink r:id="rId9" w:tooltip="Clinical infectious diseases : an official publication of the Infectious Diseases Society of America." w:history="1">
        <w:r w:rsidR="00B80C9D" w:rsidRPr="00B80C9D">
          <w:rPr>
            <w:rStyle w:val="Hyperlink"/>
            <w:bCs/>
            <w:color w:val="auto"/>
            <w:u w:val="none"/>
          </w:rPr>
          <w:t>Clin Infect Dis.</w:t>
        </w:r>
      </w:hyperlink>
      <w:r w:rsidR="00B80C9D" w:rsidRPr="00B80C9D">
        <w:rPr>
          <w:bCs/>
        </w:rPr>
        <w:t xml:space="preserve"> 2017 Sep 1;65(5):779-786. doi: 10.1093/cid/cix430</w:t>
      </w:r>
    </w:p>
    <w:p w14:paraId="10CEE4DC" w14:textId="10806F14" w:rsidR="00E179B2" w:rsidRDefault="00B80C9D" w:rsidP="00E179B2">
      <w:pPr>
        <w:pStyle w:val="ListParagraph"/>
        <w:numPr>
          <w:ilvl w:val="0"/>
          <w:numId w:val="1"/>
        </w:numPr>
      </w:pPr>
      <w:r>
        <w:rPr>
          <w:bCs/>
        </w:rPr>
        <w:t xml:space="preserve"> </w:t>
      </w:r>
      <w:r w:rsidR="00E179B2" w:rsidRPr="00E179B2">
        <w:t>Day JN, Chau TH, Wolbers M</w:t>
      </w:r>
      <w:r w:rsidR="001F6ED7">
        <w:t xml:space="preserve"> </w:t>
      </w:r>
      <w:r w:rsidR="00E179B2" w:rsidRPr="00B152B7">
        <w:rPr>
          <w:i/>
        </w:rPr>
        <w:t>et al</w:t>
      </w:r>
      <w:r w:rsidR="00E179B2" w:rsidRPr="00E179B2">
        <w:t>. Combination antifungal therapy for cryptococcal meningitis. NEJM. 2013; 368(14):1291–302.</w:t>
      </w:r>
    </w:p>
    <w:p w14:paraId="6DE6625B" w14:textId="77777777" w:rsidR="001F6ED7" w:rsidRDefault="001F6ED7" w:rsidP="00E179B2">
      <w:pPr>
        <w:pStyle w:val="ListParagraph"/>
        <w:numPr>
          <w:ilvl w:val="0"/>
          <w:numId w:val="1"/>
        </w:numPr>
      </w:pPr>
      <w:r>
        <w:t>UNAIDS 90-90-90 An ambitious treatment target to help end the AIDS epidemic.  Joint United Nations Programme on HIV/AIDS. Geneva. 2014.</w:t>
      </w:r>
    </w:p>
    <w:p w14:paraId="62D2C787" w14:textId="661E8D68" w:rsidR="00E01028" w:rsidRDefault="00B76303" w:rsidP="00E75739">
      <w:hyperlink r:id="rId10" w:history="1">
        <w:r w:rsidR="001F6ED7" w:rsidRPr="00DA0438">
          <w:rPr>
            <w:rStyle w:val="Hyperlink"/>
          </w:rPr>
          <w:t>http://www.unaids.org/en/resources/documents/2017/90-90-90</w:t>
        </w:r>
      </w:hyperlink>
      <w:r w:rsidR="001F6ED7">
        <w:t xml:space="preserve"> (Accessed 12th March 2018)</w:t>
      </w:r>
    </w:p>
    <w:p w14:paraId="01FBBE6F" w14:textId="4B3D7F20" w:rsidR="00E01028" w:rsidRDefault="00E01028" w:rsidP="00E01028">
      <w:pPr>
        <w:pStyle w:val="ListParagraph"/>
        <w:numPr>
          <w:ilvl w:val="0"/>
          <w:numId w:val="1"/>
        </w:numPr>
      </w:pPr>
      <w:r>
        <w:t xml:space="preserve">Osler M, Hilderbrand K, Goemaere E, Ford N, Smith M, Meintjes G, Kruger J, Govender NP, Boulle A. The Continuing Burden of Advanced HIV Disease Over 10 Years of Increasing Antiretroviral Therapy Coverage in South Africa. Clin Inf Dis 2018. </w:t>
      </w:r>
      <w:proofErr w:type="gramStart"/>
      <w:r>
        <w:t>66;suppl</w:t>
      </w:r>
      <w:proofErr w:type="gramEnd"/>
      <w:r>
        <w:t xml:space="preserve"> 2: S118–S125.</w:t>
      </w:r>
    </w:p>
    <w:p w14:paraId="6C2E7D72" w14:textId="07B17233" w:rsidR="00E179B2" w:rsidRPr="00E179B2" w:rsidRDefault="00E179B2" w:rsidP="00E179B2">
      <w:pPr>
        <w:pStyle w:val="ListParagraph"/>
        <w:numPr>
          <w:ilvl w:val="0"/>
          <w:numId w:val="1"/>
        </w:numPr>
      </w:pPr>
      <w:r w:rsidRPr="00E179B2">
        <w:t>Nussbaum JC, Jackson A, Namarika D</w:t>
      </w:r>
      <w:r w:rsidR="001F6ED7">
        <w:t xml:space="preserve"> </w:t>
      </w:r>
      <w:r w:rsidRPr="00B152B7">
        <w:rPr>
          <w:i/>
        </w:rPr>
        <w:t>et al</w:t>
      </w:r>
      <w:r w:rsidRPr="00E179B2">
        <w:t>. Combination flucytosine and high dose fluconazole is superior to fluconazole monotherapy for cryptococcal meningitis: a randomized trial in Malawi. Clin Infect Dis. 2010; 50:338–44.</w:t>
      </w:r>
    </w:p>
    <w:p w14:paraId="4E8F8117" w14:textId="6BB8A756" w:rsidR="00E179B2" w:rsidRPr="00E179B2" w:rsidRDefault="00E179B2" w:rsidP="00E179B2">
      <w:pPr>
        <w:pStyle w:val="ListParagraph"/>
        <w:numPr>
          <w:ilvl w:val="0"/>
          <w:numId w:val="1"/>
        </w:numPr>
      </w:pPr>
      <w:r w:rsidRPr="00E179B2">
        <w:t>Jarvis JN, Harrison TS, Lawn SD</w:t>
      </w:r>
      <w:r w:rsidR="001F6ED7">
        <w:t xml:space="preserve"> </w:t>
      </w:r>
      <w:r w:rsidRPr="00B152B7">
        <w:rPr>
          <w:i/>
        </w:rPr>
        <w:t>et al</w:t>
      </w:r>
      <w:r w:rsidRPr="00E179B2">
        <w:t>. Cost effectiveness of cryptococcal antigen screening as a strategy to prevent HIV-associated cryptococcal meningitis in South Africa. PLoS One. 2013; 8(7): e69288.</w:t>
      </w:r>
    </w:p>
    <w:p w14:paraId="725820CD" w14:textId="5B7A6CA5" w:rsidR="00E179B2" w:rsidRPr="00E179B2" w:rsidRDefault="00E179B2" w:rsidP="00E179B2">
      <w:pPr>
        <w:pStyle w:val="ListParagraph"/>
        <w:numPr>
          <w:ilvl w:val="0"/>
          <w:numId w:val="1"/>
        </w:numPr>
      </w:pPr>
      <w:r w:rsidRPr="000B19C1">
        <w:rPr>
          <w:lang w:val="fr-CH"/>
        </w:rPr>
        <w:t>Mfinanga S, Chanda D, Kivuyo SL</w:t>
      </w:r>
      <w:r w:rsidR="001F6ED7" w:rsidRPr="000B19C1">
        <w:rPr>
          <w:lang w:val="fr-CH"/>
        </w:rPr>
        <w:t xml:space="preserve"> </w:t>
      </w:r>
      <w:r w:rsidRPr="000B19C1">
        <w:rPr>
          <w:i/>
          <w:lang w:val="fr-CH"/>
        </w:rPr>
        <w:t>et al</w:t>
      </w:r>
      <w:r w:rsidRPr="000B19C1">
        <w:rPr>
          <w:lang w:val="fr-CH"/>
        </w:rPr>
        <w:t xml:space="preserve">. </w:t>
      </w:r>
      <w:r w:rsidRPr="00E179B2">
        <w:t>Cryptococcal meningitis screening and community-based early adherence support reduces all-cause mortality among HIV-infected people initiating antiretroviral therapy with advanced disease: a randomised-controlled trial in Tanzania and Zambia. Lancet. 2015; 385:2173–82.</w:t>
      </w:r>
    </w:p>
    <w:p w14:paraId="39EF4352" w14:textId="76AF37BF" w:rsidR="00E179B2" w:rsidRPr="00E179B2" w:rsidRDefault="00E179B2" w:rsidP="00E179B2">
      <w:pPr>
        <w:pStyle w:val="ListParagraph"/>
        <w:numPr>
          <w:ilvl w:val="0"/>
          <w:numId w:val="1"/>
        </w:numPr>
      </w:pPr>
      <w:r w:rsidRPr="00E95008">
        <w:rPr>
          <w:lang w:val="fr-BE"/>
        </w:rPr>
        <w:t xml:space="preserve">N.Longley, JN Jarvis, G Meintjes </w:t>
      </w:r>
      <w:r w:rsidRPr="00E95008">
        <w:rPr>
          <w:i/>
          <w:lang w:val="fr-BE"/>
        </w:rPr>
        <w:t>et al.</w:t>
      </w:r>
      <w:r w:rsidRPr="00E95008">
        <w:rPr>
          <w:lang w:val="fr-BE"/>
        </w:rPr>
        <w:t xml:space="preserve"> </w:t>
      </w:r>
      <w:r w:rsidR="00C54A2E">
        <w:t xml:space="preserve">Cryptococcal antigen screening in patients initiating ART in South Africa: A prospective cohort study.  </w:t>
      </w:r>
      <w:r w:rsidRPr="00E179B2">
        <w:t>CID 2016;62(5): 581-7</w:t>
      </w:r>
    </w:p>
    <w:p w14:paraId="2AF67B87" w14:textId="087F3080" w:rsidR="00E179B2" w:rsidRPr="00E179B2" w:rsidRDefault="00E179B2" w:rsidP="00E179B2">
      <w:pPr>
        <w:pStyle w:val="ListParagraph"/>
        <w:numPr>
          <w:ilvl w:val="0"/>
          <w:numId w:val="1"/>
        </w:numPr>
      </w:pPr>
      <w:r w:rsidRPr="00E95008">
        <w:rPr>
          <w:lang w:val="fr-BE"/>
        </w:rPr>
        <w:t xml:space="preserve">R.M Wake, E Britz, C Sriruttan </w:t>
      </w:r>
      <w:r w:rsidRPr="00E95008">
        <w:rPr>
          <w:i/>
          <w:lang w:val="fr-BE"/>
        </w:rPr>
        <w:t>et al</w:t>
      </w:r>
      <w:r w:rsidRPr="00E95008">
        <w:rPr>
          <w:lang w:val="fr-BE"/>
        </w:rPr>
        <w:t xml:space="preserve">. </w:t>
      </w:r>
      <w:r w:rsidR="00B152B7">
        <w:t xml:space="preserve">High cryptococcal antigen titers in blood are predictive of subclinical cryptococcal meningitis among Human Immunodeficiency Virus-infected patients.  </w:t>
      </w:r>
      <w:r w:rsidRPr="00E179B2">
        <w:t>CID 2017/doi/10.1093/cid/cix872/4349512</w:t>
      </w:r>
    </w:p>
    <w:p w14:paraId="4CEDC29C" w14:textId="77777777" w:rsidR="005A6A91" w:rsidRDefault="00E179B2" w:rsidP="00E179B2">
      <w:pPr>
        <w:pStyle w:val="ListParagraph"/>
        <w:numPr>
          <w:ilvl w:val="0"/>
          <w:numId w:val="1"/>
        </w:numPr>
      </w:pPr>
      <w:r w:rsidRPr="00E179B2">
        <w:t xml:space="preserve">A.T Makadzange, A Hlupeni, KF Boyd </w:t>
      </w:r>
      <w:r w:rsidRPr="00C54A2E">
        <w:rPr>
          <w:i/>
        </w:rPr>
        <w:t>et al</w:t>
      </w:r>
      <w:r w:rsidRPr="00E179B2">
        <w:t>. High prevalence of CNS dissemination with asympt</w:t>
      </w:r>
      <w:r>
        <w:t>omatic cryptococcal antigenaemia.  CROI 2017</w:t>
      </w:r>
    </w:p>
    <w:p w14:paraId="584FA8F9" w14:textId="77777777" w:rsidR="00E179B2" w:rsidRPr="00E179B2" w:rsidRDefault="00E179B2" w:rsidP="005A6A91">
      <w:pPr>
        <w:pStyle w:val="ListParagraph"/>
      </w:pPr>
      <w:r w:rsidRPr="00E179B2">
        <w:t>http://www.croiconference.org/sessions/high-prevalence-cns-dissemination-asymptomatic-cryptococcal-antigenemia. </w:t>
      </w:r>
    </w:p>
    <w:p w14:paraId="03122B2F" w14:textId="5FE1B7CE" w:rsidR="00E179B2" w:rsidRDefault="00E179B2" w:rsidP="00E179B2">
      <w:pPr>
        <w:pStyle w:val="ListParagraph"/>
        <w:numPr>
          <w:ilvl w:val="0"/>
          <w:numId w:val="1"/>
        </w:numPr>
      </w:pPr>
      <w:r w:rsidRPr="00E95008">
        <w:rPr>
          <w:lang w:val="fr-BE"/>
        </w:rPr>
        <w:t>Beyene</w:t>
      </w:r>
      <w:r w:rsidR="00470117">
        <w:rPr>
          <w:lang w:val="fr-BE"/>
        </w:rPr>
        <w:t xml:space="preserve"> T</w:t>
      </w:r>
      <w:r w:rsidRPr="00E95008">
        <w:rPr>
          <w:lang w:val="fr-BE"/>
        </w:rPr>
        <w:t>, Zeude</w:t>
      </w:r>
      <w:r w:rsidR="00470117">
        <w:rPr>
          <w:lang w:val="fr-BE"/>
        </w:rPr>
        <w:t xml:space="preserve"> AG</w:t>
      </w:r>
      <w:r w:rsidRPr="00E95008">
        <w:rPr>
          <w:lang w:val="fr-BE"/>
        </w:rPr>
        <w:t xml:space="preserve">, Balcha </w:t>
      </w:r>
      <w:r w:rsidR="00470117">
        <w:rPr>
          <w:lang w:val="fr-BE"/>
        </w:rPr>
        <w:t xml:space="preserve">A </w:t>
      </w:r>
      <w:r w:rsidRPr="00E95008">
        <w:rPr>
          <w:i/>
          <w:lang w:val="fr-BE"/>
        </w:rPr>
        <w:t>et al</w:t>
      </w:r>
      <w:r w:rsidRPr="00E95008">
        <w:rPr>
          <w:lang w:val="fr-BE"/>
        </w:rPr>
        <w:t xml:space="preserve">. </w:t>
      </w:r>
      <w:r w:rsidR="00C54A2E">
        <w:t xml:space="preserve">Inadequacy of high-dose fluconazole monotherapy among cerebrospinal fluid cryptococcal antigen (CrAg)-positive Human Immunodeficiency Virus-infected persons in an Ethiopian CrAg screening program.  </w:t>
      </w:r>
      <w:r w:rsidRPr="00E179B2">
        <w:t>CID 2017; 65(12): 2126-9</w:t>
      </w:r>
      <w:r w:rsidR="00C54A2E">
        <w:t>.</w:t>
      </w:r>
    </w:p>
    <w:p w14:paraId="47C20258" w14:textId="7A9086EA" w:rsidR="00B613DA" w:rsidRPr="00B613DA" w:rsidRDefault="00B613DA" w:rsidP="00B613DA">
      <w:pPr>
        <w:pStyle w:val="ListParagraph"/>
        <w:numPr>
          <w:ilvl w:val="0"/>
          <w:numId w:val="1"/>
        </w:numPr>
        <w:rPr>
          <w:bCs/>
        </w:rPr>
      </w:pPr>
      <w:r w:rsidRPr="00B613DA">
        <w:t xml:space="preserve">Temfack E, Kouanfack C, Mossiang L </w:t>
      </w:r>
      <w:r w:rsidRPr="00B613DA">
        <w:rPr>
          <w:i/>
        </w:rPr>
        <w:t>et al</w:t>
      </w:r>
      <w:r w:rsidRPr="00B613DA">
        <w:t>.  Cryptococcal Antigen Screening in Asymptomatic HIV-Infected Antiretroviral Naïve Patients in Cameroon and Evaluation of the New Semi-Quantitative Biosynex CryptoPS Test.  Frontiers in Microbiology 13 March 2018.</w:t>
      </w:r>
    </w:p>
    <w:p w14:paraId="4A256778" w14:textId="5E31D1DD" w:rsidR="00470117" w:rsidRDefault="00470117" w:rsidP="00E179B2">
      <w:pPr>
        <w:pStyle w:val="ListParagraph"/>
        <w:numPr>
          <w:ilvl w:val="0"/>
          <w:numId w:val="1"/>
        </w:numPr>
      </w:pPr>
      <w:r>
        <w:t xml:space="preserve">Bicanic T, Bottomley C, Loyse A </w:t>
      </w:r>
      <w:r w:rsidRPr="00470117">
        <w:rPr>
          <w:i/>
        </w:rPr>
        <w:t>et al.</w:t>
      </w:r>
      <w:r>
        <w:t xml:space="preserve">  Toxicity of Amphotericin B deoxycholate-based induction therapy in patients with HIV-associated cryptococcal meningitis.  Antimicrob</w:t>
      </w:r>
      <w:r w:rsidR="00BC2E62">
        <w:t>ial</w:t>
      </w:r>
      <w:r>
        <w:t xml:space="preserve"> Agents </w:t>
      </w:r>
      <w:r w:rsidR="00BC2E62">
        <w:t xml:space="preserve">and </w:t>
      </w:r>
      <w:r>
        <w:t>Chemother</w:t>
      </w:r>
      <w:r w:rsidR="00BC2E62">
        <w:t>apy</w:t>
      </w:r>
      <w:r>
        <w:t xml:space="preserve"> 2015; 59(12): 7224-31.</w:t>
      </w:r>
    </w:p>
    <w:p w14:paraId="351D70D3" w14:textId="325F73BC" w:rsidR="00BC2E62" w:rsidRDefault="00BC2E62" w:rsidP="00E179B2">
      <w:pPr>
        <w:pStyle w:val="ListParagraph"/>
        <w:numPr>
          <w:ilvl w:val="0"/>
          <w:numId w:val="1"/>
        </w:numPr>
      </w:pPr>
      <w:r>
        <w:t xml:space="preserve">Brouwer AE, Van kan HJM, Johnson E </w:t>
      </w:r>
      <w:r w:rsidRPr="00BC2E62">
        <w:rPr>
          <w:i/>
        </w:rPr>
        <w:t>et al.</w:t>
      </w:r>
      <w:r>
        <w:t xml:space="preserve">  Oral versus intravenous flucytosine in patients with Human Immunodeficiency Virus-associated cryptococcal meningitis.  Antimicrobial Agents and Chemotherapy 2007; 51(3): 1038-1042.</w:t>
      </w:r>
    </w:p>
    <w:p w14:paraId="374EA8AD" w14:textId="6D5506E8" w:rsidR="00E75739" w:rsidRPr="00E75739" w:rsidRDefault="00E75739" w:rsidP="008B391C">
      <w:pPr>
        <w:pStyle w:val="ListParagraph"/>
        <w:numPr>
          <w:ilvl w:val="0"/>
          <w:numId w:val="1"/>
        </w:numPr>
      </w:pPr>
      <w:r w:rsidRPr="00E75739">
        <w:lastRenderedPageBreak/>
        <w:t>Leenders A</w:t>
      </w:r>
      <w:r>
        <w:t>, Reiss P, Portegies P</w:t>
      </w:r>
      <w:r w:rsidRPr="00E75739">
        <w:t xml:space="preserve"> </w:t>
      </w:r>
      <w:r w:rsidRPr="00E75739">
        <w:rPr>
          <w:i/>
        </w:rPr>
        <w:t>et al</w:t>
      </w:r>
      <w:r w:rsidRPr="00E75739">
        <w:t xml:space="preserve">. </w:t>
      </w:r>
      <w:r w:rsidRPr="00E75739">
        <w:rPr>
          <w:lang w:val="en-US"/>
        </w:rPr>
        <w:t>Liposomal amphotericin B (AmBisome) compared with amphotericin B both followed by oral fluconazole in the treatment of AIDS-associated cryptococcal meningitis. AIDS 1997, 11 :1463–1471</w:t>
      </w:r>
      <w:r>
        <w:rPr>
          <w:lang w:val="en-US"/>
        </w:rPr>
        <w:t>.</w:t>
      </w:r>
    </w:p>
    <w:p w14:paraId="5BD9FEEE" w14:textId="1CDB8A61" w:rsidR="00E75739" w:rsidRDefault="00E75739" w:rsidP="008B391C">
      <w:pPr>
        <w:pStyle w:val="ListParagraph"/>
        <w:numPr>
          <w:ilvl w:val="0"/>
          <w:numId w:val="1"/>
        </w:numPr>
      </w:pPr>
      <w:r w:rsidRPr="00E75739">
        <w:rPr>
          <w:lang w:val="en-US"/>
        </w:rPr>
        <w:t>Hamill R</w:t>
      </w:r>
      <w:r w:rsidR="00B80C9D">
        <w:rPr>
          <w:lang w:val="en-US"/>
        </w:rPr>
        <w:t>, Sobel JD, El-Sadr W</w:t>
      </w:r>
      <w:r w:rsidRPr="00E75739">
        <w:rPr>
          <w:lang w:val="en-US"/>
        </w:rPr>
        <w:t xml:space="preserve"> </w:t>
      </w:r>
      <w:r w:rsidRPr="00B80C9D">
        <w:rPr>
          <w:i/>
          <w:lang w:val="en-US"/>
        </w:rPr>
        <w:t>et al</w:t>
      </w:r>
      <w:r w:rsidRPr="00E75739">
        <w:rPr>
          <w:lang w:val="en-US"/>
        </w:rPr>
        <w:t>. Comparison of 2 Doses of Liposomal Amphotericin B and Conventional Amphotericin B Deoxycholate for Treatment of AIDS-Associated Acute Cryptococcal Meningitis: A Randomized, Double-Blind Clinical Trial of Efficacy and Safety. Clinical Infectious Diseases 2010; 51(2):225–232</w:t>
      </w:r>
      <w:r>
        <w:rPr>
          <w:lang w:val="en-US"/>
        </w:rPr>
        <w:t>.</w:t>
      </w:r>
    </w:p>
    <w:p w14:paraId="2071454E" w14:textId="019D7730" w:rsidR="008B391C" w:rsidRDefault="008B391C" w:rsidP="008B391C">
      <w:pPr>
        <w:pStyle w:val="ListParagraph"/>
        <w:numPr>
          <w:ilvl w:val="0"/>
          <w:numId w:val="1"/>
        </w:numPr>
      </w:pPr>
      <w:r>
        <w:t xml:space="preserve">Jarvis JN, Leeme TB, Chofle AA </w:t>
      </w:r>
      <w:r w:rsidRPr="008B391C">
        <w:rPr>
          <w:i/>
        </w:rPr>
        <w:t>et al</w:t>
      </w:r>
      <w:r>
        <w:t>.  AMBITION-CM: High-dose liposomal amphotericin for HIV-related cryptococcal meningitis.  Abstract 82. CROI 2017, Washington, US.</w:t>
      </w:r>
    </w:p>
    <w:p w14:paraId="41660368" w14:textId="30151E55" w:rsidR="008B391C" w:rsidRDefault="00B76303" w:rsidP="008B391C">
      <w:pPr>
        <w:pStyle w:val="ListParagraph"/>
      </w:pPr>
      <w:hyperlink r:id="rId11" w:history="1">
        <w:r w:rsidR="008B391C" w:rsidRPr="008B391C">
          <w:rPr>
            <w:color w:val="0000FF"/>
            <w:u w:val="single"/>
          </w:rPr>
          <w:t>http://www.croiwebcasts.org/p/2017croi/croi33485</w:t>
        </w:r>
      </w:hyperlink>
      <w:r w:rsidR="008B391C">
        <w:t xml:space="preserve"> (accessed 16th March 2018)</w:t>
      </w:r>
    </w:p>
    <w:p w14:paraId="55F8500F" w14:textId="6C031903" w:rsidR="00BC2E62" w:rsidRDefault="00BC2E62" w:rsidP="00BC2E62">
      <w:pPr>
        <w:pStyle w:val="ListParagraph"/>
        <w:numPr>
          <w:ilvl w:val="0"/>
          <w:numId w:val="1"/>
        </w:numPr>
      </w:pPr>
      <w:r>
        <w:t>WHO g</w:t>
      </w:r>
      <w:r w:rsidRPr="00BC2E62">
        <w:t>uidelines for managing advanced HIV disease and rapid initiation of antiretroviral therapy</w:t>
      </w:r>
      <w:r>
        <w:t>. WHO. Geneva.  Published July 2017.</w:t>
      </w:r>
    </w:p>
    <w:p w14:paraId="267F30F6" w14:textId="469B2A7D" w:rsidR="00FC799A" w:rsidRDefault="00FC799A" w:rsidP="00FC799A">
      <w:pPr>
        <w:pStyle w:val="ListParagraph"/>
      </w:pPr>
      <w:r w:rsidRPr="00FC799A">
        <w:t>http://www.who.int/hiv/pub/guidelines/advanced-HIV-disease/en/ (accessed 16th March 2018)</w:t>
      </w:r>
    </w:p>
    <w:p w14:paraId="6B0F4B91" w14:textId="77777777" w:rsidR="007E2E1A" w:rsidRPr="007E2E1A" w:rsidRDefault="007E2E1A"/>
    <w:sectPr w:rsidR="007E2E1A" w:rsidRPr="007E2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97158"/>
    <w:multiLevelType w:val="singleLevel"/>
    <w:tmpl w:val="512EA736"/>
    <w:lvl w:ilvl="0">
      <w:start w:val="1"/>
      <w:numFmt w:val="decimal"/>
      <w:lvlText w:val="%1."/>
      <w:lvlJc w:val="left"/>
      <w:pPr>
        <w:tabs>
          <w:tab w:val="num" w:pos="360"/>
        </w:tabs>
        <w:ind w:left="360" w:hanging="360"/>
      </w:pPr>
      <w:rPr>
        <w:i w:val="0"/>
      </w:rPr>
    </w:lvl>
  </w:abstractNum>
  <w:abstractNum w:abstractNumId="1" w15:restartNumberingAfterBreak="0">
    <w:nsid w:val="54C6030B"/>
    <w:multiLevelType w:val="hybridMultilevel"/>
    <w:tmpl w:val="A5C860D8"/>
    <w:lvl w:ilvl="0" w:tplc="DC4AC7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E6D27"/>
    <w:multiLevelType w:val="hybridMultilevel"/>
    <w:tmpl w:val="D11CA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13767"/>
    <w:multiLevelType w:val="hybridMultilevel"/>
    <w:tmpl w:val="712C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D2"/>
    <w:rsid w:val="00000BCF"/>
    <w:rsid w:val="000014C5"/>
    <w:rsid w:val="00003DF9"/>
    <w:rsid w:val="00021DAD"/>
    <w:rsid w:val="000253AA"/>
    <w:rsid w:val="00026145"/>
    <w:rsid w:val="000275BB"/>
    <w:rsid w:val="00034E46"/>
    <w:rsid w:val="00036F16"/>
    <w:rsid w:val="00041F93"/>
    <w:rsid w:val="00042577"/>
    <w:rsid w:val="0004341E"/>
    <w:rsid w:val="00050788"/>
    <w:rsid w:val="00053A1E"/>
    <w:rsid w:val="00056E61"/>
    <w:rsid w:val="00064BBB"/>
    <w:rsid w:val="00070433"/>
    <w:rsid w:val="0008729D"/>
    <w:rsid w:val="000B0949"/>
    <w:rsid w:val="000B19C1"/>
    <w:rsid w:val="000B2DD9"/>
    <w:rsid w:val="000C306C"/>
    <w:rsid w:val="000C7070"/>
    <w:rsid w:val="000D060F"/>
    <w:rsid w:val="000D4EFD"/>
    <w:rsid w:val="000E3177"/>
    <w:rsid w:val="000F49EA"/>
    <w:rsid w:val="00106D2D"/>
    <w:rsid w:val="0011279E"/>
    <w:rsid w:val="001231DC"/>
    <w:rsid w:val="00125539"/>
    <w:rsid w:val="00125A70"/>
    <w:rsid w:val="00130642"/>
    <w:rsid w:val="00131D0F"/>
    <w:rsid w:val="00140C7A"/>
    <w:rsid w:val="00141272"/>
    <w:rsid w:val="00142218"/>
    <w:rsid w:val="0015240F"/>
    <w:rsid w:val="00163DCD"/>
    <w:rsid w:val="001679A3"/>
    <w:rsid w:val="0017380D"/>
    <w:rsid w:val="00183949"/>
    <w:rsid w:val="0018435C"/>
    <w:rsid w:val="0018619B"/>
    <w:rsid w:val="001945F7"/>
    <w:rsid w:val="00195FF6"/>
    <w:rsid w:val="00196353"/>
    <w:rsid w:val="001A760C"/>
    <w:rsid w:val="001B1BBA"/>
    <w:rsid w:val="001C5B20"/>
    <w:rsid w:val="001C621F"/>
    <w:rsid w:val="001D7A8D"/>
    <w:rsid w:val="001E4E2A"/>
    <w:rsid w:val="001E6662"/>
    <w:rsid w:val="001F689D"/>
    <w:rsid w:val="001F6ED7"/>
    <w:rsid w:val="001F793B"/>
    <w:rsid w:val="002033FA"/>
    <w:rsid w:val="0021259F"/>
    <w:rsid w:val="00216D26"/>
    <w:rsid w:val="00221723"/>
    <w:rsid w:val="00222CFC"/>
    <w:rsid w:val="00223876"/>
    <w:rsid w:val="002279E4"/>
    <w:rsid w:val="002304FE"/>
    <w:rsid w:val="002331CF"/>
    <w:rsid w:val="002420A8"/>
    <w:rsid w:val="002424EB"/>
    <w:rsid w:val="0024287B"/>
    <w:rsid w:val="00246FC8"/>
    <w:rsid w:val="00250D88"/>
    <w:rsid w:val="0025276A"/>
    <w:rsid w:val="002536A9"/>
    <w:rsid w:val="002564DD"/>
    <w:rsid w:val="00260D86"/>
    <w:rsid w:val="0026408C"/>
    <w:rsid w:val="00264151"/>
    <w:rsid w:val="00266C2A"/>
    <w:rsid w:val="002674F2"/>
    <w:rsid w:val="00275C58"/>
    <w:rsid w:val="00277707"/>
    <w:rsid w:val="00281100"/>
    <w:rsid w:val="0029363F"/>
    <w:rsid w:val="00293E2A"/>
    <w:rsid w:val="0029576F"/>
    <w:rsid w:val="002A18C8"/>
    <w:rsid w:val="002A780D"/>
    <w:rsid w:val="002A78C8"/>
    <w:rsid w:val="002B1A75"/>
    <w:rsid w:val="002B3F9B"/>
    <w:rsid w:val="002B698F"/>
    <w:rsid w:val="002D000F"/>
    <w:rsid w:val="002D49F5"/>
    <w:rsid w:val="002D7223"/>
    <w:rsid w:val="002E1B10"/>
    <w:rsid w:val="002E258D"/>
    <w:rsid w:val="002E38F4"/>
    <w:rsid w:val="002F785A"/>
    <w:rsid w:val="00304C6F"/>
    <w:rsid w:val="003108B1"/>
    <w:rsid w:val="00313379"/>
    <w:rsid w:val="003154AF"/>
    <w:rsid w:val="00327AF1"/>
    <w:rsid w:val="00330C61"/>
    <w:rsid w:val="00331491"/>
    <w:rsid w:val="00331699"/>
    <w:rsid w:val="003368B5"/>
    <w:rsid w:val="003508E7"/>
    <w:rsid w:val="00357CBA"/>
    <w:rsid w:val="00370535"/>
    <w:rsid w:val="003733C6"/>
    <w:rsid w:val="00373FA0"/>
    <w:rsid w:val="00383154"/>
    <w:rsid w:val="003864DD"/>
    <w:rsid w:val="00395DDF"/>
    <w:rsid w:val="0039781C"/>
    <w:rsid w:val="003A1A61"/>
    <w:rsid w:val="003A272B"/>
    <w:rsid w:val="003A6162"/>
    <w:rsid w:val="003A6315"/>
    <w:rsid w:val="003B32A8"/>
    <w:rsid w:val="003B6F53"/>
    <w:rsid w:val="003B73BD"/>
    <w:rsid w:val="003C4234"/>
    <w:rsid w:val="003C5237"/>
    <w:rsid w:val="003D0859"/>
    <w:rsid w:val="003D0B0C"/>
    <w:rsid w:val="003D1069"/>
    <w:rsid w:val="003D47B7"/>
    <w:rsid w:val="003D49AD"/>
    <w:rsid w:val="003E303E"/>
    <w:rsid w:val="003E7813"/>
    <w:rsid w:val="003F1622"/>
    <w:rsid w:val="0040134A"/>
    <w:rsid w:val="00420775"/>
    <w:rsid w:val="00421ABA"/>
    <w:rsid w:val="004225FC"/>
    <w:rsid w:val="00436C59"/>
    <w:rsid w:val="00442408"/>
    <w:rsid w:val="00451088"/>
    <w:rsid w:val="00452A20"/>
    <w:rsid w:val="00454AD2"/>
    <w:rsid w:val="00460666"/>
    <w:rsid w:val="00464665"/>
    <w:rsid w:val="00464CD4"/>
    <w:rsid w:val="0046538B"/>
    <w:rsid w:val="00470117"/>
    <w:rsid w:val="00471567"/>
    <w:rsid w:val="004728A2"/>
    <w:rsid w:val="004835D3"/>
    <w:rsid w:val="00484C9A"/>
    <w:rsid w:val="004A0EE8"/>
    <w:rsid w:val="004A1D24"/>
    <w:rsid w:val="004A1DC4"/>
    <w:rsid w:val="004A56AD"/>
    <w:rsid w:val="004A7ED0"/>
    <w:rsid w:val="004B4826"/>
    <w:rsid w:val="004B5178"/>
    <w:rsid w:val="004B6BCC"/>
    <w:rsid w:val="004C3B0D"/>
    <w:rsid w:val="004C57EA"/>
    <w:rsid w:val="004C5BA8"/>
    <w:rsid w:val="004C618F"/>
    <w:rsid w:val="004C69B4"/>
    <w:rsid w:val="004D02F9"/>
    <w:rsid w:val="004D675F"/>
    <w:rsid w:val="004E019E"/>
    <w:rsid w:val="004E4494"/>
    <w:rsid w:val="004E6462"/>
    <w:rsid w:val="004E71A2"/>
    <w:rsid w:val="004E7208"/>
    <w:rsid w:val="004F240E"/>
    <w:rsid w:val="004F3F4F"/>
    <w:rsid w:val="00503CF3"/>
    <w:rsid w:val="005079DD"/>
    <w:rsid w:val="00507B96"/>
    <w:rsid w:val="00513D77"/>
    <w:rsid w:val="00530055"/>
    <w:rsid w:val="005311CC"/>
    <w:rsid w:val="00535A0E"/>
    <w:rsid w:val="00550991"/>
    <w:rsid w:val="005513CC"/>
    <w:rsid w:val="00551662"/>
    <w:rsid w:val="00553748"/>
    <w:rsid w:val="00553762"/>
    <w:rsid w:val="00556818"/>
    <w:rsid w:val="00556C7B"/>
    <w:rsid w:val="005571A0"/>
    <w:rsid w:val="00557340"/>
    <w:rsid w:val="00557DF6"/>
    <w:rsid w:val="00560784"/>
    <w:rsid w:val="0056337E"/>
    <w:rsid w:val="005701D6"/>
    <w:rsid w:val="00593851"/>
    <w:rsid w:val="005A5BE4"/>
    <w:rsid w:val="005A605D"/>
    <w:rsid w:val="005A6A91"/>
    <w:rsid w:val="005B4148"/>
    <w:rsid w:val="005B660B"/>
    <w:rsid w:val="005B6DB4"/>
    <w:rsid w:val="005C00CD"/>
    <w:rsid w:val="005C1112"/>
    <w:rsid w:val="005C421D"/>
    <w:rsid w:val="005D60B9"/>
    <w:rsid w:val="005D6905"/>
    <w:rsid w:val="005E0C45"/>
    <w:rsid w:val="005E2A81"/>
    <w:rsid w:val="005E4082"/>
    <w:rsid w:val="005E40A5"/>
    <w:rsid w:val="005E49CE"/>
    <w:rsid w:val="005E5D4B"/>
    <w:rsid w:val="005E7795"/>
    <w:rsid w:val="005F2A31"/>
    <w:rsid w:val="005F3A8C"/>
    <w:rsid w:val="00601C06"/>
    <w:rsid w:val="00607DFE"/>
    <w:rsid w:val="00617843"/>
    <w:rsid w:val="00621AC6"/>
    <w:rsid w:val="006315F4"/>
    <w:rsid w:val="00633E83"/>
    <w:rsid w:val="0063569F"/>
    <w:rsid w:val="00636E45"/>
    <w:rsid w:val="00641660"/>
    <w:rsid w:val="00644B83"/>
    <w:rsid w:val="00644CD1"/>
    <w:rsid w:val="00645719"/>
    <w:rsid w:val="006476CD"/>
    <w:rsid w:val="00650530"/>
    <w:rsid w:val="006561CD"/>
    <w:rsid w:val="00665423"/>
    <w:rsid w:val="00666A75"/>
    <w:rsid w:val="00681C78"/>
    <w:rsid w:val="0068487B"/>
    <w:rsid w:val="00685CD9"/>
    <w:rsid w:val="00696FF9"/>
    <w:rsid w:val="006A1CB6"/>
    <w:rsid w:val="006A1F3B"/>
    <w:rsid w:val="006A274C"/>
    <w:rsid w:val="006B7E1A"/>
    <w:rsid w:val="006C1772"/>
    <w:rsid w:val="006D192F"/>
    <w:rsid w:val="006F1223"/>
    <w:rsid w:val="006F758B"/>
    <w:rsid w:val="006F7BE4"/>
    <w:rsid w:val="00701855"/>
    <w:rsid w:val="00702BDE"/>
    <w:rsid w:val="00703553"/>
    <w:rsid w:val="007036F4"/>
    <w:rsid w:val="00706ED0"/>
    <w:rsid w:val="00710EB7"/>
    <w:rsid w:val="00711184"/>
    <w:rsid w:val="00712211"/>
    <w:rsid w:val="00713C99"/>
    <w:rsid w:val="00715290"/>
    <w:rsid w:val="00727867"/>
    <w:rsid w:val="007324CA"/>
    <w:rsid w:val="00741C8B"/>
    <w:rsid w:val="00744F2F"/>
    <w:rsid w:val="00746B6B"/>
    <w:rsid w:val="00754236"/>
    <w:rsid w:val="007542BF"/>
    <w:rsid w:val="00755E01"/>
    <w:rsid w:val="00763F8D"/>
    <w:rsid w:val="007664B4"/>
    <w:rsid w:val="00772AC4"/>
    <w:rsid w:val="007740E8"/>
    <w:rsid w:val="00775728"/>
    <w:rsid w:val="00777D17"/>
    <w:rsid w:val="0078326C"/>
    <w:rsid w:val="007877A8"/>
    <w:rsid w:val="00790E85"/>
    <w:rsid w:val="00795C7B"/>
    <w:rsid w:val="007A3AF8"/>
    <w:rsid w:val="007A68E6"/>
    <w:rsid w:val="007B1019"/>
    <w:rsid w:val="007B4664"/>
    <w:rsid w:val="007B5A70"/>
    <w:rsid w:val="007C3239"/>
    <w:rsid w:val="007D0B33"/>
    <w:rsid w:val="007E03E3"/>
    <w:rsid w:val="007E198D"/>
    <w:rsid w:val="007E2E1A"/>
    <w:rsid w:val="007E5DC0"/>
    <w:rsid w:val="007F06BE"/>
    <w:rsid w:val="007F21E8"/>
    <w:rsid w:val="00805274"/>
    <w:rsid w:val="0080794A"/>
    <w:rsid w:val="008102F0"/>
    <w:rsid w:val="008126C1"/>
    <w:rsid w:val="0081544E"/>
    <w:rsid w:val="0083549B"/>
    <w:rsid w:val="008357F9"/>
    <w:rsid w:val="0083701E"/>
    <w:rsid w:val="008378B4"/>
    <w:rsid w:val="00842B59"/>
    <w:rsid w:val="008442EC"/>
    <w:rsid w:val="008563FA"/>
    <w:rsid w:val="00863D50"/>
    <w:rsid w:val="00876C63"/>
    <w:rsid w:val="0088663D"/>
    <w:rsid w:val="008877C8"/>
    <w:rsid w:val="00890776"/>
    <w:rsid w:val="008A3CC8"/>
    <w:rsid w:val="008A6BBD"/>
    <w:rsid w:val="008B262D"/>
    <w:rsid w:val="008B391C"/>
    <w:rsid w:val="008B64D8"/>
    <w:rsid w:val="008C036C"/>
    <w:rsid w:val="008D4793"/>
    <w:rsid w:val="008D64E4"/>
    <w:rsid w:val="008D6DEB"/>
    <w:rsid w:val="008E543D"/>
    <w:rsid w:val="00901888"/>
    <w:rsid w:val="00907FD1"/>
    <w:rsid w:val="00914F5D"/>
    <w:rsid w:val="00917449"/>
    <w:rsid w:val="00921268"/>
    <w:rsid w:val="00922397"/>
    <w:rsid w:val="00922FCB"/>
    <w:rsid w:val="00924BF7"/>
    <w:rsid w:val="00925B03"/>
    <w:rsid w:val="00934942"/>
    <w:rsid w:val="00935C0B"/>
    <w:rsid w:val="009363D0"/>
    <w:rsid w:val="009369B0"/>
    <w:rsid w:val="009378B2"/>
    <w:rsid w:val="0094310B"/>
    <w:rsid w:val="00945BE6"/>
    <w:rsid w:val="009467EF"/>
    <w:rsid w:val="00961DF8"/>
    <w:rsid w:val="00971458"/>
    <w:rsid w:val="0097179F"/>
    <w:rsid w:val="00972DC7"/>
    <w:rsid w:val="009827F9"/>
    <w:rsid w:val="00984462"/>
    <w:rsid w:val="0098527A"/>
    <w:rsid w:val="00990F57"/>
    <w:rsid w:val="009922D2"/>
    <w:rsid w:val="009A6E9D"/>
    <w:rsid w:val="009B13B1"/>
    <w:rsid w:val="009B6FAC"/>
    <w:rsid w:val="009B77E3"/>
    <w:rsid w:val="009C083F"/>
    <w:rsid w:val="009C1ADF"/>
    <w:rsid w:val="009C30D5"/>
    <w:rsid w:val="009C5663"/>
    <w:rsid w:val="009D5A37"/>
    <w:rsid w:val="009D780A"/>
    <w:rsid w:val="009E0C77"/>
    <w:rsid w:val="009E3E3F"/>
    <w:rsid w:val="009E4531"/>
    <w:rsid w:val="009E4FA3"/>
    <w:rsid w:val="009F11F4"/>
    <w:rsid w:val="00A15DC6"/>
    <w:rsid w:val="00A16785"/>
    <w:rsid w:val="00A20D83"/>
    <w:rsid w:val="00A26A6B"/>
    <w:rsid w:val="00A33A8D"/>
    <w:rsid w:val="00A36B2D"/>
    <w:rsid w:val="00A41596"/>
    <w:rsid w:val="00A44782"/>
    <w:rsid w:val="00A5053A"/>
    <w:rsid w:val="00A60764"/>
    <w:rsid w:val="00A6241B"/>
    <w:rsid w:val="00A636D6"/>
    <w:rsid w:val="00A64AEE"/>
    <w:rsid w:val="00A67DB8"/>
    <w:rsid w:val="00A7243F"/>
    <w:rsid w:val="00A73464"/>
    <w:rsid w:val="00AA04B0"/>
    <w:rsid w:val="00AA1BAA"/>
    <w:rsid w:val="00AA42EB"/>
    <w:rsid w:val="00AA4652"/>
    <w:rsid w:val="00AA5DCF"/>
    <w:rsid w:val="00AA7A3B"/>
    <w:rsid w:val="00AB4C87"/>
    <w:rsid w:val="00AB4D24"/>
    <w:rsid w:val="00AC1391"/>
    <w:rsid w:val="00AC5AC7"/>
    <w:rsid w:val="00AC7319"/>
    <w:rsid w:val="00AE4F89"/>
    <w:rsid w:val="00AF5AF4"/>
    <w:rsid w:val="00B0699F"/>
    <w:rsid w:val="00B13574"/>
    <w:rsid w:val="00B152B7"/>
    <w:rsid w:val="00B16307"/>
    <w:rsid w:val="00B1721D"/>
    <w:rsid w:val="00B17BFA"/>
    <w:rsid w:val="00B20FE0"/>
    <w:rsid w:val="00B239F2"/>
    <w:rsid w:val="00B410BA"/>
    <w:rsid w:val="00B4119C"/>
    <w:rsid w:val="00B43E0D"/>
    <w:rsid w:val="00B44622"/>
    <w:rsid w:val="00B47E72"/>
    <w:rsid w:val="00B53CBF"/>
    <w:rsid w:val="00B547B6"/>
    <w:rsid w:val="00B5543B"/>
    <w:rsid w:val="00B56F90"/>
    <w:rsid w:val="00B613DA"/>
    <w:rsid w:val="00B66059"/>
    <w:rsid w:val="00B7136E"/>
    <w:rsid w:val="00B7144B"/>
    <w:rsid w:val="00B721FC"/>
    <w:rsid w:val="00B74AB0"/>
    <w:rsid w:val="00B75F11"/>
    <w:rsid w:val="00B76303"/>
    <w:rsid w:val="00B76C4F"/>
    <w:rsid w:val="00B80C9D"/>
    <w:rsid w:val="00B81C24"/>
    <w:rsid w:val="00B91619"/>
    <w:rsid w:val="00B96E82"/>
    <w:rsid w:val="00B97DB8"/>
    <w:rsid w:val="00BB0037"/>
    <w:rsid w:val="00BB1296"/>
    <w:rsid w:val="00BB3187"/>
    <w:rsid w:val="00BB4C78"/>
    <w:rsid w:val="00BC2E62"/>
    <w:rsid w:val="00BD1EA2"/>
    <w:rsid w:val="00BD37A5"/>
    <w:rsid w:val="00BD6076"/>
    <w:rsid w:val="00BD6220"/>
    <w:rsid w:val="00BE3A20"/>
    <w:rsid w:val="00BF365E"/>
    <w:rsid w:val="00BF38A8"/>
    <w:rsid w:val="00C0078E"/>
    <w:rsid w:val="00C06FB5"/>
    <w:rsid w:val="00C1036D"/>
    <w:rsid w:val="00C10E0C"/>
    <w:rsid w:val="00C15E4F"/>
    <w:rsid w:val="00C21D90"/>
    <w:rsid w:val="00C238C6"/>
    <w:rsid w:val="00C3388A"/>
    <w:rsid w:val="00C33CF5"/>
    <w:rsid w:val="00C36232"/>
    <w:rsid w:val="00C407D0"/>
    <w:rsid w:val="00C47BBA"/>
    <w:rsid w:val="00C51626"/>
    <w:rsid w:val="00C54A2E"/>
    <w:rsid w:val="00C60E60"/>
    <w:rsid w:val="00C61D44"/>
    <w:rsid w:val="00C66CD3"/>
    <w:rsid w:val="00C74DD5"/>
    <w:rsid w:val="00C86D93"/>
    <w:rsid w:val="00C91E1F"/>
    <w:rsid w:val="00C92224"/>
    <w:rsid w:val="00C97D7A"/>
    <w:rsid w:val="00CA3CD4"/>
    <w:rsid w:val="00CB37EC"/>
    <w:rsid w:val="00CC2B84"/>
    <w:rsid w:val="00CC33FB"/>
    <w:rsid w:val="00CC3B23"/>
    <w:rsid w:val="00CC70B0"/>
    <w:rsid w:val="00CC757F"/>
    <w:rsid w:val="00CD0426"/>
    <w:rsid w:val="00CD6452"/>
    <w:rsid w:val="00CD6F1F"/>
    <w:rsid w:val="00CE55B1"/>
    <w:rsid w:val="00CF5BC9"/>
    <w:rsid w:val="00D05938"/>
    <w:rsid w:val="00D13C5E"/>
    <w:rsid w:val="00D16385"/>
    <w:rsid w:val="00D34A0B"/>
    <w:rsid w:val="00D34EFA"/>
    <w:rsid w:val="00D42804"/>
    <w:rsid w:val="00D44798"/>
    <w:rsid w:val="00D45EC7"/>
    <w:rsid w:val="00D55E73"/>
    <w:rsid w:val="00D57803"/>
    <w:rsid w:val="00D7313B"/>
    <w:rsid w:val="00D76B6F"/>
    <w:rsid w:val="00D808F2"/>
    <w:rsid w:val="00D8387B"/>
    <w:rsid w:val="00D85401"/>
    <w:rsid w:val="00D870A6"/>
    <w:rsid w:val="00D94625"/>
    <w:rsid w:val="00DA1306"/>
    <w:rsid w:val="00DB1B31"/>
    <w:rsid w:val="00DC06D3"/>
    <w:rsid w:val="00DC525D"/>
    <w:rsid w:val="00DC7BCA"/>
    <w:rsid w:val="00DD0062"/>
    <w:rsid w:val="00DD0719"/>
    <w:rsid w:val="00DD217F"/>
    <w:rsid w:val="00DD77F1"/>
    <w:rsid w:val="00DD7888"/>
    <w:rsid w:val="00DF039B"/>
    <w:rsid w:val="00DF3089"/>
    <w:rsid w:val="00DF32E9"/>
    <w:rsid w:val="00E01028"/>
    <w:rsid w:val="00E05DE1"/>
    <w:rsid w:val="00E07447"/>
    <w:rsid w:val="00E136C1"/>
    <w:rsid w:val="00E14D12"/>
    <w:rsid w:val="00E179B2"/>
    <w:rsid w:val="00E20457"/>
    <w:rsid w:val="00E236A5"/>
    <w:rsid w:val="00E3291F"/>
    <w:rsid w:val="00E4381B"/>
    <w:rsid w:val="00E470D5"/>
    <w:rsid w:val="00E5294F"/>
    <w:rsid w:val="00E603C5"/>
    <w:rsid w:val="00E620C2"/>
    <w:rsid w:val="00E67555"/>
    <w:rsid w:val="00E75739"/>
    <w:rsid w:val="00E81AF5"/>
    <w:rsid w:val="00E82A30"/>
    <w:rsid w:val="00E84CC0"/>
    <w:rsid w:val="00E907B2"/>
    <w:rsid w:val="00E9475F"/>
    <w:rsid w:val="00E95008"/>
    <w:rsid w:val="00E95FD0"/>
    <w:rsid w:val="00EA04F7"/>
    <w:rsid w:val="00EC4F57"/>
    <w:rsid w:val="00ED3D31"/>
    <w:rsid w:val="00ED745D"/>
    <w:rsid w:val="00EE0EAE"/>
    <w:rsid w:val="00EF0341"/>
    <w:rsid w:val="00EF0456"/>
    <w:rsid w:val="00EF3218"/>
    <w:rsid w:val="00F01F22"/>
    <w:rsid w:val="00F10474"/>
    <w:rsid w:val="00F10D1B"/>
    <w:rsid w:val="00F169D3"/>
    <w:rsid w:val="00F314EC"/>
    <w:rsid w:val="00F326BE"/>
    <w:rsid w:val="00F34D3B"/>
    <w:rsid w:val="00F37473"/>
    <w:rsid w:val="00F410D6"/>
    <w:rsid w:val="00F509A2"/>
    <w:rsid w:val="00F52EEF"/>
    <w:rsid w:val="00F6788E"/>
    <w:rsid w:val="00F7033D"/>
    <w:rsid w:val="00F75F63"/>
    <w:rsid w:val="00F81BD0"/>
    <w:rsid w:val="00F8409C"/>
    <w:rsid w:val="00F85A02"/>
    <w:rsid w:val="00F87445"/>
    <w:rsid w:val="00F9675C"/>
    <w:rsid w:val="00FA23A1"/>
    <w:rsid w:val="00FA5090"/>
    <w:rsid w:val="00FB30B2"/>
    <w:rsid w:val="00FC5819"/>
    <w:rsid w:val="00FC799A"/>
    <w:rsid w:val="00FC7E7B"/>
    <w:rsid w:val="00FD2DF0"/>
    <w:rsid w:val="00FD4430"/>
    <w:rsid w:val="00FF6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85232"/>
  <w15:docId w15:val="{5FB85474-3C3B-444F-81C7-55E02ECF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1A"/>
    <w:pPr>
      <w:ind w:left="720"/>
      <w:contextualSpacing/>
    </w:pPr>
  </w:style>
  <w:style w:type="character" w:styleId="Hyperlink">
    <w:name w:val="Hyperlink"/>
    <w:basedOn w:val="DefaultParagraphFont"/>
    <w:uiPriority w:val="99"/>
    <w:unhideWhenUsed/>
    <w:rsid w:val="00E179B2"/>
    <w:rPr>
      <w:color w:val="0563C1" w:themeColor="hyperlink"/>
      <w:u w:val="single"/>
    </w:rPr>
  </w:style>
  <w:style w:type="character" w:styleId="CommentReference">
    <w:name w:val="annotation reference"/>
    <w:basedOn w:val="DefaultParagraphFont"/>
    <w:uiPriority w:val="99"/>
    <w:semiHidden/>
    <w:unhideWhenUsed/>
    <w:rsid w:val="00F7033D"/>
    <w:rPr>
      <w:sz w:val="18"/>
      <w:szCs w:val="18"/>
    </w:rPr>
  </w:style>
  <w:style w:type="paragraph" w:styleId="CommentText">
    <w:name w:val="annotation text"/>
    <w:basedOn w:val="Normal"/>
    <w:link w:val="CommentTextChar"/>
    <w:uiPriority w:val="99"/>
    <w:unhideWhenUsed/>
    <w:rsid w:val="00F7033D"/>
    <w:pPr>
      <w:spacing w:line="240" w:lineRule="auto"/>
    </w:pPr>
    <w:rPr>
      <w:sz w:val="24"/>
      <w:szCs w:val="24"/>
    </w:rPr>
  </w:style>
  <w:style w:type="character" w:customStyle="1" w:styleId="CommentTextChar">
    <w:name w:val="Comment Text Char"/>
    <w:basedOn w:val="DefaultParagraphFont"/>
    <w:link w:val="CommentText"/>
    <w:uiPriority w:val="99"/>
    <w:rsid w:val="00F7033D"/>
    <w:rPr>
      <w:sz w:val="24"/>
      <w:szCs w:val="24"/>
    </w:rPr>
  </w:style>
  <w:style w:type="paragraph" w:styleId="CommentSubject">
    <w:name w:val="annotation subject"/>
    <w:basedOn w:val="CommentText"/>
    <w:next w:val="CommentText"/>
    <w:link w:val="CommentSubjectChar"/>
    <w:uiPriority w:val="99"/>
    <w:semiHidden/>
    <w:unhideWhenUsed/>
    <w:rsid w:val="00F7033D"/>
    <w:rPr>
      <w:b/>
      <w:bCs/>
      <w:sz w:val="20"/>
      <w:szCs w:val="20"/>
    </w:rPr>
  </w:style>
  <w:style w:type="character" w:customStyle="1" w:styleId="CommentSubjectChar">
    <w:name w:val="Comment Subject Char"/>
    <w:basedOn w:val="CommentTextChar"/>
    <w:link w:val="CommentSubject"/>
    <w:uiPriority w:val="99"/>
    <w:semiHidden/>
    <w:rsid w:val="00F7033D"/>
    <w:rPr>
      <w:b/>
      <w:bCs/>
      <w:sz w:val="20"/>
      <w:szCs w:val="20"/>
    </w:rPr>
  </w:style>
  <w:style w:type="paragraph" w:styleId="BalloonText">
    <w:name w:val="Balloon Text"/>
    <w:basedOn w:val="Normal"/>
    <w:link w:val="BalloonTextChar"/>
    <w:uiPriority w:val="99"/>
    <w:semiHidden/>
    <w:unhideWhenUsed/>
    <w:rsid w:val="00F703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33D"/>
    <w:rPr>
      <w:rFonts w:ascii="Lucida Grande" w:hAnsi="Lucida Grande" w:cs="Lucida Grande"/>
      <w:sz w:val="18"/>
      <w:szCs w:val="18"/>
    </w:rPr>
  </w:style>
  <w:style w:type="character" w:customStyle="1" w:styleId="Heading1Char">
    <w:name w:val="Heading 1 Char"/>
    <w:basedOn w:val="DefaultParagraphFont"/>
    <w:link w:val="Heading1"/>
    <w:uiPriority w:val="9"/>
    <w:rsid w:val="00755E01"/>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FC799A"/>
    <w:rPr>
      <w:i/>
      <w:iCs/>
    </w:rPr>
  </w:style>
  <w:style w:type="paragraph" w:styleId="Revision">
    <w:name w:val="Revision"/>
    <w:hidden/>
    <w:uiPriority w:val="99"/>
    <w:semiHidden/>
    <w:rsid w:val="00DF0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4006">
      <w:bodyDiv w:val="1"/>
      <w:marLeft w:val="0"/>
      <w:marRight w:val="0"/>
      <w:marTop w:val="0"/>
      <w:marBottom w:val="0"/>
      <w:divBdr>
        <w:top w:val="none" w:sz="0" w:space="0" w:color="auto"/>
        <w:left w:val="none" w:sz="0" w:space="0" w:color="auto"/>
        <w:bottom w:val="none" w:sz="0" w:space="0" w:color="auto"/>
        <w:right w:val="none" w:sz="0" w:space="0" w:color="auto"/>
      </w:divBdr>
    </w:div>
    <w:div w:id="250428699">
      <w:bodyDiv w:val="1"/>
      <w:marLeft w:val="0"/>
      <w:marRight w:val="0"/>
      <w:marTop w:val="0"/>
      <w:marBottom w:val="0"/>
      <w:divBdr>
        <w:top w:val="none" w:sz="0" w:space="0" w:color="auto"/>
        <w:left w:val="none" w:sz="0" w:space="0" w:color="auto"/>
        <w:bottom w:val="none" w:sz="0" w:space="0" w:color="auto"/>
        <w:right w:val="none" w:sz="0" w:space="0" w:color="auto"/>
      </w:divBdr>
    </w:div>
    <w:div w:id="298997300">
      <w:bodyDiv w:val="1"/>
      <w:marLeft w:val="0"/>
      <w:marRight w:val="0"/>
      <w:marTop w:val="0"/>
      <w:marBottom w:val="0"/>
      <w:divBdr>
        <w:top w:val="none" w:sz="0" w:space="0" w:color="auto"/>
        <w:left w:val="none" w:sz="0" w:space="0" w:color="auto"/>
        <w:bottom w:val="none" w:sz="0" w:space="0" w:color="auto"/>
        <w:right w:val="none" w:sz="0" w:space="0" w:color="auto"/>
      </w:divBdr>
    </w:div>
    <w:div w:id="440103419">
      <w:bodyDiv w:val="1"/>
      <w:marLeft w:val="0"/>
      <w:marRight w:val="0"/>
      <w:marTop w:val="0"/>
      <w:marBottom w:val="0"/>
      <w:divBdr>
        <w:top w:val="none" w:sz="0" w:space="0" w:color="auto"/>
        <w:left w:val="none" w:sz="0" w:space="0" w:color="auto"/>
        <w:bottom w:val="none" w:sz="0" w:space="0" w:color="auto"/>
        <w:right w:val="none" w:sz="0" w:space="0" w:color="auto"/>
      </w:divBdr>
    </w:div>
    <w:div w:id="445925580">
      <w:bodyDiv w:val="1"/>
      <w:marLeft w:val="0"/>
      <w:marRight w:val="0"/>
      <w:marTop w:val="0"/>
      <w:marBottom w:val="0"/>
      <w:divBdr>
        <w:top w:val="none" w:sz="0" w:space="0" w:color="auto"/>
        <w:left w:val="none" w:sz="0" w:space="0" w:color="auto"/>
        <w:bottom w:val="none" w:sz="0" w:space="0" w:color="auto"/>
        <w:right w:val="none" w:sz="0" w:space="0" w:color="auto"/>
      </w:divBdr>
    </w:div>
    <w:div w:id="994995391">
      <w:bodyDiv w:val="1"/>
      <w:marLeft w:val="0"/>
      <w:marRight w:val="0"/>
      <w:marTop w:val="0"/>
      <w:marBottom w:val="0"/>
      <w:divBdr>
        <w:top w:val="none" w:sz="0" w:space="0" w:color="auto"/>
        <w:left w:val="none" w:sz="0" w:space="0" w:color="auto"/>
        <w:bottom w:val="none" w:sz="0" w:space="0" w:color="auto"/>
        <w:right w:val="none" w:sz="0" w:space="0" w:color="auto"/>
      </w:divBdr>
    </w:div>
    <w:div w:id="1265386440">
      <w:bodyDiv w:val="1"/>
      <w:marLeft w:val="0"/>
      <w:marRight w:val="0"/>
      <w:marTop w:val="0"/>
      <w:marBottom w:val="0"/>
      <w:divBdr>
        <w:top w:val="none" w:sz="0" w:space="0" w:color="auto"/>
        <w:left w:val="none" w:sz="0" w:space="0" w:color="auto"/>
        <w:bottom w:val="none" w:sz="0" w:space="0" w:color="auto"/>
        <w:right w:val="none" w:sz="0" w:space="0" w:color="auto"/>
      </w:divBdr>
    </w:div>
    <w:div w:id="1951862809">
      <w:bodyDiv w:val="1"/>
      <w:marLeft w:val="0"/>
      <w:marRight w:val="0"/>
      <w:marTop w:val="0"/>
      <w:marBottom w:val="0"/>
      <w:divBdr>
        <w:top w:val="none" w:sz="0" w:space="0" w:color="auto"/>
        <w:left w:val="none" w:sz="0" w:space="0" w:color="auto"/>
        <w:bottom w:val="none" w:sz="0" w:space="0" w:color="auto"/>
        <w:right w:val="none" w:sz="0" w:space="0" w:color="auto"/>
      </w:divBdr>
    </w:div>
    <w:div w:id="21025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hiv/pub/guidelines/cryptococcal-diseas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roiwebcasts.org/p/2017croi/croi33485" TargetMode="External"/><Relationship Id="rId5" Type="http://schemas.openxmlformats.org/officeDocument/2006/relationships/image" Target="media/image1.emf"/><Relationship Id="rId10" Type="http://schemas.openxmlformats.org/officeDocument/2006/relationships/hyperlink" Target="http://www.unaids.org/en/resources/documents/2017/90-90-90" TargetMode="External"/><Relationship Id="rId4" Type="http://schemas.openxmlformats.org/officeDocument/2006/relationships/webSettings" Target="webSettings.xml"/><Relationship Id="rId9" Type="http://schemas.openxmlformats.org/officeDocument/2006/relationships/hyperlink" Target="https://www.ncbi.nlm.nih.gov/pubmed/28505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Stacy Murtagh</cp:lastModifiedBy>
  <cp:revision>2</cp:revision>
  <dcterms:created xsi:type="dcterms:W3CDTF">2018-12-03T16:10:00Z</dcterms:created>
  <dcterms:modified xsi:type="dcterms:W3CDTF">2018-12-03T16:10:00Z</dcterms:modified>
</cp:coreProperties>
</file>